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tcPr>
          <w:p>
            <w:pPr>
              <w:jc w:val="center"/>
              <w:ind w:right="282"/>
              <w:spacing w:after="0"/>
              <w:rPr>
                <w:sz w:val="20"/>
                <w:szCs w:val="20"/>
                <w:color w:val="auto"/>
              </w:rPr>
            </w:pPr>
            <w:r>
              <w:rPr>
                <w:rFonts w:ascii="Arial" w:cs="Arial" w:eastAsia="Arial" w:hAnsi="Arial"/>
                <w:sz w:val="18"/>
                <w:szCs w:val="18"/>
                <w:b w:val="1"/>
                <w:bCs w:val="1"/>
                <w:color w:val="auto"/>
                <w:w w:val="92"/>
              </w:rPr>
              <w:t>1-8649</w:t>
            </w:r>
          </w:p>
        </w:tc>
        <w:tc>
          <w:tcPr>
            <w:tcW w:w="30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41-0580470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304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3040" w:type="dxa"/>
            <w:vAlign w:val="bottom"/>
          </w:tcPr>
          <w:p>
            <w:pPr>
              <w:jc w:val="center"/>
              <w:ind w:left="1521"/>
              <w:spacing w:after="0"/>
              <w:rPr>
                <w:sz w:val="20"/>
                <w:szCs w:val="20"/>
                <w:color w:val="auto"/>
              </w:rPr>
            </w:pPr>
            <w:r>
              <w:rPr>
                <w:rFonts w:ascii="Arial" w:cs="Arial" w:eastAsia="Arial" w:hAnsi="Arial"/>
                <w:sz w:val="14"/>
                <w:szCs w:val="14"/>
                <w:b w:val="1"/>
                <w:bCs w:val="1"/>
                <w:color w:val="auto"/>
                <w:w w:val="96"/>
              </w:rPr>
              <w:t>Identification Number)</w:t>
            </w:r>
          </w:p>
        </w:tc>
      </w:tr>
      <w:tr>
        <w:trPr>
          <w:trHeight w:val="439"/>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7"/>
              </w:rPr>
              <w:t>8111 Lyndale Avenue South</w:t>
            </w:r>
          </w:p>
        </w:tc>
        <w:tc>
          <w:tcPr>
            <w:tcW w:w="25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Bloomington, Minnesota</w:t>
            </w:r>
          </w:p>
        </w:tc>
        <w:tc>
          <w:tcPr>
            <w:tcW w:w="2520" w:type="dxa"/>
            <w:vAlign w:val="bottom"/>
          </w:tcPr>
          <w:p>
            <w:pPr>
              <w:spacing w:after="0"/>
              <w:rPr>
                <w:sz w:val="19"/>
                <w:szCs w:val="19"/>
                <w:color w:val="auto"/>
              </w:rPr>
            </w:pPr>
          </w:p>
        </w:tc>
        <w:tc>
          <w:tcPr>
            <w:tcW w:w="3040" w:type="dxa"/>
            <w:vAlign w:val="bottom"/>
          </w:tcPr>
          <w:p>
            <w:pPr>
              <w:jc w:val="right"/>
              <w:ind w:right="1361"/>
              <w:spacing w:after="0"/>
              <w:rPr>
                <w:sz w:val="20"/>
                <w:szCs w:val="20"/>
                <w:color w:val="auto"/>
              </w:rPr>
            </w:pPr>
            <w:r>
              <w:rPr>
                <w:rFonts w:ascii="Arial" w:cs="Arial" w:eastAsia="Arial" w:hAnsi="Arial"/>
                <w:sz w:val="18"/>
                <w:szCs w:val="18"/>
                <w:b w:val="1"/>
                <w:bCs w:val="1"/>
                <w:color w:val="auto"/>
              </w:rPr>
              <w:t>55420</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304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(952) 888-8801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27, 2014, The Toro Company (“Toro”) entered into an Asset Purchase Agreement (the “Purchase Agreement”) with Northern Star Industries, Inc. (“NSI”) and each of the shareholders of NSI (collectively, the “Shareholders”), pursuant to which Toro has agreed to purchase substantially all of the assets (excluding accounts receivable) and assume certain specified liabilities and obligations of NSI’s BOSS</w:t>
      </w:r>
      <w:r>
        <w:rPr>
          <w:rFonts w:ascii="Arial" w:cs="Arial" w:eastAsia="Arial" w:hAnsi="Arial"/>
          <w:sz w:val="15"/>
          <w:szCs w:val="15"/>
          <w:color w:val="auto"/>
        </w:rPr>
        <w:t>®</w:t>
      </w:r>
      <w:r>
        <w:rPr>
          <w:rFonts w:ascii="Arial" w:cs="Arial" w:eastAsia="Arial" w:hAnsi="Arial"/>
          <w:sz w:val="18"/>
          <w:szCs w:val="18"/>
          <w:color w:val="auto"/>
        </w:rPr>
        <w:t xml:space="preserve"> professional snow and ice management business (the “BOSS Business”), for $227.3 million, subject to certain adjustments as set forth in the Purchase Agreement (the “Acquisition”). The BOSS Business designs, manufactures and sells snowplows, salt and sand spreaders, and related parts and accessories, for light and medium duty trucks, ATVs, UTVs and loaders.</w:t>
      </w:r>
    </w:p>
    <w:p>
      <w:pPr>
        <w:spacing w:after="0" w:line="193"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Toro, NSI and the Shareholders have made customary representations, warranties, covenants and indemnities in the Purchase Agreement. Subject to certain limitations, each of Toro, on the one hand, and NSI and the Shareholders, on the other hand, have agreed to indemnify the other party for certain matters, including breaches of representations, warranties and covenants.</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completion of the Acquisition is subject to customary closing conditions, including, among others: (1) the execution and delivery of certain related ancillary agreements, including a transition services agreement, a personnel agreement and an employment agreement with a key member of the BOSS Business’ management; (2) the expiration of the applicable waiting period under the Hart Scott Rodino Antitrust Improvements Act of 1976, as amended;</w:t>
      </w:r>
    </w:p>
    <w:p>
      <w:pPr>
        <w:ind w:right="80" w:firstLine="8"/>
        <w:spacing w:after="0" w:line="302"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accuracy of representations and warranties made by Toro, NSI and the Shareholders, respectively, at the closing of the Acquisition; (4) compliance by Toro, NSI and the Shareholders with their respective obligations under the Purchase Agreement; and (5) such other matters as are specified in the Purchase Agreement. Subject to satisfaction of the closing conditions, Toro expects that the Acquisition will be completed during Toro’s first quarter of fiscal 2015.</w:t>
      </w:r>
    </w:p>
    <w:p>
      <w:pPr>
        <w:spacing w:after="0" w:line="15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Toro has agreed to pay the purchase price in cash, except for $30 million which Toro has agreed to pay in the form of an unsecured promissory note (the “Note”). Under the terms of the Note, interest will accrue at the rate of 4.0% per year and principal payments of $10 million each, together with accrued interest, will be payable on the first, second and third anniversaries of the closing date of the Acquisition, subject to certain conditions. The Note will serve as the first, but not the exclusive, source to secure NSI’s and the Shareholders’ indemnification and other obligations under the Purchase Agreement. Toro plans to fund the cash portion of the purchase price of the Acquisition with cash on hand, borrowings from Toro’s senior unsecured revolving credit facility and a term loan. The revolving credit facility and term loan are as described in more detail below.</w:t>
      </w:r>
    </w:p>
    <w:p>
      <w:pPr>
        <w:spacing w:after="0" w:line="17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Purchase Agreement contains customary termination rights for the parties thereto, including (1) the right of Toro or NSI to terminate if the transactions contemplated by the Purchase Agreement have not closed by December 31, 2014 and (2) the right of Toro or NSI to terminate (subject to certain conditions) if the other party is in breach of the Purchase Agreement and the breach would cause the applicable closing condition related to accuracy of that party’s representations and warranties or the performance of that party’s obligations under the Purchase Agreement to not be met.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 w:name="page3"/>
    <w:bookmarkEnd w:id="2"/>
    <w:p>
      <w:pPr>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Purchase Agreement is a summary of the material terms of such agreement, does not purport to be complete and is qualified in its entirety by reference to the complete text of the agreement, a copy of which is filed as Exhibit 2.1 to this Current Report on Form 8-K and is incorporated herein by reference.</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Purchase Agreement and related description are intended to provide information regarding the terms of the Purchase Agreement and are not intended to modify or supplement any factual disclosures about Toro in its reports filed with the Securities and Exchange Commission (the “SEC”). In particular, the Purchase Agreement and related description are not intended to be, and should not be relied upon as, disclosures regarding any facts and circumstances relating to Toro or the BOSS Business. The representations and warranties have been negotiated with the principal purpose of not establishing matters of fact, but rather as a risk allocation method establishing the circumstances under which a party may have the right not to consummate the Acquisition if the representations and warranties of the other party prove to be untrue due to a change in circumstance or otherwise. As is customary, the assertions embodied in the representations and warranties made by NSI and the Shareholders in the Purchase Agreement are qualified by information contained in confidential disclosure schedules that NSI and the Shareholders have delivered to Toro in connection with the signing of the Purchase Agreement made for purposes of allocating contractual risk between the parties to the Purchase Agreement instead of establishing these matters as facts. The representations and warranties also may be subject to a contractual standard of materiality different from those generally applicable under the securities laws. Shareholders of Toro are not third-party beneficiaries under the Purchase Agreement and should not rely on the representations, warranties and covenants or any descriptions thereof as characterizations of the actual state of facts or condition of Toro or the BOSS Business. Moreover, information concerning the subject matter of the representations and warranties may change after the date of the Purchase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On October 27, 2014, Toro, Toro Manufacturing LLC, Exmark Manufacturing Company Incorporated and Toro International Company (collectively, the “Borrowers”), entered into a credit agreement (the “Credit Agreement”) with certain lenders, Bank of America, N.A., as administrative agent, swingline lender and letter of credit issuer (the “Administrative Agent”), and Wells Fargo Bank, National Association, as syndication agent (the “Syndication Agent”).</w:t>
      </w:r>
    </w:p>
    <w:p>
      <w:pPr>
        <w:ind w:right="20"/>
        <w:spacing w:after="0" w:line="253" w:lineRule="auto"/>
        <w:rPr>
          <w:sz w:val="20"/>
          <w:szCs w:val="20"/>
          <w:color w:val="auto"/>
        </w:rPr>
      </w:pPr>
      <w:r>
        <w:rPr>
          <w:rFonts w:ascii="Arial" w:cs="Arial" w:eastAsia="Arial" w:hAnsi="Arial"/>
          <w:sz w:val="18"/>
          <w:szCs w:val="18"/>
          <w:color w:val="auto"/>
        </w:rPr>
        <w:t>The Credit Agreement provides for an aggregate credit commitment to the Borrowers of $280 million, consisting of: (1) a $150 million unsecured senior five-year revolving credit facility, with a $20 million sublimit for the issuance of standby letters of credit and a $20 million sublimit for swingline loans; and (2) a $130 million unsecured senior five-year term loan facility. At the election of the Borrowers, the maximum principal amount available under the revolving credit facility may be increased by an amount up to $100 million in the aggregate. Additional subsidiaries of Toro may be designated as Borrowers at the election of Toro.</w:t>
      </w:r>
    </w:p>
    <w:p>
      <w:pPr>
        <w:spacing w:after="0" w:line="19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Toro intends to use all of the borrowings from the term loan and a portion of the borrowings available under the revolving credit facility to fund part of the Acquisition described above. If the Acquisition is not consummated by January 23, 2015, Toro must repay the entire outstanding balance of the term loan (plus certain bank reimbursement costs).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Funds are available under the Credit Agreement for working capital, capital expenditures and other lawful purposes, including, without limitation, the Acquisition described above, other acquisitions and stock repurchases. Loans under the revolving credit facility are available in Dollars, Euros, British Pounds Sterling, Australian Dollars, and Canadian Dollars and, at the discretion of the lenders, other currencies. As of October 24, 2014, there were no borrowings outstanding under Toro’s previous revolving credit facility, except for the issuance of standby letters of credit in an aggregate amount of approximately $5.4 million.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ind w:right="20"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certain initial fees payable to the Administrative Agent, the Syndication Agent and their respective affiliates, the Borrowers are obligated to pay a facility fee based on the availability of commitments under the revolving credit facility which is payable quarterly in arrears to each lender. At the option of the Borrowers, the term loan and any loan under the revolving credit facility (other than swingline loans) will bear interest at a variable rate based on LIBOR or an alternative variable rate based on the Bank of America prime rate, the federal funds rate or LIBOR, in each case plus a basis point spread determined by reference to the debt ratio and debt rating of Toro, each as identified in the Credit Agreement. With respect to the borrowings used to fund the cash portion of the purchase price for the Acquisition, each of the term loan and the amount withdrawn under the revolving credit facility for this purpose will bear interest at a variable rated based on LIBOR. Swingline loans bear interest at a rate determined by the swingline lender or an alternative variable rate based on the Bank of America prime rate, the federal funds rate or LIBOR, in each case plus a basis point spread determined by reference to the debt ratio and debt rating of Toro. Interest is payable quarterly in arrears.</w:t>
      </w:r>
    </w:p>
    <w:p>
      <w:pPr>
        <w:spacing w:after="0" w:line="18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Credit Agreement contains customary covenants regarding Toro and its subsidiaries, including, without limitation: financial covenants, such as the maintenance of minimum interest coverage and maximum debt to earnings ratios; and negative covenants, which, among other things, limit loans and investments, dividends, disposition of assets, consolidations and mergers, transactions with affiliates, contingent obligations, liens and other matters customarily restricted in such agreements. Most of these restrictions are subject to certain minimum thresholds and exceptions. The Credit Agreement also contains customary events of default, including, without limitation, payment defaults, material inaccuracy of representations and warranties, covenant defaults, bankruptcy and insolvency proceedings, monetary judgment defaults in excess of specified amounts, cross-defaults to certain other agreements, change of control, and customary defaults under the Employee Retirement Income Security Act of 1974.</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BMO Harris Bank, N.A. and U.S. Bank National Association served as co-documentation agents and Merrill Lynch, Pierce, Fenner &amp; Smith Incorporated, an affiliate of the Administrative Agent, and Wells Fargo Securities, LLC, an affiliate of the Syndication Agent, served as joint lead arrangers and joint book managers for the revolving credit facility, for which they each received customary compensation. In addition, the Administrative Agent, the Syndication Agent and certain of the other lenders and their respective affiliates have in the past performed, and may in the future from time to time, perform, investment banking, financial advisory, lending and/or commercial banking services for Toro and its subsidiaries, for which service they have in the past received, and may in the future receive, customary compensation and reimbursement of expenses.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foregoing description of the Credit Agreement is a summary of the material terms of such agreement, does not purport to be complete and is qualified in its entirety by reference to the complete text of the agreement, a copy of which is filed as Exhibit 10.1 to this Current Report on Form 8-K and is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connection with the execution of the Credit Agreement described above, on October 27, 2014, the Borrowers terminated their prior $150 million credit facility as evidenced by that certain Credit Agreement, dated as of July 28, 2011 (the “Prior Credit Agreement”). The Prior Credit Agreement was scheduled to expire on July 28, 2015. The material relationships between the Borrowers and their affiliates, and the parties to the Prior Credit Agreement were the same as described above. The material terms and conditions of the Prior Credit Agreement were substantially similar to the material terms and conditions of the Credit Agreement described above, with the exception of the provisions relating to the term loan contemplated in connection with the Acquisition.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 — Financial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information described above under “Section 1 – Registrant’s Business and Operations – Item 1.01 Entry into a Material Definitive Agreement”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Regulation FD</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October 27, 2014, Toro announced the execution of the Purchase Agreement described in Item 1.01 above. A copy of the press release is furnished as Exhibit 99.1 to this Current Report on Form 8-K and is incorporated herein by reference.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Toro under the Securities Act of 1933, as amended (the “Securities Act”) or the Exchange Act, except as shall be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20" w:type="dxa"/>
            <w:vAlign w:val="bottom"/>
          </w:tcPr>
          <w:p>
            <w:pPr>
              <w:spacing w:after="0"/>
              <w:rPr>
                <w:sz w:val="14"/>
                <w:szCs w:val="14"/>
                <w:color w:val="auto"/>
              </w:rPr>
            </w:pPr>
          </w:p>
        </w:tc>
      </w:tr>
      <w:tr>
        <w:trPr>
          <w:trHeight w:val="303"/>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2.1</w:t>
            </w: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w w:val="90"/>
              </w:rPr>
              <w:t>Asset Purchase Agreement dated as of October 27, 2014 among The Toro Company, Northern Star Industries, Inc. and its shareholders</w:t>
            </w:r>
          </w:p>
        </w:tc>
      </w:tr>
      <w:tr>
        <w:trPr>
          <w:trHeight w:val="230"/>
        </w:trPr>
        <w:tc>
          <w:tcPr>
            <w:tcW w:w="720" w:type="dxa"/>
            <w:vAlign w:val="bottom"/>
          </w:tcPr>
          <w:p>
            <w:pPr>
              <w:spacing w:after="0"/>
              <w:rPr>
                <w:sz w:val="20"/>
                <w:szCs w:val="20"/>
                <w:color w:val="auto"/>
              </w:rPr>
            </w:pP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rPr>
              <w:t>named therein*</w:t>
            </w:r>
          </w:p>
        </w:tc>
      </w:tr>
      <w:tr>
        <w:trPr>
          <w:trHeight w:val="310"/>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10.1</w:t>
            </w: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w w:val="91"/>
              </w:rPr>
              <w:t>Credit Agreement dated as of October 27, 2014 among The Toro Company, Toro Manufacturing LLC, Exmark Manufacturing Company</w:t>
            </w:r>
          </w:p>
        </w:tc>
      </w:tr>
      <w:tr>
        <w:trPr>
          <w:trHeight w:val="216"/>
        </w:trPr>
        <w:tc>
          <w:tcPr>
            <w:tcW w:w="720" w:type="dxa"/>
            <w:vAlign w:val="bottom"/>
          </w:tcPr>
          <w:p>
            <w:pPr>
              <w:spacing w:after="0"/>
              <w:rPr>
                <w:sz w:val="18"/>
                <w:szCs w:val="18"/>
                <w:color w:val="auto"/>
              </w:rPr>
            </w:pP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w w:val="91"/>
              </w:rPr>
              <w:t>Incorporated, and Toro International Company and certain subsidiaries, as Borrowers, the lenders from time to time party thereto, Bank</w:t>
            </w:r>
          </w:p>
        </w:tc>
      </w:tr>
      <w:tr>
        <w:trPr>
          <w:trHeight w:val="216"/>
        </w:trPr>
        <w:tc>
          <w:tcPr>
            <w:tcW w:w="720" w:type="dxa"/>
            <w:vAlign w:val="bottom"/>
          </w:tcPr>
          <w:p>
            <w:pPr>
              <w:spacing w:after="0"/>
              <w:rPr>
                <w:sz w:val="18"/>
                <w:szCs w:val="18"/>
                <w:color w:val="auto"/>
              </w:rPr>
            </w:pP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w w:val="92"/>
              </w:rPr>
              <w:t>of America, N.A., as Administrative Agent, Swingline Lender and Letter of Credit Issuer, and Wells Fargo Bank, National Association,</w:t>
            </w:r>
          </w:p>
        </w:tc>
      </w:tr>
      <w:tr>
        <w:trPr>
          <w:trHeight w:val="230"/>
        </w:trPr>
        <w:tc>
          <w:tcPr>
            <w:tcW w:w="720" w:type="dxa"/>
            <w:vAlign w:val="bottom"/>
          </w:tcPr>
          <w:p>
            <w:pPr>
              <w:spacing w:after="0"/>
              <w:rPr>
                <w:sz w:val="20"/>
                <w:szCs w:val="20"/>
                <w:color w:val="auto"/>
              </w:rPr>
            </w:pP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rPr>
              <w:t>as Syndication Agent</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99.1</w:t>
            </w:r>
          </w:p>
        </w:tc>
        <w:tc>
          <w:tcPr>
            <w:tcW w:w="10620" w:type="dxa"/>
            <w:vAlign w:val="bottom"/>
            <w:gridSpan w:val="3"/>
          </w:tcPr>
          <w:p>
            <w:pPr>
              <w:ind w:left="780"/>
              <w:spacing w:after="0"/>
              <w:rPr>
                <w:sz w:val="20"/>
                <w:szCs w:val="20"/>
                <w:color w:val="auto"/>
              </w:rPr>
            </w:pPr>
            <w:r>
              <w:rPr>
                <w:rFonts w:ascii="Arial" w:cs="Arial" w:eastAsia="Arial" w:hAnsi="Arial"/>
                <w:sz w:val="18"/>
                <w:szCs w:val="18"/>
                <w:color w:val="auto"/>
              </w:rPr>
              <w:t>Press Release dated October 27, 2014 issued by The Toro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exhibits and schedules to the Purchase Agreement have been omitted pursuant to Item 601(b)(2) of Regulation S-K. Toro will furnish the omitted exhibits and schedules to the SEC upon request by the SEC.</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Current Report on Form 8-K contains not only historical information, but also forward-looking statements within the meaning of Section 27A of the Securities Act and Section 21E of the Exchange Act, and that are subject to the safe harbor created by those sections. In addition, Toro or others on its behalf may make forward-looking statements relating to the pending Acquisition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Toro’s current expectations of future events, and often can be identified in this report and elsewhere by using words such as “expect,” “plan,” “intend,” “anticipate,” “continue,” “estimate,” “project,” “believe,” “should,” “could,” “will,” “would,” “possible,” “may,” “likely” and similar expressions or future dates. Some of the forward-looking statements in this report about Toro’s acquisition of the BOSS Business include the anticipated timing for the consummation of the Acquisition, Toro’s plans for funding the Acquisition purchase price, and Toro’s anticipated use of borrowings under the credit agreement.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completing the Acquisition of the BOSS Business and the risk that the Acquisition may not be completed at all; the failure by Toro to achieve the net sales, earnings, working capital, capital expenditure, growth prospects and any cost or revenue synergies expected from the Acquisition or delays in the realization thereof; delays and challenges in integrating the businesses after the Acquisition is completed, including risks associated with information or financial systems; operating costs and business disruption during the pendency of and following the Acquisition, including adverse effects on employee relations or retention or on business relationships with third parties, including customers, distributors and dealers; loss of key personnel; violation of non-competition covenants by key individuals of the BOSS Business; damage to the BOSS Business facilities located in Iron Mountain, Michigan causing a material disruption to the operations; failure to comply with applicable international, federal or state product safety or other regulatory standards or requirements; unanticipated liabilities or exposures associated with the BOSS Business for which Toro has not been indemnified or may not recover; infringement of intellectual property rights of others associated with the rights acquired in the Acquisition; and general adverse business, economic or competitive conditions. For more information regarding these and other uncertainties and factors that could cause Toro’s actual results to differ materially from what it has anticipated in its forward-looking statements or otherwise could materially adversely affect its business, financial condition or operating results, see Toro’s most recently filed Annual Report on Form 10-K, Part I, Item 1A, “Risk Factors” and subsequent quarterly reports on Form 10-Q. All forward-looking statements included in this report are expressly qualified in their entirety by the foregoing cautionary statements. Toro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Toro’s most recent Annual Report on Form 10-K, Part I, Item 1A, “Risk Factors,” as well as others that Toro may consider immaterial or does not anticipate at this time. The foregoing risks and uncertainties are not exclusive and further information concerning Toro and its businesses, including factors that potentially could materially affect Toro’s financial results or condition, may emerge from time to time. Toro undertakes no obligation to update forward-looking statements to reflect actual results or changes in factors or assumptions affecting such forward-looking statements. Toro advises you, however, to consult any further disclosures it makes on related subjects in its future Annual Reports on Form 10-K, Quarterly Reports on Form 10-Q, and Current Reports on Form 8-K that Toro may file with or furnish to the SEC.</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(Registrant)</w:t>
      </w:r>
    </w:p>
    <w:p>
      <w:pPr>
        <w:spacing w:after="0" w:line="224"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October 27, 2014</w:t>
      </w:r>
      <w:r>
        <w:rPr>
          <w:sz w:val="20"/>
          <w:szCs w:val="20"/>
          <w:color w:val="auto"/>
        </w:rPr>
        <w:tab/>
      </w:r>
      <w:r>
        <w:rPr>
          <w:rFonts w:ascii="Arial" w:cs="Arial" w:eastAsia="Arial" w:hAnsi="Arial"/>
          <w:sz w:val="17"/>
          <w:szCs w:val="17"/>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TORO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 ON FORM 8-K</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4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Method of</w:t>
            </w: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6"/>
              </w:rPr>
              <w:t>Filing</w:t>
            </w:r>
          </w:p>
        </w:tc>
        <w:tc>
          <w:tcPr>
            <w:tcW w:w="320" w:type="dxa"/>
            <w:vAlign w:val="bottom"/>
          </w:tcPr>
          <w:p>
            <w:pPr>
              <w:spacing w:after="0"/>
              <w:rPr>
                <w:sz w:val="14"/>
                <w:szCs w:val="14"/>
                <w:color w:val="auto"/>
              </w:rPr>
            </w:pPr>
          </w:p>
        </w:tc>
      </w:tr>
      <w:tr>
        <w:trPr>
          <w:trHeight w:val="20"/>
        </w:trPr>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0"/>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w w:val="92"/>
              </w:rPr>
              <w:t>Asset Purchase Agreement dated as of October 27, 2014 among The Toro Company, Northern Star Industries, Inc. and its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shareholders named therein*</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r>
      <w:tr>
        <w:trPr>
          <w:trHeight w:val="310"/>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10.1</w:t>
            </w:r>
          </w:p>
        </w:tc>
        <w:tc>
          <w:tcPr>
            <w:tcW w:w="180" w:type="dxa"/>
            <w:vAlign w:val="bottom"/>
          </w:tcPr>
          <w:p>
            <w:pPr>
              <w:spacing w:after="0"/>
              <w:rPr>
                <w:sz w:val="24"/>
                <w:szCs w:val="24"/>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Credit Agreement dated as of October 27, 2014 among The Toro Company, Toro Manufacturing LLC, Exmark</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w w:val="91"/>
              </w:rPr>
              <w:t>Manufacturing Company Incorporated, and Toro International Company and certain subsidiaries, as Borrowers, the lenders</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w w:val="96"/>
              </w:rPr>
              <w:t>from time to time party thereto, Bank of America, N.A., as Administrative Agent, Swingline Lender and Letter of Credit</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Issuer and Wells Fargo Bank, National Association, as Syndication Agent</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Filed herewith</w:t>
            </w:r>
          </w:p>
        </w:tc>
      </w:tr>
      <w:tr>
        <w:trPr>
          <w:trHeight w:val="32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99.1</w:t>
            </w:r>
          </w:p>
        </w:tc>
        <w:tc>
          <w:tcPr>
            <w:tcW w:w="180" w:type="dxa"/>
            <w:vAlign w:val="bottom"/>
          </w:tcPr>
          <w:p>
            <w:pPr>
              <w:spacing w:after="0"/>
              <w:rPr>
                <w:sz w:val="24"/>
                <w:szCs w:val="24"/>
                <w:color w:val="auto"/>
              </w:rPr>
            </w:pPr>
          </w:p>
        </w:tc>
        <w:tc>
          <w:tcPr>
            <w:tcW w:w="9180" w:type="dxa"/>
            <w:vAlign w:val="bottom"/>
            <w:gridSpan w:val="3"/>
          </w:tcPr>
          <w:p>
            <w:pPr>
              <w:ind w:left="180"/>
              <w:spacing w:after="0"/>
              <w:rPr>
                <w:sz w:val="20"/>
                <w:szCs w:val="20"/>
                <w:color w:val="auto"/>
              </w:rPr>
            </w:pPr>
            <w:r>
              <w:rPr>
                <w:rFonts w:ascii="Arial" w:cs="Arial" w:eastAsia="Arial" w:hAnsi="Arial"/>
                <w:sz w:val="18"/>
                <w:szCs w:val="18"/>
                <w:color w:val="auto"/>
              </w:rPr>
              <w:t>Press Release dated October 27, 2014 issued by The Toro Company</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w w:val="88"/>
              </w:rPr>
              <w:t>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hanging="572"/>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exhibits and schedules to the Purchase Agreement have been omitted pursuant to Item 601(b)(2) of Regulation S-K. Toro will furnish the omitted exhibits and schedules to the SEC upon request by the SEC.</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OCTOBER 27, 2014</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NORTHERN STAR INDUSTRIES, INC.,</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 ITS</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SHAREHOLDERS NAMED HEREIN</w:t>
      </w:r>
    </w:p>
    <w:p>
      <w:pPr>
        <w:sectPr>
          <w:pgSz w:w="11900" w:h="16838" w:orient="portrait"/>
          <w:cols w:equalWidth="0" w:num="1">
            <w:col w:w="10220"/>
          </w:cols>
          <w:pgMar w:left="14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808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45"/>
        </w:trPr>
        <w:tc>
          <w:tcPr>
            <w:tcW w:w="8920" w:type="dxa"/>
            <w:vAlign w:val="bottom"/>
            <w:gridSpan w:val="2"/>
          </w:tcPr>
          <w:p>
            <w:pPr>
              <w:spacing w:after="0"/>
              <w:rPr>
                <w:sz w:val="20"/>
                <w:szCs w:val="20"/>
                <w:color w:val="auto"/>
              </w:rPr>
            </w:pPr>
            <w:r>
              <w:rPr>
                <w:rFonts w:ascii="Arial" w:cs="Arial" w:eastAsia="Arial" w:hAnsi="Arial"/>
                <w:sz w:val="18"/>
                <w:szCs w:val="18"/>
                <w:color w:val="auto"/>
              </w:rPr>
              <w:t>ARTICLE 1 PURCHASED ASSETS;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1.1</w:t>
            </w:r>
          </w:p>
        </w:tc>
        <w:tc>
          <w:tcPr>
            <w:tcW w:w="8080" w:type="dxa"/>
            <w:vAlign w:val="bottom"/>
          </w:tcPr>
          <w:p>
            <w:pPr>
              <w:ind w:left="160"/>
              <w:spacing w:after="0"/>
              <w:rPr>
                <w:sz w:val="20"/>
                <w:szCs w:val="20"/>
                <w:color w:val="auto"/>
              </w:rPr>
            </w:pPr>
            <w:r>
              <w:rPr>
                <w:rFonts w:ascii="Arial" w:cs="Arial" w:eastAsia="Arial" w:hAnsi="Arial"/>
                <w:sz w:val="18"/>
                <w:szCs w:val="18"/>
                <w:color w:val="auto"/>
              </w:rPr>
              <w:t>Purchase and Sale of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1.2</w:t>
            </w:r>
          </w:p>
        </w:tc>
        <w:tc>
          <w:tcPr>
            <w:tcW w:w="8080" w:type="dxa"/>
            <w:vAlign w:val="bottom"/>
          </w:tcPr>
          <w:p>
            <w:pPr>
              <w:ind w:left="160"/>
              <w:spacing w:after="0"/>
              <w:rPr>
                <w:sz w:val="20"/>
                <w:szCs w:val="20"/>
                <w:color w:val="auto"/>
              </w:rPr>
            </w:pPr>
            <w:r>
              <w:rPr>
                <w:rFonts w:ascii="Arial" w:cs="Arial" w:eastAsia="Arial" w:hAnsi="Arial"/>
                <w:sz w:val="18"/>
                <w:szCs w:val="18"/>
                <w:color w:val="auto"/>
              </w:rPr>
              <w:t>Retained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1.3</w:t>
            </w:r>
          </w:p>
        </w:tc>
        <w:tc>
          <w:tcPr>
            <w:tcW w:w="8080" w:type="dxa"/>
            <w:vAlign w:val="bottom"/>
          </w:tcPr>
          <w:p>
            <w:pPr>
              <w:ind w:left="160"/>
              <w:spacing w:after="0"/>
              <w:rPr>
                <w:sz w:val="20"/>
                <w:szCs w:val="20"/>
                <w:color w:val="auto"/>
              </w:rPr>
            </w:pPr>
            <w:r>
              <w:rPr>
                <w:rFonts w:ascii="Arial" w:cs="Arial" w:eastAsia="Arial" w:hAnsi="Arial"/>
                <w:sz w:val="18"/>
                <w:szCs w:val="18"/>
                <w:color w:val="auto"/>
              </w:rPr>
              <w:t>Assumed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1.4</w:t>
            </w:r>
          </w:p>
        </w:tc>
        <w:tc>
          <w:tcPr>
            <w:tcW w:w="8080" w:type="dxa"/>
            <w:vAlign w:val="bottom"/>
          </w:tcPr>
          <w:p>
            <w:pPr>
              <w:ind w:left="160"/>
              <w:spacing w:after="0"/>
              <w:rPr>
                <w:sz w:val="20"/>
                <w:szCs w:val="20"/>
                <w:color w:val="auto"/>
              </w:rPr>
            </w:pPr>
            <w:r>
              <w:rPr>
                <w:rFonts w:ascii="Arial" w:cs="Arial" w:eastAsia="Arial" w:hAnsi="Arial"/>
                <w:sz w:val="18"/>
                <w:szCs w:val="18"/>
                <w:color w:val="auto"/>
              </w:rPr>
              <w:t>Retained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8920" w:type="dxa"/>
            <w:vAlign w:val="bottom"/>
            <w:gridSpan w:val="2"/>
          </w:tcPr>
          <w:p>
            <w:pPr>
              <w:spacing w:after="0"/>
              <w:rPr>
                <w:sz w:val="20"/>
                <w:szCs w:val="20"/>
                <w:color w:val="auto"/>
              </w:rPr>
            </w:pPr>
            <w:r>
              <w:rPr>
                <w:rFonts w:ascii="Arial" w:cs="Arial" w:eastAsia="Arial" w:hAnsi="Arial"/>
                <w:sz w:val="18"/>
                <w:szCs w:val="18"/>
                <w:color w:val="auto"/>
              </w:rPr>
              <w:t>ARTICLE 2 PURCHASE PRICE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w:t>
            </w:r>
          </w:p>
        </w:tc>
        <w:tc>
          <w:tcPr>
            <w:tcW w:w="808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2.2</w:t>
            </w:r>
          </w:p>
        </w:tc>
        <w:tc>
          <w:tcPr>
            <w:tcW w:w="8080" w:type="dxa"/>
            <w:vAlign w:val="bottom"/>
          </w:tcPr>
          <w:p>
            <w:pPr>
              <w:ind w:left="160"/>
              <w:spacing w:after="0"/>
              <w:rPr>
                <w:sz w:val="20"/>
                <w:szCs w:val="20"/>
                <w:color w:val="auto"/>
              </w:rPr>
            </w:pPr>
            <w:r>
              <w:rPr>
                <w:rFonts w:ascii="Arial" w:cs="Arial" w:eastAsia="Arial" w:hAnsi="Arial"/>
                <w:sz w:val="18"/>
                <w:szCs w:val="18"/>
                <w:color w:val="auto"/>
              </w:rPr>
              <w:t>Pre-Closing Inventory Count; Estimated Net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2.3</w:t>
            </w:r>
          </w:p>
        </w:tc>
        <w:tc>
          <w:tcPr>
            <w:tcW w:w="8080" w:type="dxa"/>
            <w:vAlign w:val="bottom"/>
          </w:tcPr>
          <w:p>
            <w:pPr>
              <w:ind w:left="160"/>
              <w:spacing w:after="0"/>
              <w:rPr>
                <w:sz w:val="20"/>
                <w:szCs w:val="20"/>
                <w:color w:val="auto"/>
              </w:rPr>
            </w:pPr>
            <w:r>
              <w:rPr>
                <w:rFonts w:ascii="Arial" w:cs="Arial" w:eastAsia="Arial" w:hAnsi="Arial"/>
                <w:sz w:val="18"/>
                <w:szCs w:val="18"/>
                <w:color w:val="auto"/>
              </w:rPr>
              <w:t>Post-Closing Adjustment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2.4</w:t>
            </w:r>
          </w:p>
        </w:tc>
        <w:tc>
          <w:tcPr>
            <w:tcW w:w="8080" w:type="dxa"/>
            <w:vAlign w:val="bottom"/>
          </w:tcPr>
          <w:p>
            <w:pPr>
              <w:ind w:left="160"/>
              <w:spacing w:after="0"/>
              <w:rPr>
                <w:sz w:val="20"/>
                <w:szCs w:val="20"/>
                <w:color w:val="auto"/>
              </w:rPr>
            </w:pPr>
            <w:r>
              <w:rPr>
                <w:rFonts w:ascii="Arial" w:cs="Arial" w:eastAsia="Arial" w:hAnsi="Arial"/>
                <w:sz w:val="18"/>
                <w:szCs w:val="18"/>
                <w:color w:val="auto"/>
              </w:rPr>
              <w:t>Tax Allocation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8920" w:type="dxa"/>
            <w:vAlign w:val="bottom"/>
            <w:gridSpan w:val="2"/>
          </w:tcPr>
          <w:p>
            <w:pPr>
              <w:spacing w:after="0"/>
              <w:rPr>
                <w:sz w:val="20"/>
                <w:szCs w:val="20"/>
                <w:color w:val="auto"/>
              </w:rPr>
            </w:pPr>
            <w:r>
              <w:rPr>
                <w:rFonts w:ascii="Arial" w:cs="Arial" w:eastAsia="Arial" w:hAnsi="Arial"/>
                <w:sz w:val="18"/>
                <w:szCs w:val="18"/>
                <w:color w:val="auto"/>
              </w:rPr>
              <w:t>ARTICLE 3 CLOSING</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3.1</w:t>
            </w:r>
          </w:p>
        </w:tc>
        <w:tc>
          <w:tcPr>
            <w:tcW w:w="8080" w:type="dxa"/>
            <w:vAlign w:val="bottom"/>
          </w:tcPr>
          <w:p>
            <w:pPr>
              <w:ind w:left="160"/>
              <w:spacing w:after="0"/>
              <w:rPr>
                <w:sz w:val="20"/>
                <w:szCs w:val="20"/>
                <w:color w:val="auto"/>
              </w:rPr>
            </w:pPr>
            <w:r>
              <w:rPr>
                <w:rFonts w:ascii="Arial" w:cs="Arial" w:eastAsia="Arial" w:hAnsi="Arial"/>
                <w:sz w:val="18"/>
                <w:szCs w:val="18"/>
                <w:color w:val="auto"/>
              </w:rPr>
              <w:t>Closing; Closing Date</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3.2</w:t>
            </w:r>
          </w:p>
        </w:tc>
        <w:tc>
          <w:tcPr>
            <w:tcW w:w="8080" w:type="dxa"/>
            <w:vAlign w:val="bottom"/>
          </w:tcPr>
          <w:p>
            <w:pPr>
              <w:ind w:left="160"/>
              <w:spacing w:after="0"/>
              <w:rPr>
                <w:sz w:val="20"/>
                <w:szCs w:val="20"/>
                <w:color w:val="auto"/>
              </w:rPr>
            </w:pPr>
            <w:r>
              <w:rPr>
                <w:rFonts w:ascii="Arial" w:cs="Arial" w:eastAsia="Arial" w:hAnsi="Arial"/>
                <w:sz w:val="18"/>
                <w:szCs w:val="18"/>
                <w:color w:val="auto"/>
              </w:rPr>
              <w:t>Seller Closing Deliveries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3.3</w:t>
            </w:r>
          </w:p>
        </w:tc>
        <w:tc>
          <w:tcPr>
            <w:tcW w:w="8080" w:type="dxa"/>
            <w:vAlign w:val="bottom"/>
          </w:tcPr>
          <w:p>
            <w:pPr>
              <w:ind w:left="160"/>
              <w:spacing w:after="0"/>
              <w:rPr>
                <w:sz w:val="20"/>
                <w:szCs w:val="20"/>
                <w:color w:val="auto"/>
              </w:rPr>
            </w:pPr>
            <w:r>
              <w:rPr>
                <w:rFonts w:ascii="Arial" w:cs="Arial" w:eastAsia="Arial" w:hAnsi="Arial"/>
                <w:sz w:val="18"/>
                <w:szCs w:val="18"/>
                <w:color w:val="auto"/>
              </w:rPr>
              <w:t>Buyer Closing Deliveries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3.4</w:t>
            </w:r>
          </w:p>
        </w:tc>
        <w:tc>
          <w:tcPr>
            <w:tcW w:w="8080" w:type="dxa"/>
            <w:vAlign w:val="bottom"/>
          </w:tcPr>
          <w:p>
            <w:pPr>
              <w:ind w:left="160"/>
              <w:spacing w:after="0"/>
              <w:rPr>
                <w:sz w:val="20"/>
                <w:szCs w:val="20"/>
                <w:color w:val="auto"/>
              </w:rPr>
            </w:pPr>
            <w:r>
              <w:rPr>
                <w:rFonts w:ascii="Arial" w:cs="Arial" w:eastAsia="Arial" w:hAnsi="Arial"/>
                <w:sz w:val="18"/>
                <w:szCs w:val="18"/>
                <w:color w:val="auto"/>
              </w:rPr>
              <w:t>Appointment of Shareholder Representative</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892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REGARDING SELLER</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w:t>
            </w:r>
          </w:p>
        </w:tc>
        <w:tc>
          <w:tcPr>
            <w:tcW w:w="8080" w:type="dxa"/>
            <w:vAlign w:val="bottom"/>
          </w:tcPr>
          <w:p>
            <w:pPr>
              <w:ind w:left="160"/>
              <w:spacing w:after="0"/>
              <w:rPr>
                <w:sz w:val="20"/>
                <w:szCs w:val="20"/>
                <w:color w:val="auto"/>
              </w:rPr>
            </w:pPr>
            <w:r>
              <w:rPr>
                <w:rFonts w:ascii="Arial" w:cs="Arial" w:eastAsia="Arial" w:hAnsi="Arial"/>
                <w:sz w:val="18"/>
                <w:szCs w:val="18"/>
                <w:color w:val="auto"/>
              </w:rPr>
              <w:t>Organization, Standing and Corporate Power</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w:t>
            </w:r>
          </w:p>
        </w:tc>
        <w:tc>
          <w:tcPr>
            <w:tcW w:w="8080" w:type="dxa"/>
            <w:vAlign w:val="bottom"/>
          </w:tcPr>
          <w:p>
            <w:pPr>
              <w:ind w:left="160"/>
              <w:spacing w:after="0"/>
              <w:rPr>
                <w:sz w:val="20"/>
                <w:szCs w:val="20"/>
                <w:color w:val="auto"/>
              </w:rPr>
            </w:pPr>
            <w:r>
              <w:rPr>
                <w:rFonts w:ascii="Arial" w:cs="Arial" w:eastAsia="Arial" w:hAnsi="Arial"/>
                <w:sz w:val="18"/>
                <w:szCs w:val="18"/>
                <w:color w:val="auto"/>
              </w:rPr>
              <w:t>Capitalization; Stock Ownership</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4.3</w:t>
            </w:r>
          </w:p>
        </w:tc>
        <w:tc>
          <w:tcPr>
            <w:tcW w:w="8080" w:type="dxa"/>
            <w:vAlign w:val="bottom"/>
          </w:tcPr>
          <w:p>
            <w:pPr>
              <w:ind w:left="160"/>
              <w:spacing w:after="0"/>
              <w:rPr>
                <w:sz w:val="20"/>
                <w:szCs w:val="20"/>
                <w:color w:val="auto"/>
              </w:rPr>
            </w:pPr>
            <w:r>
              <w:rPr>
                <w:rFonts w:ascii="Arial" w:cs="Arial" w:eastAsia="Arial" w:hAnsi="Arial"/>
                <w:sz w:val="18"/>
                <w:szCs w:val="18"/>
                <w:color w:val="auto"/>
              </w:rPr>
              <w:t>Authority; Approvals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4.4</w:t>
            </w:r>
          </w:p>
        </w:tc>
        <w:tc>
          <w:tcPr>
            <w:tcW w:w="8080" w:type="dxa"/>
            <w:vAlign w:val="bottom"/>
          </w:tcPr>
          <w:p>
            <w:pPr>
              <w:ind w:left="160"/>
              <w:spacing w:after="0"/>
              <w:rPr>
                <w:sz w:val="20"/>
                <w:szCs w:val="20"/>
                <w:color w:val="auto"/>
              </w:rPr>
            </w:pPr>
            <w:r>
              <w:rPr>
                <w:rFonts w:ascii="Arial" w:cs="Arial" w:eastAsia="Arial" w:hAnsi="Arial"/>
                <w:sz w:val="18"/>
                <w:szCs w:val="18"/>
                <w:color w:val="auto"/>
              </w:rPr>
              <w:t>Absence of Breach</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4.5</w:t>
            </w:r>
          </w:p>
        </w:tc>
        <w:tc>
          <w:tcPr>
            <w:tcW w:w="8080" w:type="dxa"/>
            <w:vAlign w:val="bottom"/>
          </w:tcPr>
          <w:p>
            <w:pPr>
              <w:ind w:left="160"/>
              <w:spacing w:after="0"/>
              <w:rPr>
                <w:sz w:val="20"/>
                <w:szCs w:val="20"/>
                <w:color w:val="auto"/>
              </w:rPr>
            </w:pPr>
            <w:r>
              <w:rPr>
                <w:rFonts w:ascii="Arial" w:cs="Arial" w:eastAsia="Arial" w:hAnsi="Arial"/>
                <w:sz w:val="18"/>
                <w:szCs w:val="18"/>
                <w:color w:val="auto"/>
              </w:rPr>
              <w:t>Consents and Filings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4.6</w:t>
            </w:r>
          </w:p>
        </w:tc>
        <w:tc>
          <w:tcPr>
            <w:tcW w:w="8080" w:type="dxa"/>
            <w:vAlign w:val="bottom"/>
          </w:tcPr>
          <w:p>
            <w:pPr>
              <w:ind w:left="160"/>
              <w:spacing w:after="0"/>
              <w:rPr>
                <w:sz w:val="20"/>
                <w:szCs w:val="20"/>
                <w:color w:val="auto"/>
              </w:rPr>
            </w:pPr>
            <w:r>
              <w:rPr>
                <w:rFonts w:ascii="Arial" w:cs="Arial" w:eastAsia="Arial" w:hAnsi="Arial"/>
                <w:sz w:val="18"/>
                <w:szCs w:val="18"/>
                <w:color w:val="auto"/>
              </w:rPr>
              <w:t>Financial Statements; No Undisclosed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4.7</w:t>
            </w:r>
          </w:p>
        </w:tc>
        <w:tc>
          <w:tcPr>
            <w:tcW w:w="8080" w:type="dxa"/>
            <w:vAlign w:val="bottom"/>
          </w:tcPr>
          <w:p>
            <w:pPr>
              <w:ind w:left="160"/>
              <w:spacing w:after="0"/>
              <w:rPr>
                <w:sz w:val="20"/>
                <w:szCs w:val="20"/>
                <w:color w:val="auto"/>
              </w:rPr>
            </w:pPr>
            <w:r>
              <w:rPr>
                <w:rFonts w:ascii="Arial" w:cs="Arial" w:eastAsia="Arial" w:hAnsi="Arial"/>
                <w:sz w:val="18"/>
                <w:szCs w:val="18"/>
                <w:color w:val="auto"/>
              </w:rPr>
              <w:t>Absence of Certain Changes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4.8</w:t>
            </w:r>
          </w:p>
        </w:tc>
        <w:tc>
          <w:tcPr>
            <w:tcW w:w="808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4.9</w:t>
            </w:r>
          </w:p>
        </w:tc>
        <w:tc>
          <w:tcPr>
            <w:tcW w:w="8080" w:type="dxa"/>
            <w:vAlign w:val="bottom"/>
          </w:tcPr>
          <w:p>
            <w:pPr>
              <w:ind w:left="160"/>
              <w:spacing w:after="0"/>
              <w:rPr>
                <w:sz w:val="20"/>
                <w:szCs w:val="20"/>
                <w:color w:val="auto"/>
              </w:rPr>
            </w:pPr>
            <w:r>
              <w:rPr>
                <w:rFonts w:ascii="Arial" w:cs="Arial" w:eastAsia="Arial" w:hAnsi="Arial"/>
                <w:sz w:val="18"/>
                <w:szCs w:val="18"/>
                <w:color w:val="auto"/>
              </w:rPr>
              <w:t>Tangible Personal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4.10</w:t>
            </w:r>
          </w:p>
        </w:tc>
        <w:tc>
          <w:tcPr>
            <w:tcW w:w="80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4.11</w:t>
            </w:r>
          </w:p>
        </w:tc>
        <w:tc>
          <w:tcPr>
            <w:tcW w:w="80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4.12</w:t>
            </w:r>
          </w:p>
        </w:tc>
        <w:tc>
          <w:tcPr>
            <w:tcW w:w="8080" w:type="dxa"/>
            <w:vAlign w:val="bottom"/>
          </w:tcPr>
          <w:p>
            <w:pPr>
              <w:ind w:left="160"/>
              <w:spacing w:after="0"/>
              <w:rPr>
                <w:sz w:val="20"/>
                <w:szCs w:val="20"/>
                <w:color w:val="auto"/>
              </w:rPr>
            </w:pPr>
            <w:r>
              <w:rPr>
                <w:rFonts w:ascii="Arial" w:cs="Arial" w:eastAsia="Arial" w:hAnsi="Arial"/>
                <w:sz w:val="18"/>
                <w:szCs w:val="18"/>
                <w:color w:val="auto"/>
              </w:rPr>
              <w:t>Proceedings; Orders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4.13</w:t>
            </w:r>
          </w:p>
        </w:tc>
        <w:tc>
          <w:tcPr>
            <w:tcW w:w="8080" w:type="dxa"/>
            <w:vAlign w:val="bottom"/>
          </w:tcPr>
          <w:p>
            <w:pPr>
              <w:ind w:left="160"/>
              <w:spacing w:after="0"/>
              <w:rPr>
                <w:sz w:val="20"/>
                <w:szCs w:val="20"/>
                <w:color w:val="auto"/>
              </w:rPr>
            </w:pPr>
            <w:r>
              <w:rPr>
                <w:rFonts w:ascii="Arial" w:cs="Arial" w:eastAsia="Arial" w:hAnsi="Arial"/>
                <w:sz w:val="18"/>
                <w:szCs w:val="18"/>
                <w:color w:val="auto"/>
              </w:rPr>
              <w:t>Compliance with Laws; Permits; Regulatory and Product Safety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4.14</w:t>
            </w:r>
          </w:p>
        </w:tc>
        <w:tc>
          <w:tcPr>
            <w:tcW w:w="8080" w:type="dxa"/>
            <w:vAlign w:val="bottom"/>
          </w:tcPr>
          <w:p>
            <w:pPr>
              <w:ind w:left="160"/>
              <w:spacing w:after="0"/>
              <w:rPr>
                <w:sz w:val="20"/>
                <w:szCs w:val="20"/>
                <w:color w:val="auto"/>
              </w:rPr>
            </w:pPr>
            <w:r>
              <w:rPr>
                <w:rFonts w:ascii="Arial" w:cs="Arial" w:eastAsia="Arial" w:hAnsi="Arial"/>
                <w:sz w:val="18"/>
                <w:szCs w:val="18"/>
                <w:color w:val="auto"/>
              </w:rPr>
              <w:t>Tax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4.15</w:t>
            </w:r>
          </w:p>
        </w:tc>
        <w:tc>
          <w:tcPr>
            <w:tcW w:w="8080" w:type="dxa"/>
            <w:vAlign w:val="bottom"/>
          </w:tcPr>
          <w:p>
            <w:pPr>
              <w:ind w:left="160"/>
              <w:spacing w:after="0"/>
              <w:rPr>
                <w:sz w:val="20"/>
                <w:szCs w:val="20"/>
                <w:color w:val="auto"/>
              </w:rPr>
            </w:pPr>
            <w:r>
              <w:rPr>
                <w:rFonts w:ascii="Arial" w:cs="Arial" w:eastAsia="Arial" w:hAnsi="Arial"/>
                <w:sz w:val="18"/>
                <w:szCs w:val="18"/>
                <w:color w:val="auto"/>
              </w:rPr>
              <w:t>Employment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4.16</w:t>
            </w:r>
          </w:p>
        </w:tc>
        <w:tc>
          <w:tcPr>
            <w:tcW w:w="8080" w:type="dxa"/>
            <w:vAlign w:val="bottom"/>
          </w:tcPr>
          <w:p>
            <w:pPr>
              <w:ind w:left="160"/>
              <w:spacing w:after="0"/>
              <w:rPr>
                <w:sz w:val="20"/>
                <w:szCs w:val="20"/>
                <w:color w:val="auto"/>
              </w:rPr>
            </w:pPr>
            <w:r>
              <w:rPr>
                <w:rFonts w:ascii="Arial" w:cs="Arial" w:eastAsia="Arial" w:hAnsi="Arial"/>
                <w:sz w:val="18"/>
                <w:szCs w:val="18"/>
                <w:color w:val="auto"/>
              </w:rPr>
              <w:t>Employee Benefits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4.17</w:t>
            </w:r>
          </w:p>
        </w:tc>
        <w:tc>
          <w:tcPr>
            <w:tcW w:w="80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4.18</w:t>
            </w:r>
          </w:p>
        </w:tc>
        <w:tc>
          <w:tcPr>
            <w:tcW w:w="80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4.19</w:t>
            </w:r>
          </w:p>
        </w:tc>
        <w:tc>
          <w:tcPr>
            <w:tcW w:w="808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4.20</w:t>
            </w:r>
          </w:p>
        </w:tc>
        <w:tc>
          <w:tcPr>
            <w:tcW w:w="8080" w:type="dxa"/>
            <w:vAlign w:val="bottom"/>
          </w:tcPr>
          <w:p>
            <w:pPr>
              <w:ind w:left="16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4.21</w:t>
            </w:r>
          </w:p>
        </w:tc>
        <w:tc>
          <w:tcPr>
            <w:tcW w:w="8080" w:type="dxa"/>
            <w:vAlign w:val="bottom"/>
          </w:tcPr>
          <w:p>
            <w:pPr>
              <w:ind w:left="160"/>
              <w:spacing w:after="0"/>
              <w:rPr>
                <w:sz w:val="20"/>
                <w:szCs w:val="20"/>
                <w:color w:val="auto"/>
              </w:rPr>
            </w:pPr>
            <w:r>
              <w:rPr>
                <w:rFonts w:ascii="Arial" w:cs="Arial" w:eastAsia="Arial" w:hAnsi="Arial"/>
                <w:sz w:val="18"/>
                <w:szCs w:val="18"/>
                <w:color w:val="auto"/>
              </w:rPr>
              <w:t>Dealers and Suppliers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4.22</w:t>
            </w:r>
          </w:p>
        </w:tc>
        <w:tc>
          <w:tcPr>
            <w:tcW w:w="8080" w:type="dxa"/>
            <w:vAlign w:val="bottom"/>
          </w:tcPr>
          <w:p>
            <w:pPr>
              <w:ind w:left="160"/>
              <w:spacing w:after="0"/>
              <w:rPr>
                <w:sz w:val="20"/>
                <w:szCs w:val="20"/>
                <w:color w:val="auto"/>
              </w:rPr>
            </w:pPr>
            <w:r>
              <w:rPr>
                <w:rFonts w:ascii="Arial" w:cs="Arial" w:eastAsia="Arial" w:hAnsi="Arial"/>
                <w:sz w:val="18"/>
                <w:szCs w:val="18"/>
                <w:color w:val="auto"/>
              </w:rPr>
              <w:t>Products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4.23</w:t>
            </w:r>
          </w:p>
        </w:tc>
        <w:tc>
          <w:tcPr>
            <w:tcW w:w="8080" w:type="dxa"/>
            <w:vAlign w:val="bottom"/>
          </w:tcPr>
          <w:p>
            <w:pPr>
              <w:ind w:left="160"/>
              <w:spacing w:after="0"/>
              <w:rPr>
                <w:sz w:val="20"/>
                <w:szCs w:val="20"/>
                <w:color w:val="auto"/>
              </w:rPr>
            </w:pPr>
            <w:r>
              <w:rPr>
                <w:rFonts w:ascii="Arial" w:cs="Arial" w:eastAsia="Arial" w:hAnsi="Arial"/>
                <w:sz w:val="18"/>
                <w:szCs w:val="18"/>
                <w:color w:val="auto"/>
              </w:rPr>
              <w:t>Sufficiency of Purchased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4.24</w:t>
            </w:r>
          </w:p>
        </w:tc>
        <w:tc>
          <w:tcPr>
            <w:tcW w:w="8080" w:type="dxa"/>
            <w:vAlign w:val="bottom"/>
          </w:tcPr>
          <w:p>
            <w:pPr>
              <w:ind w:left="160"/>
              <w:spacing w:after="0"/>
              <w:rPr>
                <w:sz w:val="20"/>
                <w:szCs w:val="20"/>
                <w:color w:val="auto"/>
              </w:rPr>
            </w:pPr>
            <w:r>
              <w:rPr>
                <w:rFonts w:ascii="Arial" w:cs="Arial" w:eastAsia="Arial" w:hAnsi="Arial"/>
                <w:sz w:val="18"/>
                <w:szCs w:val="18"/>
                <w:color w:val="auto"/>
              </w:rPr>
              <w:t>Manufacturing and Marketing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4.25</w:t>
            </w:r>
          </w:p>
        </w:tc>
        <w:tc>
          <w:tcPr>
            <w:tcW w:w="8480" w:type="dxa"/>
            <w:vAlign w:val="bottom"/>
          </w:tcPr>
          <w:p>
            <w:pPr>
              <w:ind w:left="160"/>
              <w:spacing w:after="0"/>
              <w:rPr>
                <w:sz w:val="20"/>
                <w:szCs w:val="20"/>
                <w:color w:val="auto"/>
              </w:rPr>
            </w:pPr>
            <w:r>
              <w:rPr>
                <w:rFonts w:ascii="Arial" w:cs="Arial" w:eastAsia="Arial" w:hAnsi="Arial"/>
                <w:sz w:val="18"/>
                <w:szCs w:val="18"/>
                <w:color w:val="auto"/>
              </w:rPr>
              <w:t>Product Liability Claims</w:t>
            </w:r>
          </w:p>
        </w:tc>
        <w:tc>
          <w:tcPr>
            <w:tcW w:w="2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4.26</w:t>
            </w:r>
          </w:p>
        </w:tc>
        <w:tc>
          <w:tcPr>
            <w:tcW w:w="8480" w:type="dxa"/>
            <w:vAlign w:val="bottom"/>
          </w:tcPr>
          <w:p>
            <w:pPr>
              <w:ind w:left="160"/>
              <w:spacing w:after="0"/>
              <w:rPr>
                <w:sz w:val="20"/>
                <w:szCs w:val="20"/>
                <w:color w:val="auto"/>
              </w:rPr>
            </w:pPr>
            <w:r>
              <w:rPr>
                <w:rFonts w:ascii="Arial" w:cs="Arial" w:eastAsia="Arial" w:hAnsi="Arial"/>
                <w:sz w:val="18"/>
                <w:szCs w:val="18"/>
                <w:color w:val="auto"/>
              </w:rPr>
              <w:t>Absence of Certain Business Practices</w:t>
            </w:r>
          </w:p>
        </w:tc>
        <w:tc>
          <w:tcPr>
            <w:tcW w:w="2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4.27</w:t>
            </w:r>
          </w:p>
        </w:tc>
        <w:tc>
          <w:tcPr>
            <w:tcW w:w="8480" w:type="dxa"/>
            <w:vAlign w:val="bottom"/>
          </w:tcPr>
          <w:p>
            <w:pPr>
              <w:ind w:left="160"/>
              <w:spacing w:after="0"/>
              <w:rPr>
                <w:sz w:val="20"/>
                <w:szCs w:val="20"/>
                <w:color w:val="auto"/>
              </w:rPr>
            </w:pPr>
            <w:r>
              <w:rPr>
                <w:rFonts w:ascii="Arial" w:cs="Arial" w:eastAsia="Arial" w:hAnsi="Arial"/>
                <w:sz w:val="18"/>
                <w:szCs w:val="18"/>
                <w:color w:val="auto"/>
              </w:rPr>
              <w:t>Related Party Transactions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4.28</w:t>
            </w:r>
          </w:p>
        </w:tc>
        <w:tc>
          <w:tcPr>
            <w:tcW w:w="8480" w:type="dxa"/>
            <w:vAlign w:val="bottom"/>
          </w:tcPr>
          <w:p>
            <w:pPr>
              <w:ind w:left="160"/>
              <w:spacing w:after="0"/>
              <w:rPr>
                <w:sz w:val="20"/>
                <w:szCs w:val="20"/>
                <w:color w:val="auto"/>
              </w:rPr>
            </w:pPr>
            <w:r>
              <w:rPr>
                <w:rFonts w:ascii="Arial" w:cs="Arial" w:eastAsia="Arial" w:hAnsi="Arial"/>
                <w:sz w:val="18"/>
                <w:szCs w:val="18"/>
                <w:color w:val="auto"/>
              </w:rPr>
              <w:t>Brokers</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4.29</w:t>
            </w:r>
          </w:p>
        </w:tc>
        <w:tc>
          <w:tcPr>
            <w:tcW w:w="8480" w:type="dxa"/>
            <w:vAlign w:val="bottom"/>
          </w:tcPr>
          <w:p>
            <w:pPr>
              <w:ind w:left="160"/>
              <w:spacing w:after="0"/>
              <w:rPr>
                <w:sz w:val="20"/>
                <w:szCs w:val="20"/>
                <w:color w:val="auto"/>
              </w:rPr>
            </w:pPr>
            <w:r>
              <w:rPr>
                <w:rFonts w:ascii="Arial" w:cs="Arial" w:eastAsia="Arial" w:hAnsi="Arial"/>
                <w:sz w:val="18"/>
                <w:szCs w:val="18"/>
                <w:color w:val="auto"/>
              </w:rPr>
              <w:t>Baker Tilly Virchow Krause, LLP</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4.30</w:t>
            </w:r>
          </w:p>
        </w:tc>
        <w:tc>
          <w:tcPr>
            <w:tcW w:w="8480" w:type="dxa"/>
            <w:vAlign w:val="bottom"/>
          </w:tcPr>
          <w:p>
            <w:pPr>
              <w:ind w:left="160"/>
              <w:spacing w:after="0"/>
              <w:rPr>
                <w:sz w:val="20"/>
                <w:szCs w:val="20"/>
                <w:color w:val="auto"/>
              </w:rPr>
            </w:pPr>
            <w:r>
              <w:rPr>
                <w:rFonts w:ascii="Arial" w:cs="Arial" w:eastAsia="Arial" w:hAnsi="Arial"/>
                <w:sz w:val="18"/>
                <w:szCs w:val="18"/>
                <w:color w:val="auto"/>
              </w:rPr>
              <w:t>No Misstatements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4.31</w:t>
            </w:r>
          </w:p>
        </w:tc>
        <w:tc>
          <w:tcPr>
            <w:tcW w:w="8480" w:type="dxa"/>
            <w:vAlign w:val="bottom"/>
          </w:tcPr>
          <w:p>
            <w:pPr>
              <w:ind w:left="160"/>
              <w:spacing w:after="0"/>
              <w:rPr>
                <w:sz w:val="20"/>
                <w:szCs w:val="20"/>
                <w:color w:val="auto"/>
              </w:rPr>
            </w:pPr>
            <w:r>
              <w:rPr>
                <w:rFonts w:ascii="Arial" w:cs="Arial" w:eastAsia="Arial" w:hAnsi="Arial"/>
                <w:sz w:val="18"/>
                <w:szCs w:val="18"/>
                <w:color w:val="auto"/>
              </w:rPr>
              <w:t>No Other Representations and Warranties</w:t>
            </w:r>
          </w:p>
        </w:tc>
        <w:tc>
          <w:tcPr>
            <w:tcW w:w="2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9320" w:type="dxa"/>
            <w:vAlign w:val="bottom"/>
            <w:gridSpan w:val="2"/>
          </w:tcPr>
          <w:p>
            <w:pPr>
              <w:spacing w:after="0"/>
              <w:rPr>
                <w:sz w:val="20"/>
                <w:szCs w:val="20"/>
                <w:color w:val="auto"/>
              </w:rPr>
            </w:pPr>
            <w:r>
              <w:rPr>
                <w:rFonts w:ascii="Arial" w:cs="Arial" w:eastAsia="Arial" w:hAnsi="Arial"/>
                <w:sz w:val="18"/>
                <w:szCs w:val="18"/>
                <w:color w:val="auto"/>
              </w:rPr>
              <w:t>ARTICLE 5 REPRESENTATIONS AND WARRANTIES REGARDING SELLER SHAREHOLDERS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8480" w:type="dxa"/>
            <w:vAlign w:val="bottom"/>
          </w:tcPr>
          <w:p>
            <w:pPr>
              <w:ind w:left="160"/>
              <w:spacing w:after="0"/>
              <w:rPr>
                <w:sz w:val="20"/>
                <w:szCs w:val="20"/>
                <w:color w:val="auto"/>
              </w:rPr>
            </w:pPr>
            <w:r>
              <w:rPr>
                <w:rFonts w:ascii="Arial" w:cs="Arial" w:eastAsia="Arial" w:hAnsi="Arial"/>
                <w:sz w:val="18"/>
                <w:szCs w:val="18"/>
                <w:color w:val="auto"/>
              </w:rPr>
              <w:t>Organization; Standing; Corporate Power</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8480" w:type="dxa"/>
            <w:vAlign w:val="bottom"/>
          </w:tcPr>
          <w:p>
            <w:pPr>
              <w:ind w:left="160"/>
              <w:spacing w:after="0"/>
              <w:rPr>
                <w:sz w:val="20"/>
                <w:szCs w:val="20"/>
                <w:color w:val="auto"/>
              </w:rPr>
            </w:pPr>
            <w:r>
              <w:rPr>
                <w:rFonts w:ascii="Arial" w:cs="Arial" w:eastAsia="Arial" w:hAnsi="Arial"/>
                <w:sz w:val="18"/>
                <w:szCs w:val="18"/>
                <w:color w:val="auto"/>
              </w:rPr>
              <w:t>Authority; No Breach</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5.3</w:t>
            </w:r>
          </w:p>
        </w:tc>
        <w:tc>
          <w:tcPr>
            <w:tcW w:w="8480" w:type="dxa"/>
            <w:vAlign w:val="bottom"/>
          </w:tcPr>
          <w:p>
            <w:pPr>
              <w:ind w:left="160"/>
              <w:spacing w:after="0"/>
              <w:rPr>
                <w:sz w:val="20"/>
                <w:szCs w:val="20"/>
                <w:color w:val="auto"/>
              </w:rPr>
            </w:pPr>
            <w:r>
              <w:rPr>
                <w:rFonts w:ascii="Arial" w:cs="Arial" w:eastAsia="Arial" w:hAnsi="Arial"/>
                <w:sz w:val="18"/>
                <w:szCs w:val="18"/>
                <w:color w:val="auto"/>
              </w:rPr>
              <w:t>Consents and Filings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5.4</w:t>
            </w:r>
          </w:p>
        </w:tc>
        <w:tc>
          <w:tcPr>
            <w:tcW w:w="8480" w:type="dxa"/>
            <w:vAlign w:val="bottom"/>
          </w:tcPr>
          <w:p>
            <w:pPr>
              <w:ind w:left="160"/>
              <w:spacing w:after="0"/>
              <w:rPr>
                <w:sz w:val="20"/>
                <w:szCs w:val="20"/>
                <w:color w:val="auto"/>
              </w:rPr>
            </w:pPr>
            <w:r>
              <w:rPr>
                <w:rFonts w:ascii="Arial" w:cs="Arial" w:eastAsia="Arial" w:hAnsi="Arial"/>
                <w:sz w:val="18"/>
                <w:szCs w:val="18"/>
                <w:color w:val="auto"/>
              </w:rPr>
              <w:t>Brokers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9320" w:type="dxa"/>
            <w:vAlign w:val="bottom"/>
            <w:gridSpan w:val="2"/>
          </w:tcPr>
          <w:p>
            <w:pPr>
              <w:spacing w:after="0"/>
              <w:rPr>
                <w:sz w:val="20"/>
                <w:szCs w:val="20"/>
                <w:color w:val="auto"/>
              </w:rPr>
            </w:pPr>
            <w:r>
              <w:rPr>
                <w:rFonts w:ascii="Arial" w:cs="Arial" w:eastAsia="Arial" w:hAnsi="Arial"/>
                <w:sz w:val="18"/>
                <w:szCs w:val="18"/>
                <w:color w:val="auto"/>
              </w:rPr>
              <w:t>ARTICLE 6 REPRESENTATIONS AND WARRANTIES OF BUYER</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6.1</w:t>
            </w:r>
          </w:p>
        </w:tc>
        <w:tc>
          <w:tcPr>
            <w:tcW w:w="8480" w:type="dxa"/>
            <w:vAlign w:val="bottom"/>
          </w:tcPr>
          <w:p>
            <w:pPr>
              <w:ind w:left="160"/>
              <w:spacing w:after="0"/>
              <w:rPr>
                <w:sz w:val="20"/>
                <w:szCs w:val="20"/>
                <w:color w:val="auto"/>
              </w:rPr>
            </w:pPr>
            <w:r>
              <w:rPr>
                <w:rFonts w:ascii="Arial" w:cs="Arial" w:eastAsia="Arial" w:hAnsi="Arial"/>
                <w:sz w:val="18"/>
                <w:szCs w:val="18"/>
                <w:color w:val="auto"/>
              </w:rPr>
              <w:t>Organization; Standing; Corporate Power</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6.2</w:t>
            </w:r>
          </w:p>
        </w:tc>
        <w:tc>
          <w:tcPr>
            <w:tcW w:w="8480" w:type="dxa"/>
            <w:vAlign w:val="bottom"/>
          </w:tcPr>
          <w:p>
            <w:pPr>
              <w:ind w:left="160"/>
              <w:spacing w:after="0"/>
              <w:rPr>
                <w:sz w:val="20"/>
                <w:szCs w:val="20"/>
                <w:color w:val="auto"/>
              </w:rPr>
            </w:pPr>
            <w:r>
              <w:rPr>
                <w:rFonts w:ascii="Arial" w:cs="Arial" w:eastAsia="Arial" w:hAnsi="Arial"/>
                <w:sz w:val="18"/>
                <w:szCs w:val="18"/>
                <w:color w:val="auto"/>
              </w:rPr>
              <w:t>Authority; No Breach</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6.3</w:t>
            </w:r>
          </w:p>
        </w:tc>
        <w:tc>
          <w:tcPr>
            <w:tcW w:w="8480" w:type="dxa"/>
            <w:vAlign w:val="bottom"/>
          </w:tcPr>
          <w:p>
            <w:pPr>
              <w:ind w:left="160"/>
              <w:spacing w:after="0"/>
              <w:rPr>
                <w:sz w:val="20"/>
                <w:szCs w:val="20"/>
                <w:color w:val="auto"/>
              </w:rPr>
            </w:pPr>
            <w:r>
              <w:rPr>
                <w:rFonts w:ascii="Arial" w:cs="Arial" w:eastAsia="Arial" w:hAnsi="Arial"/>
                <w:sz w:val="18"/>
                <w:szCs w:val="18"/>
                <w:color w:val="auto"/>
              </w:rPr>
              <w:t>Consents and Filings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6.4</w:t>
            </w:r>
          </w:p>
        </w:tc>
        <w:tc>
          <w:tcPr>
            <w:tcW w:w="8480" w:type="dxa"/>
            <w:vAlign w:val="bottom"/>
          </w:tcPr>
          <w:p>
            <w:pPr>
              <w:ind w:left="160"/>
              <w:spacing w:after="0"/>
              <w:rPr>
                <w:sz w:val="20"/>
                <w:szCs w:val="20"/>
                <w:color w:val="auto"/>
              </w:rPr>
            </w:pPr>
            <w:r>
              <w:rPr>
                <w:rFonts w:ascii="Arial" w:cs="Arial" w:eastAsia="Arial" w:hAnsi="Arial"/>
                <w:sz w:val="18"/>
                <w:szCs w:val="18"/>
                <w:color w:val="auto"/>
              </w:rPr>
              <w:t>Brokers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6.5</w:t>
            </w:r>
          </w:p>
        </w:tc>
        <w:tc>
          <w:tcPr>
            <w:tcW w:w="8480" w:type="dxa"/>
            <w:vAlign w:val="bottom"/>
          </w:tcPr>
          <w:p>
            <w:pPr>
              <w:ind w:left="160"/>
              <w:spacing w:after="0"/>
              <w:rPr>
                <w:sz w:val="20"/>
                <w:szCs w:val="20"/>
                <w:color w:val="auto"/>
              </w:rPr>
            </w:pPr>
            <w:r>
              <w:rPr>
                <w:rFonts w:ascii="Arial" w:cs="Arial" w:eastAsia="Arial" w:hAnsi="Arial"/>
                <w:sz w:val="18"/>
                <w:szCs w:val="18"/>
                <w:color w:val="auto"/>
              </w:rPr>
              <w:t>Baker Tilly Virchow Krause, LLP</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6.6</w:t>
            </w:r>
          </w:p>
        </w:tc>
        <w:tc>
          <w:tcPr>
            <w:tcW w:w="8480" w:type="dxa"/>
            <w:vAlign w:val="bottom"/>
          </w:tcPr>
          <w:p>
            <w:pPr>
              <w:ind w:left="160"/>
              <w:spacing w:after="0"/>
              <w:rPr>
                <w:sz w:val="20"/>
                <w:szCs w:val="20"/>
                <w:color w:val="auto"/>
              </w:rPr>
            </w:pPr>
            <w:r>
              <w:rPr>
                <w:rFonts w:ascii="Arial" w:cs="Arial" w:eastAsia="Arial" w:hAnsi="Arial"/>
                <w:sz w:val="18"/>
                <w:szCs w:val="18"/>
                <w:color w:val="auto"/>
              </w:rPr>
              <w:t>Financing</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6.7</w:t>
            </w:r>
          </w:p>
        </w:tc>
        <w:tc>
          <w:tcPr>
            <w:tcW w:w="8480" w:type="dxa"/>
            <w:vAlign w:val="bottom"/>
          </w:tcPr>
          <w:p>
            <w:pPr>
              <w:ind w:left="160"/>
              <w:spacing w:after="0"/>
              <w:rPr>
                <w:sz w:val="20"/>
                <w:szCs w:val="20"/>
                <w:color w:val="auto"/>
              </w:rPr>
            </w:pPr>
            <w:r>
              <w:rPr>
                <w:rFonts w:ascii="Arial" w:cs="Arial" w:eastAsia="Arial" w:hAnsi="Arial"/>
                <w:sz w:val="18"/>
                <w:szCs w:val="18"/>
                <w:color w:val="auto"/>
              </w:rPr>
              <w:t>No Misstatements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6.8</w:t>
            </w:r>
          </w:p>
        </w:tc>
        <w:tc>
          <w:tcPr>
            <w:tcW w:w="8480" w:type="dxa"/>
            <w:vAlign w:val="bottom"/>
          </w:tcPr>
          <w:p>
            <w:pPr>
              <w:ind w:left="160"/>
              <w:spacing w:after="0"/>
              <w:rPr>
                <w:sz w:val="20"/>
                <w:szCs w:val="20"/>
                <w:color w:val="auto"/>
              </w:rPr>
            </w:pPr>
            <w:r>
              <w:rPr>
                <w:rFonts w:ascii="Arial" w:cs="Arial" w:eastAsia="Arial" w:hAnsi="Arial"/>
                <w:sz w:val="18"/>
                <w:szCs w:val="18"/>
                <w:color w:val="auto"/>
              </w:rPr>
              <w:t>No Other Representations and Warranties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9320" w:type="dxa"/>
            <w:vAlign w:val="bottom"/>
            <w:gridSpan w:val="2"/>
          </w:tcPr>
          <w:p>
            <w:pPr>
              <w:spacing w:after="0"/>
              <w:rPr>
                <w:sz w:val="20"/>
                <w:szCs w:val="20"/>
                <w:color w:val="auto"/>
              </w:rPr>
            </w:pPr>
            <w:r>
              <w:rPr>
                <w:rFonts w:ascii="Arial" w:cs="Arial" w:eastAsia="Arial" w:hAnsi="Arial"/>
                <w:sz w:val="18"/>
                <w:szCs w:val="18"/>
                <w:color w:val="auto"/>
              </w:rPr>
              <w:t>ARTICLE 7 PRE-CLOSING COVENANTS AND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7.1</w:t>
            </w:r>
          </w:p>
        </w:tc>
        <w:tc>
          <w:tcPr>
            <w:tcW w:w="8480" w:type="dxa"/>
            <w:vAlign w:val="bottom"/>
          </w:tcPr>
          <w:p>
            <w:pPr>
              <w:ind w:left="160"/>
              <w:spacing w:after="0"/>
              <w:rPr>
                <w:sz w:val="20"/>
                <w:szCs w:val="20"/>
                <w:color w:val="auto"/>
              </w:rPr>
            </w:pPr>
            <w:r>
              <w:rPr>
                <w:rFonts w:ascii="Arial" w:cs="Arial" w:eastAsia="Arial" w:hAnsi="Arial"/>
                <w:sz w:val="18"/>
                <w:szCs w:val="18"/>
                <w:color w:val="auto"/>
              </w:rPr>
              <w:t>Conduct of Business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7.2</w:t>
            </w:r>
          </w:p>
        </w:tc>
        <w:tc>
          <w:tcPr>
            <w:tcW w:w="8480" w:type="dxa"/>
            <w:vAlign w:val="bottom"/>
          </w:tcPr>
          <w:p>
            <w:pPr>
              <w:ind w:left="160"/>
              <w:spacing w:after="0"/>
              <w:rPr>
                <w:sz w:val="20"/>
                <w:szCs w:val="20"/>
                <w:color w:val="auto"/>
              </w:rPr>
            </w:pPr>
            <w:r>
              <w:rPr>
                <w:rFonts w:ascii="Arial" w:cs="Arial" w:eastAsia="Arial" w:hAnsi="Arial"/>
                <w:sz w:val="18"/>
                <w:szCs w:val="18"/>
                <w:color w:val="auto"/>
              </w:rPr>
              <w:t>No Solicitation</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7.3</w:t>
            </w:r>
          </w:p>
        </w:tc>
        <w:tc>
          <w:tcPr>
            <w:tcW w:w="8480" w:type="dxa"/>
            <w:vAlign w:val="bottom"/>
          </w:tcPr>
          <w:p>
            <w:pPr>
              <w:ind w:left="160"/>
              <w:spacing w:after="0"/>
              <w:rPr>
                <w:sz w:val="20"/>
                <w:szCs w:val="20"/>
                <w:color w:val="auto"/>
              </w:rPr>
            </w:pPr>
            <w:r>
              <w:rPr>
                <w:rFonts w:ascii="Arial" w:cs="Arial" w:eastAsia="Arial" w:hAnsi="Arial"/>
                <w:sz w:val="18"/>
                <w:szCs w:val="18"/>
                <w:color w:val="auto"/>
              </w:rPr>
              <w:t>Access to Information; 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7.4</w:t>
            </w:r>
          </w:p>
        </w:tc>
        <w:tc>
          <w:tcPr>
            <w:tcW w:w="8480" w:type="dxa"/>
            <w:vAlign w:val="bottom"/>
          </w:tcPr>
          <w:p>
            <w:pPr>
              <w:ind w:left="160"/>
              <w:spacing w:after="0"/>
              <w:rPr>
                <w:sz w:val="20"/>
                <w:szCs w:val="20"/>
                <w:color w:val="auto"/>
              </w:rPr>
            </w:pPr>
            <w:r>
              <w:rPr>
                <w:rFonts w:ascii="Arial" w:cs="Arial" w:eastAsia="Arial" w:hAnsi="Arial"/>
                <w:sz w:val="18"/>
                <w:szCs w:val="18"/>
                <w:color w:val="auto"/>
              </w:rPr>
              <w:t>Reasonable Efforts; Notification</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7.5</w:t>
            </w:r>
          </w:p>
        </w:tc>
        <w:tc>
          <w:tcPr>
            <w:tcW w:w="848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7.6</w:t>
            </w:r>
          </w:p>
        </w:tc>
        <w:tc>
          <w:tcPr>
            <w:tcW w:w="8480" w:type="dxa"/>
            <w:vAlign w:val="bottom"/>
          </w:tcPr>
          <w:p>
            <w:pPr>
              <w:ind w:left="160"/>
              <w:spacing w:after="0"/>
              <w:rPr>
                <w:sz w:val="20"/>
                <w:szCs w:val="20"/>
                <w:color w:val="auto"/>
              </w:rPr>
            </w:pPr>
            <w:r>
              <w:rPr>
                <w:rFonts w:ascii="Arial" w:cs="Arial" w:eastAsia="Arial" w:hAnsi="Arial"/>
                <w:sz w:val="18"/>
                <w:szCs w:val="18"/>
                <w:color w:val="auto"/>
              </w:rPr>
              <w:t>Employees</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7.7</w:t>
            </w:r>
          </w:p>
        </w:tc>
        <w:tc>
          <w:tcPr>
            <w:tcW w:w="8480" w:type="dxa"/>
            <w:vAlign w:val="bottom"/>
          </w:tcPr>
          <w:p>
            <w:pPr>
              <w:ind w:left="160"/>
              <w:spacing w:after="0"/>
              <w:rPr>
                <w:sz w:val="20"/>
                <w:szCs w:val="20"/>
                <w:color w:val="auto"/>
              </w:rPr>
            </w:pPr>
            <w:r>
              <w:rPr>
                <w:rFonts w:ascii="Arial" w:cs="Arial" w:eastAsia="Arial" w:hAnsi="Arial"/>
                <w:sz w:val="18"/>
                <w:szCs w:val="18"/>
                <w:color w:val="auto"/>
              </w:rPr>
              <w:t>No Plan Amendment or Third Party Rights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9320" w:type="dxa"/>
            <w:vAlign w:val="bottom"/>
            <w:gridSpan w:val="2"/>
          </w:tcPr>
          <w:p>
            <w:pPr>
              <w:spacing w:after="0"/>
              <w:rPr>
                <w:sz w:val="20"/>
                <w:szCs w:val="20"/>
                <w:color w:val="auto"/>
              </w:rPr>
            </w:pPr>
            <w:r>
              <w:rPr>
                <w:rFonts w:ascii="Arial" w:cs="Arial" w:eastAsia="Arial" w:hAnsi="Arial"/>
                <w:sz w:val="18"/>
                <w:szCs w:val="18"/>
                <w:color w:val="auto"/>
              </w:rPr>
              <w:t>ARTICLE 8 OTHER COVENANTS AND AGREEMENTS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8.1</w:t>
            </w:r>
          </w:p>
        </w:tc>
        <w:tc>
          <w:tcPr>
            <w:tcW w:w="8480" w:type="dxa"/>
            <w:vAlign w:val="bottom"/>
          </w:tcPr>
          <w:p>
            <w:pPr>
              <w:ind w:left="160"/>
              <w:spacing w:after="0"/>
              <w:rPr>
                <w:sz w:val="20"/>
                <w:szCs w:val="20"/>
                <w:color w:val="auto"/>
              </w:rPr>
            </w:pPr>
            <w:r>
              <w:rPr>
                <w:rFonts w:ascii="Arial" w:cs="Arial" w:eastAsia="Arial" w:hAnsi="Arial"/>
                <w:sz w:val="18"/>
                <w:szCs w:val="18"/>
                <w:color w:val="auto"/>
              </w:rPr>
              <w:t>Public Announcement</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8.2</w:t>
            </w:r>
          </w:p>
        </w:tc>
        <w:tc>
          <w:tcPr>
            <w:tcW w:w="848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8.3</w:t>
            </w:r>
          </w:p>
        </w:tc>
        <w:tc>
          <w:tcPr>
            <w:tcW w:w="8480" w:type="dxa"/>
            <w:vAlign w:val="bottom"/>
          </w:tcPr>
          <w:p>
            <w:pPr>
              <w:ind w:left="160"/>
              <w:spacing w:after="0"/>
              <w:rPr>
                <w:sz w:val="20"/>
                <w:szCs w:val="20"/>
                <w:color w:val="auto"/>
              </w:rPr>
            </w:pPr>
            <w:r>
              <w:rPr>
                <w:rFonts w:ascii="Arial" w:cs="Arial" w:eastAsia="Arial" w:hAnsi="Arial"/>
                <w:sz w:val="18"/>
                <w:szCs w:val="18"/>
                <w:color w:val="auto"/>
              </w:rPr>
              <w:t>Noncompetition; Nonsolicitation</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8.4</w:t>
            </w:r>
          </w:p>
        </w:tc>
        <w:tc>
          <w:tcPr>
            <w:tcW w:w="8480" w:type="dxa"/>
            <w:vAlign w:val="bottom"/>
          </w:tcPr>
          <w:p>
            <w:pPr>
              <w:ind w:left="160"/>
              <w:spacing w:after="0"/>
              <w:rPr>
                <w:sz w:val="20"/>
                <w:szCs w:val="20"/>
                <w:color w:val="auto"/>
              </w:rPr>
            </w:pPr>
            <w:r>
              <w:rPr>
                <w:rFonts w:ascii="Arial" w:cs="Arial" w:eastAsia="Arial" w:hAnsi="Arial"/>
                <w:sz w:val="18"/>
                <w:szCs w:val="18"/>
                <w:color w:val="auto"/>
              </w:rPr>
              <w:t>Transfer Taxes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8.5</w:t>
            </w:r>
          </w:p>
        </w:tc>
        <w:tc>
          <w:tcPr>
            <w:tcW w:w="8480" w:type="dxa"/>
            <w:vAlign w:val="bottom"/>
          </w:tcPr>
          <w:p>
            <w:pPr>
              <w:ind w:left="160"/>
              <w:spacing w:after="0"/>
              <w:rPr>
                <w:sz w:val="20"/>
                <w:szCs w:val="20"/>
                <w:color w:val="auto"/>
              </w:rPr>
            </w:pPr>
            <w:r>
              <w:rPr>
                <w:rFonts w:ascii="Arial" w:cs="Arial" w:eastAsia="Arial" w:hAnsi="Arial"/>
                <w:sz w:val="18"/>
                <w:szCs w:val="18"/>
                <w:color w:val="auto"/>
              </w:rPr>
              <w:t>Payment of Retained Liabilities; Collection of Accounts Receivable</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8.6</w:t>
            </w:r>
          </w:p>
        </w:tc>
        <w:tc>
          <w:tcPr>
            <w:tcW w:w="8480" w:type="dxa"/>
            <w:vAlign w:val="bottom"/>
          </w:tcPr>
          <w:p>
            <w:pPr>
              <w:ind w:left="160"/>
              <w:spacing w:after="0"/>
              <w:rPr>
                <w:sz w:val="20"/>
                <w:szCs w:val="20"/>
                <w:color w:val="auto"/>
              </w:rPr>
            </w:pPr>
            <w:r>
              <w:rPr>
                <w:rFonts w:ascii="Arial" w:cs="Arial" w:eastAsia="Arial" w:hAnsi="Arial"/>
                <w:sz w:val="18"/>
                <w:szCs w:val="18"/>
                <w:color w:val="auto"/>
              </w:rPr>
              <w:t>Retention of and Access to Records</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8.7</w:t>
            </w:r>
          </w:p>
        </w:tc>
        <w:tc>
          <w:tcPr>
            <w:tcW w:w="8480" w:type="dxa"/>
            <w:vAlign w:val="bottom"/>
          </w:tcPr>
          <w:p>
            <w:pPr>
              <w:ind w:left="160"/>
              <w:spacing w:after="0"/>
              <w:rPr>
                <w:sz w:val="20"/>
                <w:szCs w:val="20"/>
                <w:color w:val="auto"/>
              </w:rPr>
            </w:pPr>
            <w:r>
              <w:rPr>
                <w:rFonts w:ascii="Arial" w:cs="Arial" w:eastAsia="Arial" w:hAnsi="Arial"/>
                <w:sz w:val="18"/>
                <w:szCs w:val="18"/>
                <w:color w:val="auto"/>
              </w:rPr>
              <w:t>Preparation of Financial Statements</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8.8</w:t>
            </w:r>
          </w:p>
        </w:tc>
        <w:tc>
          <w:tcPr>
            <w:tcW w:w="8480" w:type="dxa"/>
            <w:vAlign w:val="bottom"/>
          </w:tcPr>
          <w:p>
            <w:pPr>
              <w:ind w:left="160"/>
              <w:spacing w:after="0"/>
              <w:rPr>
                <w:sz w:val="20"/>
                <w:szCs w:val="20"/>
                <w:color w:val="auto"/>
              </w:rPr>
            </w:pPr>
            <w:r>
              <w:rPr>
                <w:rFonts w:ascii="Arial" w:cs="Arial" w:eastAsia="Arial" w:hAnsi="Arial"/>
                <w:sz w:val="18"/>
                <w:szCs w:val="18"/>
                <w:color w:val="auto"/>
              </w:rPr>
              <w:t>Iron Mountain Operations</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8.9</w:t>
            </w:r>
          </w:p>
        </w:tc>
        <w:tc>
          <w:tcPr>
            <w:tcW w:w="8480" w:type="dxa"/>
            <w:vAlign w:val="bottom"/>
          </w:tcPr>
          <w:p>
            <w:pPr>
              <w:ind w:left="160"/>
              <w:spacing w:after="0"/>
              <w:rPr>
                <w:sz w:val="20"/>
                <w:szCs w:val="20"/>
                <w:color w:val="auto"/>
              </w:rPr>
            </w:pPr>
            <w:r>
              <w:rPr>
                <w:rFonts w:ascii="Arial" w:cs="Arial" w:eastAsia="Arial" w:hAnsi="Arial"/>
                <w:sz w:val="18"/>
                <w:szCs w:val="18"/>
                <w:color w:val="auto"/>
              </w:rPr>
              <w:t>Further Assurances</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8.10</w:t>
            </w:r>
          </w:p>
        </w:tc>
        <w:tc>
          <w:tcPr>
            <w:tcW w:w="8480" w:type="dxa"/>
            <w:vAlign w:val="bottom"/>
          </w:tcPr>
          <w:p>
            <w:pPr>
              <w:ind w:left="160"/>
              <w:spacing w:after="0"/>
              <w:rPr>
                <w:sz w:val="20"/>
                <w:szCs w:val="20"/>
                <w:color w:val="auto"/>
              </w:rPr>
            </w:pPr>
            <w:r>
              <w:rPr>
                <w:rFonts w:ascii="Arial" w:cs="Arial" w:eastAsia="Arial" w:hAnsi="Arial"/>
                <w:sz w:val="18"/>
                <w:szCs w:val="18"/>
                <w:color w:val="auto"/>
              </w:rPr>
              <w:t>Intentionally Omitted</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8.11</w:t>
            </w:r>
          </w:p>
        </w:tc>
        <w:tc>
          <w:tcPr>
            <w:tcW w:w="8480" w:type="dxa"/>
            <w:vAlign w:val="bottom"/>
          </w:tcPr>
          <w:p>
            <w:pPr>
              <w:ind w:left="160"/>
              <w:spacing w:after="0"/>
              <w:rPr>
                <w:sz w:val="20"/>
                <w:szCs w:val="20"/>
                <w:color w:val="auto"/>
              </w:rPr>
            </w:pPr>
            <w:r>
              <w:rPr>
                <w:rFonts w:ascii="Arial" w:cs="Arial" w:eastAsia="Arial" w:hAnsi="Arial"/>
                <w:sz w:val="18"/>
                <w:szCs w:val="18"/>
                <w:color w:val="auto"/>
              </w:rPr>
              <w:t>Unused Inventory Items</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8.12</w:t>
            </w:r>
          </w:p>
        </w:tc>
        <w:tc>
          <w:tcPr>
            <w:tcW w:w="8480" w:type="dxa"/>
            <w:vAlign w:val="bottom"/>
          </w:tcPr>
          <w:p>
            <w:pPr>
              <w:ind w:left="160"/>
              <w:spacing w:after="0"/>
              <w:rPr>
                <w:sz w:val="20"/>
                <w:szCs w:val="20"/>
                <w:color w:val="auto"/>
              </w:rPr>
            </w:pPr>
            <w:r>
              <w:rPr>
                <w:rFonts w:ascii="Arial" w:cs="Arial" w:eastAsia="Arial" w:hAnsi="Arial"/>
                <w:sz w:val="18"/>
                <w:szCs w:val="18"/>
                <w:color w:val="auto"/>
              </w:rPr>
              <w:t>Bulk Sales Laws</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8.13</w:t>
            </w:r>
          </w:p>
        </w:tc>
        <w:tc>
          <w:tcPr>
            <w:tcW w:w="8480" w:type="dxa"/>
            <w:vAlign w:val="bottom"/>
          </w:tcPr>
          <w:p>
            <w:pPr>
              <w:ind w:left="160"/>
              <w:spacing w:after="0"/>
              <w:rPr>
                <w:sz w:val="20"/>
                <w:szCs w:val="20"/>
                <w:color w:val="auto"/>
              </w:rPr>
            </w:pPr>
            <w:r>
              <w:rPr>
                <w:rFonts w:ascii="Arial" w:cs="Arial" w:eastAsia="Arial" w:hAnsi="Arial"/>
                <w:sz w:val="18"/>
                <w:szCs w:val="18"/>
                <w:color w:val="auto"/>
              </w:rPr>
              <w:t>Personal Property Taxes</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ARTICLE 9 CONDITIONS TO CLOSING</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9.1</w:t>
            </w:r>
          </w:p>
        </w:tc>
        <w:tc>
          <w:tcPr>
            <w:tcW w:w="7640" w:type="dxa"/>
            <w:vAlign w:val="bottom"/>
          </w:tcPr>
          <w:p>
            <w:pPr>
              <w:ind w:left="100"/>
              <w:spacing w:after="0"/>
              <w:rPr>
                <w:sz w:val="20"/>
                <w:szCs w:val="20"/>
                <w:color w:val="auto"/>
              </w:rPr>
            </w:pPr>
            <w:r>
              <w:rPr>
                <w:rFonts w:ascii="Arial" w:cs="Arial" w:eastAsia="Arial" w:hAnsi="Arial"/>
                <w:sz w:val="18"/>
                <w:szCs w:val="18"/>
                <w:color w:val="auto"/>
              </w:rPr>
              <w:t>Conditions to Buyer’s, Seller’s and Seller Shareholders’ Obligations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9.2</w:t>
            </w:r>
          </w:p>
        </w:tc>
        <w:tc>
          <w:tcPr>
            <w:tcW w:w="7640" w:type="dxa"/>
            <w:vAlign w:val="bottom"/>
          </w:tcPr>
          <w:p>
            <w:pPr>
              <w:ind w:left="100"/>
              <w:spacing w:after="0"/>
              <w:rPr>
                <w:sz w:val="20"/>
                <w:szCs w:val="20"/>
                <w:color w:val="auto"/>
              </w:rPr>
            </w:pPr>
            <w:r>
              <w:rPr>
                <w:rFonts w:ascii="Arial" w:cs="Arial" w:eastAsia="Arial" w:hAnsi="Arial"/>
                <w:sz w:val="18"/>
                <w:szCs w:val="18"/>
                <w:color w:val="auto"/>
              </w:rPr>
              <w:t>Conditions to Buyer’s Obligations</w:t>
            </w:r>
          </w:p>
        </w:tc>
        <w:tc>
          <w:tcPr>
            <w:tcW w:w="2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9.3</w:t>
            </w:r>
          </w:p>
        </w:tc>
        <w:tc>
          <w:tcPr>
            <w:tcW w:w="7640" w:type="dxa"/>
            <w:vAlign w:val="bottom"/>
          </w:tcPr>
          <w:p>
            <w:pPr>
              <w:ind w:left="100"/>
              <w:spacing w:after="0"/>
              <w:rPr>
                <w:sz w:val="20"/>
                <w:szCs w:val="20"/>
                <w:color w:val="auto"/>
              </w:rPr>
            </w:pPr>
            <w:r>
              <w:rPr>
                <w:rFonts w:ascii="Arial" w:cs="Arial" w:eastAsia="Arial" w:hAnsi="Arial"/>
                <w:sz w:val="18"/>
                <w:szCs w:val="18"/>
                <w:color w:val="auto"/>
              </w:rPr>
              <w:t>Conditions to Obligation of Seller and Seller Shareholders</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8540" w:type="dxa"/>
            <w:vAlign w:val="bottom"/>
            <w:gridSpan w:val="2"/>
          </w:tcPr>
          <w:p>
            <w:pPr>
              <w:spacing w:after="0"/>
              <w:rPr>
                <w:sz w:val="20"/>
                <w:szCs w:val="20"/>
                <w:color w:val="auto"/>
              </w:rPr>
            </w:pPr>
            <w:r>
              <w:rPr>
                <w:rFonts w:ascii="Arial" w:cs="Arial" w:eastAsia="Arial" w:hAnsi="Arial"/>
                <w:sz w:val="18"/>
                <w:szCs w:val="18"/>
                <w:color w:val="auto"/>
              </w:rPr>
              <w:t>ARTICLE 10 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10.1</w:t>
            </w:r>
          </w:p>
        </w:tc>
        <w:tc>
          <w:tcPr>
            <w:tcW w:w="76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10.2</w:t>
            </w:r>
          </w:p>
        </w:tc>
        <w:tc>
          <w:tcPr>
            <w:tcW w:w="7640" w:type="dxa"/>
            <w:vAlign w:val="bottom"/>
          </w:tcPr>
          <w:p>
            <w:pPr>
              <w:ind w:left="100"/>
              <w:spacing w:after="0"/>
              <w:rPr>
                <w:sz w:val="20"/>
                <w:szCs w:val="20"/>
                <w:color w:val="auto"/>
              </w:rPr>
            </w:pPr>
            <w:r>
              <w:rPr>
                <w:rFonts w:ascii="Arial" w:cs="Arial" w:eastAsia="Arial" w:hAnsi="Arial"/>
                <w:sz w:val="18"/>
                <w:szCs w:val="18"/>
                <w:color w:val="auto"/>
              </w:rPr>
              <w:t>Obligations Upon Termination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8540" w:type="dxa"/>
            <w:vAlign w:val="bottom"/>
            <w:gridSpan w:val="2"/>
          </w:tcPr>
          <w:p>
            <w:pPr>
              <w:spacing w:after="0"/>
              <w:rPr>
                <w:sz w:val="20"/>
                <w:szCs w:val="20"/>
                <w:color w:val="auto"/>
              </w:rPr>
            </w:pPr>
            <w:r>
              <w:rPr>
                <w:rFonts w:ascii="Arial" w:cs="Arial" w:eastAsia="Arial" w:hAnsi="Arial"/>
                <w:sz w:val="18"/>
                <w:szCs w:val="18"/>
                <w:color w:val="auto"/>
              </w:rPr>
              <w:t>ARTICLE 11 SURVIVAL AND INDEMNIFICATION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11.1</w:t>
            </w:r>
          </w:p>
        </w:tc>
        <w:tc>
          <w:tcPr>
            <w:tcW w:w="7640" w:type="dxa"/>
            <w:vAlign w:val="bottom"/>
          </w:tcPr>
          <w:p>
            <w:pPr>
              <w:ind w:left="100"/>
              <w:spacing w:after="0"/>
              <w:rPr>
                <w:sz w:val="20"/>
                <w:szCs w:val="20"/>
                <w:color w:val="auto"/>
              </w:rPr>
            </w:pPr>
            <w:r>
              <w:rPr>
                <w:rFonts w:ascii="Arial" w:cs="Arial" w:eastAsia="Arial" w:hAnsi="Arial"/>
                <w:sz w:val="18"/>
                <w:szCs w:val="18"/>
                <w:color w:val="auto"/>
              </w:rPr>
              <w:t>Survival</w:t>
            </w:r>
          </w:p>
        </w:tc>
        <w:tc>
          <w:tcPr>
            <w:tcW w:w="2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11.2</w:t>
            </w:r>
          </w:p>
        </w:tc>
        <w:tc>
          <w:tcPr>
            <w:tcW w:w="7640" w:type="dxa"/>
            <w:vAlign w:val="bottom"/>
          </w:tcPr>
          <w:p>
            <w:pPr>
              <w:ind w:left="100"/>
              <w:spacing w:after="0"/>
              <w:rPr>
                <w:sz w:val="20"/>
                <w:szCs w:val="20"/>
                <w:color w:val="auto"/>
              </w:rPr>
            </w:pPr>
            <w:r>
              <w:rPr>
                <w:rFonts w:ascii="Arial" w:cs="Arial" w:eastAsia="Arial" w:hAnsi="Arial"/>
                <w:sz w:val="18"/>
                <w:szCs w:val="18"/>
                <w:color w:val="auto"/>
              </w:rPr>
              <w:t>Indemnification of Seller Indemnified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11.3</w:t>
            </w:r>
          </w:p>
        </w:tc>
        <w:tc>
          <w:tcPr>
            <w:tcW w:w="7640" w:type="dxa"/>
            <w:vAlign w:val="bottom"/>
          </w:tcPr>
          <w:p>
            <w:pPr>
              <w:ind w:left="100"/>
              <w:spacing w:after="0"/>
              <w:rPr>
                <w:sz w:val="20"/>
                <w:szCs w:val="20"/>
                <w:color w:val="auto"/>
              </w:rPr>
            </w:pPr>
            <w:r>
              <w:rPr>
                <w:rFonts w:ascii="Arial" w:cs="Arial" w:eastAsia="Arial" w:hAnsi="Arial"/>
                <w:sz w:val="18"/>
                <w:szCs w:val="18"/>
                <w:color w:val="auto"/>
              </w:rPr>
              <w:t>Indemnification of Buyer Indemnified Parties</w:t>
            </w:r>
          </w:p>
        </w:tc>
        <w:tc>
          <w:tcPr>
            <w:tcW w:w="27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11.4</w:t>
            </w:r>
          </w:p>
        </w:tc>
        <w:tc>
          <w:tcPr>
            <w:tcW w:w="7640" w:type="dxa"/>
            <w:vAlign w:val="bottom"/>
          </w:tcPr>
          <w:p>
            <w:pPr>
              <w:ind w:left="100"/>
              <w:spacing w:after="0"/>
              <w:rPr>
                <w:sz w:val="20"/>
                <w:szCs w:val="20"/>
                <w:color w:val="auto"/>
              </w:rPr>
            </w:pPr>
            <w:r>
              <w:rPr>
                <w:rFonts w:ascii="Arial" w:cs="Arial" w:eastAsia="Arial" w:hAnsi="Arial"/>
                <w:sz w:val="18"/>
                <w:szCs w:val="18"/>
                <w:color w:val="auto"/>
              </w:rPr>
              <w:t>Limitations on Indemnification</w:t>
            </w:r>
          </w:p>
        </w:tc>
        <w:tc>
          <w:tcPr>
            <w:tcW w:w="2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11.5</w:t>
            </w:r>
          </w:p>
        </w:tc>
        <w:tc>
          <w:tcPr>
            <w:tcW w:w="7640" w:type="dxa"/>
            <w:vAlign w:val="bottom"/>
          </w:tcPr>
          <w:p>
            <w:pPr>
              <w:ind w:left="100"/>
              <w:spacing w:after="0"/>
              <w:rPr>
                <w:sz w:val="20"/>
                <w:szCs w:val="20"/>
                <w:color w:val="auto"/>
              </w:rPr>
            </w:pPr>
            <w:r>
              <w:rPr>
                <w:rFonts w:ascii="Arial" w:cs="Arial" w:eastAsia="Arial" w:hAnsi="Arial"/>
                <w:sz w:val="18"/>
                <w:szCs w:val="18"/>
                <w:color w:val="auto"/>
              </w:rPr>
              <w:t>Indemnification Claims Procedures</w:t>
            </w:r>
          </w:p>
        </w:tc>
        <w:tc>
          <w:tcPr>
            <w:tcW w:w="27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11.6</w:t>
            </w:r>
          </w:p>
        </w:tc>
        <w:tc>
          <w:tcPr>
            <w:tcW w:w="7640" w:type="dxa"/>
            <w:vAlign w:val="bottom"/>
          </w:tcPr>
          <w:p>
            <w:pPr>
              <w:ind w:left="100"/>
              <w:spacing w:after="0"/>
              <w:rPr>
                <w:sz w:val="20"/>
                <w:szCs w:val="20"/>
                <w:color w:val="auto"/>
              </w:rPr>
            </w:pPr>
            <w:r>
              <w:rPr>
                <w:rFonts w:ascii="Arial" w:cs="Arial" w:eastAsia="Arial" w:hAnsi="Arial"/>
                <w:sz w:val="18"/>
                <w:szCs w:val="18"/>
                <w:color w:val="auto"/>
              </w:rPr>
              <w:t>Payment of Indemnification Claims</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11.7</w:t>
            </w:r>
          </w:p>
        </w:tc>
        <w:tc>
          <w:tcPr>
            <w:tcW w:w="7640" w:type="dxa"/>
            <w:vAlign w:val="bottom"/>
          </w:tcPr>
          <w:p>
            <w:pPr>
              <w:ind w:left="100"/>
              <w:spacing w:after="0"/>
              <w:rPr>
                <w:sz w:val="20"/>
                <w:szCs w:val="20"/>
                <w:color w:val="auto"/>
              </w:rPr>
            </w:pPr>
            <w:r>
              <w:rPr>
                <w:rFonts w:ascii="Arial" w:cs="Arial" w:eastAsia="Arial" w:hAnsi="Arial"/>
                <w:sz w:val="18"/>
                <w:szCs w:val="18"/>
                <w:color w:val="auto"/>
              </w:rPr>
              <w:t>Third Party Proceedings</w:t>
            </w:r>
          </w:p>
        </w:tc>
        <w:tc>
          <w:tcPr>
            <w:tcW w:w="27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11.8</w:t>
            </w:r>
          </w:p>
        </w:tc>
        <w:tc>
          <w:tcPr>
            <w:tcW w:w="7640" w:type="dxa"/>
            <w:vAlign w:val="bottom"/>
          </w:tcPr>
          <w:p>
            <w:pPr>
              <w:ind w:left="100"/>
              <w:spacing w:after="0"/>
              <w:rPr>
                <w:sz w:val="20"/>
                <w:szCs w:val="20"/>
                <w:color w:val="auto"/>
              </w:rPr>
            </w:pPr>
            <w:r>
              <w:rPr>
                <w:rFonts w:ascii="Arial" w:cs="Arial" w:eastAsia="Arial" w:hAnsi="Arial"/>
                <w:sz w:val="18"/>
                <w:szCs w:val="18"/>
                <w:color w:val="auto"/>
              </w:rPr>
              <w:t>Tax Treatment</w:t>
            </w:r>
          </w:p>
        </w:tc>
        <w:tc>
          <w:tcPr>
            <w:tcW w:w="2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11.9</w:t>
            </w:r>
          </w:p>
        </w:tc>
        <w:tc>
          <w:tcPr>
            <w:tcW w:w="7640" w:type="dxa"/>
            <w:vAlign w:val="bottom"/>
          </w:tcPr>
          <w:p>
            <w:pPr>
              <w:ind w:left="100"/>
              <w:spacing w:after="0"/>
              <w:rPr>
                <w:sz w:val="20"/>
                <w:szCs w:val="20"/>
                <w:color w:val="auto"/>
              </w:rPr>
            </w:pPr>
            <w:r>
              <w:rPr>
                <w:rFonts w:ascii="Arial" w:cs="Arial" w:eastAsia="Arial" w:hAnsi="Arial"/>
                <w:sz w:val="18"/>
                <w:szCs w:val="18"/>
                <w:color w:val="auto"/>
              </w:rPr>
              <w:t>Exclusive Remedy</w:t>
            </w:r>
          </w:p>
        </w:tc>
        <w:tc>
          <w:tcPr>
            <w:tcW w:w="2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8540" w:type="dxa"/>
            <w:vAlign w:val="bottom"/>
            <w:gridSpan w:val="2"/>
          </w:tcPr>
          <w:p>
            <w:pPr>
              <w:spacing w:after="0"/>
              <w:rPr>
                <w:sz w:val="20"/>
                <w:szCs w:val="20"/>
                <w:color w:val="auto"/>
              </w:rPr>
            </w:pPr>
            <w:r>
              <w:rPr>
                <w:rFonts w:ascii="Arial" w:cs="Arial" w:eastAsia="Arial" w:hAnsi="Arial"/>
                <w:sz w:val="18"/>
                <w:szCs w:val="18"/>
                <w:color w:val="auto"/>
              </w:rPr>
              <w:t>ARTICLE 12 MISCELLANEOUS PROVISIONS</w:t>
            </w:r>
          </w:p>
        </w:tc>
        <w:tc>
          <w:tcPr>
            <w:tcW w:w="2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12.1</w:t>
            </w:r>
          </w:p>
        </w:tc>
        <w:tc>
          <w:tcPr>
            <w:tcW w:w="7640" w:type="dxa"/>
            <w:vAlign w:val="bottom"/>
          </w:tcPr>
          <w:p>
            <w:pPr>
              <w:ind w:left="100"/>
              <w:spacing w:after="0"/>
              <w:rPr>
                <w:sz w:val="20"/>
                <w:szCs w:val="20"/>
                <w:color w:val="auto"/>
              </w:rPr>
            </w:pPr>
            <w:r>
              <w:rPr>
                <w:rFonts w:ascii="Arial" w:cs="Arial" w:eastAsia="Arial" w:hAnsi="Arial"/>
                <w:sz w:val="18"/>
                <w:szCs w:val="18"/>
                <w:color w:val="auto"/>
              </w:rPr>
              <w:t>Interpretation and Usage</w:t>
            </w:r>
          </w:p>
        </w:tc>
        <w:tc>
          <w:tcPr>
            <w:tcW w:w="2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12.2</w:t>
            </w:r>
          </w:p>
        </w:tc>
        <w:tc>
          <w:tcPr>
            <w:tcW w:w="7640" w:type="dxa"/>
            <w:vAlign w:val="bottom"/>
          </w:tcPr>
          <w:p>
            <w:pPr>
              <w:ind w:left="100"/>
              <w:spacing w:after="0"/>
              <w:rPr>
                <w:sz w:val="20"/>
                <w:szCs w:val="20"/>
                <w:color w:val="auto"/>
              </w:rPr>
            </w:pPr>
            <w:r>
              <w:rPr>
                <w:rFonts w:ascii="Arial" w:cs="Arial" w:eastAsia="Arial" w:hAnsi="Arial"/>
                <w:sz w:val="18"/>
                <w:szCs w:val="18"/>
                <w:color w:val="auto"/>
              </w:rPr>
              <w:t>Amendment and Modification</w:t>
            </w:r>
          </w:p>
        </w:tc>
        <w:tc>
          <w:tcPr>
            <w:tcW w:w="2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12.3</w:t>
            </w:r>
          </w:p>
        </w:tc>
        <w:tc>
          <w:tcPr>
            <w:tcW w:w="7640" w:type="dxa"/>
            <w:vAlign w:val="bottom"/>
          </w:tcPr>
          <w:p>
            <w:pPr>
              <w:ind w:left="100"/>
              <w:spacing w:after="0"/>
              <w:rPr>
                <w:sz w:val="20"/>
                <w:szCs w:val="20"/>
                <w:color w:val="auto"/>
              </w:rPr>
            </w:pPr>
            <w:r>
              <w:rPr>
                <w:rFonts w:ascii="Arial" w:cs="Arial" w:eastAsia="Arial" w:hAnsi="Arial"/>
                <w:sz w:val="18"/>
                <w:szCs w:val="18"/>
                <w:color w:val="auto"/>
              </w:rPr>
              <w:t>Waiver of Compliance; Consents</w:t>
            </w:r>
          </w:p>
        </w:tc>
        <w:tc>
          <w:tcPr>
            <w:tcW w:w="2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12.4</w:t>
            </w:r>
          </w:p>
        </w:tc>
        <w:tc>
          <w:tcPr>
            <w:tcW w:w="7640" w:type="dxa"/>
            <w:vAlign w:val="bottom"/>
          </w:tcPr>
          <w:p>
            <w:pPr>
              <w:ind w:left="100"/>
              <w:spacing w:after="0"/>
              <w:rPr>
                <w:sz w:val="20"/>
                <w:szCs w:val="20"/>
                <w:color w:val="auto"/>
              </w:rPr>
            </w:pPr>
            <w:r>
              <w:rPr>
                <w:rFonts w:ascii="Arial" w:cs="Arial" w:eastAsia="Arial" w:hAnsi="Arial"/>
                <w:sz w:val="18"/>
                <w:szCs w:val="18"/>
                <w:color w:val="auto"/>
              </w:rPr>
              <w:t>No Third Party Beneficiaries</w:t>
            </w:r>
          </w:p>
        </w:tc>
        <w:tc>
          <w:tcPr>
            <w:tcW w:w="2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12.5</w:t>
            </w:r>
          </w:p>
        </w:tc>
        <w:tc>
          <w:tcPr>
            <w:tcW w:w="7640" w:type="dxa"/>
            <w:vAlign w:val="bottom"/>
          </w:tcPr>
          <w:p>
            <w:pPr>
              <w:ind w:left="100"/>
              <w:spacing w:after="0"/>
              <w:rPr>
                <w:sz w:val="20"/>
                <w:szCs w:val="20"/>
                <w:color w:val="auto"/>
              </w:rPr>
            </w:pPr>
            <w:r>
              <w:rPr>
                <w:rFonts w:ascii="Arial" w:cs="Arial" w:eastAsia="Arial" w:hAnsi="Arial"/>
                <w:sz w:val="18"/>
                <w:szCs w:val="18"/>
                <w:color w:val="auto"/>
              </w:rPr>
              <w:t>Fees and Expenses</w:t>
            </w:r>
          </w:p>
        </w:tc>
        <w:tc>
          <w:tcPr>
            <w:tcW w:w="2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12.6</w:t>
            </w:r>
          </w:p>
        </w:tc>
        <w:tc>
          <w:tcPr>
            <w:tcW w:w="7640" w:type="dxa"/>
            <w:vAlign w:val="bottom"/>
          </w:tcPr>
          <w:p>
            <w:pPr>
              <w:ind w:left="100"/>
              <w:spacing w:after="0"/>
              <w:rPr>
                <w:sz w:val="20"/>
                <w:szCs w:val="20"/>
                <w:color w:val="auto"/>
              </w:rPr>
            </w:pPr>
            <w:r>
              <w:rPr>
                <w:rFonts w:ascii="Arial" w:cs="Arial" w:eastAsia="Arial" w:hAnsi="Arial"/>
                <w:sz w:val="18"/>
                <w:szCs w:val="18"/>
                <w:color w:val="auto"/>
              </w:rPr>
              <w:t>Notices</w:t>
            </w:r>
          </w:p>
        </w:tc>
        <w:tc>
          <w:tcPr>
            <w:tcW w:w="2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12.7</w:t>
            </w:r>
          </w:p>
        </w:tc>
        <w:tc>
          <w:tcPr>
            <w:tcW w:w="764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27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12.8</w:t>
            </w:r>
          </w:p>
        </w:tc>
        <w:tc>
          <w:tcPr>
            <w:tcW w:w="7640" w:type="dxa"/>
            <w:vAlign w:val="bottom"/>
          </w:tcPr>
          <w:p>
            <w:pPr>
              <w:ind w:left="100"/>
              <w:spacing w:after="0"/>
              <w:rPr>
                <w:sz w:val="20"/>
                <w:szCs w:val="20"/>
                <w:color w:val="auto"/>
              </w:rPr>
            </w:pPr>
            <w:r>
              <w:rPr>
                <w:rFonts w:ascii="Arial" w:cs="Arial" w:eastAsia="Arial" w:hAnsi="Arial"/>
                <w:sz w:val="18"/>
                <w:szCs w:val="18"/>
                <w:color w:val="auto"/>
              </w:rPr>
              <w:t>Governing Law; Arbitration and Mediation</w:t>
            </w:r>
          </w:p>
        </w:tc>
        <w:tc>
          <w:tcPr>
            <w:tcW w:w="2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12.9</w:t>
            </w:r>
          </w:p>
        </w:tc>
        <w:tc>
          <w:tcPr>
            <w:tcW w:w="764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12.10</w:t>
            </w:r>
          </w:p>
        </w:tc>
        <w:tc>
          <w:tcPr>
            <w:tcW w:w="7640" w:type="dxa"/>
            <w:vAlign w:val="bottom"/>
          </w:tcPr>
          <w:p>
            <w:pPr>
              <w:ind w:left="100"/>
              <w:spacing w:after="0"/>
              <w:rPr>
                <w:sz w:val="20"/>
                <w:szCs w:val="20"/>
                <w:color w:val="auto"/>
              </w:rPr>
            </w:pPr>
            <w:r>
              <w:rPr>
                <w:rFonts w:ascii="Arial" w:cs="Arial" w:eastAsia="Arial" w:hAnsi="Arial"/>
                <w:sz w:val="18"/>
                <w:szCs w:val="18"/>
                <w:color w:val="auto"/>
              </w:rPr>
              <w:t>Enforcement</w:t>
            </w:r>
          </w:p>
        </w:tc>
        <w:tc>
          <w:tcPr>
            <w:tcW w:w="2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12.11</w:t>
            </w:r>
          </w:p>
        </w:tc>
        <w:tc>
          <w:tcPr>
            <w:tcW w:w="764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2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12.12</w:t>
            </w:r>
          </w:p>
        </w:tc>
        <w:tc>
          <w:tcPr>
            <w:tcW w:w="76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2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00" w:type="dxa"/>
            <w:vAlign w:val="bottom"/>
          </w:tcPr>
          <w:p>
            <w:pPr>
              <w:ind w:left="360"/>
              <w:spacing w:after="0"/>
              <w:rPr>
                <w:sz w:val="20"/>
                <w:szCs w:val="20"/>
                <w:color w:val="auto"/>
              </w:rPr>
            </w:pPr>
            <w:r>
              <w:rPr>
                <w:rFonts w:ascii="Arial" w:cs="Arial" w:eastAsia="Arial" w:hAnsi="Arial"/>
                <w:sz w:val="18"/>
                <w:szCs w:val="18"/>
                <w:color w:val="auto"/>
              </w:rPr>
              <w:t>12.13</w:t>
            </w:r>
          </w:p>
        </w:tc>
        <w:tc>
          <w:tcPr>
            <w:tcW w:w="7640" w:type="dxa"/>
            <w:vAlign w:val="bottom"/>
          </w:tcPr>
          <w:p>
            <w:pPr>
              <w:ind w:left="100"/>
              <w:spacing w:after="0"/>
              <w:rPr>
                <w:sz w:val="20"/>
                <w:szCs w:val="20"/>
                <w:color w:val="auto"/>
              </w:rPr>
            </w:pPr>
            <w:r>
              <w:rPr>
                <w:rFonts w:ascii="Arial" w:cs="Arial" w:eastAsia="Arial" w:hAnsi="Arial"/>
                <w:sz w:val="18"/>
                <w:szCs w:val="18"/>
                <w:color w:val="auto"/>
              </w:rPr>
              <w:t>Waiver of Jury Trial</w:t>
            </w:r>
          </w:p>
        </w:tc>
        <w:tc>
          <w:tcPr>
            <w:tcW w:w="2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900" w:type="dxa"/>
            <w:vAlign w:val="bottom"/>
          </w:tcPr>
          <w:p>
            <w:pPr>
              <w:ind w:left="360"/>
              <w:spacing w:after="0"/>
              <w:rPr>
                <w:sz w:val="20"/>
                <w:szCs w:val="20"/>
                <w:color w:val="auto"/>
              </w:rPr>
            </w:pPr>
            <w:r>
              <w:rPr>
                <w:rFonts w:ascii="Arial" w:cs="Arial" w:eastAsia="Arial" w:hAnsi="Arial"/>
                <w:sz w:val="18"/>
                <w:szCs w:val="18"/>
                <w:color w:val="auto"/>
              </w:rPr>
              <w:t>12.14</w:t>
            </w:r>
          </w:p>
        </w:tc>
        <w:tc>
          <w:tcPr>
            <w:tcW w:w="76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78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Appendix A</w:t>
            </w:r>
          </w:p>
        </w:tc>
        <w:tc>
          <w:tcPr>
            <w:tcW w:w="8160" w:type="dxa"/>
            <w:vAlign w:val="bottom"/>
          </w:tcPr>
          <w:p>
            <w:pPr>
              <w:jc w:val="right"/>
              <w:spacing w:after="0"/>
              <w:rPr>
                <w:sz w:val="20"/>
                <w:szCs w:val="20"/>
                <w:color w:val="auto"/>
              </w:rPr>
            </w:pPr>
            <w:r>
              <w:rPr>
                <w:rFonts w:ascii="Arial" w:cs="Arial" w:eastAsia="Arial" w:hAnsi="Arial"/>
                <w:sz w:val="18"/>
                <w:szCs w:val="18"/>
                <w:color w:val="auto"/>
              </w:rPr>
              <w:t>Written Consent Language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A</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Promissory Note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B</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Bill of Sale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C</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Assignment and Assumption Agreement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D</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Patent Assignment Agreement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E</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Trademark Assignment Agreement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F</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Opinion of Seller’s Counsel</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G</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Transition Services Agreement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H</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Employment Agreement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I</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Collateral Subordination Agreement</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Exhibit J</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Personnel Agreement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Exhibit K</w:t>
            </w:r>
          </w:p>
        </w:tc>
        <w:tc>
          <w:tcPr>
            <w:tcW w:w="8160" w:type="dxa"/>
            <w:vAlign w:val="bottom"/>
          </w:tcPr>
          <w:p>
            <w:pPr>
              <w:jc w:val="right"/>
              <w:spacing w:after="0"/>
              <w:rPr>
                <w:sz w:val="20"/>
                <w:szCs w:val="20"/>
                <w:color w:val="auto"/>
              </w:rPr>
            </w:pPr>
            <w:r>
              <w:rPr>
                <w:rFonts w:ascii="Arial" w:cs="Arial" w:eastAsia="Arial" w:hAnsi="Arial"/>
                <w:sz w:val="18"/>
                <w:szCs w:val="18"/>
                <w:color w:val="auto"/>
              </w:rPr>
              <w:t>Form of Opinion of Buyer’s Counsel</w:t>
            </w:r>
          </w:p>
        </w:tc>
      </w:tr>
      <w:tr>
        <w:trPr>
          <w:trHeight w:val="365"/>
        </w:trPr>
        <w:tc>
          <w:tcPr>
            <w:tcW w:w="3260" w:type="dxa"/>
            <w:vAlign w:val="bottom"/>
          </w:tcPr>
          <w:p>
            <w:pPr>
              <w:spacing w:after="0"/>
              <w:rPr>
                <w:sz w:val="24"/>
                <w:szCs w:val="24"/>
                <w:color w:val="auto"/>
              </w:rPr>
            </w:pPr>
          </w:p>
        </w:tc>
        <w:tc>
          <w:tcPr>
            <w:tcW w:w="8160" w:type="dxa"/>
            <w:vAlign w:val="bottom"/>
          </w:tcPr>
          <w:p>
            <w:pPr>
              <w:jc w:val="right"/>
              <w:ind w:right="555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740" w:type="dxa"/>
            <w:vAlign w:val="bottom"/>
            <w:gridSpan w:val="5"/>
          </w:tcPr>
          <w:p>
            <w:pPr>
              <w:spacing w:after="0"/>
              <w:rPr>
                <w:sz w:val="20"/>
                <w:szCs w:val="20"/>
                <w:color w:val="auto"/>
              </w:rPr>
            </w:pPr>
            <w:r>
              <w:rPr>
                <w:rFonts w:ascii="Arial" w:cs="Arial" w:eastAsia="Arial" w:hAnsi="Arial"/>
                <w:sz w:val="18"/>
                <w:szCs w:val="18"/>
                <w:color w:val="auto"/>
              </w:rPr>
              <w:t>Seller Disclosure Schedule</w:t>
            </w:r>
          </w:p>
        </w:tc>
        <w:tc>
          <w:tcPr>
            <w:tcW w:w="7680" w:type="dxa"/>
            <w:vAlign w:val="bottom"/>
          </w:tcPr>
          <w:p>
            <w:pPr>
              <w:spacing w:after="0"/>
              <w:rPr>
                <w:sz w:val="17"/>
                <w:szCs w:val="17"/>
                <w:color w:val="auto"/>
              </w:rPr>
            </w:pPr>
          </w:p>
        </w:tc>
      </w:tr>
      <w:tr>
        <w:trPr>
          <w:trHeight w:val="439"/>
        </w:trPr>
        <w:tc>
          <w:tcPr>
            <w:tcW w:w="19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Purchased Assets</w:t>
            </w:r>
          </w:p>
        </w:tc>
        <w:tc>
          <w:tcPr>
            <w:tcW w:w="180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222"/>
        </w:trPr>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7"/>
              </w:rPr>
              <w:t>Schedule 1.1(a)</w:t>
            </w:r>
          </w:p>
        </w:tc>
        <w:tc>
          <w:tcPr>
            <w:tcW w:w="2480" w:type="dxa"/>
            <w:vAlign w:val="bottom"/>
            <w:gridSpan w:val="2"/>
          </w:tcPr>
          <w:p>
            <w:pPr>
              <w:spacing w:after="0"/>
              <w:rPr>
                <w:sz w:val="19"/>
                <w:szCs w:val="19"/>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rPr>
              <w:t>Tangible Personal Property</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1.1(c)</w:t>
            </w:r>
          </w:p>
        </w:tc>
        <w:tc>
          <w:tcPr>
            <w:tcW w:w="7680" w:type="dxa"/>
            <w:vAlign w:val="bottom"/>
          </w:tcPr>
          <w:p>
            <w:pPr>
              <w:jc w:val="right"/>
              <w:spacing w:after="0"/>
              <w:rPr>
                <w:sz w:val="20"/>
                <w:szCs w:val="20"/>
                <w:color w:val="auto"/>
              </w:rPr>
            </w:pPr>
            <w:r>
              <w:rPr>
                <w:rFonts w:ascii="Arial" w:cs="Arial" w:eastAsia="Arial" w:hAnsi="Arial"/>
                <w:sz w:val="18"/>
                <w:szCs w:val="18"/>
                <w:color w:val="auto"/>
              </w:rPr>
              <w:t>Prepaid Expenses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1.1(d)</w:t>
            </w:r>
          </w:p>
        </w:tc>
        <w:tc>
          <w:tcPr>
            <w:tcW w:w="7680" w:type="dxa"/>
            <w:vAlign w:val="bottom"/>
          </w:tcPr>
          <w:p>
            <w:pPr>
              <w:jc w:val="right"/>
              <w:spacing w:after="0"/>
              <w:rPr>
                <w:sz w:val="20"/>
                <w:szCs w:val="20"/>
                <w:color w:val="auto"/>
              </w:rPr>
            </w:pPr>
            <w:r>
              <w:rPr>
                <w:rFonts w:ascii="Arial" w:cs="Arial" w:eastAsia="Arial" w:hAnsi="Arial"/>
                <w:sz w:val="18"/>
                <w:szCs w:val="18"/>
                <w:color w:val="auto"/>
              </w:rPr>
              <w:t>Assigned Contracts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1.1(e)</w:t>
            </w:r>
          </w:p>
        </w:tc>
        <w:tc>
          <w:tcPr>
            <w:tcW w:w="7680" w:type="dxa"/>
            <w:vAlign w:val="bottom"/>
          </w:tcPr>
          <w:p>
            <w:pPr>
              <w:jc w:val="right"/>
              <w:spacing w:after="0"/>
              <w:rPr>
                <w:sz w:val="20"/>
                <w:szCs w:val="20"/>
                <w:color w:val="auto"/>
              </w:rPr>
            </w:pPr>
            <w:r>
              <w:rPr>
                <w:rFonts w:ascii="Arial" w:cs="Arial" w:eastAsia="Arial" w:hAnsi="Arial"/>
                <w:sz w:val="18"/>
                <w:szCs w:val="18"/>
                <w:color w:val="auto"/>
              </w:rPr>
              <w:t>Patents, Marks and Copyrights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1.1(f)</w:t>
            </w:r>
          </w:p>
        </w:tc>
        <w:tc>
          <w:tcPr>
            <w:tcW w:w="7680" w:type="dxa"/>
            <w:vAlign w:val="bottom"/>
          </w:tcPr>
          <w:p>
            <w:pPr>
              <w:jc w:val="right"/>
              <w:spacing w:after="0"/>
              <w:rPr>
                <w:sz w:val="20"/>
                <w:szCs w:val="20"/>
                <w:color w:val="auto"/>
              </w:rPr>
            </w:pPr>
            <w:r>
              <w:rPr>
                <w:rFonts w:ascii="Arial" w:cs="Arial" w:eastAsia="Arial" w:hAnsi="Arial"/>
                <w:sz w:val="18"/>
                <w:szCs w:val="18"/>
                <w:color w:val="auto"/>
              </w:rPr>
              <w:t>Permits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1.1(g)</w:t>
            </w:r>
          </w:p>
        </w:tc>
        <w:tc>
          <w:tcPr>
            <w:tcW w:w="7680" w:type="dxa"/>
            <w:vAlign w:val="bottom"/>
          </w:tcPr>
          <w:p>
            <w:pPr>
              <w:jc w:val="right"/>
              <w:spacing w:after="0"/>
              <w:rPr>
                <w:sz w:val="20"/>
                <w:szCs w:val="20"/>
                <w:color w:val="auto"/>
              </w:rPr>
            </w:pPr>
            <w:r>
              <w:rPr>
                <w:rFonts w:ascii="Arial" w:cs="Arial" w:eastAsia="Arial" w:hAnsi="Arial"/>
                <w:sz w:val="18"/>
                <w:szCs w:val="18"/>
                <w:color w:val="auto"/>
              </w:rPr>
              <w:t>Real Property</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1.1(i)</w:t>
            </w:r>
          </w:p>
        </w:tc>
        <w:tc>
          <w:tcPr>
            <w:tcW w:w="7680" w:type="dxa"/>
            <w:vAlign w:val="bottom"/>
          </w:tcPr>
          <w:p>
            <w:pPr>
              <w:jc w:val="right"/>
              <w:spacing w:after="0"/>
              <w:rPr>
                <w:sz w:val="20"/>
                <w:szCs w:val="20"/>
                <w:color w:val="auto"/>
              </w:rPr>
            </w:pPr>
            <w:r>
              <w:rPr>
                <w:rFonts w:ascii="Arial" w:cs="Arial" w:eastAsia="Arial" w:hAnsi="Arial"/>
                <w:sz w:val="18"/>
                <w:szCs w:val="18"/>
                <w:color w:val="auto"/>
              </w:rPr>
              <w:t>Telephone and Facsimile Numbers, Email Addresses and Internet Domain Names</w:t>
            </w:r>
          </w:p>
        </w:tc>
      </w:tr>
      <w:tr>
        <w:trPr>
          <w:trHeight w:val="230"/>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1.1(k)</w:t>
            </w:r>
          </w:p>
        </w:tc>
        <w:tc>
          <w:tcPr>
            <w:tcW w:w="7680" w:type="dxa"/>
            <w:vAlign w:val="bottom"/>
          </w:tcPr>
          <w:p>
            <w:pPr>
              <w:jc w:val="right"/>
              <w:spacing w:after="0"/>
              <w:rPr>
                <w:sz w:val="20"/>
                <w:szCs w:val="20"/>
                <w:color w:val="auto"/>
              </w:rPr>
            </w:pPr>
            <w:r>
              <w:rPr>
                <w:rFonts w:ascii="Arial" w:cs="Arial" w:eastAsia="Arial" w:hAnsi="Arial"/>
                <w:sz w:val="18"/>
                <w:szCs w:val="18"/>
                <w:color w:val="auto"/>
              </w:rPr>
              <w:t>Other Purchased Assets</w:t>
            </w:r>
          </w:p>
        </w:tc>
      </w:tr>
      <w:tr>
        <w:trPr>
          <w:trHeight w:val="284"/>
        </w:trPr>
        <w:tc>
          <w:tcPr>
            <w:tcW w:w="3740" w:type="dxa"/>
            <w:vAlign w:val="bottom"/>
            <w:gridSpan w:val="5"/>
          </w:tcPr>
          <w:p>
            <w:pPr>
              <w:spacing w:after="0"/>
              <w:rPr>
                <w:sz w:val="20"/>
                <w:szCs w:val="20"/>
                <w:color w:val="auto"/>
              </w:rPr>
            </w:pPr>
            <w:r>
              <w:rPr>
                <w:rFonts w:ascii="Arial" w:cs="Arial" w:eastAsia="Arial" w:hAnsi="Arial"/>
                <w:sz w:val="18"/>
                <w:szCs w:val="18"/>
                <w:color w:val="auto"/>
              </w:rPr>
              <w:t>Retained Assets</w:t>
            </w:r>
          </w:p>
        </w:tc>
        <w:tc>
          <w:tcPr>
            <w:tcW w:w="7680" w:type="dxa"/>
            <w:vAlign w:val="bottom"/>
          </w:tcPr>
          <w:p>
            <w:pPr>
              <w:spacing w:after="0"/>
              <w:rPr>
                <w:sz w:val="24"/>
                <w:szCs w:val="24"/>
                <w:color w:val="auto"/>
              </w:rPr>
            </w:pPr>
          </w:p>
        </w:tc>
      </w:tr>
      <w:tr>
        <w:trPr>
          <w:trHeight w:val="222"/>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Schedule 1.2(c)</w:t>
            </w:r>
          </w:p>
        </w:tc>
        <w:tc>
          <w:tcPr>
            <w:tcW w:w="2580" w:type="dxa"/>
            <w:vAlign w:val="bottom"/>
            <w:gridSpan w:val="4"/>
          </w:tcPr>
          <w:p>
            <w:pPr>
              <w:spacing w:after="0"/>
              <w:rPr>
                <w:sz w:val="19"/>
                <w:szCs w:val="19"/>
                <w:color w:val="auto"/>
              </w:rPr>
            </w:pPr>
          </w:p>
        </w:tc>
        <w:tc>
          <w:tcPr>
            <w:tcW w:w="7680" w:type="dxa"/>
            <w:vAlign w:val="bottom"/>
          </w:tcPr>
          <w:p>
            <w:pPr>
              <w:jc w:val="right"/>
              <w:spacing w:after="0"/>
              <w:rPr>
                <w:sz w:val="20"/>
                <w:szCs w:val="20"/>
                <w:color w:val="auto"/>
              </w:rPr>
            </w:pPr>
            <w:r>
              <w:rPr>
                <w:rFonts w:ascii="Arial" w:cs="Arial" w:eastAsia="Arial" w:hAnsi="Arial"/>
                <w:sz w:val="18"/>
                <w:szCs w:val="18"/>
                <w:color w:val="auto"/>
              </w:rPr>
              <w:t>Assets, Properties and Rights Exclusive to Retained Business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1.2(j)</w:t>
            </w:r>
          </w:p>
        </w:tc>
        <w:tc>
          <w:tcPr>
            <w:tcW w:w="7680" w:type="dxa"/>
            <w:vAlign w:val="bottom"/>
          </w:tcPr>
          <w:p>
            <w:pPr>
              <w:jc w:val="right"/>
              <w:spacing w:after="0"/>
              <w:rPr>
                <w:sz w:val="20"/>
                <w:szCs w:val="20"/>
                <w:color w:val="auto"/>
              </w:rPr>
            </w:pPr>
            <w:r>
              <w:rPr>
                <w:rFonts w:ascii="Arial" w:cs="Arial" w:eastAsia="Arial" w:hAnsi="Arial"/>
                <w:sz w:val="18"/>
                <w:szCs w:val="18"/>
                <w:color w:val="auto"/>
              </w:rPr>
              <w:t>Retained Assets</w:t>
            </w:r>
          </w:p>
        </w:tc>
      </w:tr>
      <w:tr>
        <w:trPr>
          <w:trHeight w:val="230"/>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1.2(k)</w:t>
            </w:r>
          </w:p>
        </w:tc>
        <w:tc>
          <w:tcPr>
            <w:tcW w:w="7680" w:type="dxa"/>
            <w:vAlign w:val="bottom"/>
          </w:tcPr>
          <w:p>
            <w:pPr>
              <w:jc w:val="right"/>
              <w:spacing w:after="0"/>
              <w:rPr>
                <w:sz w:val="20"/>
                <w:szCs w:val="20"/>
                <w:color w:val="auto"/>
              </w:rPr>
            </w:pPr>
            <w:r>
              <w:rPr>
                <w:rFonts w:ascii="Arial" w:cs="Arial" w:eastAsia="Arial" w:hAnsi="Arial"/>
                <w:sz w:val="18"/>
                <w:szCs w:val="18"/>
                <w:color w:val="auto"/>
              </w:rPr>
              <w:t>Retained Computer Equipment</w:t>
            </w:r>
          </w:p>
        </w:tc>
      </w:tr>
      <w:tr>
        <w:trPr>
          <w:trHeight w:val="284"/>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Other Schedules</w:t>
            </w:r>
          </w:p>
        </w:tc>
        <w:tc>
          <w:tcPr>
            <w:tcW w:w="2540" w:type="dxa"/>
            <w:vAlign w:val="bottom"/>
            <w:gridSpan w:val="3"/>
          </w:tcPr>
          <w:p>
            <w:pPr>
              <w:spacing w:after="0"/>
              <w:rPr>
                <w:sz w:val="24"/>
                <w:szCs w:val="24"/>
                <w:color w:val="auto"/>
              </w:rPr>
            </w:pPr>
          </w:p>
        </w:tc>
        <w:tc>
          <w:tcPr>
            <w:tcW w:w="7680" w:type="dxa"/>
            <w:vAlign w:val="bottom"/>
          </w:tcPr>
          <w:p>
            <w:pPr>
              <w:spacing w:after="0"/>
              <w:rPr>
                <w:sz w:val="24"/>
                <w:szCs w:val="24"/>
                <w:color w:val="auto"/>
              </w:rPr>
            </w:pPr>
          </w:p>
        </w:tc>
      </w:tr>
      <w:tr>
        <w:trPr>
          <w:trHeight w:val="222"/>
        </w:trPr>
        <w:tc>
          <w:tcPr>
            <w:tcW w:w="3740" w:type="dxa"/>
            <w:vAlign w:val="bottom"/>
            <w:gridSpan w:val="5"/>
          </w:tcPr>
          <w:p>
            <w:pPr>
              <w:spacing w:after="0"/>
              <w:rPr>
                <w:sz w:val="20"/>
                <w:szCs w:val="20"/>
                <w:color w:val="auto"/>
              </w:rPr>
            </w:pPr>
            <w:r>
              <w:rPr>
                <w:rFonts w:ascii="Arial" w:cs="Arial" w:eastAsia="Arial" w:hAnsi="Arial"/>
                <w:sz w:val="18"/>
                <w:szCs w:val="18"/>
                <w:color w:val="auto"/>
              </w:rPr>
              <w:t>Schedule 2.1</w:t>
            </w:r>
          </w:p>
        </w:tc>
        <w:tc>
          <w:tcPr>
            <w:tcW w:w="7680" w:type="dxa"/>
            <w:vAlign w:val="bottom"/>
          </w:tcPr>
          <w:p>
            <w:pPr>
              <w:jc w:val="right"/>
              <w:spacing w:after="0"/>
              <w:rPr>
                <w:sz w:val="20"/>
                <w:szCs w:val="20"/>
                <w:color w:val="auto"/>
              </w:rPr>
            </w:pPr>
            <w:r>
              <w:rPr>
                <w:rFonts w:ascii="Arial" w:cs="Arial" w:eastAsia="Arial" w:hAnsi="Arial"/>
                <w:sz w:val="18"/>
                <w:szCs w:val="18"/>
                <w:color w:val="auto"/>
              </w:rPr>
              <w:t>Net Assets Valuation Principles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3.2(k)</w:t>
            </w:r>
          </w:p>
        </w:tc>
        <w:tc>
          <w:tcPr>
            <w:tcW w:w="7680" w:type="dxa"/>
            <w:vAlign w:val="bottom"/>
          </w:tcPr>
          <w:p>
            <w:pPr>
              <w:jc w:val="right"/>
              <w:spacing w:after="0"/>
              <w:rPr>
                <w:sz w:val="20"/>
                <w:szCs w:val="20"/>
                <w:color w:val="auto"/>
              </w:rPr>
            </w:pPr>
            <w:r>
              <w:rPr>
                <w:rFonts w:ascii="Arial" w:cs="Arial" w:eastAsia="Arial" w:hAnsi="Arial"/>
                <w:sz w:val="18"/>
                <w:szCs w:val="18"/>
                <w:color w:val="auto"/>
              </w:rPr>
              <w:t>Required Consents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7.1</w:t>
            </w:r>
          </w:p>
        </w:tc>
        <w:tc>
          <w:tcPr>
            <w:tcW w:w="7680" w:type="dxa"/>
            <w:vAlign w:val="bottom"/>
          </w:tcPr>
          <w:p>
            <w:pPr>
              <w:jc w:val="right"/>
              <w:spacing w:after="0"/>
              <w:rPr>
                <w:sz w:val="20"/>
                <w:szCs w:val="20"/>
                <w:color w:val="auto"/>
              </w:rPr>
            </w:pPr>
            <w:r>
              <w:rPr>
                <w:rFonts w:ascii="Arial" w:cs="Arial" w:eastAsia="Arial" w:hAnsi="Arial"/>
                <w:sz w:val="18"/>
                <w:szCs w:val="18"/>
                <w:color w:val="auto"/>
              </w:rPr>
              <w:t>Conduct of Business</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8.11</w:t>
            </w:r>
          </w:p>
        </w:tc>
        <w:tc>
          <w:tcPr>
            <w:tcW w:w="7680" w:type="dxa"/>
            <w:vAlign w:val="bottom"/>
          </w:tcPr>
          <w:p>
            <w:pPr>
              <w:jc w:val="right"/>
              <w:spacing w:after="0"/>
              <w:rPr>
                <w:sz w:val="20"/>
                <w:szCs w:val="20"/>
                <w:color w:val="auto"/>
              </w:rPr>
            </w:pPr>
            <w:r>
              <w:rPr>
                <w:rFonts w:ascii="Arial" w:cs="Arial" w:eastAsia="Arial" w:hAnsi="Arial"/>
                <w:sz w:val="18"/>
                <w:szCs w:val="18"/>
                <w:color w:val="auto"/>
              </w:rPr>
              <w:t>Specified Inventory for Obsolescence Reimbursement</w:t>
            </w:r>
          </w:p>
        </w:tc>
      </w:tr>
      <w:tr>
        <w:trPr>
          <w:trHeight w:val="216"/>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11.3</w:t>
            </w:r>
          </w:p>
        </w:tc>
        <w:tc>
          <w:tcPr>
            <w:tcW w:w="7680" w:type="dxa"/>
            <w:vAlign w:val="bottom"/>
          </w:tcPr>
          <w:p>
            <w:pPr>
              <w:jc w:val="right"/>
              <w:spacing w:after="0"/>
              <w:rPr>
                <w:sz w:val="20"/>
                <w:szCs w:val="20"/>
                <w:color w:val="auto"/>
              </w:rPr>
            </w:pPr>
            <w:r>
              <w:rPr>
                <w:rFonts w:ascii="Arial" w:cs="Arial" w:eastAsia="Arial" w:hAnsi="Arial"/>
                <w:sz w:val="18"/>
                <w:szCs w:val="18"/>
                <w:color w:val="auto"/>
              </w:rPr>
              <w:t>Specific Indemnified Matters</w:t>
            </w:r>
          </w:p>
        </w:tc>
      </w:tr>
      <w:tr>
        <w:trPr>
          <w:trHeight w:val="230"/>
        </w:trPr>
        <w:tc>
          <w:tcPr>
            <w:tcW w:w="3740" w:type="dxa"/>
            <w:vAlign w:val="bottom"/>
            <w:gridSpan w:val="5"/>
          </w:tcPr>
          <w:p>
            <w:pPr>
              <w:spacing w:after="0"/>
              <w:rPr>
                <w:sz w:val="20"/>
                <w:szCs w:val="20"/>
                <w:color w:val="auto"/>
              </w:rPr>
            </w:pPr>
            <w:r>
              <w:rPr>
                <w:rFonts w:ascii="Arial" w:cs="Arial" w:eastAsia="Arial" w:hAnsi="Arial"/>
                <w:sz w:val="18"/>
                <w:szCs w:val="18"/>
                <w:color w:val="auto"/>
              </w:rPr>
              <w:t>Schedule 12.14</w:t>
            </w:r>
          </w:p>
        </w:tc>
        <w:tc>
          <w:tcPr>
            <w:tcW w:w="7680" w:type="dxa"/>
            <w:vAlign w:val="bottom"/>
          </w:tcPr>
          <w:p>
            <w:pPr>
              <w:jc w:val="right"/>
              <w:spacing w:after="0"/>
              <w:rPr>
                <w:sz w:val="20"/>
                <w:szCs w:val="20"/>
                <w:color w:val="auto"/>
              </w:rPr>
            </w:pPr>
            <w:r>
              <w:rPr>
                <w:rFonts w:ascii="Arial" w:cs="Arial" w:eastAsia="Arial" w:hAnsi="Arial"/>
                <w:sz w:val="18"/>
                <w:szCs w:val="18"/>
                <w:color w:val="auto"/>
              </w:rPr>
              <w:t>Permitted Encumbrances</w:t>
            </w:r>
          </w:p>
        </w:tc>
      </w:tr>
      <w:tr>
        <w:trPr>
          <w:trHeight w:val="365"/>
        </w:trPr>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680" w:type="dxa"/>
            <w:vAlign w:val="bottom"/>
          </w:tcPr>
          <w:p>
            <w:pPr>
              <w:jc w:val="right"/>
              <w:ind w:right="555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420"/>
          </w:cols>
          <w:pgMar w:left="240" w:top="25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ASSET PURCHASE AGREEMENT</w:t>
      </w:r>
    </w:p>
    <w:p>
      <w:pPr>
        <w:spacing w:after="0" w:line="22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October 27, 2014, by and among The Toro Company,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Northern Star Industries, Inc., a Michigan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each of the shareholders of Seller, all of whom are listed on the signature page hereto (each, a “</w:t>
      </w:r>
      <w:r>
        <w:rPr>
          <w:rFonts w:ascii="Arial" w:cs="Arial" w:eastAsia="Arial" w:hAnsi="Arial"/>
          <w:sz w:val="18"/>
          <w:szCs w:val="18"/>
          <w:u w:val="single" w:color="auto"/>
          <w:color w:val="auto"/>
        </w:rPr>
        <w:t>Seller Shareholder</w:t>
      </w:r>
      <w:r>
        <w:rPr>
          <w:rFonts w:ascii="Arial" w:cs="Arial" w:eastAsia="Arial" w:hAnsi="Arial"/>
          <w:sz w:val="18"/>
          <w:szCs w:val="18"/>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Agreement sets forth the terms and conditions upon which Seller will sell to Buyer, and Buyer will purchase from Seller, the assets of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snow and ice management business, which business is conducted as a separate operating division of Seller and is referred to by Seller as its “BOSS Business”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Unless otherwise defined herein, capitalized terms used in this Agreement will have the meanings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12.14</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board of directors and shareholders of Seller have approved this Agreement, each of the Ancillary Documents and the transactions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hereby.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The board of directors of Buyer has approved this Agreement and the transactions contemplated hereby.</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The Seller Shareholders collectively own 100% of the outstanding voting and non-voting capital stock of Seller and each Seller Shareholder will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substantial monetary and other benefits from the transactions contemplated hereby and, in connection therewith, are undertaking certain obligations in order to induce Buyer to enter into this Agreement and complete the transactions contemplated hereby.</w:t>
      </w:r>
    </w:p>
    <w:p>
      <w:pPr>
        <w:spacing w:after="0" w:line="176" w:lineRule="exact"/>
        <w:rPr>
          <w:sz w:val="20"/>
          <w:szCs w:val="20"/>
          <w:color w:val="auto"/>
        </w:rPr>
      </w:pPr>
    </w:p>
    <w:p>
      <w:pPr>
        <w:ind w:right="140" w:firstLine="456"/>
        <w:spacing w:after="0" w:line="313" w:lineRule="auto"/>
        <w:rPr>
          <w:sz w:val="20"/>
          <w:szCs w:val="20"/>
          <w:color w:val="auto"/>
        </w:rPr>
      </w:pPr>
      <w:r>
        <w:rPr>
          <w:rFonts w:ascii="Arial" w:cs="Arial" w:eastAsia="Arial" w:hAnsi="Arial"/>
          <w:sz w:val="17"/>
          <w:szCs w:val="17"/>
          <w:b w:val="1"/>
          <w:bCs w:val="1"/>
          <w:color w:val="auto"/>
        </w:rPr>
        <w:t xml:space="preserve">F. </w:t>
      </w:r>
      <w:r>
        <w:rPr>
          <w:rFonts w:ascii="Arial" w:cs="Arial" w:eastAsia="Arial" w:hAnsi="Arial"/>
          <w:sz w:val="17"/>
          <w:szCs w:val="17"/>
          <w:color w:val="auto"/>
        </w:rPr>
        <w:t>Prior to the execution of this Agreement, the sole holder of voting capital stock of Seller adopted and approved this Agreement and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contemplated hereby by executing, adopting and delivering to Seller the written consent attached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Written Consent</w:t>
      </w:r>
      <w:r>
        <w:rPr>
          <w:rFonts w:ascii="Arial" w:cs="Arial" w:eastAsia="Arial" w:hAnsi="Arial"/>
          <w:sz w:val="17"/>
          <w:szCs w:val="17"/>
          <w:color w:val="auto"/>
        </w:rPr>
        <w:t>”).</w:t>
      </w:r>
    </w:p>
    <w:p>
      <w:pPr>
        <w:spacing w:after="0" w:line="14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consideration of the representations, warranties, covenants and agreements contained herein, and intending to be legally bound,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PURCHASED ASSETS; LIABILITIES</w:t>
      </w:r>
    </w:p>
    <w:p>
      <w:pPr>
        <w:spacing w:after="0" w:line="21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Purchase and Sale of Assets</w:t>
      </w:r>
      <w:r>
        <w:rPr>
          <w:rFonts w:ascii="Arial" w:cs="Arial" w:eastAsia="Arial" w:hAnsi="Arial"/>
          <w:sz w:val="16"/>
          <w:szCs w:val="16"/>
          <w:color w:val="auto"/>
        </w:rPr>
        <w:t>. Subject to the terms and conditions contained in this Agreement, at the Closing, Seller will, and will cause its Affiliates to, sell, convey, transfer, assign and deliver to Buyer or its designated Affiliate, and Buyer will purchase and receive from Seller, free and clear of any Encumbrances other than Permitted Encumbrances, all of Seller’s right, title and interest in and to all assets, properties and rights of Seller as of the Closing that are used in, held for use in, or required for the continued operation of the Business, in each case wherever located and whether or not the asset, property or right appears on Seller’s books and records, including the following (collectively, excluding only the Retained Assets, the “</w:t>
      </w:r>
      <w:r>
        <w:rPr>
          <w:rFonts w:ascii="Arial" w:cs="Arial" w:eastAsia="Arial" w:hAnsi="Arial"/>
          <w:sz w:val="16"/>
          <w:szCs w:val="16"/>
          <w:u w:val="single" w:color="auto"/>
          <w:color w:val="auto"/>
        </w:rPr>
        <w:t>Purchased Assets</w:t>
      </w:r>
      <w:r>
        <w:rPr>
          <w:rFonts w:ascii="Arial" w:cs="Arial" w:eastAsia="Arial" w:hAnsi="Arial"/>
          <w:sz w:val="16"/>
          <w:szCs w:val="16"/>
          <w:color w:val="auto"/>
        </w:rPr>
        <w:t>”):</w:t>
      </w:r>
    </w:p>
    <w:p>
      <w:pPr>
        <w:spacing w:after="0" w:line="50" w:lineRule="exact"/>
        <w:rPr>
          <w:sz w:val="20"/>
          <w:szCs w:val="20"/>
          <w:color w:val="auto"/>
        </w:rPr>
      </w:pPr>
    </w:p>
    <w:p>
      <w:pPr>
        <w:ind w:left="460" w:right="20" w:firstLine="443"/>
        <w:spacing w:after="0" w:line="255" w:lineRule="auto"/>
        <w:tabs>
          <w:tab w:leader="none" w:pos="114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all (i) vehicles 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(ii) production and machinery equipment and office furniture and equipment located at the Owned Real Property, (iii) personal computers and laptop computers that are assigned to a Business Employee or that are assigned to a specific workstation located at the Owned Real Property, and (iv) tooling, supplies and materials and any other items of tangible personal property (other than the Inventory), together with any express or implied warranty by the manufacturers, lessors or suppliers of such assets or any component thereof and all maintenance records and other documents relating thereto, including those items set forth on the attached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Tangible Personal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4" w:name="page15"/>
    <w:bookmarkEnd w:id="14"/>
    <w:p>
      <w:pPr>
        <w:ind w:right="100" w:firstLine="443"/>
        <w:spacing w:after="0" w:line="312"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inventories, wherever located and whether in transit or in storage, including all finished goods, work in process and raw materials, and all packaging materials, spare and replacement parts, and all other materials and supplies to be used, sold, resold or distributed by the Business, together with all express or implied warranties, rights of return, rebate rights, and all other rights relating to the foregoing (the “</w:t>
      </w:r>
      <w:r>
        <w:rPr>
          <w:rFonts w:ascii="Arial" w:cs="Arial" w:eastAsia="Arial" w:hAnsi="Arial"/>
          <w:sz w:val="16"/>
          <w:szCs w:val="16"/>
          <w:u w:val="single" w:color="auto"/>
          <w:color w:val="auto"/>
        </w:rPr>
        <w:t>Inventory</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680" w:hanging="237"/>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prepaid expenses set forth on the attached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Prepaid Expenses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rights and benefits under the Contracts listed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Assigned Contracts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64"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Intellectual Property (including all Patents, Marks and Copyrights listed on </w:t>
      </w:r>
      <w:r>
        <w:rPr>
          <w:rFonts w:ascii="Arial" w:cs="Arial" w:eastAsia="Arial" w:hAnsi="Arial"/>
          <w:sz w:val="18"/>
          <w:szCs w:val="18"/>
          <w:u w:val="single" w:color="auto"/>
          <w:color w:val="auto"/>
        </w:rPr>
        <w:t>Schedule 1.1(e))</w:t>
      </w:r>
      <w:r>
        <w:rPr>
          <w:rFonts w:ascii="Arial" w:cs="Arial" w:eastAsia="Arial" w:hAnsi="Arial"/>
          <w:sz w:val="18"/>
          <w:szCs w:val="18"/>
          <w:color w:val="auto"/>
        </w:rPr>
        <w:t>, all tangible and electronic embodiments of the Intellectual Property, and all rights to institute or maintain any Proceeding or other action to protect the Intellectual Property or recover damages for any past or present infringement thereof;</w:t>
      </w:r>
    </w:p>
    <w:p>
      <w:pPr>
        <w:spacing w:after="0" w:line="73" w:lineRule="exact"/>
        <w:rPr>
          <w:rFonts w:ascii="Arial" w:cs="Arial" w:eastAsia="Arial" w:hAnsi="Arial"/>
          <w:sz w:val="18"/>
          <w:szCs w:val="18"/>
          <w:color w:val="auto"/>
        </w:rPr>
      </w:pPr>
    </w:p>
    <w:p>
      <w:pPr>
        <w:ind w:left="660" w:hanging="2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Permits relating to the Business to the extent transferable under applicable Law, including those listed on </w:t>
      </w:r>
      <w:r>
        <w:rPr>
          <w:rFonts w:ascii="Arial" w:cs="Arial" w:eastAsia="Arial" w:hAnsi="Arial"/>
          <w:sz w:val="18"/>
          <w:szCs w:val="18"/>
          <w:u w:val="single" w:color="auto"/>
          <w:color w:val="auto"/>
        </w:rPr>
        <w:t>Schedule 1.1(f)</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277"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right, title and interest of Seller in the Owned Real Property and all of Seller’s interest therein and all right, title and interest in the Leases listed on </w:t>
      </w:r>
      <w:r>
        <w:rPr>
          <w:rFonts w:ascii="Arial" w:cs="Arial" w:eastAsia="Arial" w:hAnsi="Arial"/>
          <w:sz w:val="18"/>
          <w:szCs w:val="18"/>
          <w:u w:val="single" w:color="auto"/>
          <w:color w:val="auto"/>
        </w:rPr>
        <w:t>Schedule 1.1(g)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43"/>
        <w:spacing w:after="0" w:line="255" w:lineRule="auto"/>
        <w:tabs>
          <w:tab w:leader="none" w:pos="693"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information, books and records, including files, computer files and records, invoices, credit and sales records, personnel records of Business Employees (subject to applicable Law), customer lists (including copies of customer Contracts), supplier lists (including supplier cost information), prospect lists (including mailing and calling lists), manuals, drawings, business plans and other plans and specifications, accounting and financial books and records, sales literature, price lists and discounts, promotional signs and literature, marketing and sales programs, manufacturing and quality control records and procedures and know-how, in each case that are used in, held for use in or required for the continued operation of the Business (the “</w:t>
      </w:r>
      <w:r>
        <w:rPr>
          <w:rFonts w:ascii="Arial" w:cs="Arial" w:eastAsia="Arial" w:hAnsi="Arial"/>
          <w:sz w:val="18"/>
          <w:szCs w:val="18"/>
          <w:u w:val="single" w:color="auto"/>
          <w:color w:val="auto"/>
        </w:rPr>
        <w:t>Business Information</w:t>
      </w:r>
      <w:r>
        <w:rPr>
          <w:rFonts w:ascii="Arial" w:cs="Arial" w:eastAsia="Arial" w:hAnsi="Arial"/>
          <w:sz w:val="18"/>
          <w:szCs w:val="18"/>
          <w:color w:val="auto"/>
        </w:rPr>
        <w:t>”);</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74" w:right="279" w:bottom="1440" w:gutter="0" w:footer="0" w:header="0"/>
        </w:sectPr>
      </w:pPr>
    </w:p>
    <w:bookmarkStart w:id="15" w:name="page16"/>
    <w:bookmarkEnd w:id="15"/>
    <w:p>
      <w:pPr>
        <w:ind w:right="160" w:firstLine="443"/>
        <w:spacing w:after="0" w:line="264" w:lineRule="auto"/>
        <w:tabs>
          <w:tab w:leader="none" w:pos="65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telephone and facsimile numbers, email addresses and Internet domain names including those set forth in </w:t>
      </w:r>
      <w:r>
        <w:rPr>
          <w:rFonts w:ascii="Arial" w:cs="Arial" w:eastAsia="Arial" w:hAnsi="Arial"/>
          <w:sz w:val="18"/>
          <w:szCs w:val="18"/>
          <w:u w:val="single" w:color="auto"/>
          <w:color w:val="auto"/>
        </w:rPr>
        <w:t>Schedule 1.1(i)</w:t>
      </w:r>
      <w:r>
        <w:rPr>
          <w:rFonts w:ascii="Arial" w:cs="Arial" w:eastAsia="Arial" w:hAnsi="Arial"/>
          <w:sz w:val="18"/>
          <w:szCs w:val="18"/>
          <w:color w:val="auto"/>
        </w:rPr>
        <w:t>, and all other intangible rights and properties related to the Business or the Purchased Assets, including going concern value and goodwill, and all rights to institute or maintain any action to protect the same and recover damages for any misappropriation or misuse thereof;</w:t>
      </w:r>
    </w:p>
    <w:p>
      <w:pPr>
        <w:spacing w:after="0" w:line="73" w:lineRule="exact"/>
        <w:rPr>
          <w:rFonts w:ascii="Arial" w:cs="Arial" w:eastAsia="Arial" w:hAnsi="Arial"/>
          <w:sz w:val="18"/>
          <w:szCs w:val="18"/>
          <w:color w:val="auto"/>
        </w:rPr>
      </w:pPr>
    </w:p>
    <w:p>
      <w:pPr>
        <w:ind w:right="360" w:firstLine="443"/>
        <w:spacing w:after="0" w:line="259" w:lineRule="auto"/>
        <w:tabs>
          <w:tab w:leader="none" w:pos="653"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claims of Seller against Third Parties or any other Person arising out of the operation of the Business (unless relating exclusively to Retained Assets or Retained Liabilities) or arising from or relating to the Purchased Assets or the Assumed Liabilities, whether choate or inchoate, matured or unmatured, known or unknown, contingent or not contingent, including all insurance benefits, rights and proceeds and all rights arising from or relating to deposits, prepaid expenses, claims for refunds and rights to set-off; and</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computer hardware and software and other assets set forth in </w:t>
      </w:r>
      <w:r>
        <w:rPr>
          <w:rFonts w:ascii="Arial" w:cs="Arial" w:eastAsia="Arial" w:hAnsi="Arial"/>
          <w:sz w:val="18"/>
          <w:szCs w:val="18"/>
          <w:u w:val="single" w:color="auto"/>
          <w:color w:val="auto"/>
        </w:rPr>
        <w:t>Schedule 1.1(k)</w:t>
      </w:r>
      <w:r>
        <w:rPr>
          <w:rFonts w:ascii="Arial" w:cs="Arial" w:eastAsia="Arial" w:hAnsi="Arial"/>
          <w:sz w:val="18"/>
          <w:szCs w:val="18"/>
          <w:color w:val="auto"/>
        </w:rPr>
        <w:t xml:space="preserve"> hereto.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Retained Assets</w:t>
      </w:r>
      <w:r>
        <w:rPr>
          <w:rFonts w:ascii="Arial" w:cs="Arial" w:eastAsia="Arial" w:hAnsi="Arial"/>
          <w:sz w:val="16"/>
          <w:szCs w:val="16"/>
          <w:color w:val="auto"/>
        </w:rPr>
        <w:t>. Buyer is not purchasing from Seller, and Seller is not selling to Buyer, any of the following (collectively, the “</w:t>
      </w:r>
      <w:r>
        <w:rPr>
          <w:rFonts w:ascii="Arial" w:cs="Arial" w:eastAsia="Arial" w:hAnsi="Arial"/>
          <w:sz w:val="16"/>
          <w:szCs w:val="16"/>
          <w:u w:val="single" w:color="auto"/>
          <w:color w:val="auto"/>
        </w:rPr>
        <w:t>Retained Assets</w:t>
      </w:r>
      <w:r>
        <w:rPr>
          <w:rFonts w:ascii="Arial" w:cs="Arial" w:eastAsia="Arial" w:hAnsi="Arial"/>
          <w:sz w:val="16"/>
          <w:szCs w:val="16"/>
          <w:color w:val="auto"/>
        </w:rPr>
        <w:t>”):</w:t>
      </w:r>
    </w:p>
    <w:p>
      <w:pPr>
        <w:spacing w:after="0" w:line="140" w:lineRule="exact"/>
        <w:rPr>
          <w:sz w:val="20"/>
          <w:szCs w:val="20"/>
          <w:color w:val="auto"/>
        </w:rPr>
      </w:pPr>
    </w:p>
    <w:p>
      <w:pPr>
        <w:ind w:left="680" w:hanging="23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cash, cash equivalents and marketable securities;</w:t>
      </w:r>
    </w:p>
    <w:p>
      <w:pPr>
        <w:spacing w:after="0" w:line="117" w:lineRule="exact"/>
        <w:rPr>
          <w:rFonts w:ascii="Arial" w:cs="Arial" w:eastAsia="Arial" w:hAnsi="Arial"/>
          <w:sz w:val="18"/>
          <w:szCs w:val="18"/>
          <w:color w:val="auto"/>
        </w:rPr>
      </w:pPr>
    </w:p>
    <w:p>
      <w:pPr>
        <w:ind w:right="320" w:firstLine="443"/>
        <w:spacing w:after="0" w:line="277"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accounts and notes receivable outstanding as of the Closing, whether or not arising out of the operation of the Business (the “</w:t>
      </w:r>
      <w:r>
        <w:rPr>
          <w:rFonts w:ascii="Arial" w:cs="Arial" w:eastAsia="Arial" w:hAnsi="Arial"/>
          <w:sz w:val="18"/>
          <w:szCs w:val="18"/>
          <w:u w:val="single" w:color="auto"/>
          <w:color w:val="auto"/>
        </w:rPr>
        <w:t>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Receivable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all assets, properties and rights of Seller relating exclusively to Seller’s Systems Control Division, including those listed on </w:t>
      </w:r>
      <w:r>
        <w:rPr>
          <w:rFonts w:ascii="Arial" w:cs="Arial" w:eastAsia="Arial" w:hAnsi="Arial"/>
          <w:sz w:val="16"/>
          <w:szCs w:val="16"/>
          <w:u w:val="single" w:color="auto"/>
          <w:color w:val="auto"/>
        </w:rPr>
        <w:t>Schedule 1.2(c)</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40" w:firstLine="443"/>
        <w:spacing w:after="0" w:line="259" w:lineRule="auto"/>
        <w:tabs>
          <w:tab w:leader="none" w:pos="69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other than the Owned Real Property and all right, title and interest of Seller in the Leases listed on </w:t>
      </w:r>
      <w:r>
        <w:rPr>
          <w:rFonts w:ascii="Arial" w:cs="Arial" w:eastAsia="Arial" w:hAnsi="Arial"/>
          <w:sz w:val="18"/>
          <w:szCs w:val="18"/>
          <w:u w:val="single" w:color="auto"/>
          <w:color w:val="auto"/>
        </w:rPr>
        <w:t>Schedule 1.1(g)</w:t>
      </w:r>
      <w:r>
        <w:rPr>
          <w:rFonts w:ascii="Arial" w:cs="Arial" w:eastAsia="Arial" w:hAnsi="Arial"/>
          <w:sz w:val="18"/>
          <w:szCs w:val="18"/>
          <w:color w:val="auto"/>
        </w:rPr>
        <w:t xml:space="preserve">, all Facilities and other Real Property, whether owned or leased (it being understood that any machinery or equipment used, held for use, useful in or otherwise associated with the Business, including the Tangible Personal Property, regardless of whether attached or affixed to a Facility or Real Property, shall not be considered a Retained Asset under this </w:t>
      </w:r>
      <w:r>
        <w:rPr>
          <w:rFonts w:ascii="Arial" w:cs="Arial" w:eastAsia="Arial" w:hAnsi="Arial"/>
          <w:sz w:val="18"/>
          <w:szCs w:val="18"/>
          <w:u w:val="single" w:color="auto"/>
          <w:color w:val="auto"/>
        </w:rPr>
        <w:t>Section 1.2(d))</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80" w:hanging="237"/>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Contracts (other than the Assigned Contracts) and the Plans;</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loans due from officers or shareholders of Seller;</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Seller’s governance documents and corporate charter, qualifications to conduct business as a foreign corporation, arrangements with</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registered agents relating to foreign qualification, taxpayer and other identification numbers and tax permits, seals, minute books, stockholder and stock transfer records and all other similar corporate records of Seller (although Buyer will be given reasonable access to and copies of such documents pursuant to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82" w:lineRule="exact"/>
        <w:rPr>
          <w:rFonts w:ascii="Arial" w:cs="Arial" w:eastAsia="Arial" w:hAnsi="Arial"/>
          <w:sz w:val="17"/>
          <w:szCs w:val="17"/>
          <w:color w:val="auto"/>
        </w:rPr>
      </w:pPr>
    </w:p>
    <w:p>
      <w:pPr>
        <w:ind w:left="5200" w:right="60" w:hanging="4757"/>
        <w:spacing w:after="0" w:line="449" w:lineRule="auto"/>
        <w:tabs>
          <w:tab w:leader="none" w:pos="688"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income, property and other Tax refunds relating to Tax obligations of Seller to the extent not reflected on the Final Closing Balance Sheet; 3</w:t>
      </w:r>
    </w:p>
    <w:p>
      <w:pPr>
        <w:sectPr>
          <w:pgSz w:w="11900" w:h="16838" w:orient="portrait"/>
          <w:cols w:equalWidth="0" w:num="1">
            <w:col w:w="10940"/>
          </w:cols>
          <w:pgMar w:left="700" w:top="274" w:right="259" w:bottom="1440" w:gutter="0" w:footer="0" w:header="0"/>
        </w:sectPr>
      </w:pPr>
    </w:p>
    <w:bookmarkStart w:id="16" w:name="page17"/>
    <w:bookmarkEnd w:id="16"/>
    <w:p>
      <w:pPr>
        <w:ind w:left="460" w:right="100" w:firstLine="443"/>
        <w:spacing w:after="0" w:line="259" w:lineRule="auto"/>
        <w:tabs>
          <w:tab w:leader="none" w:pos="111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rights and claims of Seller and the Seller Shareholders (A) under this Agreement and all Ancillary Documents or (B) except as set forth in </w:t>
      </w:r>
      <w:r>
        <w:rPr>
          <w:rFonts w:ascii="Arial" w:cs="Arial" w:eastAsia="Arial" w:hAnsi="Arial"/>
          <w:sz w:val="18"/>
          <w:szCs w:val="18"/>
          <w:u w:val="single" w:color="auto"/>
          <w:color w:val="auto"/>
        </w:rPr>
        <w:t>Section 1.1(j)</w:t>
      </w:r>
      <w:r>
        <w:rPr>
          <w:rFonts w:ascii="Arial" w:cs="Arial" w:eastAsia="Arial" w:hAnsi="Arial"/>
          <w:sz w:val="18"/>
          <w:szCs w:val="18"/>
          <w:color w:val="auto"/>
        </w:rPr>
        <w:t xml:space="preserve">, under all insurance policies and programs maintained by any of them at any time prior to the Closing, including all product liability coverage, any coverage applicable to any properties or assets described in </w:t>
      </w:r>
      <w:r>
        <w:rPr>
          <w:rFonts w:ascii="Arial" w:cs="Arial" w:eastAsia="Arial" w:hAnsi="Arial"/>
          <w:sz w:val="18"/>
          <w:szCs w:val="18"/>
          <w:u w:val="single" w:color="auto"/>
          <w:color w:val="auto"/>
        </w:rPr>
        <w:t>Section 1.2(c)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1.2(d)</w:t>
      </w:r>
      <w:r>
        <w:rPr>
          <w:rFonts w:ascii="Arial" w:cs="Arial" w:eastAsia="Arial" w:hAnsi="Arial"/>
          <w:sz w:val="18"/>
          <w:szCs w:val="18"/>
          <w:color w:val="auto"/>
        </w:rPr>
        <w:t xml:space="preserve"> above and any policy under which Seller is responsible for administering claims under this Agreement or any Ancillary Document;</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assets set forth in </w:t>
      </w:r>
      <w:r>
        <w:rPr>
          <w:rFonts w:ascii="Arial" w:cs="Arial" w:eastAsia="Arial" w:hAnsi="Arial"/>
          <w:sz w:val="18"/>
          <w:szCs w:val="18"/>
          <w:u w:val="single" w:color="auto"/>
          <w:color w:val="auto"/>
        </w:rPr>
        <w:t>Schedule 1.2(j)</w:t>
      </w:r>
      <w:r>
        <w:rPr>
          <w:rFonts w:ascii="Arial" w:cs="Arial" w:eastAsia="Arial" w:hAnsi="Arial"/>
          <w:sz w:val="18"/>
          <w:szCs w:val="18"/>
          <w:color w:val="auto"/>
        </w:rPr>
        <w:t xml:space="preserve"> hereto;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computer equipment and hardware listed on </w:t>
      </w:r>
      <w:r>
        <w:rPr>
          <w:rFonts w:ascii="Arial" w:cs="Arial" w:eastAsia="Arial" w:hAnsi="Arial"/>
          <w:sz w:val="18"/>
          <w:szCs w:val="18"/>
          <w:u w:val="single" w:color="auto"/>
          <w:color w:val="auto"/>
        </w:rPr>
        <w:t>Schedule 1.2(k)</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At the Closing, Buyer will assume and agree to pay, perform and discharge when due only the following Liabilities of Seller, in each case to the extent exclusively related to the Business (collectively,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62" w:lineRule="exact"/>
        <w:rPr>
          <w:sz w:val="20"/>
          <w:szCs w:val="20"/>
          <w:color w:val="auto"/>
        </w:rPr>
      </w:pPr>
    </w:p>
    <w:p>
      <w:pPr>
        <w:ind w:left="460" w:firstLine="443"/>
        <w:spacing w:after="0" w:line="276" w:lineRule="auto"/>
        <w:tabs>
          <w:tab w:leader="none" w:pos="11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those Liabilities that arise after the Closing Date under the Assigned Contracts, in each case in accordance with the stated written terms thereof (but excluding (i) any Liability to the extent arising out of or relating to any Breach by Seller thereunder or as a result of the Closing (except for a failure to obtain a consent listed on </w:t>
      </w:r>
      <w:r>
        <w:rPr>
          <w:rFonts w:ascii="Arial" w:cs="Arial" w:eastAsia="Arial" w:hAnsi="Arial"/>
          <w:sz w:val="17"/>
          <w:szCs w:val="17"/>
          <w:u w:val="single" w:color="auto"/>
          <w:color w:val="auto"/>
        </w:rPr>
        <w:t>Schedule 3.2(k))</w:t>
      </w:r>
      <w:r>
        <w:rPr>
          <w:rFonts w:ascii="Arial" w:cs="Arial" w:eastAsia="Arial" w:hAnsi="Arial"/>
          <w:sz w:val="17"/>
          <w:szCs w:val="17"/>
          <w:color w:val="auto"/>
        </w:rPr>
        <w:t xml:space="preserve"> and (ii) any indemnification or similar Liabilities thereunder (whether or not based on a Breach) to the extent arising out of or relating to actions, omissions, circumstances or events occurring or existing on or prior to the Closing Date or as a result of the Closing) (except for a failure to obtain a consent listed on </w:t>
      </w:r>
      <w:r>
        <w:rPr>
          <w:rFonts w:ascii="Arial" w:cs="Arial" w:eastAsia="Arial" w:hAnsi="Arial"/>
          <w:sz w:val="17"/>
          <w:szCs w:val="17"/>
          <w:u w:val="single" w:color="auto"/>
          <w:color w:val="auto"/>
        </w:rPr>
        <w:t>Schedule 3.2(k))</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460" w:right="220" w:firstLine="443"/>
        <w:spacing w:after="0" w:line="257" w:lineRule="auto"/>
        <w:tabs>
          <w:tab w:leader="none" w:pos="11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any Liability to customers of the Business in accordance with the stated written terms of the warranties disclosed in </w:t>
      </w:r>
      <w:r>
        <w:rPr>
          <w:rFonts w:ascii="Arial" w:cs="Arial" w:eastAsia="Arial" w:hAnsi="Arial"/>
          <w:sz w:val="18"/>
          <w:szCs w:val="18"/>
          <w:u w:val="single" w:color="auto"/>
          <w:color w:val="auto"/>
        </w:rPr>
        <w:t>Schedule 4.22</w:t>
      </w:r>
      <w:r>
        <w:rPr>
          <w:rFonts w:ascii="Arial" w:cs="Arial" w:eastAsia="Arial" w:hAnsi="Arial"/>
          <w:sz w:val="18"/>
          <w:szCs w:val="18"/>
          <w:color w:val="auto"/>
        </w:rPr>
        <w:t xml:space="preserve"> given to customers of the Business in the Ordinary Course of Business prior to the Closing Date, but specifically excluding any Product Liability Claim or personal injury claim, whenever made, that arises out of any finished good inventory in existence as of the Closing and included in the Purchased Assets (“</w:t>
      </w:r>
      <w:r>
        <w:rPr>
          <w:rFonts w:ascii="Arial" w:cs="Arial" w:eastAsia="Arial" w:hAnsi="Arial"/>
          <w:sz w:val="18"/>
          <w:szCs w:val="18"/>
          <w:u w:val="single" w:color="auto"/>
          <w:color w:val="auto"/>
        </w:rPr>
        <w:t>Existing Finished Goods</w:t>
      </w:r>
      <w:r>
        <w:rPr>
          <w:rFonts w:ascii="Arial" w:cs="Arial" w:eastAsia="Arial" w:hAnsi="Arial"/>
          <w:sz w:val="18"/>
          <w:szCs w:val="18"/>
          <w:color w:val="auto"/>
        </w:rPr>
        <w:t>”) or the use or operation of the products manufactured or sold, or services provided, by the Business prior to the Closing (the “</w:t>
      </w:r>
      <w:r>
        <w:rPr>
          <w:rFonts w:ascii="Arial" w:cs="Arial" w:eastAsia="Arial" w:hAnsi="Arial"/>
          <w:sz w:val="18"/>
          <w:szCs w:val="18"/>
          <w:u w:val="single" w:color="auto"/>
          <w:color w:val="auto"/>
        </w:rPr>
        <w:t>Assumed Warranty Liabilities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60" w:right="120" w:firstLine="443"/>
        <w:spacing w:after="0" w:line="286" w:lineRule="auto"/>
        <w:tabs>
          <w:tab w:leader="none" w:pos="11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any trade accounts payable, vouchers payable and accrued expenses, including accruals for marketing programs or co-operative advertising and municipal discounts, incurred in the Ordinary Course of Business (but excluding (i) any amounts owing to a Seller Shareholder or to any Affiliate of Seller and (ii) all costs, fees and expenses described in </w:t>
      </w:r>
      <w:r>
        <w:rPr>
          <w:rFonts w:ascii="Arial" w:cs="Arial" w:eastAsia="Arial" w:hAnsi="Arial"/>
          <w:sz w:val="17"/>
          <w:szCs w:val="17"/>
          <w:u w:val="single" w:color="auto"/>
          <w:color w:val="auto"/>
        </w:rPr>
        <w:t>Section 12.5</w:t>
      </w:r>
      <w:r>
        <w:rPr>
          <w:rFonts w:ascii="Arial" w:cs="Arial" w:eastAsia="Arial" w:hAnsi="Arial"/>
          <w:sz w:val="17"/>
          <w:szCs w:val="17"/>
          <w:color w:val="auto"/>
        </w:rPr>
        <w:t>) (the “</w:t>
      </w:r>
      <w:r>
        <w:rPr>
          <w:rFonts w:ascii="Arial" w:cs="Arial" w:eastAsia="Arial" w:hAnsi="Arial"/>
          <w:sz w:val="17"/>
          <w:szCs w:val="17"/>
          <w:u w:val="single" w:color="auto"/>
          <w:color w:val="auto"/>
        </w:rPr>
        <w:t>Assumed Accounts Payable</w:t>
      </w:r>
      <w:r>
        <w:rPr>
          <w:rFonts w:ascii="Arial" w:cs="Arial" w:eastAsia="Arial" w:hAnsi="Arial"/>
          <w:sz w:val="17"/>
          <w:szCs w:val="17"/>
          <w:color w:val="auto"/>
        </w:rPr>
        <w:t>”); and</w:t>
      </w:r>
    </w:p>
    <w:p>
      <w:pPr>
        <w:spacing w:after="0" w:line="57" w:lineRule="exact"/>
        <w:rPr>
          <w:rFonts w:ascii="Arial" w:cs="Arial" w:eastAsia="Arial" w:hAnsi="Arial"/>
          <w:sz w:val="17"/>
          <w:szCs w:val="17"/>
          <w:color w:val="auto"/>
        </w:rPr>
      </w:pPr>
    </w:p>
    <w:p>
      <w:pPr>
        <w:ind w:left="460" w:right="300" w:firstLine="443"/>
        <w:spacing w:after="0" w:line="342" w:lineRule="auto"/>
        <w:tabs>
          <w:tab w:leader="none" w:pos="11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accrued but unused vacation balance and accrued sick pay, and accrued compensation, bonuses and commissions, in each case of each Business Employee who becomes a Hired Business Employee on the Buyer Employment Start Date (the “</w:t>
      </w:r>
      <w:r>
        <w:rPr>
          <w:rFonts w:ascii="Arial" w:cs="Arial" w:eastAsia="Arial" w:hAnsi="Arial"/>
          <w:sz w:val="16"/>
          <w:szCs w:val="16"/>
          <w:u w:val="single" w:color="auto"/>
          <w:color w:val="auto"/>
        </w:rPr>
        <w:t>Assumed Employee Liabilities</w:t>
      </w:r>
      <w:r>
        <w:rPr>
          <w:rFonts w:ascii="Arial" w:cs="Arial" w:eastAsia="Arial" w:hAnsi="Arial"/>
          <w:sz w:val="16"/>
          <w:szCs w:val="16"/>
          <w:color w:val="auto"/>
        </w:rPr>
        <w:t>”).</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Except for the Assumed Liabilities, Buyer is not assuming and expressly disclaims the assumption of any Liabilities of Seller, whether or not such Liabilities arise from or relate to the Business or the Purchased Assets (all Liabilities of Seller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7" w:name="page18"/>
    <w:bookmarkEnd w:id="17"/>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the Assumed Liabilities are referred to herein as the “</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Without limiting the generality of the foregoing, and solely for purposes of clarity, the Retained Liabilities include:</w:t>
      </w:r>
    </w:p>
    <w:p>
      <w:pPr>
        <w:spacing w:after="0" w:line="62" w:lineRule="exact"/>
        <w:rPr>
          <w:sz w:val="20"/>
          <w:szCs w:val="20"/>
          <w:color w:val="auto"/>
        </w:rPr>
      </w:pPr>
    </w:p>
    <w:p>
      <w:pPr>
        <w:ind w:left="460" w:right="20" w:firstLine="443"/>
        <w:spacing w:after="0" w:line="264" w:lineRule="auto"/>
        <w:tabs>
          <w:tab w:leader="none" w:pos="11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Liabilities arising from or relating to products manufactured or sold, or services provided, by Seller in operating the Business on or prior to the Closing, including Liabilities arising from or relating to Product Liability Claims (other than any Assumed Warranty Liabilities), personal injury claims, rebates, credits, discounts, cost guarantees, price commitments, price allowances or incentives;</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Liabilities arising from or relating to Indebtedness (including any Encumbrances securing such Indebtedness), accrued expenses, accounts payable, or other payment obligations of Seller that do not constitute or are excluded from the Assumed Liabilities;</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Liabilities of Seller arising from or relating to the Assigned Contracts that do not constitute or are excluded from the Assumed Liabilities;</w:t>
      </w:r>
    </w:p>
    <w:p>
      <w:pPr>
        <w:spacing w:after="0" w:line="140" w:lineRule="exact"/>
        <w:rPr>
          <w:rFonts w:ascii="Arial" w:cs="Arial" w:eastAsia="Arial" w:hAnsi="Arial"/>
          <w:sz w:val="16"/>
          <w:szCs w:val="16"/>
          <w:color w:val="auto"/>
        </w:rPr>
      </w:pPr>
    </w:p>
    <w:p>
      <w:pPr>
        <w:ind w:left="460" w:right="140" w:firstLine="443"/>
        <w:spacing w:after="0" w:line="342" w:lineRule="auto"/>
        <w:tabs>
          <w:tab w:leader="none" w:pos="11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all Liabilities of Seller for Taxes whenever and however arising, including Taxes arising from or relating to the transactions contemplated by this Agreement (other than as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Taxes arising from Seller’s operations and Seller’s deferred Tax obligations;</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Liabilities arising from or relating to any Proceeding or Order to which Seller or any of its Affiliates is a party or is otherwise bound;</w:t>
      </w:r>
    </w:p>
    <w:p>
      <w:pPr>
        <w:spacing w:after="0" w:line="128" w:lineRule="exact"/>
        <w:rPr>
          <w:rFonts w:ascii="Arial" w:cs="Arial" w:eastAsia="Arial" w:hAnsi="Arial"/>
          <w:sz w:val="17"/>
          <w:szCs w:val="17"/>
          <w:color w:val="auto"/>
        </w:rPr>
      </w:pPr>
    </w:p>
    <w:p>
      <w:pPr>
        <w:ind w:left="460" w:right="300" w:firstLine="443"/>
        <w:spacing w:after="0" w:line="286" w:lineRule="auto"/>
        <w:tabs>
          <w:tab w:leader="none" w:pos="11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Liabilities arising from or relating to any shareholder of Seller, and any option holders, warrant holders or other owners or holders of derivative securities, convertible debt or similar rights relating to any capital stock or other equity of Seller, including Liabilities relating to amounts which may be distributed or paid to such Persons in connection with the transactions contemplated by this Agreement;</w:t>
      </w:r>
    </w:p>
    <w:p>
      <w:pPr>
        <w:spacing w:after="0" w:line="57" w:lineRule="exact"/>
        <w:rPr>
          <w:rFonts w:ascii="Arial" w:cs="Arial" w:eastAsia="Arial" w:hAnsi="Arial"/>
          <w:sz w:val="17"/>
          <w:szCs w:val="17"/>
          <w:color w:val="auto"/>
        </w:rPr>
      </w:pPr>
    </w:p>
    <w:p>
      <w:pPr>
        <w:ind w:left="460" w:firstLine="443"/>
        <w:spacing w:after="0" w:line="273" w:lineRule="auto"/>
        <w:tabs>
          <w:tab w:leader="none" w:pos="11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other than the Assumed Employee Liabilities and Buyer’s obligations under </w:t>
      </w:r>
      <w:r>
        <w:rPr>
          <w:rFonts w:ascii="Arial" w:cs="Arial" w:eastAsia="Arial" w:hAnsi="Arial"/>
          <w:sz w:val="17"/>
          <w:szCs w:val="17"/>
          <w:u w:val="single" w:color="auto"/>
          <w:color w:val="auto"/>
        </w:rPr>
        <w:t>Section 11.2(d)</w:t>
      </w:r>
      <w:r>
        <w:rPr>
          <w:rFonts w:ascii="Arial" w:cs="Arial" w:eastAsia="Arial" w:hAnsi="Arial"/>
          <w:sz w:val="17"/>
          <w:szCs w:val="17"/>
          <w:color w:val="auto"/>
        </w:rPr>
        <w:t>, and subject to the terms of the Transition Services Agreement and the Personnel Agreement, all Liabilities arising from or relating to the employment, retention or termination of employment by Seller of all Business Employees and any other current or former officers, directors, employees or independent contractors of Seller, including all Liabilities for salaries, bonuses, option payouts, withholding, expense reimbursements, benefits or severance payments and all Liabilities to indemnify, reimburse or advance any amounts to any officer, director, employee, consultant or other agent or representative of Seller (whether in connection with the transactions contemplated by this Agreement or otherwise);</w:t>
      </w:r>
    </w:p>
    <w:p>
      <w:pPr>
        <w:spacing w:after="0" w:line="70" w:lineRule="exact"/>
        <w:rPr>
          <w:rFonts w:ascii="Arial" w:cs="Arial" w:eastAsia="Arial" w:hAnsi="Arial"/>
          <w:sz w:val="17"/>
          <w:szCs w:val="17"/>
          <w:color w:val="auto"/>
        </w:rPr>
      </w:pPr>
    </w:p>
    <w:p>
      <w:pPr>
        <w:ind w:left="460" w:right="18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Product Liability Claim or personal injury claim, whenever made, that arises out of any Existing Finished Goods or the use or operation of the products manufactured or sold, or services provided, by the Business prior to the Closing; and</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except for those Liabilities specifically described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all Liabilities otherwise arising from or relating to Seller’s use, ownership or operation of the Business or the Purchased Assets on or prior to the Closing, including all Liabilities of Seller under applicable Environmental Laws and all matters identified on </w:t>
      </w:r>
      <w:r>
        <w:rPr>
          <w:rFonts w:ascii="Arial" w:cs="Arial" w:eastAsia="Arial" w:hAnsi="Arial"/>
          <w:sz w:val="18"/>
          <w:szCs w:val="18"/>
          <w:u w:val="single" w:color="auto"/>
          <w:color w:val="auto"/>
        </w:rPr>
        <w:t>Schedule 4.20</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PURCHASE PRICE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17" w:lineRule="exact"/>
        <w:rPr>
          <w:sz w:val="20"/>
          <w:szCs w:val="20"/>
          <w:color w:val="auto"/>
        </w:rPr>
      </w:pPr>
    </w:p>
    <w:p>
      <w:pPr>
        <w:ind w:left="680" w:hanging="237"/>
        <w:spacing w:after="0"/>
        <w:tabs>
          <w:tab w:leader="none" w:pos="6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addition to the assumption by Buyer of the Assumed Liabilities, the consideration for the Purchased Assets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will be</w:t>
      </w:r>
    </w:p>
    <w:p>
      <w:pPr>
        <w:spacing w:after="0" w:line="46" w:lineRule="exact"/>
        <w:rPr>
          <w:rFonts w:ascii="Arial" w:cs="Arial" w:eastAsia="Arial" w:hAnsi="Arial"/>
          <w:sz w:val="16"/>
          <w:szCs w:val="16"/>
          <w:color w:val="auto"/>
        </w:rPr>
      </w:pPr>
    </w:p>
    <w:p>
      <w:pPr>
        <w:ind w:left="220" w:hanging="216"/>
        <w:spacing w:after="0"/>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$227,300,000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book value as of the Closing of the Inventory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book value as of the Closing of the Prepaid Expenses </w:t>
      </w:r>
      <w:r>
        <w:rPr>
          <w:rFonts w:ascii="Arial" w:cs="Arial" w:eastAsia="Arial" w:hAnsi="Arial"/>
          <w:sz w:val="16"/>
          <w:szCs w:val="16"/>
          <w:u w:val="single" w:color="auto"/>
          <w:color w:val="auto"/>
        </w:rPr>
        <w:t>minus</w:t>
      </w:r>
    </w:p>
    <w:p>
      <w:pPr>
        <w:spacing w:after="0" w:line="32" w:lineRule="exact"/>
        <w:rPr>
          <w:rFonts w:ascii="Arial" w:cs="Arial" w:eastAsia="Arial" w:hAnsi="Arial"/>
          <w:sz w:val="16"/>
          <w:szCs w:val="16"/>
          <w:color w:val="auto"/>
        </w:rPr>
      </w:pPr>
    </w:p>
    <w:p>
      <w:pPr>
        <w:ind w:left="300" w:hanging="296"/>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book value as of the Closing of the Assumed Liabilities, it being agreed that for purposes of the Assumed Liabilities described in</w:t>
      </w:r>
    </w:p>
    <w:p>
      <w:pPr>
        <w:spacing w:after="0" w:line="9" w:lineRule="exact"/>
        <w:rPr>
          <w:rFonts w:ascii="Arial" w:cs="Arial" w:eastAsia="Arial" w:hAnsi="Arial"/>
          <w:sz w:val="18"/>
          <w:szCs w:val="18"/>
          <w:color w:val="auto"/>
        </w:rPr>
      </w:pPr>
    </w:p>
    <w:p>
      <w:pPr>
        <w:ind w:right="80"/>
        <w:spacing w:after="0" w:line="288" w:lineRule="auto"/>
        <w:rPr>
          <w:rFonts w:ascii="Arial" w:cs="Arial" w:eastAsia="Arial" w:hAnsi="Arial"/>
          <w:sz w:val="18"/>
          <w:szCs w:val="18"/>
          <w:color w:val="auto"/>
        </w:rPr>
      </w:pP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the book value of such Assumed Liability will be the reserve for warranty expenses set forth on the Final Closing Balance Sheet. The net amount of the foregoing clauses (ii), (iii) and (iv), as set forth on the Final Closing Balance Sheet which shall be prepared in accordance with the assumptions and methodologies used in preparing the audited balance sheet of the Seller as at December 31, 2013 that was previously delivered to Buyer and such other assumptions and methodologies (including as to inventory valuation and the establishment of general and specific reserves) described on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attached hereto, is referred to herein as the “</w:t>
      </w:r>
      <w:r>
        <w:rPr>
          <w:rFonts w:ascii="Arial" w:cs="Arial" w:eastAsia="Arial" w:hAnsi="Arial"/>
          <w:sz w:val="16"/>
          <w:szCs w:val="16"/>
          <w:u w:val="single" w:color="auto"/>
          <w:color w:val="auto"/>
        </w:rPr>
        <w:t>Closing Net Assets</w:t>
      </w:r>
      <w:r>
        <w:rPr>
          <w:rFonts w:ascii="Arial" w:cs="Arial" w:eastAsia="Arial" w:hAnsi="Arial"/>
          <w:sz w:val="16"/>
          <w:szCs w:val="16"/>
          <w:color w:val="auto"/>
        </w:rPr>
        <w:t xml:space="preserve">”. In the event of any conflict between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shall govern and control with respect to the matters set forth therein. The Purchase Price will be payable as described in the remaining provisions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will be subject to adjustment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60" w:lineRule="exact"/>
        <w:rPr>
          <w:rFonts w:ascii="Arial" w:cs="Arial" w:eastAsia="Arial" w:hAnsi="Arial"/>
          <w:sz w:val="18"/>
          <w:szCs w:val="18"/>
          <w:color w:val="auto"/>
        </w:rPr>
      </w:pPr>
    </w:p>
    <w:p>
      <w:pPr>
        <w:ind w:firstLine="443"/>
        <w:spacing w:after="0" w:line="253" w:lineRule="auto"/>
        <w:tabs>
          <w:tab w:leader="none" w:pos="6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All of the Purchase Price will be payable in cash except for $30,000,000 which will be paid by an unsecured promissory note issued by Buyer to Seller at the Closing which note will provide for three principal payments of $10,000,000 on each of the first, second and third anniversary dates of the Closing and will bear simple interest at the rate of 4.0% per annum and will be in form and substance substantially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Promissory Note</w:t>
      </w:r>
      <w:r>
        <w:rPr>
          <w:rFonts w:ascii="Arial" w:cs="Arial" w:eastAsia="Arial" w:hAnsi="Arial"/>
          <w:sz w:val="18"/>
          <w:szCs w:val="18"/>
          <w:color w:val="auto"/>
        </w:rPr>
        <w:t xml:space="preserve">”). All Purchased Assets other than goodwill shall be sold in exchange for cash, and any remaining Purchase Price (including the Promissory Note) not allocated to other Purchased Assets shall be applied to goodwill. The Promissory Note will serve as the first, but not the exclusive, source of funds to satisfy (i) any and all indemnification obligations of Seller and the Seller Shareholders under this Agreement except for any obligation of Seller under </w:t>
      </w:r>
      <w:r>
        <w:rPr>
          <w:rFonts w:ascii="Arial" w:cs="Arial" w:eastAsia="Arial" w:hAnsi="Arial"/>
          <w:sz w:val="18"/>
          <w:szCs w:val="18"/>
          <w:u w:val="single" w:color="auto"/>
          <w:color w:val="auto"/>
        </w:rPr>
        <w:t>Section 2.3(d)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which shall be payable directly by Seller if applicable and (ii) any liquidated damages to which Buyer is entitled under the Employment Agreement, and will also be subject to offset as provided in Section 2.10(c) of the Personnel Agreement.</w:t>
      </w:r>
    </w:p>
    <w:p>
      <w:pPr>
        <w:spacing w:after="0" w:line="89" w:lineRule="exact"/>
        <w:rPr>
          <w:rFonts w:ascii="Arial" w:cs="Arial" w:eastAsia="Arial" w:hAnsi="Arial"/>
          <w:sz w:val="18"/>
          <w:szCs w:val="18"/>
          <w:color w:val="auto"/>
        </w:rPr>
      </w:pPr>
    </w:p>
    <w:p>
      <w:pPr>
        <w:ind w:right="480" w:firstLine="443"/>
        <w:spacing w:after="0" w:line="277" w:lineRule="auto"/>
        <w:tabs>
          <w:tab w:leader="none" w:pos="683"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At the Closing, an amount of cash equal to (i) $197,300,000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Estimated Net Assets will be paid to Seller (the “</w:t>
      </w:r>
      <w:r>
        <w:rPr>
          <w:rFonts w:ascii="Arial" w:cs="Arial" w:eastAsia="Arial" w:hAnsi="Arial"/>
          <w:sz w:val="18"/>
          <w:szCs w:val="18"/>
          <w:u w:val="single" w:color="auto"/>
          <w:color w:val="auto"/>
        </w:rPr>
        <w:t>Closing Cash</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by wire transfer of immediately available funds to a bank account designated in writing by Seller.</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7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Pre-Closing Inventory Count; Estimated Net Assets</w:t>
      </w:r>
      <w:r>
        <w:rPr>
          <w:rFonts w:ascii="Arial" w:cs="Arial" w:eastAsia="Arial" w:hAnsi="Arial"/>
          <w:sz w:val="18"/>
          <w:szCs w:val="18"/>
          <w:color w:val="auto"/>
        </w:rPr>
        <w:t>.</w:t>
      </w:r>
    </w:p>
    <w:p>
      <w:pPr>
        <w:spacing w:after="0" w:line="117" w:lineRule="exact"/>
        <w:rPr>
          <w:sz w:val="20"/>
          <w:szCs w:val="20"/>
          <w:color w:val="auto"/>
        </w:rPr>
      </w:pPr>
    </w:p>
    <w:p>
      <w:pPr>
        <w:ind w:right="40" w:firstLine="443"/>
        <w:spacing w:after="0" w:line="273" w:lineRule="auto"/>
        <w:tabs>
          <w:tab w:leader="none" w:pos="6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or about November 1, 2014, Seller and Buyer will jointly conduct a physical count of the serialized finished goods that are included in the inventory of the Business. On or about one week before the anticipated Closing Date, Buyer and Seller will jointly conduct a physical count of up to 200 SKUs of High Value Components, or a subset thereof, and a random sample count of cut steel that are included in the inventory of the Business. The results of the foregoing inventory counts will be “rolled forward” to the Closing Date and will be used, along with the information included in Seller’s perpetual inventory record keeping system for all other inventory items, to establish the quantities of the items constituting the Inventory included in the Purchased Assets solely for purposes of calculating the Estimated Net Assets.</w:t>
      </w:r>
    </w:p>
    <w:p>
      <w:pPr>
        <w:spacing w:after="0" w:line="70" w:lineRule="exact"/>
        <w:rPr>
          <w:rFonts w:ascii="Arial" w:cs="Arial" w:eastAsia="Arial" w:hAnsi="Arial"/>
          <w:sz w:val="17"/>
          <w:szCs w:val="17"/>
          <w:color w:val="auto"/>
        </w:rPr>
      </w:pPr>
    </w:p>
    <w:p>
      <w:pPr>
        <w:ind w:right="160" w:firstLine="443"/>
        <w:spacing w:after="0" w:line="257" w:lineRule="auto"/>
        <w:tabs>
          <w:tab w:leader="none" w:pos="6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least five Business Days prior to the anticipated Closing Date, Seller will deliver to Buyer a certificate of Seller executed on its behalf by Seller’s chief financial officer that sets forth in reasonable detail Seller’s good faith estimate of the Closing Net Assets (the “</w:t>
      </w:r>
      <w:r>
        <w:rPr>
          <w:rFonts w:ascii="Arial" w:cs="Arial" w:eastAsia="Arial" w:hAnsi="Arial"/>
          <w:sz w:val="18"/>
          <w:szCs w:val="18"/>
          <w:u w:val="single" w:color="auto"/>
          <w:color w:val="auto"/>
        </w:rPr>
        <w:t>Estimated Net Assets</w:t>
      </w:r>
      <w:r>
        <w:rPr>
          <w:rFonts w:ascii="Arial" w:cs="Arial" w:eastAsia="Arial" w:hAnsi="Arial"/>
          <w:sz w:val="18"/>
          <w:szCs w:val="18"/>
          <w:color w:val="auto"/>
        </w:rPr>
        <w:t xml:space="preserve">”), along with supporting detail therefor, such estimate to be prepared in accordance with (i) the assumptions and methodologies used in preparing the audited balance sheet of the Seller as at December 31, 2013 that was previously delivered to the Buyer, (ii) the principles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(iii) the provisions of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90" w:lineRule="auto"/>
        <w:tabs>
          <w:tab w:leader="none" w:pos="6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Within 30 days after receipt by Buyer of the audited balance sheet of the Business as of the Closing Date as contemplated in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or, if Buyer waives in writing the requirement of Seller to deliver such a balance sheet then within 90 days after the Closing, Buyer will deliver to Seller a balance sheet of the Business as at the Closing Date setting forth thereon Buyer’s calculation of Closing Net Assets (the “</w:t>
      </w:r>
      <w:r>
        <w:rPr>
          <w:rFonts w:ascii="Arial" w:cs="Arial" w:eastAsia="Arial" w:hAnsi="Arial"/>
          <w:sz w:val="16"/>
          <w:szCs w:val="16"/>
          <w:u w:val="single" w:color="auto"/>
          <w:color w:val="auto"/>
        </w:rPr>
        <w:t>Closing Balance Sheet</w:t>
      </w:r>
      <w:r>
        <w:rPr>
          <w:rFonts w:ascii="Arial" w:cs="Arial" w:eastAsia="Arial" w:hAnsi="Arial"/>
          <w:sz w:val="16"/>
          <w:szCs w:val="16"/>
          <w:color w:val="auto"/>
        </w:rPr>
        <w:t xml:space="preserve">”). The Closing Balance Sheet shall be prepared in accordance with (i) the assumptions and methodologies used in preparing the audited balance sheet of the Seller as at December 31, 2013 previously delivered to Buyer, and (ii) the principles described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If an audited balance sheet of the Business as of the Closing Date is delivered pursuant to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the Closing Balance Sheet will be consistent with such audited balance sheet except that the same shall be adjusted as necessary to reflect the principles described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thereto. The Closing Balance Sheet will incorporate, without adjustment, the quantities of the items of inventory as determined under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firstLine="443"/>
        <w:spacing w:after="0" w:line="293" w:lineRule="auto"/>
        <w:tabs>
          <w:tab w:leader="none" w:pos="6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Seller will have 30 days after its receipt of the Closing Balance Sheet to notify Buyer in writing of any objections to the Closing Balance Sheet (including Buyer’s calculation of Closing Net Assets), specifying in reasonable detail the nature of and basis for each objection (a “</w:t>
      </w:r>
      <w:r>
        <w:rPr>
          <w:rFonts w:ascii="Arial" w:cs="Arial" w:eastAsia="Arial" w:hAnsi="Arial"/>
          <w:sz w:val="16"/>
          <w:szCs w:val="16"/>
          <w:u w:val="single" w:color="auto"/>
          <w:color w:val="auto"/>
        </w:rPr>
        <w:t>Balance Sheet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Objection Notice</w:t>
      </w:r>
      <w:r>
        <w:rPr>
          <w:rFonts w:ascii="Arial" w:cs="Arial" w:eastAsia="Arial" w:hAnsi="Arial"/>
          <w:sz w:val="16"/>
          <w:szCs w:val="16"/>
          <w:color w:val="auto"/>
        </w:rPr>
        <w:t>”). Seller (and Seller’s accountants and other representatives) will be given full access to all relevant books, records and employees of Buyer (and of Buyer’s accountants and other representatives) to the extent reasonably required to complete its review of the Closing Balance Sheet. If Seller fails to timely deliver a Balance Sheet Objection Notice, Seller will be deemed to have accepted and agreed to the Closing Balance Sheet (including Buyer’s calculation of Closing Net Assets) as delivered by Buyer. If Seller timely delivers a Balance Sheet Objection</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74" w:right="259" w:bottom="1440" w:gutter="0" w:footer="0" w:header="0"/>
        </w:sectPr>
      </w:pPr>
    </w:p>
    <w:bookmarkStart w:id="20" w:name="page21"/>
    <w:bookmarkEnd w:id="20"/>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Seller and Buyer will, within 30 days following the date of such notice (the “</w:t>
      </w:r>
      <w:r>
        <w:rPr>
          <w:rFonts w:ascii="Arial" w:cs="Arial" w:eastAsia="Arial" w:hAnsi="Arial"/>
          <w:sz w:val="18"/>
          <w:szCs w:val="18"/>
          <w:u w:val="single" w:color="auto"/>
          <w:color w:val="auto"/>
        </w:rPr>
        <w:t>Balance Sheet Resolution Period</w:t>
      </w:r>
      <w:r>
        <w:rPr>
          <w:rFonts w:ascii="Arial" w:cs="Arial" w:eastAsia="Arial" w:hAnsi="Arial"/>
          <w:sz w:val="18"/>
          <w:szCs w:val="18"/>
          <w:color w:val="auto"/>
        </w:rPr>
        <w:t>”), attempt in good faith to resolve their differences, and any resolution between them as to disputed items will be final, binding and conclusive on, and nonappealable by, the parties hereto.</w:t>
      </w:r>
    </w:p>
    <w:p>
      <w:pPr>
        <w:spacing w:after="0" w:line="73" w:lineRule="exact"/>
        <w:rPr>
          <w:sz w:val="20"/>
          <w:szCs w:val="20"/>
          <w:color w:val="auto"/>
        </w:rPr>
      </w:pPr>
    </w:p>
    <w:p>
      <w:pPr>
        <w:ind w:firstLine="443"/>
        <w:spacing w:after="0" w:line="286" w:lineRule="auto"/>
        <w:tabs>
          <w:tab w:leader="none" w:pos="6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at the conclusion of the Balance Sheet Resolution Period, Seller and Buyer have not reached an agreement regarding Seller’s objections, then all issues set forth in the Balance Sheet Objection Notice remaining in dispute may, at the election of either Seller or Buyer, be submitted for resolution to Baker Tilly Virchow Krause, LLP or such other Neutral Auditor as may be appointed by mutual agreement of the parties in accordance herewith. Each party agrees to execute, if requested by the Neutral Auditor, a reasonable engagement letter. All fees and expenses relating to the work, if any, to be performed by the Neutral Auditor will be borne one-half by Seller and one-half by Buyer. Except as provided in the preceding sentence, all other costs and expenses incurred by the parties in connection with resolving any dispute before the Neutral Auditor will be borne by the party incurring such costs and expenses. The Neutral Auditor will act as an arbitrator to determine, based solely on the presentations by Seller and Buyer, and not by independent review, only those issues still in dispute. The Neutral Auditor’s determination (i) will be made within 30 days of its engagement (which engagement will be made no later than three Business Days after an election by either Seller or Buyer to submit the objections to the Neutral Auditor) or as soon thereafter as possible; (ii) will be set forth in a written statement delivered to Seller and Buyer; (iii) will be final, binding and conclusive on, and nonappealable by, the parties hereto; and (iv) will be enforceable as a judgment in any court of competent jurisdiction. The term “</w:t>
      </w:r>
      <w:r>
        <w:rPr>
          <w:rFonts w:ascii="Arial" w:cs="Arial" w:eastAsia="Arial" w:hAnsi="Arial"/>
          <w:sz w:val="16"/>
          <w:szCs w:val="16"/>
          <w:u w:val="single" w:color="auto"/>
          <w:color w:val="auto"/>
        </w:rPr>
        <w:t>Final Closing Balance Sheet</w:t>
      </w:r>
      <w:r>
        <w:rPr>
          <w:rFonts w:ascii="Arial" w:cs="Arial" w:eastAsia="Arial" w:hAnsi="Arial"/>
          <w:sz w:val="16"/>
          <w:szCs w:val="16"/>
          <w:color w:val="auto"/>
        </w:rPr>
        <w:t xml:space="preserve">” means the definitive Closing Balance Sheet agreed (or deemed agreed) upon between Seller and Buyer in accordance with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or the definitive Closing Balance Sheet resulting from the determination made by the Neutral Auditor in accordance with this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(in addition to those items theretofore agreed to between Seller and Buyer).</w:t>
      </w:r>
    </w:p>
    <w:p>
      <w:pPr>
        <w:spacing w:after="0" w:line="63" w:lineRule="exact"/>
        <w:rPr>
          <w:rFonts w:ascii="Arial" w:cs="Arial" w:eastAsia="Arial" w:hAnsi="Arial"/>
          <w:sz w:val="16"/>
          <w:szCs w:val="16"/>
          <w:color w:val="auto"/>
        </w:rPr>
      </w:pPr>
    </w:p>
    <w:p>
      <w:pPr>
        <w:ind w:right="60" w:firstLine="443"/>
        <w:spacing w:after="0" w:line="255" w:lineRule="auto"/>
        <w:tabs>
          <w:tab w:leader="none" w:pos="6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 will be (i) increased dollar for dollar to the extent the Closing Net Assets as reflected on the Final Closing Balance Sheet are greater than the Estimated Net Assets; or (ii) decreased dollar for dollar to the extent the Closing Net Assets as reflected on the Final Closing Balance Sheet are less than the Estimated Net Assets (any such increase or decrease is referred to as the “</w:t>
      </w:r>
      <w:r>
        <w:rPr>
          <w:rFonts w:ascii="Arial" w:cs="Arial" w:eastAsia="Arial" w:hAnsi="Arial"/>
          <w:sz w:val="18"/>
          <w:szCs w:val="18"/>
          <w:u w:val="single" w:color="auto"/>
          <w:color w:val="auto"/>
        </w:rPr>
        <w:t>Adjustment Amount</w:t>
      </w:r>
      <w:r>
        <w:rPr>
          <w:rFonts w:ascii="Arial" w:cs="Arial" w:eastAsia="Arial" w:hAnsi="Arial"/>
          <w:sz w:val="18"/>
          <w:szCs w:val="18"/>
          <w:color w:val="auto"/>
        </w:rPr>
        <w:t>”). Buyer or Seller, as applicable, will pay any Adjustment Amount in full, by wire transfer of immediately available funds to an account specified in writing by the receiving party within five Business Days after the Final Closing Balance Sheet is agreed (or deemed agreed) upon between Buyer and Seller or determined by the Neutral Auditor.</w:t>
      </w:r>
    </w:p>
    <w:p>
      <w:pPr>
        <w:spacing w:after="0" w:line="85" w:lineRule="exact"/>
        <w:rPr>
          <w:rFonts w:ascii="Arial" w:cs="Arial" w:eastAsia="Arial" w:hAnsi="Arial"/>
          <w:sz w:val="18"/>
          <w:szCs w:val="18"/>
          <w:color w:val="auto"/>
        </w:rPr>
      </w:pPr>
    </w:p>
    <w:p>
      <w:pPr>
        <w:ind w:right="60" w:firstLine="443"/>
        <w:spacing w:after="0" w:line="257" w:lineRule="auto"/>
        <w:tabs>
          <w:tab w:leader="none" w:pos="6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Buyer may elect, in its sole discretion, to conduct at any time prior to April 30, 2015 a complete physical count of all inventory items of the Business including cut steel but excluding the serialized finished goods and High Value Components actually counted prior to Closing as contemplated in </w:t>
      </w:r>
      <w:r>
        <w:rPr>
          <w:rFonts w:ascii="Arial" w:cs="Arial" w:eastAsia="Arial" w:hAnsi="Arial"/>
          <w:sz w:val="18"/>
          <w:szCs w:val="18"/>
          <w:u w:val="single" w:color="auto"/>
          <w:color w:val="auto"/>
        </w:rPr>
        <w:t>Section 2.2(a)</w:t>
      </w:r>
      <w:r>
        <w:rPr>
          <w:rFonts w:ascii="Arial" w:cs="Arial" w:eastAsia="Arial" w:hAnsi="Arial"/>
          <w:sz w:val="18"/>
          <w:szCs w:val="18"/>
          <w:color w:val="auto"/>
        </w:rPr>
        <w:t>. If Buyer elects to do so such a count, it will notify Seller in writing at least fourteen (14) days before the date on which the physical count will begin and Seller and its representatives will be entitled to be present to observe such counts. The physical counts will then be compared to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21" w:name="page22"/>
    <w:bookmarkEnd w:id="2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quantities for each item of inventory as indicated in the perpetual inventory record keeping system of the Business as of the date of the physical count and in the event that there are discrepancies between the physical counts and the inventory record keeping system, the value of the items for which there is a discrepancy (with the value being the cost for the item as it would be calculated if counted on the Closing Date as determined in accordance with the principles of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2.1</w:t>
      </w:r>
      <w:r>
        <w:rPr>
          <w:rFonts w:ascii="Arial" w:cs="Arial" w:eastAsia="Arial" w:hAnsi="Arial"/>
          <w:sz w:val="17"/>
          <w:szCs w:val="17"/>
          <w:color w:val="auto"/>
        </w:rPr>
        <w:t>) will be calculated, whether positive (</w:t>
      </w:r>
      <w:r>
        <w:rPr>
          <w:rFonts w:ascii="Arial" w:cs="Arial" w:eastAsia="Arial" w:hAnsi="Arial"/>
          <w:sz w:val="17"/>
          <w:szCs w:val="17"/>
          <w:u w:val="single" w:color="auto"/>
          <w:color w:val="auto"/>
        </w:rPr>
        <w:t>i.e.</w:t>
      </w:r>
      <w:r>
        <w:rPr>
          <w:rFonts w:ascii="Arial" w:cs="Arial" w:eastAsia="Arial" w:hAnsi="Arial"/>
          <w:sz w:val="17"/>
          <w:szCs w:val="17"/>
          <w:color w:val="auto"/>
        </w:rPr>
        <w:t>, the physical counts shows a higher quantity than the inventory record keeping system) or lower (</w:t>
      </w:r>
      <w:r>
        <w:rPr>
          <w:rFonts w:ascii="Arial" w:cs="Arial" w:eastAsia="Arial" w:hAnsi="Arial"/>
          <w:sz w:val="17"/>
          <w:szCs w:val="17"/>
          <w:u w:val="single" w:color="auto"/>
          <w:color w:val="auto"/>
        </w:rPr>
        <w:t>i.e.</w:t>
      </w:r>
      <w:r>
        <w:rPr>
          <w:rFonts w:ascii="Arial" w:cs="Arial" w:eastAsia="Arial" w:hAnsi="Arial"/>
          <w:sz w:val="17"/>
          <w:szCs w:val="17"/>
          <w:color w:val="auto"/>
        </w:rPr>
        <w:t>, the physical counts shows a lower quantity than the inventory record keeping system) and the aggregate net value of all discrepancies will be determined (the “</w:t>
      </w:r>
      <w:r>
        <w:rPr>
          <w:rFonts w:ascii="Arial" w:cs="Arial" w:eastAsia="Arial" w:hAnsi="Arial"/>
          <w:sz w:val="17"/>
          <w:szCs w:val="17"/>
          <w:u w:val="single" w:color="auto"/>
          <w:color w:val="auto"/>
        </w:rPr>
        <w:t>Physical Count Net Adjustment</w:t>
      </w:r>
      <w:r>
        <w:rPr>
          <w:rFonts w:ascii="Arial" w:cs="Arial" w:eastAsia="Arial" w:hAnsi="Arial"/>
          <w:sz w:val="17"/>
          <w:szCs w:val="17"/>
          <w:color w:val="auto"/>
        </w:rPr>
        <w:t>”). Buyer will send its calculation of the Physical Count Net Adjustment to Seller and then Seller will have 15 days after its receipt of Buyer’s calculation to notify Buyer in writing of any objection thereto, specifying in reasonable detail the nature of and basis for its objection (a “</w:t>
      </w:r>
      <w:r>
        <w:rPr>
          <w:rFonts w:ascii="Arial" w:cs="Arial" w:eastAsia="Arial" w:hAnsi="Arial"/>
          <w:sz w:val="17"/>
          <w:szCs w:val="17"/>
          <w:u w:val="single" w:color="auto"/>
          <w:color w:val="auto"/>
        </w:rPr>
        <w:t>Physical Count Objection Notice</w:t>
      </w:r>
      <w:r>
        <w:rPr>
          <w:rFonts w:ascii="Arial" w:cs="Arial" w:eastAsia="Arial" w:hAnsi="Arial"/>
          <w:sz w:val="17"/>
          <w:szCs w:val="17"/>
          <w:color w:val="auto"/>
        </w:rPr>
        <w:t xml:space="preserve">”). Seller (and Seller’s accountants and other representatives) will be given full access to all books, records and employees relevant to the Physical Count Net Adjustment of Buyer (and of Buyer’s accountants and other representatives) to the extent reasonably required to complete its review of Buyer’s calculation of the Physical Count Net Adjustment. If Seller fails to timely deliver a Physical Count Objection Notice, Seller will be deemed to have accepted and agreed to Buyer’s calculation of the Physical Count Net Adjustment. If Seller timely delivers a Physical Count Objection Notice, Seller and Buyer will, within 30 days following the date of such notice, attempt in good faith to resolve their differences, and if they cannot resolve such difference then the dispute will be submitted to the Neutral Auditor for resolution in accordance with the provisions of Section 2.3(c). After the Physical Count Net Adjustment has been agreed to or established pursuant to the foregoing provisions, 80% of the Physical Count Net Adjustment will be paid by Seller to Buyer (if there is net negative discrepancy) or 80% of the Physical Count Net Adjustment will be paid by Buyer to Seller (if there is net positive discrepancy) within five Business Days; provided, however, that no payment will be made under this </w:t>
      </w:r>
      <w:r>
        <w:rPr>
          <w:rFonts w:ascii="Arial" w:cs="Arial" w:eastAsia="Arial" w:hAnsi="Arial"/>
          <w:sz w:val="17"/>
          <w:szCs w:val="17"/>
          <w:u w:val="single" w:color="auto"/>
          <w:color w:val="auto"/>
        </w:rPr>
        <w:t>Section 2.3(e)</w:t>
      </w:r>
      <w:r>
        <w:rPr>
          <w:rFonts w:ascii="Arial" w:cs="Arial" w:eastAsia="Arial" w:hAnsi="Arial"/>
          <w:sz w:val="17"/>
          <w:szCs w:val="17"/>
          <w:color w:val="auto"/>
        </w:rPr>
        <w:t xml:space="preserve"> in the event that the Physical Count Net Adjustment is less than Fifty Thousand Dollars ($50,000).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Tax Allocation</w:t>
      </w:r>
      <w:r>
        <w:rPr>
          <w:rFonts w:ascii="Arial" w:cs="Arial" w:eastAsia="Arial" w:hAnsi="Arial"/>
          <w:sz w:val="18"/>
          <w:szCs w:val="18"/>
          <w:color w:val="auto"/>
        </w:rPr>
        <w:t>.</w:t>
      </w:r>
    </w:p>
    <w:p>
      <w:pPr>
        <w:spacing w:after="0" w:line="117" w:lineRule="exact"/>
        <w:rPr>
          <w:sz w:val="20"/>
          <w:szCs w:val="20"/>
          <w:color w:val="auto"/>
        </w:rPr>
      </w:pPr>
    </w:p>
    <w:p>
      <w:pPr>
        <w:ind w:right="180" w:firstLine="443"/>
        <w:spacing w:after="0" w:line="271" w:lineRule="auto"/>
        <w:tabs>
          <w:tab w:leader="none" w:pos="6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Within thirty (30) days after the Final Closing Balance Sheet is agreed (or deemed agreed) upon between Buyer and Seller or determined by the Neutral Auditor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Buyer will provide Seller with written notice of a proposed Purchase Price allocation for income tax purposes. Seller may either accept Buyer’s proposed allocation and file Form 8594 checking the box that the parties have agreed to allocate the Purchase Price consistent with such allocation or not accept Buyer’s proposed allocation and use a different allocation in which case Buyer will reasonably cooperate with Seller to allow Seller, if it so elects in its discretion, to conduct its appraisal. Buyer acknowledges that Seller may elect to have its own appraisal completed prior to receiving Buyer’s proposed allocation and Buyer agrees to cooperate with Seller and its appraiser in completing the same. If Seller fails to inform Buyer in writing that it is not accepting Buyer’s proposed allocation within thirty (30) days of receiving Buyer’s proposed allocation, it will be deemed to have agreed to the allocation.</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22" w:name="page23"/>
    <w:bookmarkEnd w:id="22"/>
    <w:p>
      <w:pPr>
        <w:ind w:left="460" w:right="100" w:firstLine="443"/>
        <w:spacing w:after="0" w:line="264"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Buyer and Seller agree (or are deemed to agree) on an allocation of the Purchase Price among the Purchased Assets under </w:t>
      </w:r>
      <w:r>
        <w:rPr>
          <w:rFonts w:ascii="Arial" w:cs="Arial" w:eastAsia="Arial" w:hAnsi="Arial"/>
          <w:sz w:val="18"/>
          <w:szCs w:val="18"/>
          <w:u w:val="single" w:color="auto"/>
          <w:color w:val="auto"/>
        </w:rPr>
        <w:t>Section 2.4(a)</w:t>
      </w:r>
      <w:r>
        <w:rPr>
          <w:rFonts w:ascii="Arial" w:cs="Arial" w:eastAsia="Arial" w:hAnsi="Arial"/>
          <w:sz w:val="18"/>
          <w:szCs w:val="18"/>
          <w:color w:val="auto"/>
        </w:rPr>
        <w:t>, then neither Buyer nor Seller will take any position (whether in financial statements, audits, Tax Returns or otherwise) which is inconsistent with such agreed upon allocation unless required to do so by applicable Law.</w:t>
      </w:r>
    </w:p>
    <w:p>
      <w:pPr>
        <w:spacing w:after="0" w:line="73" w:lineRule="exact"/>
        <w:rPr>
          <w:rFonts w:ascii="Arial" w:cs="Arial" w:eastAsia="Arial" w:hAnsi="Arial"/>
          <w:sz w:val="18"/>
          <w:szCs w:val="18"/>
          <w:color w:val="auto"/>
        </w:rPr>
      </w:pPr>
    </w:p>
    <w:p>
      <w:pPr>
        <w:ind w:left="460" w:right="700" w:firstLine="443"/>
        <w:spacing w:after="0" w:line="277" w:lineRule="auto"/>
        <w:tabs>
          <w:tab w:leader="none" w:pos="11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Notwithstanding any provision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the contrary, the parties will allocate $500,000 of the Purchase Price to the non-competition covenants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CLOSING</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Closing; Closing Date</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will take place at the offices of Oppenheimer Wolff &amp; Donnelly LLP, 222 South Ninth Street, Suite 2000, Minneapolis, Minnesota 55402, within three Business Days after the conditions in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have been satisfied or, to the extent permitted by applicable Law, waived (other than those conditions which by their terms are to be satisfied at the Closing, but subject to the satisfaction or waiver of those conditions), or at such other place and on such other date as Buyer and Seller may agree in writing (such date on which the Closing occurs,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Closing may be consummated through the remote exchange of electronic copies of executed documents on the Closing Date. The Closing of the transactions contemplated by this Agreement shall be deemed effective for Tax, accounting and other computational purposes as of 11:59 p.m. (Central Time) on the Closing Date.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Seller Closing Deliveries</w:t>
      </w:r>
      <w:r>
        <w:rPr>
          <w:rFonts w:ascii="Arial" w:cs="Arial" w:eastAsia="Arial" w:hAnsi="Arial"/>
          <w:sz w:val="18"/>
          <w:szCs w:val="18"/>
          <w:color w:val="auto"/>
        </w:rPr>
        <w:t>. At the Closing, Seller will deliver or cause to be delivered to Buyer all of the following:</w:t>
      </w:r>
    </w:p>
    <w:p>
      <w:pPr>
        <w:spacing w:after="0" w:line="117" w:lineRule="exact"/>
        <w:rPr>
          <w:sz w:val="20"/>
          <w:szCs w:val="20"/>
          <w:color w:val="auto"/>
        </w:rPr>
      </w:pPr>
    </w:p>
    <w:p>
      <w:pPr>
        <w:ind w:left="460" w:right="320" w:firstLine="443"/>
        <w:spacing w:after="0" w:line="277"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bill of sale duly executed by Seller conveying the Purchased Assets to Buyer (other than the Assigned Contracts, Patents and Marks), in form and substance substantially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Bill of Sale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 assignment and assumption agreement duly executed by Seller in relation to the Assigned Contracts and the Assumed Liabilities, in form and substance substantially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640" w:firstLine="443"/>
        <w:spacing w:after="0" w:line="277"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patent assignment agreement duly executed by Seller conveying to Buyer the Patents included in the Purchased Assets, in form and substance substantially as set forth in Exhibit D (the “</w:t>
      </w:r>
      <w:r>
        <w:rPr>
          <w:rFonts w:ascii="Arial" w:cs="Arial" w:eastAsia="Arial" w:hAnsi="Arial"/>
          <w:sz w:val="18"/>
          <w:szCs w:val="18"/>
          <w:u w:val="single" w:color="auto"/>
          <w:color w:val="auto"/>
        </w:rPr>
        <w:t>Patent Assignment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trademark assignment agreement duly executed by Seller conveying to Buyer the Marks included in the Purchased Assets, in form and substance substantially as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Trademark Assignment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written certification to Buyer from Seller’s president or chief executive officer in form and substance reasonably satisfactory to Buyer, dated the Closing Date, confirming that the conditions precedent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have been satisfied, together with such supporting documentation as Buyer may reasonably request;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3" w:name="page24"/>
    <w:bookmarkEnd w:id="23"/>
    <w:p>
      <w:pPr>
        <w:ind w:right="40" w:firstLine="443"/>
        <w:spacing w:after="0" w:line="276" w:lineRule="auto"/>
        <w:tabs>
          <w:tab w:leader="none" w:pos="663"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written certification to Buyer from Seller’s corporate secretary in form and substance reasonably satisfactory to Buyer, dated the Closing Date, together with copies of (i) the resolutions adopted by the Seller Board authorizing the execution, delivery and performance of this Agreement and the completion of the transactions contemplated hereby, (ii) the Written Consent, and (iii) good standing certificates dated within three Business Days prior to the Closing Date, issued by the Secretary of State of the State of Michigan, which certification will confirm that such copies are correct and complete, have not been amended or rescinded and are in full force and effect;</w:t>
      </w:r>
    </w:p>
    <w:p>
      <w:pPr>
        <w:spacing w:after="0" w:line="64" w:lineRule="exact"/>
        <w:rPr>
          <w:rFonts w:ascii="Arial" w:cs="Arial" w:eastAsia="Arial" w:hAnsi="Arial"/>
          <w:sz w:val="17"/>
          <w:szCs w:val="17"/>
          <w:color w:val="auto"/>
        </w:rPr>
      </w:pPr>
    </w:p>
    <w:p>
      <w:pPr>
        <w:ind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written opinion of counsel for Seller, dated the Closing Date, addressed to Buyer and reasonably satisfactory to Buyer’s counsel, in form and substance substantially as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transition services agreement duly executed by Seller, in form and substance substantially as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Transition Services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80" w:firstLine="443"/>
        <w:spacing w:after="0" w:line="277" w:lineRule="auto"/>
        <w:tabs>
          <w:tab w:leader="none" w:pos="6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 employment agreement duly executed by David J. Brule II, in form and substance substantially as set forth in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60" w:firstLine="443"/>
        <w:spacing w:after="0" w:line="277" w:lineRule="auto"/>
        <w:tabs>
          <w:tab w:leader="none" w:pos="6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collateral subordination agreement duly executed by Seller, in form and substance substantially as set forth in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Consents identified in </w:t>
      </w:r>
      <w:r>
        <w:rPr>
          <w:rFonts w:ascii="Arial" w:cs="Arial" w:eastAsia="Arial" w:hAnsi="Arial"/>
          <w:sz w:val="18"/>
          <w:szCs w:val="18"/>
          <w:u w:val="single" w:color="auto"/>
          <w:color w:val="auto"/>
        </w:rPr>
        <w:t>Schedule 3.2(k)</w:t>
      </w:r>
      <w:r>
        <w:rPr>
          <w:rFonts w:ascii="Arial" w:cs="Arial" w:eastAsia="Arial" w:hAnsi="Arial"/>
          <w:sz w:val="18"/>
          <w:szCs w:val="18"/>
          <w:color w:val="auto"/>
        </w:rPr>
        <w:t xml:space="preserve"> in form and substance reasonably satisfactory to Buyer (the “</w:t>
      </w:r>
      <w:r>
        <w:rPr>
          <w:rFonts w:ascii="Arial" w:cs="Arial" w:eastAsia="Arial" w:hAnsi="Arial"/>
          <w:sz w:val="18"/>
          <w:szCs w:val="18"/>
          <w:u w:val="single" w:color="auto"/>
          <w:color w:val="auto"/>
        </w:rPr>
        <w:t>Required Consents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0" w:hanging="217"/>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 personnel agreement duly executed by Seller, in form and substance substantially as set forth in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Personnel Agreement</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480" w:firstLine="443"/>
        <w:spacing w:after="0" w:line="277" w:lineRule="auto"/>
        <w:tabs>
          <w:tab w:leader="none" w:pos="7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estoppel certificates, in form and substance reasonably satisfactory to Buyer, from the landlords or warehousemen, as applicable, of the Leases listed on </w:t>
      </w:r>
      <w:r>
        <w:rPr>
          <w:rFonts w:ascii="Arial" w:cs="Arial" w:eastAsia="Arial" w:hAnsi="Arial"/>
          <w:sz w:val="18"/>
          <w:szCs w:val="18"/>
          <w:u w:val="single" w:color="auto"/>
          <w:color w:val="auto"/>
        </w:rPr>
        <w:t>Schedule 1.1(g)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443"/>
        <w:spacing w:after="0" w:line="342" w:lineRule="auto"/>
        <w:tabs>
          <w:tab w:leader="none" w:pos="693"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respect to each parcel of Owned Real Property, a covenant deed for Owned Real Property located in Michigan, each subject to the Permitted Encumbrances affecting the Real Property, in form and substance reasonably satisfactory to Buyer and duly executed and notarized by Seller;</w:t>
      </w:r>
    </w:p>
    <w:p>
      <w:pPr>
        <w:spacing w:after="0" w:line="15" w:lineRule="exact"/>
        <w:rPr>
          <w:rFonts w:ascii="Arial" w:cs="Arial" w:eastAsia="Arial" w:hAnsi="Arial"/>
          <w:sz w:val="16"/>
          <w:szCs w:val="16"/>
          <w:color w:val="auto"/>
        </w:rPr>
      </w:pPr>
    </w:p>
    <w:p>
      <w:pPr>
        <w:ind w:right="340"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non-foreign affidavit, properly executed and in recordable form, containing such information as is required by Section 1445(b)(2) of the Code and its regulations;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standard form owner’s affidavit as may be required by Buyer’s title insurer to issue a title insurance policy in the form required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74" w:right="239" w:bottom="1440" w:gutter="0" w:footer="0" w:header="0"/>
        </w:sectPr>
      </w:pPr>
    </w:p>
    <w:bookmarkStart w:id="24" w:name="page25"/>
    <w:bookmarkEnd w:id="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 evidence reasonably satisfactory to Buyer of the release of any Encumbrances (other than Permitted Encumbrances) on the Purchased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 such other certificates, documents and instruments as Buyer may reasonably request related to the transactions contemplated hereby.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Buyer Closing Deliveries</w:t>
      </w:r>
      <w:r>
        <w:rPr>
          <w:rFonts w:ascii="Arial" w:cs="Arial" w:eastAsia="Arial" w:hAnsi="Arial"/>
          <w:sz w:val="18"/>
          <w:szCs w:val="18"/>
          <w:color w:val="auto"/>
        </w:rPr>
        <w:t>. At the Closing, Buyer will deliver or cause to be delivered to Seller all of the following:</w:t>
      </w:r>
    </w:p>
    <w:p>
      <w:pPr>
        <w:spacing w:after="0" w:line="117" w:lineRule="exact"/>
        <w:rPr>
          <w:sz w:val="20"/>
          <w:szCs w:val="20"/>
          <w:color w:val="auto"/>
        </w:rPr>
      </w:pPr>
    </w:p>
    <w:p>
      <w:pPr>
        <w:ind w:right="120" w:firstLine="443"/>
        <w:spacing w:after="0" w:line="277" w:lineRule="auto"/>
        <w:tabs>
          <w:tab w:leader="none" w:pos="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Closing Cash Consideration, which will be directed to Seller by wire transfer of immediately available funds to an account designated by Seller in writing at least three Business Days prior to the Closing;</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Promissory Note, duly executed by Buyer;</w:t>
      </w:r>
    </w:p>
    <w:p>
      <w:pPr>
        <w:spacing w:after="0" w:line="117" w:lineRule="exact"/>
        <w:rPr>
          <w:rFonts w:ascii="Arial" w:cs="Arial" w:eastAsia="Arial" w:hAnsi="Arial"/>
          <w:sz w:val="18"/>
          <w:szCs w:val="18"/>
          <w:color w:val="auto"/>
        </w:rPr>
      </w:pPr>
    </w:p>
    <w:p>
      <w:pPr>
        <w:ind w:right="320" w:firstLine="443"/>
        <w:spacing w:after="0" w:line="264" w:lineRule="auto"/>
        <w:tabs>
          <w:tab w:leader="none" w:pos="6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counterpart signature pages duly executed by Buyer of the Bill of Sale, Assignment and Assumption Agreement, Patent Assignment Agreement, Trademark Assignment Agreement, Transition Services Agreement, Collateral Subordination Agreement, Employment Agreement and Personnel Agreement;</w:t>
      </w:r>
    </w:p>
    <w:p>
      <w:pPr>
        <w:spacing w:after="0" w:line="73" w:lineRule="exact"/>
        <w:rPr>
          <w:rFonts w:ascii="Arial" w:cs="Arial" w:eastAsia="Arial" w:hAnsi="Arial"/>
          <w:sz w:val="18"/>
          <w:szCs w:val="18"/>
          <w:color w:val="auto"/>
        </w:rPr>
      </w:pPr>
    </w:p>
    <w:p>
      <w:pPr>
        <w:ind w:right="200" w:firstLine="443"/>
        <w:spacing w:after="0" w:line="264" w:lineRule="auto"/>
        <w:tabs>
          <w:tab w:leader="none" w:pos="69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written certificate from a duly authorized officer of Buyer in form and substance reasonably satisfactory to Seller, dated the Closing Date, confirming that the conditions precedent in </w:t>
      </w:r>
      <w:r>
        <w:rPr>
          <w:rFonts w:ascii="Arial" w:cs="Arial" w:eastAsia="Arial" w:hAnsi="Arial"/>
          <w:sz w:val="18"/>
          <w:szCs w:val="18"/>
          <w:u w:val="single" w:color="auto"/>
          <w:color w:val="auto"/>
        </w:rPr>
        <w:t>Sections 9.3(a)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9.3(b)</w:t>
      </w:r>
      <w:r>
        <w:rPr>
          <w:rFonts w:ascii="Arial" w:cs="Arial" w:eastAsia="Arial" w:hAnsi="Arial"/>
          <w:sz w:val="18"/>
          <w:szCs w:val="18"/>
          <w:color w:val="auto"/>
        </w:rPr>
        <w:t xml:space="preserve"> have been satisfied, together with such evidence of satisfaction as Seller may reasonably request;</w:t>
      </w:r>
    </w:p>
    <w:p>
      <w:pPr>
        <w:spacing w:after="0" w:line="73" w:lineRule="exact"/>
        <w:rPr>
          <w:rFonts w:ascii="Arial" w:cs="Arial" w:eastAsia="Arial" w:hAnsi="Arial"/>
          <w:sz w:val="18"/>
          <w:szCs w:val="18"/>
          <w:color w:val="auto"/>
        </w:rPr>
      </w:pPr>
    </w:p>
    <w:p>
      <w:pPr>
        <w:ind w:left="680" w:hanging="237"/>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property transfer affidavit, with regard to all Owned Real Property located in Michigan;</w:t>
      </w:r>
    </w:p>
    <w:p>
      <w:pPr>
        <w:spacing w:after="0" w:line="117" w:lineRule="exact"/>
        <w:rPr>
          <w:rFonts w:ascii="Arial" w:cs="Arial" w:eastAsia="Arial" w:hAnsi="Arial"/>
          <w:sz w:val="18"/>
          <w:szCs w:val="18"/>
          <w:color w:val="auto"/>
        </w:rPr>
      </w:pPr>
    </w:p>
    <w:p>
      <w:pPr>
        <w:ind w:right="40" w:firstLine="443"/>
        <w:spacing w:after="0" w:line="277"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 written opinion of counsel for Buyer, dated the Closing Date, addressed to Seller and reasonably satisfactory to Seller’s counsel, in form and substance substantially as set forth in </w:t>
      </w:r>
      <w:r>
        <w:rPr>
          <w:rFonts w:ascii="Arial" w:cs="Arial" w:eastAsia="Arial" w:hAnsi="Arial"/>
          <w:sz w:val="18"/>
          <w:szCs w:val="18"/>
          <w:u w:val="single" w:color="auto"/>
          <w:color w:val="auto"/>
        </w:rPr>
        <w:t>Exhibit K</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such other certificates, documents and instruments as Seller may reasonably request related to the transactions contemplated hereby.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Appointment of Shareholder Representative</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276" w:lineRule="auto"/>
        <w:tabs>
          <w:tab w:leader="none" w:pos="683"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Seller Shareholder hereby irrevocably appoints David J. Brule (the “</w:t>
      </w:r>
      <w:r>
        <w:rPr>
          <w:rFonts w:ascii="Arial" w:cs="Arial" w:eastAsia="Arial" w:hAnsi="Arial"/>
          <w:sz w:val="17"/>
          <w:szCs w:val="17"/>
          <w:u w:val="single" w:color="auto"/>
          <w:color w:val="auto"/>
        </w:rPr>
        <w:t>Shareholder Representative</w:t>
      </w:r>
      <w:r>
        <w:rPr>
          <w:rFonts w:ascii="Arial" w:cs="Arial" w:eastAsia="Arial" w:hAnsi="Arial"/>
          <w:sz w:val="17"/>
          <w:szCs w:val="17"/>
          <w:color w:val="auto"/>
        </w:rPr>
        <w:t>”) as its, his or her true and lawful attorney-in-fact and agent, with full power of substitution and resubstitution, to act for and on behalf of such Seller Shareholder with respect to all matters arising in connection with this Agreement in accordance with the terms and provisions of this Agreement, including to do or refrain from doing all such further acts and things, and to execute all such agreements, instruments, documents and certificates as the Shareholder Representative shall deem necessary or appropriate in connection with the transactions contemplated hereby, including the power:</w:t>
      </w:r>
    </w:p>
    <w:p>
      <w:pPr>
        <w:spacing w:after="0" w:line="64" w:lineRule="exact"/>
        <w:rPr>
          <w:rFonts w:ascii="Arial" w:cs="Arial" w:eastAsia="Arial" w:hAnsi="Arial"/>
          <w:sz w:val="17"/>
          <w:szCs w:val="17"/>
          <w:color w:val="auto"/>
        </w:rPr>
      </w:pPr>
    </w:p>
    <w:p>
      <w:pPr>
        <w:ind w:left="460" w:firstLine="421"/>
        <w:spacing w:after="0" w:line="277" w:lineRule="auto"/>
        <w:tabs>
          <w:tab w:leader="none" w:pos="109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act for such Seller Shareholder with regard to matters pertaining to indemnification referred to in this Agreement, including the power to defend, settle, compromise or otherwise resolve any indemnity claim on behalf of such Seller Shareholder;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5" w:name="page26"/>
    <w:bookmarkEnd w:id="25"/>
    <w:p>
      <w:pPr>
        <w:ind w:left="1140" w:hanging="259"/>
        <w:spacing w:after="0"/>
        <w:tabs>
          <w:tab w:leader="none" w:pos="1140" w:val="left"/>
        </w:tabs>
        <w:numPr>
          <w:ilvl w:val="2"/>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act for such Seller Shareholder with regard to matters pertaining to litigation or arbitration matters arising under this Agreement;</w:t>
      </w:r>
    </w:p>
    <w:p>
      <w:pPr>
        <w:spacing w:after="0" w:line="128" w:lineRule="exact"/>
        <w:rPr>
          <w:rFonts w:ascii="Arial" w:cs="Arial" w:eastAsia="Arial" w:hAnsi="Arial"/>
          <w:sz w:val="17"/>
          <w:szCs w:val="17"/>
          <w:color w:val="auto"/>
        </w:rPr>
      </w:pPr>
    </w:p>
    <w:p>
      <w:pPr>
        <w:ind w:left="460" w:right="740" w:firstLine="421"/>
        <w:spacing w:after="0" w:line="277" w:lineRule="auto"/>
        <w:tabs>
          <w:tab w:leader="none" w:pos="1195"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execute and deliver all documents in connection with the transactions contemplated hereby or amendments thereto that the Shareholder Representative deems necessary or appropriate;</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2"/>
          <w:numId w:val="25"/>
        </w:numPr>
        <w:rPr>
          <w:rFonts w:ascii="Arial" w:cs="Arial" w:eastAsia="Arial" w:hAnsi="Arial"/>
          <w:sz w:val="17"/>
          <w:szCs w:val="17"/>
          <w:color w:val="auto"/>
        </w:rPr>
      </w:pPr>
      <w:r>
        <w:rPr>
          <w:rFonts w:ascii="Arial" w:cs="Arial" w:eastAsia="Arial" w:hAnsi="Arial"/>
          <w:sz w:val="17"/>
          <w:szCs w:val="17"/>
          <w:color w:val="auto"/>
        </w:rPr>
        <w:t>to receive funds for the payment of expenses of such Seller Shareholder and apply such funds in payment for such expenses;</w:t>
      </w:r>
    </w:p>
    <w:p>
      <w:pPr>
        <w:spacing w:after="0" w:line="128" w:lineRule="exact"/>
        <w:rPr>
          <w:rFonts w:ascii="Arial" w:cs="Arial" w:eastAsia="Arial" w:hAnsi="Arial"/>
          <w:sz w:val="17"/>
          <w:szCs w:val="17"/>
          <w:color w:val="auto"/>
        </w:rPr>
      </w:pPr>
    </w:p>
    <w:p>
      <w:pPr>
        <w:ind w:left="460" w:right="420" w:firstLine="421"/>
        <w:spacing w:after="0" w:line="264" w:lineRule="auto"/>
        <w:tabs>
          <w:tab w:leader="none" w:pos="1135"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do or refrain from doing any further act or deed on behalf of such Seller Shareholder that the Shareholder Representative deems necessary or appropriate in its sole discretion relating to the subject matter of this Agreement as fully and completely as such Shareholder Representative could do if personally present; and</w:t>
      </w:r>
    </w:p>
    <w:p>
      <w:pPr>
        <w:spacing w:after="0" w:line="73" w:lineRule="exact"/>
        <w:rPr>
          <w:rFonts w:ascii="Arial" w:cs="Arial" w:eastAsia="Arial" w:hAnsi="Arial"/>
          <w:sz w:val="18"/>
          <w:szCs w:val="18"/>
          <w:color w:val="auto"/>
        </w:rPr>
      </w:pPr>
    </w:p>
    <w:p>
      <w:pPr>
        <w:ind w:left="1180" w:hanging="299"/>
        <w:spacing w:after="0"/>
        <w:tabs>
          <w:tab w:leader="none" w:pos="1180"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receive and accept service of process on behalf of such Seller Shareholder in connection with any claims under this Agreement.</w:t>
      </w:r>
    </w:p>
    <w:p>
      <w:pPr>
        <w:spacing w:after="0" w:line="140" w:lineRule="exact"/>
        <w:rPr>
          <w:rFonts w:ascii="Arial" w:cs="Arial" w:eastAsia="Arial" w:hAnsi="Arial"/>
          <w:sz w:val="16"/>
          <w:szCs w:val="16"/>
          <w:color w:val="auto"/>
        </w:rPr>
      </w:pPr>
    </w:p>
    <w:p>
      <w:pPr>
        <w:ind w:firstLine="443"/>
        <w:spacing w:after="0" w:line="255" w:lineRule="auto"/>
        <w:tabs>
          <w:tab w:leader="none" w:pos="6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This appointment and grant of power and authority is an agency coupled with an interest and is in consideration of the mutual covenants made herein and is irrevocable and may not be terminated by any act of any Seller Shareholder or by operation of Law, whether by the death or incapacity of a Person or by the occurrence of any other event. If any Seller Shareholder should die or become incapacitated, if any trust or estate should terminate or if any other such event should occur, any action taken by the Shareholder Representative pursuant to this Agreement will be as valid as if such death or incapacity, termination or other event had not occurred, regardless of whether or not the Shareholder Representative had received notice of such death, incapacity, termination or other event.</w:t>
      </w:r>
    </w:p>
    <w:p>
      <w:pPr>
        <w:spacing w:after="0" w:line="85" w:lineRule="exact"/>
        <w:rPr>
          <w:rFonts w:ascii="Arial" w:cs="Arial" w:eastAsia="Arial" w:hAnsi="Arial"/>
          <w:sz w:val="18"/>
          <w:szCs w:val="18"/>
          <w:color w:val="auto"/>
        </w:rPr>
      </w:pPr>
    </w:p>
    <w:p>
      <w:pPr>
        <w:ind w:right="140" w:firstLine="443"/>
        <w:spacing w:after="0" w:line="285" w:lineRule="auto"/>
        <w:tabs>
          <w:tab w:leader="none" w:pos="683" w:val="left"/>
        </w:tabs>
        <w:numPr>
          <w:ilvl w:val="1"/>
          <w:numId w:val="26"/>
        </w:numPr>
        <w:rPr>
          <w:rFonts w:ascii="Arial" w:cs="Arial" w:eastAsia="Arial" w:hAnsi="Arial"/>
          <w:sz w:val="16"/>
          <w:szCs w:val="16"/>
          <w:color w:val="auto"/>
        </w:rPr>
      </w:pPr>
      <w:r>
        <w:rPr>
          <w:rFonts w:ascii="Arial" w:cs="Arial" w:eastAsia="Arial" w:hAnsi="Arial"/>
          <w:sz w:val="16"/>
          <w:szCs w:val="16"/>
          <w:color w:val="auto"/>
        </w:rPr>
        <w:t>After this Agreement is executed by all of the Seller Shareholders, no Seller Shareholder will be entitled to act independently with respect to any action relating to this Agreement or the transactions contemplated hereby, and any such actions will be taken solely by the Shareholder Representative. The Shareholder Representative will have full power and authority to act on behalf of the Seller Shareholders with respect to such matters and the Seller Shareholders will be bound by any and all such actions. Buyer and its representatives will be entitled to rely on any decision, action, consent or instruction of (i) the Shareholder Representative as being the decision, action, consent or instruction of the Seller Shareholders and</w:t>
      </w:r>
    </w:p>
    <w:p>
      <w:pPr>
        <w:spacing w:after="0" w:line="2" w:lineRule="exact"/>
        <w:rPr>
          <w:rFonts w:ascii="Arial" w:cs="Arial" w:eastAsia="Arial" w:hAnsi="Arial"/>
          <w:sz w:val="16"/>
          <w:szCs w:val="16"/>
          <w:color w:val="auto"/>
        </w:rPr>
      </w:pPr>
    </w:p>
    <w:p>
      <w:pPr>
        <w:ind w:right="40" w:firstLine="4"/>
        <w:spacing w:after="0" w:line="290" w:lineRule="auto"/>
        <w:tabs>
          <w:tab w:leader="none" w:pos="2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executive officer of Seller as being the decision, action, consent or instruction of Seller, and neither Buyer nor any of its Affiliates or its or their representatives will have any Liability to Seller or any Seller Shareholder for any action they take or do not take in such reliance.</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26" w:name="page27"/>
    <w:bookmarkEnd w:id="26"/>
    <w:p>
      <w:pPr>
        <w:ind w:left="460" w:right="560" w:firstLine="443"/>
        <w:spacing w:after="0" w:line="264"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David J. Brule (i) hereby accepts his appointment and authorization to act as attorney-in-fact and agent on behalf of each such Seller Shareholder in accordance with the terms of this Agreement and (ii) agrees to perform his obligations hereunder and otherwise comply with this Agreement.</w:t>
      </w:r>
    </w:p>
    <w:p>
      <w:pPr>
        <w:spacing w:after="0" w:line="73" w:lineRule="exact"/>
        <w:rPr>
          <w:rFonts w:ascii="Arial" w:cs="Arial" w:eastAsia="Arial" w:hAnsi="Arial"/>
          <w:sz w:val="18"/>
          <w:szCs w:val="18"/>
          <w:color w:val="auto"/>
        </w:rPr>
      </w:pPr>
    </w:p>
    <w:p>
      <w:pPr>
        <w:ind w:left="460" w:right="40" w:firstLine="443"/>
        <w:spacing w:after="0" w:line="273" w:lineRule="auto"/>
        <w:tabs>
          <w:tab w:leader="none" w:pos="114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Seller Shareholders acknowledge and agree that the foregoing provisions permit David J. Brule to act as agent and representative of the Seller Shareholders, and each of them, but does not and will not require David J. Brule to so act or have any duty to act or provide advice or other services with respect thereto, rather the foregoing allow David J. Brule to act in such capacity in his discretion, and further that David J. Brule shall have no liability to the Seller Shareholders with respect to any actions taken or not taken under or in connection with the powers granted by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unless he shall be shown, by the final, non-appealable order of a court of competent jurisdiction, to have been guilty of fraud, gross negligence or willful misconduct in connection with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60" w:firstLine="443"/>
        <w:spacing w:after="0" w:line="257" w:lineRule="auto"/>
        <w:tabs>
          <w:tab w:leader="none" w:pos="11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Seller Shareholders agree to reimburse David J. Brule for all out-of-pocket expenses incurred by him or at his direction, including to attorneys, accountants and other advisors, in the exercise of the powers granted to him hereunder, and to indemnify and hold him harmless from all Losses incurred by him to the extent resulting from the exercise, or failure to exercise, such powers, except to the extent he shall be shown, by the final, non-appealable order of a court of competent jurisdiction, to have been guilty of fraud, gross negligence or willful misconduct in connection with this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jc w:val="both"/>
        <w:ind w:left="460" w:right="40" w:firstLine="443"/>
        <w:spacing w:after="0" w:line="255" w:lineRule="auto"/>
        <w:tabs>
          <w:tab w:leader="none" w:pos="11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at any time David J. Brule is unable or unwilling to act as the Shareholder Representative hereunder, the Seller Shareholders, by majority consent or vote, based on their pro rata holdings of the capital stock of Seller, whether voting or non-voting capital stock, at the time of the consent or vote, may elect a replacement Shareholder Representative (who may, but need not be, another Seller Shareholder) by written notice to Buyer indicating the effective date of the appointment of such replacement Shareholder Representative, which shall include a copy of the written consent effecting such election, provided that until such appointment is effective, Buyer and its representatives shall be entitled to rely on the decisions, actions, consents and instructions of the prior Shareholder Representative.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REGARDING SELLER</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Seller and the Major Shareholders jointly and severally represent and warrant to Buyer, as of the date hereof and as of the Closing Date, as set forth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subject only to the disclosures set forth in the schedules to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as delivered to Buyer concurrently with the execution and delivery of this Agreement and as may hereafter be updated pursuant to </w:t>
      </w:r>
      <w:r>
        <w:rPr>
          <w:rFonts w:ascii="Arial" w:cs="Arial" w:eastAsia="Arial" w:hAnsi="Arial"/>
          <w:sz w:val="18"/>
          <w:szCs w:val="18"/>
          <w:u w:val="single" w:color="auto"/>
          <w:color w:val="auto"/>
        </w:rPr>
        <w:t>Section 7.4(b)</w:t>
      </w:r>
      <w:r>
        <w:rPr>
          <w:rFonts w:ascii="Arial" w:cs="Arial" w:eastAsia="Arial" w:hAnsi="Arial"/>
          <w:sz w:val="18"/>
          <w:szCs w:val="18"/>
          <w:color w:val="auto"/>
        </w:rPr>
        <w:t xml:space="preserve"> (together with the schedules to </w:t>
      </w:r>
      <w:r>
        <w:rPr>
          <w:rFonts w:ascii="Arial" w:cs="Arial" w:eastAsia="Arial" w:hAnsi="Arial"/>
          <w:sz w:val="18"/>
          <w:szCs w:val="18"/>
          <w:u w:val="single" w:color="auto"/>
          <w:color w:val="auto"/>
        </w:rPr>
        <w:t>Section 7.1</w:t>
      </w:r>
      <w:r>
        <w:rPr>
          <w:rFonts w:ascii="Arial" w:cs="Arial" w:eastAsia="Arial" w:hAnsi="Arial"/>
          <w:sz w:val="18"/>
          <w:szCs w:val="18"/>
          <w:color w:val="auto"/>
        </w:rPr>
        <w:t>, the “</w:t>
      </w:r>
      <w:r>
        <w:rPr>
          <w:rFonts w:ascii="Arial" w:cs="Arial" w:eastAsia="Arial" w:hAnsi="Arial"/>
          <w:sz w:val="18"/>
          <w:szCs w:val="18"/>
          <w:u w:val="single" w:color="auto"/>
          <w:color w:val="auto"/>
        </w:rPr>
        <w:t>Seller Disclosure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 </w:t>
      </w:r>
      <w:r>
        <w:rPr>
          <w:rFonts w:ascii="Arial" w:cs="Arial" w:eastAsia="Arial" w:hAnsi="Arial"/>
          <w:sz w:val="18"/>
          <w:szCs w:val="18"/>
          <w:u w:val="single" w:color="auto"/>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460" w:right="140" w:firstLine="443"/>
        <w:spacing w:after="0" w:line="255" w:lineRule="auto"/>
        <w:tabs>
          <w:tab w:leader="none" w:pos="11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Seller is a corporation duly organized, validly existing and in good standing (or of analogous status) under the laws of the State of Michigan and is duly qualified, licensed or registered to do business as a foreign entity in good standing (or of analogous status) in the jurisdictions set forth in </w:t>
      </w:r>
      <w:r>
        <w:rPr>
          <w:rFonts w:ascii="Arial" w:cs="Arial" w:eastAsia="Arial" w:hAnsi="Arial"/>
          <w:sz w:val="18"/>
          <w:szCs w:val="18"/>
          <w:u w:val="single" w:color="auto"/>
          <w:color w:val="auto"/>
        </w:rPr>
        <w:t>Schedule 4.1</w:t>
      </w:r>
      <w:r>
        <w:rPr>
          <w:rFonts w:ascii="Arial" w:cs="Arial" w:eastAsia="Arial" w:hAnsi="Arial"/>
          <w:sz w:val="18"/>
          <w:szCs w:val="18"/>
          <w:color w:val="auto"/>
        </w:rPr>
        <w:t xml:space="preserve">. Seller has all requisite corporate power and authority to conduct its business and affairs as currently being conducted and to own, lease and operate its properties and assets. Seller is not qualified, licensed or registered to do business as a foreign entity in any jurisdiction other than as identified in </w:t>
      </w:r>
      <w:r>
        <w:rPr>
          <w:rFonts w:ascii="Arial" w:cs="Arial" w:eastAsia="Arial" w:hAnsi="Arial"/>
          <w:sz w:val="18"/>
          <w:szCs w:val="18"/>
          <w:u w:val="single" w:color="auto"/>
          <w:color w:val="auto"/>
        </w:rPr>
        <w:t>Schedule 4.1</w:t>
      </w:r>
      <w:r>
        <w:rPr>
          <w:rFonts w:ascii="Arial" w:cs="Arial" w:eastAsia="Arial" w:hAnsi="Arial"/>
          <w:sz w:val="18"/>
          <w:szCs w:val="18"/>
          <w:color w:val="auto"/>
        </w:rPr>
        <w:t>, nor does the nature of Seller’s business or the ownership, leasing or operation of its assets require Seller to be so qualified, licensed or registered except where the failure to be so qualified, licensed or registered has not had and would not reasonably be expected to have a Material Adverse Effect.</w:t>
      </w:r>
    </w:p>
    <w:p>
      <w:pPr>
        <w:spacing w:after="0" w:line="81" w:lineRule="exact"/>
        <w:rPr>
          <w:rFonts w:ascii="Arial" w:cs="Arial" w:eastAsia="Arial" w:hAnsi="Arial"/>
          <w:sz w:val="18"/>
          <w:szCs w:val="18"/>
          <w:color w:val="auto"/>
        </w:rPr>
      </w:pPr>
    </w:p>
    <w:p>
      <w:pPr>
        <w:ind w:left="460" w:right="120" w:firstLine="443"/>
        <w:spacing w:after="0" w:line="259" w:lineRule="auto"/>
        <w:tabs>
          <w:tab w:leader="none" w:pos="11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has no Subsidiaries, nor any ERISA Affiliates (which means no “person” within the meaning of Section 7701(a)(1) of the Code that together with Seller would be considered a single employer pursuant to Section 414(b), (c), (m) or (o) of the Code) and does not directly or indirectly hold any capital stock or other equity securities, options, warrants, convertible debt, or other derivative securities of any Person or otherwise have any direct or indirect ownership interest in any Person or business.</w:t>
      </w:r>
    </w:p>
    <w:p>
      <w:pPr>
        <w:spacing w:after="0" w:line="78" w:lineRule="exact"/>
        <w:rPr>
          <w:rFonts w:ascii="Arial" w:cs="Arial" w:eastAsia="Arial" w:hAnsi="Arial"/>
          <w:sz w:val="18"/>
          <w:szCs w:val="18"/>
          <w:color w:val="auto"/>
        </w:rPr>
      </w:pPr>
    </w:p>
    <w:p>
      <w:pPr>
        <w:jc w:val="both"/>
        <w:ind w:left="460" w:right="220" w:firstLine="443"/>
        <w:spacing w:after="0" w:line="264" w:lineRule="auto"/>
        <w:tabs>
          <w:tab w:leader="none" w:pos="11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Seller has provided Buyer with correct and complete copies of its Governing Documents, including all amendments thereto. Seller is not in Breach of, and Seller’s execution, delivery and performance of this Agreement and the completion of the transactions contemplated hereby does not and will not Breach, any of its Governing Documents.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Capitalization; Stock Ownership</w:t>
      </w:r>
      <w:r>
        <w:rPr>
          <w:rFonts w:ascii="Arial" w:cs="Arial" w:eastAsia="Arial" w:hAnsi="Arial"/>
          <w:sz w:val="18"/>
          <w:szCs w:val="18"/>
          <w:color w:val="auto"/>
        </w:rPr>
        <w:t xml:space="preserve">. The correct and complete authorized and issued and outstanding capital stock of Seller, on a currently outstanding and fully diluted basis, is set forth in </w:t>
      </w:r>
      <w:r>
        <w:rPr>
          <w:rFonts w:ascii="Arial" w:cs="Arial" w:eastAsia="Arial" w:hAnsi="Arial"/>
          <w:sz w:val="18"/>
          <w:szCs w:val="18"/>
          <w:u w:val="single" w:color="auto"/>
          <w:color w:val="auto"/>
        </w:rPr>
        <w:t>Schedule 4.2</w:t>
      </w:r>
      <w:r>
        <w:rPr>
          <w:rFonts w:ascii="Arial" w:cs="Arial" w:eastAsia="Arial" w:hAnsi="Arial"/>
          <w:sz w:val="18"/>
          <w:szCs w:val="18"/>
          <w:color w:val="auto"/>
        </w:rPr>
        <w:t xml:space="preserve">, including the name, address, stock ownership and voting percentages of each shareholder and any other holder of any option, warrant, convertible debt or other derivative securities, phantom equity rights or similar rights or interests in the Seller’s capital stock. Except as set forth on </w:t>
      </w:r>
      <w:r>
        <w:rPr>
          <w:rFonts w:ascii="Arial" w:cs="Arial" w:eastAsia="Arial" w:hAnsi="Arial"/>
          <w:sz w:val="18"/>
          <w:szCs w:val="18"/>
          <w:u w:val="single" w:color="auto"/>
          <w:color w:val="auto"/>
        </w:rPr>
        <w:t>Schedule 4.2</w:t>
      </w:r>
      <w:r>
        <w:rPr>
          <w:rFonts w:ascii="Arial" w:cs="Arial" w:eastAsia="Arial" w:hAnsi="Arial"/>
          <w:sz w:val="18"/>
          <w:szCs w:val="18"/>
          <w:color w:val="auto"/>
        </w:rPr>
        <w:t>, (a) there are no other shares of capital stock or other voting securities of Seller issued or outstanding, (b) there are no options, warrants, convertible debt, or other derivative securities, phantom equity rights or similar rights or interests issued by Seller or relating to any capital stock or voting securities of Seller, and (c) no shares of capital stock or other voting securities of Seller are issued and held by Seller in its treasury. All outstanding shares of capital stock of Seller are duly authorized, validly issued, fully paid and nonassessable and were issued in compliance with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Authority; Approvals</w:t>
      </w:r>
      <w:r>
        <w:rPr>
          <w:rFonts w:ascii="Arial" w:cs="Arial" w:eastAsia="Arial" w:hAnsi="Arial"/>
          <w:sz w:val="18"/>
          <w:szCs w:val="18"/>
          <w:color w:val="auto"/>
        </w:rPr>
        <w:t>.</w:t>
      </w:r>
    </w:p>
    <w:p>
      <w:pPr>
        <w:spacing w:after="0" w:line="117" w:lineRule="exact"/>
        <w:rPr>
          <w:sz w:val="20"/>
          <w:szCs w:val="20"/>
          <w:color w:val="auto"/>
        </w:rPr>
      </w:pPr>
    </w:p>
    <w:p>
      <w:pPr>
        <w:ind w:left="460" w:right="180" w:firstLine="443"/>
        <w:spacing w:after="0" w:line="312" w:lineRule="auto"/>
        <w:tabs>
          <w:tab w:leader="none" w:pos="1143"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Seller has all necessary corporate power and authority to execute and deliver this Agreement and to complete the transactions contemplated by this Agreement. Seller, the Seller Board and the shareholders of Seller have taken all action required by Law, Seller’s Governing Documents and otherwise to authorize Seller’s execution, delivery and performance of this Agreement. Seller has duly and validly executed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this Agreement and, assuming the due authorization, execution and delivery of this Agreement by Buyer, this Agreement constitutes the legal and valid binding obligation of Seller enforceable in accordance with its terms, subject to applicable bankruptcy, insolvency, reorganization, moratorium or other similar Laws relating to creditors’ rights generally and to general principles of equity (regardless of whether enforceability is considered in a proceeding in equity or at law).</w:t>
      </w:r>
    </w:p>
    <w:p>
      <w:pPr>
        <w:spacing w:after="0" w:line="79" w:lineRule="exact"/>
        <w:rPr>
          <w:sz w:val="20"/>
          <w:szCs w:val="20"/>
          <w:color w:val="auto"/>
        </w:rPr>
      </w:pPr>
    </w:p>
    <w:p>
      <w:pPr>
        <w:ind w:firstLine="443"/>
        <w:spacing w:after="0" w:line="259"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Seller Board, at a meeting duly called and held prior to the execution of this Agreement or by unanimous written consent, duly and unanimously adopted resolutions (i) approving this Agreement (which approval was made in accordance with all applicable Laws); (ii) determining that the terms of this Agreement are advisable and in the best interests of the Seller Shareholders; and (iii) recommending that the shareholders of the Seller approve this Agreement and the transactions contemplated hereby.</w:t>
      </w:r>
    </w:p>
    <w:p>
      <w:pPr>
        <w:spacing w:after="0" w:line="78" w:lineRule="exact"/>
        <w:rPr>
          <w:rFonts w:ascii="Arial" w:cs="Arial" w:eastAsia="Arial" w:hAnsi="Arial"/>
          <w:sz w:val="18"/>
          <w:szCs w:val="18"/>
          <w:color w:val="auto"/>
        </w:rPr>
      </w:pPr>
    </w:p>
    <w:p>
      <w:pPr>
        <w:ind w:right="60" w:firstLine="443"/>
        <w:spacing w:after="0" w:line="293" w:lineRule="auto"/>
        <w:tabs>
          <w:tab w:leader="none" w:pos="68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only vote of the shareholders of the Seller required to adopt or approve this Agreement and the transactions contemplated hereby is the affirmative vote of the holders of not less than a majority of the outstanding shares of voting common stock of Seller as of the designated record date (the “</w:t>
      </w:r>
      <w:r>
        <w:rPr>
          <w:rFonts w:ascii="Arial" w:cs="Arial" w:eastAsia="Arial" w:hAnsi="Arial"/>
          <w:sz w:val="16"/>
          <w:szCs w:val="16"/>
          <w:u w:val="single" w:color="auto"/>
          <w:color w:val="auto"/>
        </w:rPr>
        <w:t>Required Shareholder Vote</w:t>
      </w:r>
      <w:r>
        <w:rPr>
          <w:rFonts w:ascii="Arial" w:cs="Arial" w:eastAsia="Arial" w:hAnsi="Arial"/>
          <w:sz w:val="16"/>
          <w:szCs w:val="16"/>
          <w:color w:val="auto"/>
        </w:rPr>
        <w:t>”). No other vote or action of the holders of any class or series of capital stock of Seller or any other Person is required by Law, Seller’s Governing Documents or otherwise in order to approve this Agreement and the transactions contemplated hereby by Seller. Seller obtained the Required Shareholder Vote by and through the Written Consent, which was executed by the sole holder of voting common stock of Seller and such Written Consent constitutes the valid and binding required shareholder vote under Michigan corporate law.</w:t>
      </w:r>
    </w:p>
    <w:p>
      <w:pPr>
        <w:spacing w:after="0" w:line="56" w:lineRule="exact"/>
        <w:rPr>
          <w:rFonts w:ascii="Arial" w:cs="Arial" w:eastAsia="Arial" w:hAnsi="Arial"/>
          <w:sz w:val="16"/>
          <w:szCs w:val="16"/>
          <w:color w:val="auto"/>
        </w:rPr>
      </w:pPr>
    </w:p>
    <w:p>
      <w:pPr>
        <w:ind w:right="400" w:firstLine="443"/>
        <w:spacing w:after="0" w:line="277" w:lineRule="auto"/>
        <w:tabs>
          <w:tab w:leader="none" w:pos="6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Written Consent was duly adopted, has not been amended or rescinded, is in full force and effect, and was circulated and solicited in compliance with all applicable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Absence of Breach</w:t>
      </w:r>
      <w:r>
        <w:rPr>
          <w:rFonts w:ascii="Arial" w:cs="Arial" w:eastAsia="Arial" w:hAnsi="Arial"/>
          <w:sz w:val="18"/>
          <w:szCs w:val="18"/>
          <w:color w:val="auto"/>
        </w:rPr>
        <w:t>.</w:t>
      </w:r>
    </w:p>
    <w:p>
      <w:pPr>
        <w:spacing w:after="0" w:line="117" w:lineRule="exact"/>
        <w:rPr>
          <w:sz w:val="20"/>
          <w:szCs w:val="20"/>
          <w:color w:val="auto"/>
        </w:rPr>
      </w:pPr>
    </w:p>
    <w:p>
      <w:pPr>
        <w:ind w:right="680" w:firstLine="443"/>
        <w:spacing w:after="0" w:line="277"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or any Ancillary Document by Seller, nor the completion or performance of the transactions contemplated hereunder or thereunder, will directly or indirectly:</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Breach any provision of Seller’s Governing Documents or any resolution adopted by the Seller Board;</w:t>
      </w:r>
    </w:p>
    <w:p>
      <w:pPr>
        <w:spacing w:after="0" w:line="117" w:lineRule="exact"/>
        <w:rPr>
          <w:rFonts w:ascii="Arial" w:cs="Arial" w:eastAsia="Arial" w:hAnsi="Arial"/>
          <w:sz w:val="18"/>
          <w:szCs w:val="18"/>
          <w:color w:val="auto"/>
        </w:rPr>
      </w:pPr>
    </w:p>
    <w:p>
      <w:pPr>
        <w:ind w:left="460" w:right="100" w:firstLine="421"/>
        <w:spacing w:after="0" w:line="264" w:lineRule="auto"/>
        <w:tabs>
          <w:tab w:leader="none" w:pos="11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assuming the Consents identified in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are obtained, Breach any provision of, or give any Person a right to declare a default, collect any penalty or exercise any remedy under, or accelerate the maturity or performance of, or payment under, or to cancel, terminate or modify, any Contract by which Seller is a party or by which Seller is bound;</w:t>
      </w:r>
    </w:p>
    <w:p>
      <w:pPr>
        <w:spacing w:after="0" w:line="73" w:lineRule="exact"/>
        <w:rPr>
          <w:rFonts w:ascii="Arial" w:cs="Arial" w:eastAsia="Arial" w:hAnsi="Arial"/>
          <w:sz w:val="18"/>
          <w:szCs w:val="18"/>
          <w:color w:val="auto"/>
        </w:rPr>
      </w:pPr>
    </w:p>
    <w:p>
      <w:pPr>
        <w:ind w:left="5160" w:right="60" w:hanging="4279"/>
        <w:spacing w:after="0" w:line="449" w:lineRule="auto"/>
        <w:tabs>
          <w:tab w:leader="none" w:pos="11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result in the creation or imposition of an Encumbrance upon or in relation to any Purchased Asset other than Permitted Encumbrances; 16</w:t>
      </w:r>
    </w:p>
    <w:p>
      <w:pPr>
        <w:sectPr>
          <w:pgSz w:w="11900" w:h="16838" w:orient="portrait"/>
          <w:cols w:equalWidth="0" w:num="1">
            <w:col w:w="10960"/>
          </w:cols>
          <w:pgMar w:left="700" w:top="274" w:right="239" w:bottom="1440" w:gutter="0" w:footer="0" w:header="0"/>
        </w:sectPr>
      </w:pPr>
    </w:p>
    <w:bookmarkStart w:id="29" w:name="page30"/>
    <w:bookmarkEnd w:id="29"/>
    <w:p>
      <w:pPr>
        <w:ind w:left="920" w:firstLine="421"/>
        <w:spacing w:after="0" w:line="342" w:lineRule="auto"/>
        <w:tabs>
          <w:tab w:leader="none" w:pos="1645"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assuming the Consents identified in </w:t>
      </w:r>
      <w:r>
        <w:rPr>
          <w:rFonts w:ascii="Arial" w:cs="Arial" w:eastAsia="Arial" w:hAnsi="Arial"/>
          <w:sz w:val="16"/>
          <w:szCs w:val="16"/>
          <w:u w:val="single" w:color="auto"/>
          <w:color w:val="auto"/>
        </w:rPr>
        <w:t>Schedule 4.5</w:t>
      </w:r>
      <w:r>
        <w:rPr>
          <w:rFonts w:ascii="Arial" w:cs="Arial" w:eastAsia="Arial" w:hAnsi="Arial"/>
          <w:sz w:val="16"/>
          <w:szCs w:val="16"/>
          <w:color w:val="auto"/>
        </w:rPr>
        <w:t xml:space="preserve"> are obtained, violate or otherwise Breach, or give any Authority the right to challenge any of the transactions contemplated by this Agreement or exercise any remedy or obtain any relief under, any applicable Law or Order; or</w:t>
      </w:r>
    </w:p>
    <w:p>
      <w:pPr>
        <w:spacing w:after="0" w:line="15" w:lineRule="exact"/>
        <w:rPr>
          <w:rFonts w:ascii="Arial" w:cs="Arial" w:eastAsia="Arial" w:hAnsi="Arial"/>
          <w:sz w:val="16"/>
          <w:szCs w:val="16"/>
          <w:color w:val="auto"/>
        </w:rPr>
      </w:pPr>
    </w:p>
    <w:p>
      <w:pPr>
        <w:ind w:left="1600" w:hanging="259"/>
        <w:spacing w:after="0"/>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cause the suspension, revocation or modification of any Permit related to the Business.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Consents and Filings</w:t>
      </w:r>
      <w:r>
        <w:rPr>
          <w:rFonts w:ascii="Arial" w:cs="Arial" w:eastAsia="Arial" w:hAnsi="Arial"/>
          <w:sz w:val="18"/>
          <w:szCs w:val="18"/>
          <w:color w:val="auto"/>
        </w:rPr>
        <w:t xml:space="preserve">. Seller is not required by Law, Contract or otherwise to give any notice to, make any filing with, or obtain any Consent from any Authority or other Person in connection with Seller’s execution, delivery or performance of this Agreement or the completion of the transactions contemplated hereby, except: (a) the Required Shareholder Vote; (b) the Consents set forth in </w:t>
      </w:r>
      <w:r>
        <w:rPr>
          <w:rFonts w:ascii="Arial" w:cs="Arial" w:eastAsia="Arial" w:hAnsi="Arial"/>
          <w:sz w:val="18"/>
          <w:szCs w:val="18"/>
          <w:u w:val="single" w:color="auto"/>
          <w:color w:val="auto"/>
        </w:rPr>
        <w:t>Schedule 4.5</w:t>
      </w:r>
      <w:r>
        <w:rPr>
          <w:rFonts w:ascii="Arial" w:cs="Arial" w:eastAsia="Arial" w:hAnsi="Arial"/>
          <w:sz w:val="18"/>
          <w:szCs w:val="18"/>
          <w:color w:val="auto"/>
        </w:rPr>
        <w:t>; and (c) any filings, consents and approvals required under the HSR Act.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Financial Statements; No Undisclosed Liabilities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86" w:lineRule="auto"/>
        <w:tabs>
          <w:tab w:leader="none" w:pos="11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Seller has delivered to Buyer correct and complete copies of (i) the unaudited balances of accounts receivable, warranty and accrued program expenses, and inventory of the Business as at September 28, 2014 (the “</w:t>
      </w:r>
      <w:r>
        <w:rPr>
          <w:rFonts w:ascii="Arial" w:cs="Arial" w:eastAsia="Arial" w:hAnsi="Arial"/>
          <w:sz w:val="16"/>
          <w:szCs w:val="16"/>
          <w:u w:val="single" w:color="auto"/>
          <w:color w:val="auto"/>
        </w:rPr>
        <w:t>Latest Interim Balance Sheet</w:t>
      </w:r>
      <w:r>
        <w:rPr>
          <w:rFonts w:ascii="Arial" w:cs="Arial" w:eastAsia="Arial" w:hAnsi="Arial"/>
          <w:sz w:val="16"/>
          <w:szCs w:val="16"/>
          <w:color w:val="auto"/>
        </w:rPr>
        <w:t>”, and the date thereof being referred to as the “</w:t>
      </w:r>
      <w:r>
        <w:rPr>
          <w:rFonts w:ascii="Arial" w:cs="Arial" w:eastAsia="Arial" w:hAnsi="Arial"/>
          <w:sz w:val="16"/>
          <w:szCs w:val="16"/>
          <w:u w:val="single" w:color="auto"/>
          <w:color w:val="auto"/>
        </w:rPr>
        <w:t>Latest Balance Sheet Date</w:t>
      </w:r>
      <w:r>
        <w:rPr>
          <w:rFonts w:ascii="Arial" w:cs="Arial" w:eastAsia="Arial" w:hAnsi="Arial"/>
          <w:sz w:val="16"/>
          <w:szCs w:val="16"/>
          <w:color w:val="auto"/>
        </w:rPr>
        <w:t>”), and the related unaudited statement of income of the Business for the fiscal period ended September 28, 2014 (the “Latest Interim Income Statement” and, together with the Latest Interim Balance Sheet, the “</w:t>
      </w:r>
      <w:r>
        <w:rPr>
          <w:rFonts w:ascii="Arial" w:cs="Arial" w:eastAsia="Arial" w:hAnsi="Arial"/>
          <w:sz w:val="16"/>
          <w:szCs w:val="16"/>
          <w:u w:val="single" w:color="auto"/>
          <w:color w:val="auto"/>
        </w:rPr>
        <w:t>Latest Interim Financial Statements</w:t>
      </w:r>
      <w:r>
        <w:rPr>
          <w:rFonts w:ascii="Arial" w:cs="Arial" w:eastAsia="Arial" w:hAnsi="Arial"/>
          <w:sz w:val="16"/>
          <w:szCs w:val="16"/>
          <w:color w:val="auto"/>
        </w:rPr>
        <w:t>”), and (ii) the audited balance sheets of the Business as at December 31, 2013 and 2012, and the related audited statements of income and changes in stockholders’ equity of the Business for the fiscal year ended December 31, 2013, including in each case the notes thereto (collectively, the “</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and together with the Latest Interim Financial Statements,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are based upon the books and records of Seller and were prepared in accordance with GAAP consistently applied during the periods indicated (subject, in the case of the Latest Interim Financial Statements, to normal year-end adjustments, allocation of shared expenses, and the absences of footnotes and in the case of the Latest Interim Balance Sheet, only with respect to the accounts reflected therein). The Annual Financial Statements fairly present in all material respects the financial position of the Business on a stand-alone basis as of the dates thereof and the Business’ results of operations and cash flows for the periods then ended. The Latest Interim Balance Sheet fairly presents in all material respects the financial position of the assets and liabilities of the Business on a stand-alone basis that are reflected on the Latest Interim Balance Sheet and the Latest Interim Income Statement fairly presents in all material respect the Business’ results of operations for the period then ended.</w:t>
      </w:r>
    </w:p>
    <w:p>
      <w:pPr>
        <w:spacing w:after="0" w:line="63" w:lineRule="exact"/>
        <w:rPr>
          <w:rFonts w:ascii="Arial" w:cs="Arial" w:eastAsia="Arial" w:hAnsi="Arial"/>
          <w:sz w:val="16"/>
          <w:szCs w:val="16"/>
          <w:color w:val="auto"/>
        </w:rPr>
      </w:pPr>
    </w:p>
    <w:p>
      <w:pPr>
        <w:ind w:left="460" w:right="220" w:firstLine="443"/>
        <w:spacing w:after="0" w:line="286" w:lineRule="auto"/>
        <w:tabs>
          <w:tab w:leader="none" w:pos="1153"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Seller does not have any Liabilities related to or arising out of the operation of the Business (whether or not required to be disclosed on a balance sheet prepared in accordance with GAAP) other than Liabilities (i) set forth in </w:t>
      </w:r>
      <w:r>
        <w:rPr>
          <w:rFonts w:ascii="Arial" w:cs="Arial" w:eastAsia="Arial" w:hAnsi="Arial"/>
          <w:sz w:val="17"/>
          <w:szCs w:val="17"/>
          <w:u w:val="single" w:color="auto"/>
          <w:color w:val="auto"/>
        </w:rPr>
        <w:t>Schedule 4.6(b)</w:t>
      </w:r>
      <w:r>
        <w:rPr>
          <w:rFonts w:ascii="Arial" w:cs="Arial" w:eastAsia="Arial" w:hAnsi="Arial"/>
          <w:sz w:val="17"/>
          <w:szCs w:val="17"/>
          <w:color w:val="auto"/>
        </w:rPr>
        <w:t>; (ii) to Buyer and Seller’s legal, financial and other advisors in connection with this Agreement and the transactions contemplated hereby; (iii) arising under the Assigned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0" w:name="page31"/>
    <w:bookmarkEnd w:id="30"/>
    <w:p>
      <w:pPr>
        <w:ind w:left="4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Contracts in each case in accordance with the written terms thereof (none of which arise out of or relate to any Breach by Seller thereunder); (iv) arising under any Contracts identified in </w:t>
      </w:r>
      <w:r>
        <w:rPr>
          <w:rFonts w:ascii="Arial" w:cs="Arial" w:eastAsia="Arial" w:hAnsi="Arial"/>
          <w:sz w:val="17"/>
          <w:szCs w:val="17"/>
          <w:u w:val="single" w:color="auto"/>
          <w:color w:val="auto"/>
        </w:rPr>
        <w:t>Schedule 4.19(a)</w:t>
      </w:r>
      <w:r>
        <w:rPr>
          <w:rFonts w:ascii="Arial" w:cs="Arial" w:eastAsia="Arial" w:hAnsi="Arial"/>
          <w:sz w:val="17"/>
          <w:szCs w:val="17"/>
          <w:color w:val="auto"/>
        </w:rPr>
        <w:t xml:space="preserve"> other than the Assigned Contracts or any Contracts not required to be listed on </w:t>
      </w:r>
      <w:r>
        <w:rPr>
          <w:rFonts w:ascii="Arial" w:cs="Arial" w:eastAsia="Arial" w:hAnsi="Arial"/>
          <w:sz w:val="17"/>
          <w:szCs w:val="17"/>
          <w:u w:val="single" w:color="auto"/>
          <w:color w:val="auto"/>
        </w:rPr>
        <w:t>Schedule 4.19(a)</w:t>
      </w:r>
      <w:r>
        <w:rPr>
          <w:rFonts w:ascii="Arial" w:cs="Arial" w:eastAsia="Arial" w:hAnsi="Arial"/>
          <w:sz w:val="17"/>
          <w:szCs w:val="17"/>
          <w:color w:val="auto"/>
        </w:rPr>
        <w:t xml:space="preserve"> (none of which arise out of or relate to any Breach by Seller thereunder) in each case in accordance with the written terms thereof; (v) expressly reserved or accrued for on the Latest Interim Balance Sheet, to the extent of such reserve or accrual; (vi) to the extent set forth in the Final Closing Balance Sheet; or (vii) arising in the Ordinary Course of Business since the date of the Latest Interim Balance Sheet. Except as set forth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4.6(b)</w:t>
      </w:r>
      <w:r>
        <w:rPr>
          <w:rFonts w:ascii="Arial" w:cs="Arial" w:eastAsia="Arial" w:hAnsi="Arial"/>
          <w:sz w:val="17"/>
          <w:szCs w:val="17"/>
          <w:color w:val="auto"/>
        </w:rPr>
        <w:t>, none of the foregoing categories of Liabilities, including those set forth in the Seller Disclosure Schedule, arise from or relate to an actual or alleged Breach of any Law, Order or Contract or as a result of the Closing.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or as otherwise permitted or contemplated by this Agreement, since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03" w:lineRule="exact"/>
        <w:rPr>
          <w:sz w:val="20"/>
          <w:szCs w:val="20"/>
          <w:color w:val="auto"/>
        </w:rPr>
      </w:pPr>
    </w:p>
    <w:p>
      <w:pPr>
        <w:ind w:left="1140" w:hanging="237"/>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Seller has owned and operated the assets, properties and business of the Business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event has occurred and no circumstance exists or has developed that has had or would reasonably be expected to have a Material Adverse</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Seller’s marketing plans and incentive programs have been operated in the Ordinary Course of Business;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Seller has not taken or failed to take any action that would, if taken or failed to be taken after the date hereof, constitute or result in a Breach of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jc w:val="both"/>
        <w:ind w:left="460" w:right="180" w:firstLine="443"/>
        <w:spacing w:after="0" w:line="259" w:lineRule="auto"/>
        <w:tabs>
          <w:tab w:leader="none" w:pos="11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Seller does not hold title to, own or hold any security or similar interest that could result in ownership of any Real Property used in, held for use in, or required for the continued operation of the Business except as is identified in </w:t>
      </w:r>
      <w:r>
        <w:rPr>
          <w:rFonts w:ascii="Arial" w:cs="Arial" w:eastAsia="Arial" w:hAnsi="Arial"/>
          <w:sz w:val="18"/>
          <w:szCs w:val="18"/>
          <w:u w:val="single" w:color="auto"/>
          <w:color w:val="auto"/>
        </w:rPr>
        <w:t>Schedule 4.8(a)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Seller has good and transferable right, title and interest in and to all of the Owned Real Property and is transferring all such assets to Buyer free and clear of any Encumbrance other than Permitted Encumbrances.</w:t>
      </w:r>
    </w:p>
    <w:p>
      <w:pPr>
        <w:spacing w:after="0" w:line="78" w:lineRule="exact"/>
        <w:rPr>
          <w:rFonts w:ascii="Arial" w:cs="Arial" w:eastAsia="Arial" w:hAnsi="Arial"/>
          <w:sz w:val="18"/>
          <w:szCs w:val="18"/>
          <w:color w:val="auto"/>
        </w:rPr>
      </w:pPr>
    </w:p>
    <w:p>
      <w:pPr>
        <w:ind w:left="460" w:right="80" w:firstLine="443"/>
        <w:spacing w:after="0" w:line="279" w:lineRule="auto"/>
        <w:tabs>
          <w:tab w:leader="none" w:pos="115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Schedule 4.8(b)</w:t>
      </w:r>
      <w:r>
        <w:rPr>
          <w:rFonts w:ascii="Arial" w:cs="Arial" w:eastAsia="Arial" w:hAnsi="Arial"/>
          <w:sz w:val="17"/>
          <w:szCs w:val="17"/>
          <w:color w:val="auto"/>
        </w:rPr>
        <w:t xml:space="preserve"> identifies (i) all Real Property used in, held for use in, or required for the continued operation of the Business in which Seller has a leasehold or similar interest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and (ii) each Contract or other arrangement under which Seller occupies or otherwise holds an interest in the Leased Real Property, correct and complete copies of which have been provided to Buyer (the “</w:t>
      </w:r>
      <w:r>
        <w:rPr>
          <w:rFonts w:ascii="Arial" w:cs="Arial" w:eastAsia="Arial" w:hAnsi="Arial"/>
          <w:sz w:val="17"/>
          <w:szCs w:val="17"/>
          <w:u w:val="single" w:color="auto"/>
          <w:color w:val="auto"/>
        </w:rPr>
        <w:t>Leases</w:t>
      </w:r>
      <w:r>
        <w:rPr>
          <w:rFonts w:ascii="Arial" w:cs="Arial" w:eastAsia="Arial" w:hAnsi="Arial"/>
          <w:sz w:val="17"/>
          <w:szCs w:val="17"/>
          <w:color w:val="auto"/>
        </w:rPr>
        <w:t>”). Each Lease is in full force and effect, and neither Seller nor, to the knowledge of Seller, any other party to such Lease is in Breach thereof.</w:t>
      </w:r>
    </w:p>
    <w:p>
      <w:pPr>
        <w:spacing w:after="0" w:line="63" w:lineRule="exact"/>
        <w:rPr>
          <w:rFonts w:ascii="Arial" w:cs="Arial" w:eastAsia="Arial" w:hAnsi="Arial"/>
          <w:sz w:val="17"/>
          <w:szCs w:val="17"/>
          <w:color w:val="auto"/>
        </w:rPr>
      </w:pPr>
    </w:p>
    <w:p>
      <w:pPr>
        <w:ind w:left="460" w:right="80" w:firstLine="443"/>
        <w:spacing w:after="0" w:line="277" w:lineRule="auto"/>
        <w:tabs>
          <w:tab w:leader="none" w:pos="11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is no Real Property used in, held for use in, or required for the continued operation of the Business other than the Owned Real Property and the Leased Real Property (together, the “</w:t>
      </w:r>
      <w:r>
        <w:rPr>
          <w:rFonts w:ascii="Arial" w:cs="Arial" w:eastAsia="Arial" w:hAnsi="Arial"/>
          <w:sz w:val="18"/>
          <w:szCs w:val="18"/>
          <w:u w:val="single" w:color="auto"/>
          <w:color w:val="auto"/>
        </w:rPr>
        <w:t>Facilities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the Facilities included in the Owned Real Property or, to Seller’s knowledge, the Facilities included in the Leased Real Property is subject to any ground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1" w:name="page32"/>
    <w:bookmarkEnd w:id="31"/>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master lease, mortgage, deed of trust or other Encumbrance (other than Permitted Encumbrances) that would entitle the holder thereof to interfere with or disturb the use or enjoyment of the Facilities or the exercise by Seller of its rights under any Lease so long as Seller is not in Breach of such Lease.</w:t>
      </w:r>
    </w:p>
    <w:p>
      <w:pPr>
        <w:spacing w:after="0" w:line="73" w:lineRule="exact"/>
        <w:rPr>
          <w:sz w:val="20"/>
          <w:szCs w:val="20"/>
          <w:color w:val="auto"/>
        </w:rPr>
      </w:pPr>
    </w:p>
    <w:p>
      <w:pPr>
        <w:ind w:left="460" w:right="20" w:firstLine="443"/>
        <w:spacing w:after="0" w:line="254" w:lineRule="auto"/>
        <w:tabs>
          <w:tab w:leader="none" w:pos="114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parcel of Real Property in the Facilities has sufficient access to public roads and to all necessary utilities (including electricity, sanitary and storm sewer, potable water, natural gas and other utilities) for the operation and continuation of the Business as currently conducted at that location. The zoning for each such parcel of Real Property permits as a conforming use the presently existing improvements and the continuation of the Business as presently being conducted thereon. Seller is not in Breach in any material respect of any applicable zoning ordinance relating to the Facilities, and Seller has not received any notice of any such Breach or of the existence of any condemnation or other Proceeding with respect to any of the Facilities. The buildings and other improvements on the Owned Real Property and, to Seller’s knowledge, the buildings and other improvements on the Leased Real Property are located within the boundary lines of each parcel of such Real Property for the respective Facilities and do not encroach over applicable setback lines.</w:t>
      </w:r>
    </w:p>
    <w:p>
      <w:pPr>
        <w:spacing w:after="0" w:line="84" w:lineRule="exact"/>
        <w:rPr>
          <w:rFonts w:ascii="Arial" w:cs="Arial" w:eastAsia="Arial" w:hAnsi="Arial"/>
          <w:sz w:val="18"/>
          <w:szCs w:val="18"/>
          <w:color w:val="auto"/>
        </w:rPr>
      </w:pPr>
    </w:p>
    <w:p>
      <w:pPr>
        <w:ind w:left="460" w:right="40" w:firstLine="443"/>
        <w:spacing w:after="0" w:line="259" w:lineRule="auto"/>
        <w:tabs>
          <w:tab w:leader="none" w:pos="11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no present assessments, special Taxes or other charges imposed or, to Seller’s Knowledge, threatened by any Authority on or against the Facilities, and Seller has no knowledge of any assessments, special Taxes or other charges proposed or authorized by any Authority to be made on or against the Facilities or any improvements made or contemplated to be made by any Authority, the costs of which would be reasonably expected to be assessed as special Taxes or charges against any of the Facilities.</w:t>
      </w:r>
    </w:p>
    <w:p>
      <w:pPr>
        <w:spacing w:after="0" w:line="78" w:lineRule="exact"/>
        <w:rPr>
          <w:rFonts w:ascii="Arial" w:cs="Arial" w:eastAsia="Arial" w:hAnsi="Arial"/>
          <w:sz w:val="18"/>
          <w:szCs w:val="18"/>
          <w:color w:val="auto"/>
        </w:rPr>
      </w:pPr>
    </w:p>
    <w:p>
      <w:pPr>
        <w:ind w:left="460" w:right="60" w:firstLine="443"/>
        <w:spacing w:after="0" w:line="286" w:lineRule="auto"/>
        <w:tabs>
          <w:tab w:leader="none" w:pos="115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Owned Real Property, including the buildings, structures, fixtures and improvements located thereon, are (i) free of structural defects and to Seller’s knowledge, other defects except for routine maintenance and repair, and (ii) in operating condition, ordinary wear and tear excepted and taking into account the age thereof, with no material maintenance or repair having been deferred or neglected.</w:t>
      </w:r>
    </w:p>
    <w:p>
      <w:pPr>
        <w:spacing w:after="0" w:line="57" w:lineRule="exact"/>
        <w:rPr>
          <w:rFonts w:ascii="Arial" w:cs="Arial" w:eastAsia="Arial" w:hAnsi="Arial"/>
          <w:sz w:val="17"/>
          <w:szCs w:val="17"/>
          <w:color w:val="auto"/>
        </w:rPr>
      </w:pPr>
    </w:p>
    <w:p>
      <w:pPr>
        <w:ind w:left="460" w:right="160" w:firstLine="443"/>
        <w:spacing w:after="0" w:line="277" w:lineRule="auto"/>
        <w:tabs>
          <w:tab w:leader="none" w:pos="11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Seller has not received any notice from any Person of an intent to, and to Seller’s knowledge no Person has any intent to, exercise any rights to mine iron ore or any other minerals or fossils, in, under or upon the Owned Real Property.</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xml:space="preserve">. Seller has good and transferable right, title and interest in and to all of the Tangible Personal Property and Inventory and is transferring all such assets to Buyer free and clear of any Encumbrances other than Permitted Encumbrances. Except as set forth in </w:t>
      </w:r>
      <w:r>
        <w:rPr>
          <w:rFonts w:ascii="Arial" w:cs="Arial" w:eastAsia="Arial" w:hAnsi="Arial"/>
          <w:sz w:val="18"/>
          <w:szCs w:val="18"/>
          <w:u w:val="single" w:color="auto"/>
          <w:color w:val="auto"/>
        </w:rPr>
        <w:t>Schedule 4.9</w:t>
      </w:r>
      <w:r>
        <w:rPr>
          <w:rFonts w:ascii="Arial" w:cs="Arial" w:eastAsia="Arial" w:hAnsi="Arial"/>
          <w:sz w:val="18"/>
          <w:szCs w:val="18"/>
          <w:color w:val="auto"/>
        </w:rPr>
        <w:t xml:space="preserve">, each such item of Tangible Personal Property is (a) in operating condition, ordinary wear and tear excepted and taking into account the estimated useful life thereof, (b) fit for its current application, (c) in material compliance with applicable requirements under the Occupational Safety and Health Act and similar Laws concerning worker health and safety, (d) suitable for immediate use in the Ordinary Course of Business, (e) free from material latent and, to Seller’s knowledge, patent defects, and (f) in Seller’s possession and control and located at one of the Facilities. Except for the Retained Assets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1.2(i)</w:t>
      </w:r>
      <w:r>
        <w:rPr>
          <w:rFonts w:ascii="Arial" w:cs="Arial" w:eastAsia="Arial" w:hAnsi="Arial"/>
          <w:sz w:val="18"/>
          <w:szCs w:val="18"/>
          <w:color w:val="auto"/>
        </w:rPr>
        <w:t xml:space="preserve"> 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2" w:name="page33"/>
    <w:bookmarkEnd w:id="32"/>
    <w:p>
      <w:pPr>
        <w:ind w:right="4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services to be provided under the Transition Services Agreement, there are no tangible assets used by the Business which will not be owned by Buyer or leased or licensed to Buyer under valid, current leases or royalty-free license arrangements as a result of the transactions contemplated hereby.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Inventory</w:t>
      </w:r>
      <w:r>
        <w:rPr>
          <w:rFonts w:ascii="Arial" w:cs="Arial" w:eastAsia="Arial" w:hAnsi="Arial"/>
          <w:sz w:val="16"/>
          <w:szCs w:val="16"/>
          <w:color w:val="auto"/>
        </w:rPr>
        <w:t>. The Inventory consists solely of finished goods, work in process, raw and packaging materials and spare and replacement parts which</w:t>
      </w:r>
    </w:p>
    <w:p>
      <w:pPr>
        <w:spacing w:after="0" w:line="46"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are either currently used in the manufacture of products currently offered for sale in the Business or are products currently offered for sale in the Business,</w:t>
      </w:r>
    </w:p>
    <w:p>
      <w:pPr>
        <w:spacing w:after="0" w:line="32" w:lineRule="exact"/>
        <w:rPr>
          <w:rFonts w:ascii="Arial" w:cs="Arial" w:eastAsia="Arial" w:hAnsi="Arial"/>
          <w:sz w:val="16"/>
          <w:szCs w:val="16"/>
          <w:color w:val="auto"/>
        </w:rPr>
      </w:pPr>
    </w:p>
    <w:p>
      <w:pPr>
        <w:ind w:right="200" w:firstLine="8"/>
        <w:spacing w:after="0" w:line="253"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meet Seller’s specifications, and (c) are usable and, with respect to finished goods, saleable in the Ordinary Course of Business. The Inventory has been valued on the Financial Statements using the principles described in Section 2.1(a) and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The Inventory is in Seller’s possession and control and located at one of the Facilities except for finished goods and work in process inventory in the Ordinary Course of Business. Except as set forth on </w:t>
      </w:r>
      <w:r>
        <w:rPr>
          <w:rFonts w:ascii="Arial" w:cs="Arial" w:eastAsia="Arial" w:hAnsi="Arial"/>
          <w:sz w:val="18"/>
          <w:szCs w:val="18"/>
          <w:u w:val="single" w:color="auto"/>
          <w:color w:val="auto"/>
        </w:rPr>
        <w:t>Schedule 4.10</w:t>
      </w:r>
      <w:r>
        <w:rPr>
          <w:rFonts w:ascii="Arial" w:cs="Arial" w:eastAsia="Arial" w:hAnsi="Arial"/>
          <w:sz w:val="18"/>
          <w:szCs w:val="18"/>
          <w:color w:val="auto"/>
        </w:rPr>
        <w:t>, Seller does not, in connection with the Business, possess any finished goods, work in process, raw and packaging materials and spare and replacement parts or other inventory that it does not own.</w:t>
      </w:r>
    </w:p>
    <w:p>
      <w:pPr>
        <w:spacing w:after="0" w:line="19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Accounts Receivable</w:t>
      </w:r>
      <w:r>
        <w:rPr>
          <w:rFonts w:ascii="Arial" w:cs="Arial" w:eastAsia="Arial" w:hAnsi="Arial"/>
          <w:sz w:val="16"/>
          <w:szCs w:val="16"/>
          <w:color w:val="auto"/>
        </w:rPr>
        <w:t>. All Accounts Receivable of the Business as of the date hereof constitute valid and enforceable claims arising from bona fide transactions in the Ordinary Course of Business, and there are no pending claims, refusals to pay or other rights of set-off against any such receivables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Proceedings; Orders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72" w:lineRule="auto"/>
        <w:tabs>
          <w:tab w:leader="none" w:pos="114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Schedule 4.12(a)</w:t>
      </w:r>
      <w:r>
        <w:rPr>
          <w:rFonts w:ascii="Arial" w:cs="Arial" w:eastAsia="Arial" w:hAnsi="Arial"/>
          <w:sz w:val="17"/>
          <w:szCs w:val="17"/>
          <w:color w:val="auto"/>
        </w:rPr>
        <w:t xml:space="preserve"> sets forth a list of (i) all Proceedings related to the Business that are pending or, to Seller’s knowledge, threatened by, against or otherwise relating to Seller (whether as plaintiff, defendant or in any other capacity) or any director, officer, employee, consultant or other agent or representative of Seller (but only in their capacity as such); </w:t>
      </w:r>
      <w:r>
        <w:rPr>
          <w:rFonts w:ascii="Arial" w:cs="Arial" w:eastAsia="Arial" w:hAnsi="Arial"/>
          <w:sz w:val="17"/>
          <w:szCs w:val="17"/>
          <w:b w:val="1"/>
          <w:bCs w:val="1"/>
          <w:color w:val="auto"/>
        </w:rPr>
        <w:t>(</w:t>
      </w:r>
      <w:r>
        <w:rPr>
          <w:rFonts w:ascii="Arial" w:cs="Arial" w:eastAsia="Arial" w:hAnsi="Arial"/>
          <w:sz w:val="17"/>
          <w:szCs w:val="17"/>
          <w:color w:val="auto"/>
        </w:rPr>
        <w:t xml:space="preserve">ii) all events or circumstances that, to Seller’s knowledge, could reasonably be expected to result in such a Proceeding; and (iii) all such Proceedings that have been decided by any Authority or otherwise settled or resolved since January 1, 2010. Correct and complete copies of all Orders, settlement agreements or similar documents relating to the resolution or pending resolution of any of the matters set forth in </w:t>
      </w:r>
      <w:r>
        <w:rPr>
          <w:rFonts w:ascii="Arial" w:cs="Arial" w:eastAsia="Arial" w:hAnsi="Arial"/>
          <w:sz w:val="17"/>
          <w:szCs w:val="17"/>
          <w:u w:val="single" w:color="auto"/>
          <w:color w:val="auto"/>
        </w:rPr>
        <w:t>Schedule 4.12(a)</w:t>
      </w:r>
      <w:r>
        <w:rPr>
          <w:rFonts w:ascii="Arial" w:cs="Arial" w:eastAsia="Arial" w:hAnsi="Arial"/>
          <w:sz w:val="17"/>
          <w:szCs w:val="17"/>
          <w:color w:val="auto"/>
        </w:rPr>
        <w:t xml:space="preserve"> have been provided to Buyer. None of the matters set forth in </w:t>
      </w:r>
      <w:r>
        <w:rPr>
          <w:rFonts w:ascii="Arial" w:cs="Arial" w:eastAsia="Arial" w:hAnsi="Arial"/>
          <w:sz w:val="17"/>
          <w:szCs w:val="17"/>
          <w:u w:val="single" w:color="auto"/>
          <w:color w:val="auto"/>
        </w:rPr>
        <w:t>Schedule 4.12(a)</w:t>
      </w:r>
      <w:r>
        <w:rPr>
          <w:rFonts w:ascii="Arial" w:cs="Arial" w:eastAsia="Arial" w:hAnsi="Arial"/>
          <w:sz w:val="17"/>
          <w:szCs w:val="17"/>
          <w:color w:val="auto"/>
        </w:rPr>
        <w:t xml:space="preserve"> have had, or to Seller’s knowledge would be reasonably be expected to have, a Material Adverse Effect.</w:t>
      </w:r>
    </w:p>
    <w:p>
      <w:pPr>
        <w:spacing w:after="0" w:line="69" w:lineRule="exact"/>
        <w:rPr>
          <w:rFonts w:ascii="Arial" w:cs="Arial" w:eastAsia="Arial" w:hAnsi="Arial"/>
          <w:sz w:val="17"/>
          <w:szCs w:val="17"/>
          <w:color w:val="auto"/>
        </w:rPr>
      </w:pPr>
    </w:p>
    <w:p>
      <w:pPr>
        <w:ind w:left="460" w:right="40" w:firstLine="443"/>
        <w:spacing w:after="0" w:line="277" w:lineRule="auto"/>
        <w:tabs>
          <w:tab w:leader="none" w:pos="11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Seller nor any of the Purchased Assets is subject to any Order related to the Business. No director, officer, employee or other agent of Seller is subject to any Order relating to the Business or any of the Purchased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Compliance with Laws; Permits; Regulatory and Product Safety Matters</w:t>
      </w:r>
      <w:r>
        <w:rPr>
          <w:rFonts w:ascii="Arial" w:cs="Arial" w:eastAsia="Arial" w:hAnsi="Arial"/>
          <w:sz w:val="18"/>
          <w:szCs w:val="18"/>
          <w:color w:val="auto"/>
        </w:rPr>
        <w:t>.</w:t>
      </w:r>
    </w:p>
    <w:p>
      <w:pPr>
        <w:spacing w:after="0" w:line="117" w:lineRule="exact"/>
        <w:rPr>
          <w:sz w:val="20"/>
          <w:szCs w:val="20"/>
          <w:color w:val="auto"/>
        </w:rPr>
      </w:pPr>
    </w:p>
    <w:p>
      <w:pPr>
        <w:ind w:left="460" w:right="320" w:firstLine="443"/>
        <w:spacing w:after="0" w:line="264" w:lineRule="auto"/>
        <w:tabs>
          <w:tab w:leader="none" w:pos="11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Without limiting or otherwise affecting the scope of Seller’s other representations and warranties in this Agreement, except as set forth on </w:t>
      </w:r>
      <w:r>
        <w:rPr>
          <w:rFonts w:ascii="Arial" w:cs="Arial" w:eastAsia="Arial" w:hAnsi="Arial"/>
          <w:sz w:val="18"/>
          <w:szCs w:val="18"/>
          <w:u w:val="single" w:color="auto"/>
          <w:color w:val="auto"/>
        </w:rPr>
        <w:t>Schedule 4.13(a)</w:t>
      </w:r>
      <w:r>
        <w:rPr>
          <w:rFonts w:ascii="Arial" w:cs="Arial" w:eastAsia="Arial" w:hAnsi="Arial"/>
          <w:sz w:val="18"/>
          <w:szCs w:val="18"/>
          <w:color w:val="auto"/>
        </w:rPr>
        <w:t xml:space="preserve"> and in each case to the extent related to the Business, (i) to Seller’s knowledge, Seller is not currently in Breach in any material respect of Laws relating to the importing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3" w:name="page34"/>
    <w:bookmarkEnd w:id="33"/>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exporting of products and materials and (ii) Seller is not currently in Breach in any material respects of any other applicable Laws, and no Authority or other Person has given notice or alleged in writing to Seller (or, to Seller’s knowledge, otherwise alleged) that Seller is currently in Breach of any applicable Law, and (iii) since January 1, 2010, Seller has not Breached in any material respect any applicable Law, including any state dealer protection Laws as they apply to distributors and dealers set forth on </w:t>
      </w:r>
      <w:r>
        <w:rPr>
          <w:rFonts w:ascii="Arial" w:cs="Arial" w:eastAsia="Arial" w:hAnsi="Arial"/>
          <w:sz w:val="16"/>
          <w:szCs w:val="16"/>
          <w:u w:val="single" w:color="auto"/>
          <w:color w:val="auto"/>
        </w:rPr>
        <w:t>Schedule 4.21(a)</w:t>
      </w:r>
      <w:r>
        <w:rPr>
          <w:rFonts w:ascii="Arial" w:cs="Arial" w:eastAsia="Arial" w:hAnsi="Arial"/>
          <w:sz w:val="16"/>
          <w:szCs w:val="16"/>
          <w:color w:val="auto"/>
        </w:rPr>
        <w:t xml:space="preserve">, and no Authority or other Person has given notice or alleged in writing to Seller (or, to Seller’s knowledge, otherwise alleged) that Seller has or may have Breached any applicable Law. None of the matters set forth in </w:t>
      </w: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have had or to Seller’s knowledge would reasonably be expected to have a Material Adverse Effect.</w:t>
      </w:r>
    </w:p>
    <w:p>
      <w:pPr>
        <w:spacing w:after="0" w:line="57" w:lineRule="exact"/>
        <w:rPr>
          <w:sz w:val="20"/>
          <w:szCs w:val="20"/>
          <w:color w:val="auto"/>
        </w:rPr>
      </w:pPr>
    </w:p>
    <w:p>
      <w:pPr>
        <w:ind w:right="420" w:firstLine="443"/>
        <w:spacing w:after="0" w:line="308" w:lineRule="auto"/>
        <w:tabs>
          <w:tab w:leader="none" w:pos="6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Neither Seller, nor any director, officer, agent, shareholder or employee of Seller, has taken any action which would cause Seller to be in violation in any material respect of the Foreign Corrupt Practices Act of 1977, as amended, or any applicable Law of similar effect.</w:t>
      </w:r>
    </w:p>
    <w:p>
      <w:pPr>
        <w:spacing w:after="0" w:line="38" w:lineRule="exact"/>
        <w:rPr>
          <w:rFonts w:ascii="Arial" w:cs="Arial" w:eastAsia="Arial" w:hAnsi="Arial"/>
          <w:sz w:val="17"/>
          <w:szCs w:val="17"/>
          <w:color w:val="auto"/>
        </w:rPr>
      </w:pPr>
    </w:p>
    <w:p>
      <w:pPr>
        <w:ind w:right="160" w:firstLine="443"/>
        <w:spacing w:after="0" w:line="297" w:lineRule="auto"/>
        <w:tabs>
          <w:tab w:leader="none" w:pos="68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Schedule 1.1(f)</w:t>
      </w:r>
      <w:r>
        <w:rPr>
          <w:rFonts w:ascii="Arial" w:cs="Arial" w:eastAsia="Arial" w:hAnsi="Arial"/>
          <w:sz w:val="16"/>
          <w:szCs w:val="16"/>
          <w:color w:val="auto"/>
        </w:rPr>
        <w:t xml:space="preserve"> sets forth a correct and complete list of all Permits required for Seller to own and operate the Business and the Purchased Assets in the Ordinary Course of Business in compliance in all material respects with applicable Laws. Each such Permit is held by Seller and in full force and effect, and no Authority or other Person has given notice of or alleged in writing to Seller (or, to Seller’s knowledge, otherwise alleged) any revocation, cancellation, termination or Breach or modification thereof. No Authority or other Person has given notice or alleged in writing to Seller (or, to Seller’s knowledge, otherwise alleged) that Seller is required to hold a Permit related to the Business that it does not hold.</w:t>
      </w:r>
    </w:p>
    <w:p>
      <w:pPr>
        <w:spacing w:after="0" w:line="50" w:lineRule="exact"/>
        <w:rPr>
          <w:rFonts w:ascii="Arial" w:cs="Arial" w:eastAsia="Arial" w:hAnsi="Arial"/>
          <w:sz w:val="16"/>
          <w:szCs w:val="16"/>
          <w:color w:val="auto"/>
        </w:rPr>
      </w:pPr>
    </w:p>
    <w:p>
      <w:pPr>
        <w:ind w:right="120" w:firstLine="443"/>
        <w:spacing w:after="0" w:line="255" w:lineRule="auto"/>
        <w:tabs>
          <w:tab w:leader="none" w:pos="6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Authority or other Person (including any director, employee, consultant or other agent or representative of Seller) has given notice or alleged in writing to Seller (or, to Seller’s knowledge, has otherwise alleged) that there is any hazard or defect in design, materials, manufacture or workmanship relating to any product manufactured, distributed or sold by or on behalf of the Business; and no Authority has ordered or threatened in writing (or, to Seller’s knowledge, otherwise threatened) and Seller has not voluntarily conducted, a recall of any product manufactured, distributed or sold by or on behalf of the Business and to Seller’s knowledge no facts or circumstances exist that would reasonably be expected to result in a recall obligation or a duty to warn customers of any hazards or defects relating to any product manufactured, distributed or sold by or on behalf of the Business.</w:t>
      </w:r>
    </w:p>
    <w:p>
      <w:pPr>
        <w:spacing w:after="0" w:line="81" w:lineRule="exact"/>
        <w:rPr>
          <w:rFonts w:ascii="Arial" w:cs="Arial" w:eastAsia="Arial" w:hAnsi="Arial"/>
          <w:sz w:val="18"/>
          <w:szCs w:val="18"/>
          <w:color w:val="auto"/>
        </w:rPr>
      </w:pPr>
    </w:p>
    <w:p>
      <w:pPr>
        <w:ind w:firstLine="443"/>
        <w:spacing w:after="0" w:line="286" w:lineRule="auto"/>
        <w:tabs>
          <w:tab w:leader="none" w:pos="683"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Other than studies and assessments conducted by Buyer or its representatives, </w:t>
      </w:r>
      <w:r>
        <w:rPr>
          <w:rFonts w:ascii="Arial" w:cs="Arial" w:eastAsia="Arial" w:hAnsi="Arial"/>
          <w:sz w:val="17"/>
          <w:szCs w:val="17"/>
          <w:u w:val="single" w:color="auto"/>
          <w:color w:val="auto"/>
        </w:rPr>
        <w:t>Schedule 4.13(e)</w:t>
      </w:r>
      <w:r>
        <w:rPr>
          <w:rFonts w:ascii="Arial" w:cs="Arial" w:eastAsia="Arial" w:hAnsi="Arial"/>
          <w:sz w:val="17"/>
          <w:szCs w:val="17"/>
          <w:color w:val="auto"/>
        </w:rPr>
        <w:t xml:space="preserve"> sets forth a list (and Seller has provided Buyer with correct and complete copies) of all Third Party studies and assessments concerning the efficacy of the products and services of the Business conducted at the request of Seller or with respect to which Seller has otherwise received written study or assessment results.</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right="80" w:firstLine="443"/>
        <w:spacing w:after="0" w:line="270" w:lineRule="auto"/>
        <w:tabs>
          <w:tab w:leader="none" w:pos="683"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Seller and Seller Shareholders have duly and timely filed (taking into account any extension of time within which to file) all Tax Returns related to the Purchased Assets or Seller’s operations that they were required to file under applicable Law, and all such Tax Returns were materially correct and complete and in material compliance with applicable Law when filed. Seller or Seller Shareholders have timely and properly paid all Taxes required to be paid under applicable Law for all taxable periods or portions thereof ending on or before the effective date hereof, whether or not disputed and whether or not shown to be due and payable on any Tax Return, other than Taxes which currently are being contested in good faith by appropriate Proceedings and for which adequate reserves, as applicable, have been established in the Financial Statements. The Latest Interim Balance Sheet includes an adequate reserve for all Taxes payable by Seller for all Taxable Periods and portions thereof through the Latest Balance Sheet Date. Since January 1, 2011, Seller has not included on any Schedule K-1 “extraordinary gains or losses” (as such term is defined under GAAP) outside the Ordinary Course of Business.</w:t>
      </w:r>
    </w:p>
    <w:p>
      <w:pPr>
        <w:spacing w:after="0" w:line="73" w:lineRule="exact"/>
        <w:rPr>
          <w:rFonts w:ascii="Arial" w:cs="Arial" w:eastAsia="Arial" w:hAnsi="Arial"/>
          <w:sz w:val="17"/>
          <w:szCs w:val="17"/>
          <w:color w:val="auto"/>
        </w:rPr>
      </w:pPr>
    </w:p>
    <w:p>
      <w:pPr>
        <w:ind w:right="20" w:firstLine="443"/>
        <w:spacing w:after="0" w:line="264" w:lineRule="auto"/>
        <w:tabs>
          <w:tab w:leader="none" w:pos="6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Seller has withheld or collected and paid over on a timely basis to the appropriate Authorities (or is properly holding for such timely payment) all Taxes required by Law to be withheld or collected in connection with amounts paid or owing to any employee, independent contractor, creditor, shareholder or other Person.</w:t>
      </w:r>
    </w:p>
    <w:p>
      <w:pPr>
        <w:spacing w:after="0" w:line="73" w:lineRule="exact"/>
        <w:rPr>
          <w:rFonts w:ascii="Arial" w:cs="Arial" w:eastAsia="Arial" w:hAnsi="Arial"/>
          <w:sz w:val="18"/>
          <w:szCs w:val="18"/>
          <w:color w:val="auto"/>
        </w:rPr>
      </w:pPr>
    </w:p>
    <w:p>
      <w:pPr>
        <w:ind w:right="20" w:firstLine="443"/>
        <w:spacing w:after="0" w:line="257" w:lineRule="auto"/>
        <w:tabs>
          <w:tab w:leader="none" w:pos="6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Authority has given written notice or alleged in writing to Seller (or, to Seller’s knowledge, has otherwise alleged) that Seller has or may have Breached, in any material respect, any Law regarding the preparation or filing of any Tax Returns or the payment or withholding of any Taxes (including any claim that Seller is required to pay Taxes in any jurisdiction where it does not currently file a Tax Return or may be subject to Tax in such jurisdiction). Seller has not granted any waiver, extension or comparable Consent in relation to Taxes or Tax Returns that remains outstanding, and no request for any such waiver, extension or comparable Consent is pending.</w:t>
      </w:r>
    </w:p>
    <w:p>
      <w:pPr>
        <w:spacing w:after="0" w:line="80" w:lineRule="exact"/>
        <w:rPr>
          <w:rFonts w:ascii="Arial" w:cs="Arial" w:eastAsia="Arial" w:hAnsi="Arial"/>
          <w:sz w:val="18"/>
          <w:szCs w:val="18"/>
          <w:color w:val="auto"/>
        </w:rPr>
      </w:pPr>
    </w:p>
    <w:p>
      <w:pPr>
        <w:ind w:right="180" w:firstLine="443"/>
        <w:spacing w:after="0" w:line="259" w:lineRule="auto"/>
        <w:tabs>
          <w:tab w:leader="none" w:pos="6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Seller is not subject to and has not received any written notice of any pending or, to Seller’s knowledge, threatened request, audit, inquiry or other Proceeding in relation to Taxes or Tax Returns and, to Seller’s knowledge, no such request, audit, inquiry or other Proceeding is scheduled or otherwise threatened. Seller has not waived any statute of limitations in respect of Taxes or agreed to any extension of time with respect to a Tax assessment or deficiency.</w:t>
      </w:r>
    </w:p>
    <w:p>
      <w:pPr>
        <w:spacing w:after="0" w:line="78" w:lineRule="exact"/>
        <w:rPr>
          <w:rFonts w:ascii="Arial" w:cs="Arial" w:eastAsia="Arial" w:hAnsi="Arial"/>
          <w:sz w:val="18"/>
          <w:szCs w:val="18"/>
          <w:color w:val="auto"/>
        </w:rPr>
      </w:pPr>
    </w:p>
    <w:p>
      <w:pPr>
        <w:ind w:firstLine="443"/>
        <w:spacing w:after="0" w:line="264" w:lineRule="auto"/>
        <w:tabs>
          <w:tab w:leader="none" w:pos="68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Tax rulings, requests for rulings, technical advice memoranda, applications for change in accounting methods, closing agreements or any similar rulings, memoranda or agreements initiated by Seller that would reasonably be expected to affect Liabilities for Taxes for any Taxable Period (or portion thereof) or for any period after the Closing Date.</w:t>
      </w:r>
    </w:p>
    <w:p>
      <w:pPr>
        <w:spacing w:after="0" w:line="73" w:lineRule="exact"/>
        <w:rPr>
          <w:rFonts w:ascii="Arial" w:cs="Arial" w:eastAsia="Arial" w:hAnsi="Arial"/>
          <w:sz w:val="18"/>
          <w:szCs w:val="18"/>
          <w:color w:val="auto"/>
        </w:rPr>
      </w:pPr>
    </w:p>
    <w:p>
      <w:pPr>
        <w:ind w:left="660" w:hanging="217"/>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Seller has in effect, and has had in effect at all times during the last ten taxable years, a valid election to be taxed under Subchapter 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02" w:lineRule="exact"/>
        <w:rPr>
          <w:rFonts w:ascii="Arial" w:cs="Arial" w:eastAsia="Arial" w:hAnsi="Arial"/>
          <w:sz w:val="16"/>
          <w:szCs w:val="16"/>
          <w:color w:val="auto"/>
        </w:rPr>
      </w:pPr>
    </w:p>
    <w:p>
      <w:pPr>
        <w:ind w:left="700" w:hanging="25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Encumbrances for Taxes on any of the Purchased Assets, except for Permitted Encumbrances.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7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4.15 </w:t>
      </w:r>
      <w:r>
        <w:rPr>
          <w:rFonts w:ascii="Arial" w:cs="Arial" w:eastAsia="Arial" w:hAnsi="Arial"/>
          <w:sz w:val="18"/>
          <w:szCs w:val="18"/>
          <w:u w:val="single" w:color="auto"/>
          <w:color w:val="auto"/>
        </w:rPr>
        <w:t>Employment Matters</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70" w:lineRule="auto"/>
        <w:tabs>
          <w:tab w:leader="none" w:pos="68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Schedule 4.15(a)</w:t>
      </w:r>
      <w:r>
        <w:rPr>
          <w:rFonts w:ascii="Arial" w:cs="Arial" w:eastAsia="Arial" w:hAnsi="Arial"/>
          <w:sz w:val="17"/>
          <w:szCs w:val="17"/>
          <w:color w:val="auto"/>
        </w:rPr>
        <w:t xml:space="preserve"> contains a list of all individuals who are employees, independent contractors or consultants of the Business as of the date hereof, including any employee who is on a leave of absence of any nature, paid or unpaid, authorized or unauthorized, and sets forth for each such individual the following: (i) name; (ii) title or position; (iii) classification (including whether exempt or non-exempt, regular or temporary, full or part time); (iii) hire date; (iv) current hourly rate of pay or base salary; (v) commission, bonus or other incentive-based compensation; and (vi) whether on leave of absence (and for each employee on leave of absence the type of leave, date leave began and expected end date of leave). Except as set forth on </w:t>
      </w:r>
      <w:r>
        <w:rPr>
          <w:rFonts w:ascii="Arial" w:cs="Arial" w:eastAsia="Arial" w:hAnsi="Arial"/>
          <w:sz w:val="17"/>
          <w:szCs w:val="17"/>
          <w:u w:val="single" w:color="auto"/>
          <w:color w:val="auto"/>
        </w:rPr>
        <w:t>Schedule 4.15(a)</w:t>
      </w:r>
      <w:r>
        <w:rPr>
          <w:rFonts w:ascii="Arial" w:cs="Arial" w:eastAsia="Arial" w:hAnsi="Arial"/>
          <w:sz w:val="17"/>
          <w:szCs w:val="17"/>
          <w:color w:val="auto"/>
        </w:rPr>
        <w:t>, as of the date hereof, all compensation, including wages, commissions and bonuses payable to all employees, independent contractors or consultants of the Business for services performed on or prior to the date hereof have been paid in full or are (or will be) fully accrued for on the Final Closing Balance Sheet and there are no outstanding agreements, understandings or commitments of Seller with respect to any compensation, commissions or bonuses.</w:t>
      </w:r>
    </w:p>
    <w:p>
      <w:pPr>
        <w:spacing w:after="0" w:line="73" w:lineRule="exact"/>
        <w:rPr>
          <w:rFonts w:ascii="Arial" w:cs="Arial" w:eastAsia="Arial" w:hAnsi="Arial"/>
          <w:sz w:val="17"/>
          <w:szCs w:val="17"/>
          <w:color w:val="auto"/>
        </w:rPr>
      </w:pPr>
    </w:p>
    <w:p>
      <w:pPr>
        <w:ind w:right="20" w:firstLine="443"/>
        <w:spacing w:after="0" w:line="291" w:lineRule="auto"/>
        <w:tabs>
          <w:tab w:leader="none" w:pos="6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Except for the agreements between Seller and the IBEW Union for the aggregate period between April 1, 2014 and March 31, 2018, Seller is not a party to, bound by, or negotiating any collective bargaining agreement or other Contract with any labor union, labor organization, trade union, works council or similar organization or association of employees (collectively, “</w:t>
      </w:r>
      <w:r>
        <w:rPr>
          <w:rFonts w:ascii="Arial" w:cs="Arial" w:eastAsia="Arial" w:hAnsi="Arial"/>
          <w:sz w:val="16"/>
          <w:szCs w:val="16"/>
          <w:u w:val="single" w:color="auto"/>
          <w:color w:val="auto"/>
        </w:rPr>
        <w:t>Union</w:t>
      </w:r>
      <w:r>
        <w:rPr>
          <w:rFonts w:ascii="Arial" w:cs="Arial" w:eastAsia="Arial" w:hAnsi="Arial"/>
          <w:sz w:val="16"/>
          <w:szCs w:val="16"/>
          <w:color w:val="auto"/>
        </w:rPr>
        <w:t xml:space="preserve">”), and there is not any Union representing or purporting to represent any employee of Seller, and to Seller’s knowledge no Union or group of employees is seeking or has sought to organize employees for the purpose of collective bargaining. Except as set forth in </w:t>
      </w:r>
      <w:r>
        <w:rPr>
          <w:rFonts w:ascii="Arial" w:cs="Arial" w:eastAsia="Arial" w:hAnsi="Arial"/>
          <w:sz w:val="16"/>
          <w:szCs w:val="16"/>
          <w:u w:val="single" w:color="auto"/>
          <w:color w:val="auto"/>
        </w:rPr>
        <w:t>Schedule 4.15(b)</w:t>
      </w:r>
      <w:r>
        <w:rPr>
          <w:rFonts w:ascii="Arial" w:cs="Arial" w:eastAsia="Arial" w:hAnsi="Arial"/>
          <w:sz w:val="16"/>
          <w:szCs w:val="16"/>
          <w:color w:val="auto"/>
        </w:rPr>
        <w:t>, there has never been during the five year period prior to the date hereof, nor to Seller’s knowledge has there been any threat of during such time, any strike, slowdown, work stoppage, lockout, concerted refusal to work overtime or other similar labor disruption or dispute affecting Seller or any employees of the Business. Seller has no duty to bargain with any Union.</w:t>
      </w:r>
    </w:p>
    <w:p>
      <w:pPr>
        <w:spacing w:after="0" w:line="59" w:lineRule="exact"/>
        <w:rPr>
          <w:rFonts w:ascii="Arial" w:cs="Arial" w:eastAsia="Arial" w:hAnsi="Arial"/>
          <w:sz w:val="16"/>
          <w:szCs w:val="16"/>
          <w:color w:val="auto"/>
        </w:rPr>
      </w:pPr>
    </w:p>
    <w:p>
      <w:pPr>
        <w:ind w:firstLine="443"/>
        <w:spacing w:after="0" w:line="253" w:lineRule="auto"/>
        <w:tabs>
          <w:tab w:leader="none" w:pos="6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Seller is and has been in compliance with the terms of the collective bargaining agreements and other Contracts listed on </w:t>
      </w:r>
      <w:r>
        <w:rPr>
          <w:rFonts w:ascii="Arial" w:cs="Arial" w:eastAsia="Arial" w:hAnsi="Arial"/>
          <w:sz w:val="18"/>
          <w:szCs w:val="18"/>
          <w:u w:val="single" w:color="auto"/>
          <w:color w:val="auto"/>
        </w:rPr>
        <w:t>Schedule 4.15(b)</w:t>
      </w:r>
      <w:r>
        <w:rPr>
          <w:rFonts w:ascii="Arial" w:cs="Arial" w:eastAsia="Arial" w:hAnsi="Arial"/>
          <w:sz w:val="18"/>
          <w:szCs w:val="18"/>
          <w:color w:val="auto"/>
        </w:rPr>
        <w:t xml:space="preserve"> and all applicable Laws pertaining to employment and employment practices to the extent they relate to employees of the Business,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and unemployment insurance. All individuals characterized and treated by Seller as consultants or independent contractors of the Business are properly classified as independent contractors under all applicable Laws. All employees of the Business classified as exempt under the Fair Labor Standards Act and state and local wage and hour laws are properly classified. There are no Proceedings against Seller pending, or to Seller’s knowledge threatened to be brought or</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74" w:right="239" w:bottom="1440" w:gutter="0" w:footer="0" w:header="0"/>
        </w:sectPr>
      </w:pPr>
    </w:p>
    <w:bookmarkStart w:id="36" w:name="page37"/>
    <w:bookmarkEnd w:id="36"/>
    <w:p>
      <w:pPr>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or with any Authority or arbitrator in connection with the employment of any current or former applicant, employee, consultant, volunteer, intern or independent contractor of the Business, including any claim relating to unfair labor practices, employment discrimination, harassment, retaliation, equal pay, wages and hours or any other employment related matter arising under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72" w:lineRule="auto"/>
        <w:tabs>
          <w:tab w:leader="none" w:pos="68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Schedule 4.16(a)</w:t>
      </w:r>
      <w:r>
        <w:rPr>
          <w:rFonts w:ascii="Arial" w:cs="Arial" w:eastAsia="Arial" w:hAnsi="Arial"/>
          <w:sz w:val="17"/>
          <w:szCs w:val="17"/>
          <w:color w:val="auto"/>
        </w:rPr>
        <w:t xml:space="preserve"> sets forth a list of all “employee benefit plans” as defined by Section 3(3) of ERISA, all specified fringe plans as defined in Section 6039D of the Code and all other employment, bonus, pension, profit sharing, deferred compensation, incentive compensation, stock ownership, stock purchase, stock appreciation, restricted stock, stock option, “phantom” stock, performance, retirement, thrift, savings, stock bonus, paid time off, perquisite, fringe benefit, vacation, severance, change-in-control, disability, accident, death benefit, hospitalization, health, medical, vision, welfare benefit or other plan, program, policy, practice, arrangement or agreement maintained or sponsored by Seller for the benefit of any Business Employees, whether or not subject to ERISA, (the “</w:t>
      </w:r>
      <w:r>
        <w:rPr>
          <w:rFonts w:ascii="Arial" w:cs="Arial" w:eastAsia="Arial" w:hAnsi="Arial"/>
          <w:sz w:val="17"/>
          <w:szCs w:val="17"/>
          <w:u w:val="single" w:color="auto"/>
          <w:color w:val="auto"/>
        </w:rPr>
        <w:t>Plans</w:t>
      </w:r>
      <w:r>
        <w:rPr>
          <w:rFonts w:ascii="Arial" w:cs="Arial" w:eastAsia="Arial" w:hAnsi="Arial"/>
          <w:sz w:val="17"/>
          <w:szCs w:val="17"/>
          <w:color w:val="auto"/>
        </w:rPr>
        <w:t>”). Seller has provided Buyer with a complete copy of the current summary plan description with respect to any Plan subject to ERISA and a description of each other Plan.</w:t>
      </w:r>
    </w:p>
    <w:p>
      <w:pPr>
        <w:spacing w:after="0" w:line="69" w:lineRule="exact"/>
        <w:rPr>
          <w:rFonts w:ascii="Arial" w:cs="Arial" w:eastAsia="Arial" w:hAnsi="Arial"/>
          <w:sz w:val="17"/>
          <w:szCs w:val="17"/>
          <w:color w:val="auto"/>
        </w:rPr>
      </w:pPr>
    </w:p>
    <w:p>
      <w:pPr>
        <w:ind w:right="440" w:firstLine="443"/>
        <w:spacing w:after="0" w:line="277"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4.16(b)</w:t>
      </w:r>
      <w:r>
        <w:rPr>
          <w:rFonts w:ascii="Arial" w:cs="Arial" w:eastAsia="Arial" w:hAnsi="Arial"/>
          <w:sz w:val="18"/>
          <w:szCs w:val="18"/>
          <w:color w:val="auto"/>
        </w:rPr>
        <w:t>, Seller does not have any liability arising directly or indirectly under Section 412 of the Code, or Section 302 of Title IV of ERISA.</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Seller has not merged with or acquired substantially all of the assets of any Person that was subject to a Liability under Title IV of ERISA.</w:t>
      </w:r>
    </w:p>
    <w:p>
      <w:pPr>
        <w:spacing w:after="0" w:line="140" w:lineRule="exact"/>
        <w:rPr>
          <w:rFonts w:ascii="Arial" w:cs="Arial" w:eastAsia="Arial" w:hAnsi="Arial"/>
          <w:sz w:val="16"/>
          <w:szCs w:val="16"/>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Seller does not have any liability arising directly or indirectly to or with respect to any “multiemployer plan” within the meaning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4001(a)(3) of ERISA.</w:t>
      </w:r>
    </w:p>
    <w:p>
      <w:pPr>
        <w:spacing w:after="0" w:line="103" w:lineRule="exact"/>
        <w:rPr>
          <w:sz w:val="20"/>
          <w:szCs w:val="20"/>
          <w:color w:val="auto"/>
        </w:rPr>
      </w:pPr>
    </w:p>
    <w:p>
      <w:pPr>
        <w:ind w:right="200" w:firstLine="443"/>
        <w:spacing w:after="0" w:line="257" w:lineRule="auto"/>
        <w:tabs>
          <w:tab w:leader="none" w:pos="6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4.16(e)</w:t>
      </w:r>
      <w:r>
        <w:rPr>
          <w:rFonts w:ascii="Arial" w:cs="Arial" w:eastAsia="Arial" w:hAnsi="Arial"/>
          <w:sz w:val="18"/>
          <w:szCs w:val="18"/>
          <w:color w:val="auto"/>
        </w:rPr>
        <w:t xml:space="preserve">, Seller has not made any payments, is not obligated to make any payments, and is not a party to any Contract covering any Person that could obligate Seller to make an excess parachute payment or any other payment that is not fully deductible under Section 280G of the Code. </w:t>
      </w:r>
      <w:r>
        <w:rPr>
          <w:rFonts w:ascii="Arial" w:cs="Arial" w:eastAsia="Arial" w:hAnsi="Arial"/>
          <w:sz w:val="18"/>
          <w:szCs w:val="18"/>
          <w:u w:val="single" w:color="auto"/>
          <w:color w:val="auto"/>
        </w:rPr>
        <w:t>Schedule 4.16(e)</w:t>
      </w:r>
      <w:r>
        <w:rPr>
          <w:rFonts w:ascii="Arial" w:cs="Arial" w:eastAsia="Arial" w:hAnsi="Arial"/>
          <w:sz w:val="18"/>
          <w:szCs w:val="18"/>
          <w:color w:val="auto"/>
        </w:rPr>
        <w:t xml:space="preserve"> sets forth a list describing each severance, termination or change of control payment or benefit to which any Business Employees may be entitled as a result of employment by Seller on or prior to the date hereof or as of the day immediately prior to the Buyer Employment Start Date.</w:t>
      </w:r>
    </w:p>
    <w:p>
      <w:pPr>
        <w:spacing w:after="0" w:line="80" w:lineRule="exact"/>
        <w:rPr>
          <w:rFonts w:ascii="Arial" w:cs="Arial" w:eastAsia="Arial" w:hAnsi="Arial"/>
          <w:sz w:val="18"/>
          <w:szCs w:val="18"/>
          <w:color w:val="auto"/>
        </w:rPr>
      </w:pPr>
    </w:p>
    <w:p>
      <w:pPr>
        <w:ind w:right="40" w:firstLine="443"/>
        <w:spacing w:after="0" w:line="277" w:lineRule="auto"/>
        <w:tabs>
          <w:tab w:leader="none" w:pos="6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Plan promises or provides medical, health, life or other welfare benefits to retirees of Seller except as required under Section 4980B of the Code (“</w:t>
      </w:r>
      <w:r>
        <w:rPr>
          <w:rFonts w:ascii="Arial" w:cs="Arial" w:eastAsia="Arial" w:hAnsi="Arial"/>
          <w:sz w:val="18"/>
          <w:szCs w:val="18"/>
          <w:u w:val="single" w:color="auto"/>
          <w:color w:val="auto"/>
        </w:rPr>
        <w:t>COBRA</w:t>
      </w:r>
      <w:r>
        <w:rPr>
          <w:rFonts w:ascii="Arial" w:cs="Arial" w:eastAsia="Arial" w:hAnsi="Arial"/>
          <w:sz w:val="18"/>
          <w:szCs w:val="18"/>
          <w:color w:val="auto"/>
        </w:rPr>
        <w:t>”) or any comparable state statute requiring continuing health care coverage.</w:t>
      </w:r>
    </w:p>
    <w:p>
      <w:pPr>
        <w:spacing w:after="0" w:line="62" w:lineRule="exact"/>
        <w:rPr>
          <w:rFonts w:ascii="Arial" w:cs="Arial" w:eastAsia="Arial" w:hAnsi="Arial"/>
          <w:sz w:val="18"/>
          <w:szCs w:val="18"/>
          <w:color w:val="auto"/>
        </w:rPr>
      </w:pPr>
    </w:p>
    <w:p>
      <w:pPr>
        <w:ind w:right="400" w:firstLine="443"/>
        <w:spacing w:after="0" w:line="277" w:lineRule="auto"/>
        <w:tabs>
          <w:tab w:leader="none" w:pos="6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Seller has not made or committed to make any material increase in contributions or benefits under any Plan that would become effective either on or after the date of this Agreement.</w:t>
      </w:r>
    </w:p>
    <w:p>
      <w:pPr>
        <w:spacing w:after="0" w:line="62" w:lineRule="exact"/>
        <w:rPr>
          <w:rFonts w:ascii="Arial" w:cs="Arial" w:eastAsia="Arial" w:hAnsi="Arial"/>
          <w:sz w:val="18"/>
          <w:szCs w:val="18"/>
          <w:color w:val="auto"/>
        </w:rPr>
      </w:pPr>
    </w:p>
    <w:p>
      <w:pPr>
        <w:ind w:right="20" w:firstLine="443"/>
        <w:spacing w:after="0" w:line="277" w:lineRule="auto"/>
        <w:tabs>
          <w:tab w:leader="none" w:pos="6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Plan will be transferred to or assumed by Buyer (or any Affiliate of Buyer) and nothing has occurred or failed to occur with respect to any Plan which will result in any liability to Buyer or any Affiliate of Buyer related to obligations under any such Plan.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700" w:top="274"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right="20" w:firstLine="443"/>
        <w:spacing w:after="0" w:line="288" w:lineRule="auto"/>
        <w:tabs>
          <w:tab w:leader="none" w:pos="683"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Schedule 4.17(a)</w:t>
      </w:r>
      <w:r>
        <w:rPr>
          <w:rFonts w:ascii="Arial" w:cs="Arial" w:eastAsia="Arial" w:hAnsi="Arial"/>
          <w:sz w:val="16"/>
          <w:szCs w:val="16"/>
          <w:color w:val="auto"/>
        </w:rPr>
        <w:t xml:space="preserve"> lists all licensed Intellectual Property (other than Stock Licenses) and all (A) registered and material unregistered or applied-for Patents and Marks and (B) and registered and material unregistered Copyrights, in each case owned or otherwise held or used by Seller in the Business, and such schedule specifies for each, as applicable, (i) the name of the applicant/registrant or current owner; (ii) the jurisdiction in which the application/registration is filed; (iii) the application/registration number; and (iv) the status of the application/registration, including deadlines for any renewals or other required filings. Seller has good and transferable right, title and interest, or a valid license, in and to all of the foregoing Intellectual Property and all other Intellectual Property that is material to the operation of the Business (collectively, the “</w:t>
      </w:r>
      <w:r>
        <w:rPr>
          <w:rFonts w:ascii="Arial" w:cs="Arial" w:eastAsia="Arial" w:hAnsi="Arial"/>
          <w:sz w:val="16"/>
          <w:szCs w:val="16"/>
          <w:u w:val="single" w:color="auto"/>
          <w:color w:val="auto"/>
        </w:rPr>
        <w:t>Material IP</w:t>
      </w:r>
      <w:r>
        <w:rPr>
          <w:rFonts w:ascii="Arial" w:cs="Arial" w:eastAsia="Arial" w:hAnsi="Arial"/>
          <w:sz w:val="16"/>
          <w:szCs w:val="16"/>
          <w:color w:val="auto"/>
        </w:rPr>
        <w:t>”), which assets are being transferred to Buyer free and clear of all Encumbrances other than Permitted Encumbrances or any limitations expressly set forth in any applicable license agreements, correct and complete copies of which have been provided to Buyer. The Material IP, Intellectual Property licensed pursuant to a Stock License and any Intellectual Property which is the subject of the Transition Services Agreement constitute all Intellectual Property necessary for the continued conduct of the Business as conducted in the Ordinary Course of Business.</w:t>
      </w:r>
    </w:p>
    <w:p>
      <w:pPr>
        <w:spacing w:after="0" w:line="61" w:lineRule="exact"/>
        <w:rPr>
          <w:rFonts w:ascii="Arial" w:cs="Arial" w:eastAsia="Arial" w:hAnsi="Arial"/>
          <w:sz w:val="16"/>
          <w:szCs w:val="16"/>
          <w:color w:val="auto"/>
        </w:rPr>
      </w:pPr>
    </w:p>
    <w:p>
      <w:pPr>
        <w:ind w:right="80" w:firstLine="443"/>
        <w:spacing w:after="0" w:line="255" w:lineRule="auto"/>
        <w:tabs>
          <w:tab w:leader="none" w:pos="69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4.17(b)</w:t>
      </w:r>
      <w:r>
        <w:rPr>
          <w:rFonts w:ascii="Arial" w:cs="Arial" w:eastAsia="Arial" w:hAnsi="Arial"/>
          <w:sz w:val="18"/>
          <w:szCs w:val="18"/>
          <w:color w:val="auto"/>
        </w:rPr>
        <w:t xml:space="preserve">, Seller’s use of the Material IP, and operation of the Business in the Ordinary Course of Business, does not infringe, misappropriate or otherwise violate the Intellectual Property rights of any Person, and no Person has given notice or alleged in writing to Seller (or, to Seller’s knowledge, otherwise alleged) that Seller’s use of the Material IP, or operation of its business, infringes, misappropriates or otherwise violates the Intellectual Property rights of any Person. Except as set forth on </w:t>
      </w:r>
      <w:r>
        <w:rPr>
          <w:rFonts w:ascii="Arial" w:cs="Arial" w:eastAsia="Arial" w:hAnsi="Arial"/>
          <w:sz w:val="18"/>
          <w:szCs w:val="18"/>
          <w:u w:val="single" w:color="auto"/>
          <w:color w:val="auto"/>
        </w:rPr>
        <w:t>Schedule 4.17(b)</w:t>
      </w:r>
      <w:r>
        <w:rPr>
          <w:rFonts w:ascii="Arial" w:cs="Arial" w:eastAsia="Arial" w:hAnsi="Arial"/>
          <w:sz w:val="18"/>
          <w:szCs w:val="18"/>
          <w:color w:val="auto"/>
        </w:rPr>
        <w:t xml:space="preserve">, to Seller’s knowledge, no Person has infringed, misappropriated or violated any of the Material IP owned or held by Seller. Except as set forth on </w:t>
      </w:r>
      <w:r>
        <w:rPr>
          <w:rFonts w:ascii="Arial" w:cs="Arial" w:eastAsia="Arial" w:hAnsi="Arial"/>
          <w:sz w:val="18"/>
          <w:szCs w:val="18"/>
          <w:u w:val="single" w:color="auto"/>
          <w:color w:val="auto"/>
        </w:rPr>
        <w:t>Schedule 4.17(b)</w:t>
      </w:r>
      <w:r>
        <w:rPr>
          <w:rFonts w:ascii="Arial" w:cs="Arial" w:eastAsia="Arial" w:hAnsi="Arial"/>
          <w:sz w:val="18"/>
          <w:szCs w:val="18"/>
          <w:color w:val="auto"/>
        </w:rPr>
        <w:t>, all Material IP owned or held by Seller is valid and enforceable, and no Person has given notice or alleged in writing to Seller (or, to Seller’s knowledge, otherwise alleged) that any such Material IP is not valid or enforceable.</w:t>
      </w:r>
    </w:p>
    <w:p>
      <w:pPr>
        <w:spacing w:after="0" w:line="81" w:lineRule="exact"/>
        <w:rPr>
          <w:rFonts w:ascii="Arial" w:cs="Arial" w:eastAsia="Arial" w:hAnsi="Arial"/>
          <w:sz w:val="18"/>
          <w:szCs w:val="18"/>
          <w:color w:val="auto"/>
        </w:rPr>
      </w:pPr>
    </w:p>
    <w:p>
      <w:pPr>
        <w:jc w:val="both"/>
        <w:ind w:firstLine="443"/>
        <w:spacing w:after="0" w:line="291" w:lineRule="auto"/>
        <w:tabs>
          <w:tab w:leader="none" w:pos="683"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4.17(c)</w:t>
      </w:r>
      <w:r>
        <w:rPr>
          <w:rFonts w:ascii="Arial" w:cs="Arial" w:eastAsia="Arial" w:hAnsi="Arial"/>
          <w:sz w:val="16"/>
          <w:szCs w:val="16"/>
          <w:color w:val="auto"/>
        </w:rPr>
        <w:t>, Seller has used commercially reasonable efforts to have its directors, officers, employees, consultants, agents or other representatives materially involved in the development or use of the Material IP enter into written agreements obligating such Person to</w:t>
      </w:r>
    </w:p>
    <w:p>
      <w:pPr>
        <w:ind w:right="120" w:firstLine="4"/>
        <w:spacing w:after="0" w:line="277" w:lineRule="auto"/>
        <w:tabs>
          <w:tab w:leader="none" w:pos="2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assign to Seller all of such Person’s rights in any Intellectual Property conceived, generated, made or reduced to practice by such Person in connection with such Person’s association with Seller; and (ii) maintain the confidentiality of all information of Seller. Correct and complete copies of such agreements have been provided to Buyer for all current employees involved in the use or development of Material IP.</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4.18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right="80" w:firstLine="443"/>
        <w:spacing w:after="0" w:line="279" w:lineRule="auto"/>
        <w:tabs>
          <w:tab w:leader="none" w:pos="68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Schedule 4.18(a)</w:t>
      </w:r>
      <w:r>
        <w:rPr>
          <w:rFonts w:ascii="Arial" w:cs="Arial" w:eastAsia="Arial" w:hAnsi="Arial"/>
          <w:sz w:val="17"/>
          <w:szCs w:val="17"/>
          <w:color w:val="auto"/>
        </w:rPr>
        <w:t xml:space="preserve"> sets forth a list of all insurance policies currently carried by Seller with respect to the Business, correct and complete copies of which have been provided to Buyer. With respect to each such policy, (i) it is in full force and effect; (ii) all premiums thereunder covering all periods through and including the date of this Agreement have been paid; (iii) no notice of cancellation, termination or reservation of rights has been received thereunder; and (iv) it is maintained with a reputable carrier and with coverage in commercially reasonable amounts.</w:t>
      </w:r>
    </w:p>
    <w:p>
      <w:pPr>
        <w:spacing w:after="0" w:line="63" w:lineRule="exact"/>
        <w:rPr>
          <w:rFonts w:ascii="Arial" w:cs="Arial" w:eastAsia="Arial" w:hAnsi="Arial"/>
          <w:sz w:val="17"/>
          <w:szCs w:val="17"/>
          <w:color w:val="auto"/>
        </w:rPr>
      </w:pPr>
    </w:p>
    <w:p>
      <w:pPr>
        <w:ind w:right="120" w:firstLine="443"/>
        <w:spacing w:after="0" w:line="286" w:lineRule="auto"/>
        <w:tabs>
          <w:tab w:leader="none" w:pos="693" w:val="left"/>
        </w:tabs>
        <w:numPr>
          <w:ilvl w:val="0"/>
          <w:numId w:val="48"/>
        </w:numPr>
        <w:rPr>
          <w:rFonts w:ascii="Arial" w:cs="Arial" w:eastAsia="Arial" w:hAnsi="Arial"/>
          <w:sz w:val="17"/>
          <w:szCs w:val="17"/>
          <w:color w:val="auto"/>
        </w:rPr>
      </w:pPr>
      <w:r>
        <w:rPr>
          <w:rFonts w:ascii="Arial" w:cs="Arial" w:eastAsia="Arial" w:hAnsi="Arial"/>
          <w:sz w:val="17"/>
          <w:szCs w:val="17"/>
          <w:color w:val="auto"/>
        </w:rPr>
        <w:t>Since January 1, 2010, Seller has maintained insurance with respect to the Business comparable in all material respects to its current policies and has not been refused any insurance with respect to the assets or operations of the Business, and no coverage has been limited, by any insurance carrier to which they or any of them has applied or with which they or any of them have carried insurance.</w:t>
      </w:r>
    </w:p>
    <w:p>
      <w:pPr>
        <w:spacing w:after="0" w:line="57" w:lineRule="exact"/>
        <w:rPr>
          <w:rFonts w:ascii="Arial" w:cs="Arial" w:eastAsia="Arial" w:hAnsi="Arial"/>
          <w:sz w:val="17"/>
          <w:szCs w:val="17"/>
          <w:color w:val="auto"/>
        </w:rPr>
      </w:pPr>
    </w:p>
    <w:p>
      <w:pPr>
        <w:ind w:right="80" w:firstLine="443"/>
        <w:spacing w:after="0" w:line="308" w:lineRule="auto"/>
        <w:tabs>
          <w:tab w:leader="none" w:pos="68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Schedule 4.18(c)</w:t>
      </w:r>
      <w:r>
        <w:rPr>
          <w:rFonts w:ascii="Arial" w:cs="Arial" w:eastAsia="Arial" w:hAnsi="Arial"/>
          <w:sz w:val="17"/>
          <w:szCs w:val="17"/>
          <w:color w:val="auto"/>
        </w:rPr>
        <w:t xml:space="preserve"> sets forth a list of all property, general or products liability and workers’ compensation insurance claims filed by Seller with respect to the Business since January 1, 2010, identifying in each case the general nature, amount and resolution of the claim.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right="160" w:firstLine="443"/>
        <w:spacing w:after="0" w:line="264" w:lineRule="auto"/>
        <w:tabs>
          <w:tab w:leader="none" w:pos="68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lists, and Seller has provided to Buyer correct and complete copies of, the following Contracts to which Seller is a party or subject or by which Seller or its Business or operations related to its Business or any Purchased Assets are bound (excluding this Agreement and all Ancillary Documents):</w:t>
      </w:r>
    </w:p>
    <w:p>
      <w:pPr>
        <w:spacing w:after="0" w:line="73" w:lineRule="exact"/>
        <w:rPr>
          <w:rFonts w:ascii="Arial" w:cs="Arial" w:eastAsia="Arial" w:hAnsi="Arial"/>
          <w:sz w:val="18"/>
          <w:szCs w:val="18"/>
          <w:color w:val="auto"/>
        </w:rPr>
      </w:pPr>
    </w:p>
    <w:p>
      <w:pPr>
        <w:ind w:left="460" w:right="200" w:firstLine="421"/>
        <w:spacing w:after="0" w:line="264" w:lineRule="auto"/>
        <w:tabs>
          <w:tab w:leader="none" w:pos="10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Contract or group of related Contracts with the same Person for the performance of services or the delivery of any goods, equipment or materials by the Business (other than purchase orders and invoices in the Ordinary Course of Business involving amounts of less than $250,000);</w:t>
      </w:r>
    </w:p>
    <w:p>
      <w:pPr>
        <w:spacing w:after="0" w:line="73" w:lineRule="exact"/>
        <w:rPr>
          <w:rFonts w:ascii="Arial" w:cs="Arial" w:eastAsia="Arial" w:hAnsi="Arial"/>
          <w:sz w:val="18"/>
          <w:szCs w:val="18"/>
          <w:color w:val="auto"/>
        </w:rPr>
      </w:pPr>
    </w:p>
    <w:p>
      <w:pPr>
        <w:ind w:left="460" w:right="240" w:firstLine="421"/>
        <w:spacing w:after="0" w:line="264" w:lineRule="auto"/>
        <w:tabs>
          <w:tab w:leader="none" w:pos="11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Contract or group of related Contracts with the same Person for the performance of services or the delivery of any goods, equipment or materials to the Business (other than purchase orders and invoices in the Ordinary Course of Business involving amounts of less than $250,000);</w:t>
      </w:r>
    </w:p>
    <w:p>
      <w:pPr>
        <w:spacing w:after="0" w:line="73" w:lineRule="exact"/>
        <w:rPr>
          <w:rFonts w:ascii="Arial" w:cs="Arial" w:eastAsia="Arial" w:hAnsi="Arial"/>
          <w:sz w:val="18"/>
          <w:szCs w:val="18"/>
          <w:color w:val="auto"/>
        </w:rPr>
      </w:pPr>
    </w:p>
    <w:p>
      <w:pPr>
        <w:ind w:left="460" w:right="260" w:firstLine="421"/>
        <w:spacing w:after="0" w:line="264" w:lineRule="auto"/>
        <w:tabs>
          <w:tab w:leader="none" w:pos="11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each Contract pursuant to which the Business is obligated to purchase all of its requirements of any product or service from the counterparty(ies) thereto, because such Contract is a “requirements” contract, grants the counterparty(ies) exclusivity, or otherwise, and under which purchases in excess of $50,000 have been made in 2012, 2013 or 2014;</w:t>
      </w:r>
    </w:p>
    <w:p>
      <w:pPr>
        <w:spacing w:after="0" w:line="73" w:lineRule="exact"/>
        <w:rPr>
          <w:rFonts w:ascii="Arial" w:cs="Arial" w:eastAsia="Arial" w:hAnsi="Arial"/>
          <w:sz w:val="18"/>
          <w:szCs w:val="18"/>
          <w:color w:val="auto"/>
        </w:rPr>
      </w:pPr>
    </w:p>
    <w:p>
      <w:pPr>
        <w:ind w:left="460" w:firstLine="421"/>
        <w:spacing w:after="0" w:line="286" w:lineRule="auto"/>
        <w:tabs>
          <w:tab w:leader="none" w:pos="1185" w:val="left"/>
        </w:tabs>
        <w:numPr>
          <w:ilvl w:val="1"/>
          <w:numId w:val="49"/>
        </w:numPr>
        <w:rPr>
          <w:rFonts w:ascii="Arial" w:cs="Arial" w:eastAsia="Arial" w:hAnsi="Arial"/>
          <w:sz w:val="17"/>
          <w:szCs w:val="17"/>
          <w:color w:val="auto"/>
        </w:rPr>
      </w:pPr>
      <w:r>
        <w:rPr>
          <w:rFonts w:ascii="Arial" w:cs="Arial" w:eastAsia="Arial" w:hAnsi="Arial"/>
          <w:sz w:val="17"/>
          <w:szCs w:val="17"/>
          <w:color w:val="auto"/>
        </w:rPr>
        <w:t>each Contract or group of related Contracts with the same Person relating to the lease of tangible assets, personal property or equipment used in, held for use in, or required for the continued operation of the Business, specifying in each case whether the Seller is the lessee or lessor (other than routine leases of office equipment in the Ordinary Course of Business involving amounts of less than $250.000;</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74" w:right="259" w:bottom="1440" w:gutter="0" w:footer="0" w:header="0"/>
        </w:sectPr>
      </w:pPr>
    </w:p>
    <w:bookmarkStart w:id="39" w:name="page40"/>
    <w:bookmarkEnd w:id="39"/>
    <w:p>
      <w:pPr>
        <w:ind w:left="-280" w:right="420" w:firstLine="421"/>
        <w:spacing w:after="0" w:line="308" w:lineRule="auto"/>
        <w:tabs>
          <w:tab w:leader="none" w:pos="395"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Contract relating to the lease of Real Property used in, held for use in, or required for the continued operation of the Business specifying in each case, whether the Seller is the lessee or lessor (other than Leases identified in </w:t>
      </w:r>
      <w:r>
        <w:rPr>
          <w:rFonts w:ascii="Arial" w:cs="Arial" w:eastAsia="Arial" w:hAnsi="Arial"/>
          <w:sz w:val="17"/>
          <w:szCs w:val="17"/>
          <w:u w:val="single" w:color="auto"/>
          <w:color w:val="auto"/>
        </w:rPr>
        <w:t>Schedule 4.8(b)</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280" w:right="220" w:firstLine="421"/>
        <w:spacing w:after="0" w:line="277" w:lineRule="auto"/>
        <w:tabs>
          <w:tab w:leader="none" w:pos="4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relating to the license or use of Intellectual Property used in, held for use in, or required for the continued operation of the Business (other than Stock Licenses), specifying in each case whether the license is to or from Seller;</w:t>
      </w:r>
    </w:p>
    <w:p>
      <w:pPr>
        <w:spacing w:after="0" w:line="62" w:lineRule="exact"/>
        <w:rPr>
          <w:rFonts w:ascii="Arial" w:cs="Arial" w:eastAsia="Arial" w:hAnsi="Arial"/>
          <w:sz w:val="18"/>
          <w:szCs w:val="18"/>
          <w:color w:val="auto"/>
        </w:rPr>
      </w:pPr>
    </w:p>
    <w:p>
      <w:pPr>
        <w:ind w:left="-280" w:right="100" w:firstLine="421"/>
        <w:spacing w:after="0" w:line="277"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distributor, reseller, dealer, manufacturer’s representative, development, engineering, sales agency, advertising or manufacturing Contract related to the Business;</w:t>
      </w:r>
    </w:p>
    <w:p>
      <w:pPr>
        <w:spacing w:after="0" w:line="62" w:lineRule="exact"/>
        <w:rPr>
          <w:rFonts w:ascii="Arial" w:cs="Arial" w:eastAsia="Arial" w:hAnsi="Arial"/>
          <w:sz w:val="18"/>
          <w:szCs w:val="18"/>
          <w:color w:val="auto"/>
        </w:rPr>
      </w:pPr>
    </w:p>
    <w:p>
      <w:pPr>
        <w:ind w:left="540" w:hanging="399"/>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employment, agency or consulting Contract related to the Business;</w:t>
      </w:r>
    </w:p>
    <w:p>
      <w:pPr>
        <w:spacing w:after="0" w:line="117" w:lineRule="exact"/>
        <w:rPr>
          <w:rFonts w:ascii="Arial" w:cs="Arial" w:eastAsia="Arial" w:hAnsi="Arial"/>
          <w:sz w:val="18"/>
          <w:szCs w:val="18"/>
          <w:color w:val="auto"/>
        </w:rPr>
      </w:pPr>
    </w:p>
    <w:p>
      <w:pPr>
        <w:ind w:left="440" w:hanging="299"/>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collective bargaining agreement or other Contract with any Union related to any Business Employee;</w:t>
      </w:r>
    </w:p>
    <w:p>
      <w:pPr>
        <w:spacing w:after="0" w:line="117" w:lineRule="exact"/>
        <w:rPr>
          <w:rFonts w:ascii="Arial" w:cs="Arial" w:eastAsia="Arial" w:hAnsi="Arial"/>
          <w:sz w:val="18"/>
          <w:szCs w:val="18"/>
          <w:color w:val="auto"/>
        </w:rPr>
      </w:pPr>
    </w:p>
    <w:p>
      <w:pPr>
        <w:ind w:left="400" w:hanging="259"/>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with an Authority related to the Business;</w:t>
      </w:r>
    </w:p>
    <w:p>
      <w:pPr>
        <w:spacing w:after="0" w:line="117" w:lineRule="exact"/>
        <w:rPr>
          <w:rFonts w:ascii="Arial" w:cs="Arial" w:eastAsia="Arial" w:hAnsi="Arial"/>
          <w:sz w:val="18"/>
          <w:szCs w:val="18"/>
          <w:color w:val="auto"/>
        </w:rPr>
      </w:pPr>
    </w:p>
    <w:p>
      <w:pPr>
        <w:jc w:val="both"/>
        <w:ind w:left="-280" w:right="80" w:firstLine="421"/>
        <w:spacing w:after="0" w:line="264" w:lineRule="auto"/>
        <w:tabs>
          <w:tab w:leader="none" w:pos="4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involving capital expenditures of the Business or the sale of any capital asset used in, held for use in, or required for the continued operation of the Business (other than Contracts involving the disposal of surplus or obsolete property or assets in the Ordinary Course of Business in amounts of less than $250,000;</w:t>
      </w:r>
    </w:p>
    <w:p>
      <w:pPr>
        <w:spacing w:after="0" w:line="73" w:lineRule="exact"/>
        <w:rPr>
          <w:rFonts w:ascii="Arial" w:cs="Arial" w:eastAsia="Arial" w:hAnsi="Arial"/>
          <w:sz w:val="18"/>
          <w:szCs w:val="18"/>
          <w:color w:val="auto"/>
        </w:rPr>
      </w:pPr>
    </w:p>
    <w:p>
      <w:pPr>
        <w:ind w:left="-280" w:right="260" w:firstLine="421"/>
        <w:spacing w:after="0" w:line="264" w:lineRule="auto"/>
        <w:tabs>
          <w:tab w:leader="none" w:pos="4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relating to the borrowing of money or to mortgaging, pledging or otherwise placing an Encumbrance (other than any Permitted Encumbrance) on any of the Purchased Assets of Seller used in, held for use in, or required for the continued operation of the Business;</w:t>
      </w:r>
    </w:p>
    <w:p>
      <w:pPr>
        <w:spacing w:after="0" w:line="73" w:lineRule="exact"/>
        <w:rPr>
          <w:rFonts w:ascii="Arial" w:cs="Arial" w:eastAsia="Arial" w:hAnsi="Arial"/>
          <w:sz w:val="18"/>
          <w:szCs w:val="18"/>
          <w:color w:val="auto"/>
        </w:rPr>
      </w:pPr>
    </w:p>
    <w:p>
      <w:pPr>
        <w:ind w:left="-280" w:firstLine="421"/>
        <w:spacing w:after="0" w:line="277" w:lineRule="auto"/>
        <w:tabs>
          <w:tab w:leader="none" w:pos="5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pursuant to which, or in connection with, any dealer or other customer of the Business receives financing from Seller or any Third Party where Seller has arranged financing;</w:t>
      </w:r>
    </w:p>
    <w:p>
      <w:pPr>
        <w:spacing w:after="0" w:line="62" w:lineRule="exact"/>
        <w:rPr>
          <w:rFonts w:ascii="Arial" w:cs="Arial" w:eastAsia="Arial" w:hAnsi="Arial"/>
          <w:sz w:val="18"/>
          <w:szCs w:val="18"/>
          <w:color w:val="auto"/>
        </w:rPr>
      </w:pPr>
    </w:p>
    <w:p>
      <w:pPr>
        <w:ind w:left="-280" w:right="80" w:firstLine="421"/>
        <w:spacing w:after="0" w:line="277" w:lineRule="auto"/>
        <w:tabs>
          <w:tab w:leader="none" w:pos="5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relating to the lending of money or to taking any mortgage, pledge or otherwise placing an Encumbrance on any assets of any Person;</w:t>
      </w:r>
    </w:p>
    <w:p>
      <w:pPr>
        <w:spacing w:after="0" w:line="62" w:lineRule="exact"/>
        <w:rPr>
          <w:rFonts w:ascii="Arial" w:cs="Arial" w:eastAsia="Arial" w:hAnsi="Arial"/>
          <w:sz w:val="18"/>
          <w:szCs w:val="18"/>
          <w:color w:val="auto"/>
        </w:rPr>
      </w:pPr>
    </w:p>
    <w:p>
      <w:pPr>
        <w:ind w:left="480" w:hanging="339"/>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Contract relating to a partnership, joint venture or joint development, marketing or sales arrangement;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00"/>
          </w:cols>
          <w:pgMar w:left="1440" w:top="274" w:right="259" w:bottom="1440" w:gutter="0" w:footer="0" w:header="0"/>
        </w:sectPr>
      </w:pPr>
    </w:p>
    <w:bookmarkStart w:id="40" w:name="page41"/>
    <w:bookmarkEnd w:id="40"/>
    <w:p>
      <w:pPr>
        <w:ind w:left="460" w:right="200" w:firstLine="421"/>
        <w:spacing w:after="0" w:line="277" w:lineRule="auto"/>
        <w:tabs>
          <w:tab w:leader="none" w:pos="1275"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Contract containing exclusivity, noncompetition, nonsolicitation or other provisions that prohibit, restrict or limit to any extent Seller’s right to freely engage in any business anywhere in the world or solicit or engage the services of any Person;</w:t>
      </w:r>
    </w:p>
    <w:p>
      <w:pPr>
        <w:spacing w:after="0" w:line="62" w:lineRule="exact"/>
        <w:rPr>
          <w:rFonts w:ascii="Arial" w:cs="Arial" w:eastAsia="Arial" w:hAnsi="Arial"/>
          <w:sz w:val="18"/>
          <w:szCs w:val="18"/>
          <w:color w:val="auto"/>
        </w:rPr>
      </w:pPr>
    </w:p>
    <w:p>
      <w:pPr>
        <w:ind w:left="1320" w:hanging="439"/>
        <w:spacing w:after="0"/>
        <w:tabs>
          <w:tab w:leader="none" w:pos="13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Contract under which Seller provides a generalized warranty or guaranty with respect to the Business; and</w:t>
      </w:r>
    </w:p>
    <w:p>
      <w:pPr>
        <w:spacing w:after="0" w:line="117" w:lineRule="exact"/>
        <w:rPr>
          <w:rFonts w:ascii="Arial" w:cs="Arial" w:eastAsia="Arial" w:hAnsi="Arial"/>
          <w:sz w:val="18"/>
          <w:szCs w:val="18"/>
          <w:color w:val="auto"/>
        </w:rPr>
      </w:pPr>
    </w:p>
    <w:p>
      <w:pPr>
        <w:ind w:left="460" w:right="220" w:firstLine="421"/>
        <w:spacing w:after="0" w:line="264" w:lineRule="auto"/>
        <w:tabs>
          <w:tab w:leader="none" w:pos="13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and every Contract of Seller, or by which Seller or the Business or its operations or assets are bound, not otherwise disclosed above, that either (i) was not entered into in the Ordinary Course of Business of the Business or (ii) is material to the Business or its assets or operations.</w:t>
      </w:r>
    </w:p>
    <w:p>
      <w:pPr>
        <w:spacing w:after="0" w:line="73" w:lineRule="exact"/>
        <w:rPr>
          <w:rFonts w:ascii="Arial" w:cs="Arial" w:eastAsia="Arial" w:hAnsi="Arial"/>
          <w:sz w:val="18"/>
          <w:szCs w:val="18"/>
          <w:color w:val="auto"/>
        </w:rPr>
      </w:pPr>
    </w:p>
    <w:p>
      <w:pPr>
        <w:ind w:right="40" w:firstLine="443"/>
        <w:spacing w:after="0" w:line="271" w:lineRule="auto"/>
        <w:tabs>
          <w:tab w:leader="none" w:pos="693"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4.19(b)</w:t>
      </w:r>
      <w:r>
        <w:rPr>
          <w:rFonts w:ascii="Arial" w:cs="Arial" w:eastAsia="Arial" w:hAnsi="Arial"/>
          <w:sz w:val="17"/>
          <w:szCs w:val="17"/>
          <w:color w:val="auto"/>
        </w:rPr>
        <w:t>, (i) each of the Assigned Contracts is valid and binding on Seller and, to Seller’s knowledge, each other party thereto and is in full force and effect; (ii) no Person has given notice or alleged in writing to Seller (or, to Seller’s knowledge, otherwise alleged) that Seller or any other party to any of the Assigned Contracts is or may be in material Breach thereof or has or may have a material indemnification or similar Liability thereunder; (iii) no condition exists and no event has occurred that has resulted in a material Breach or will with the passage of time or giving of notice result in a material Breach by Seller of any of the Assigned Contracts or to Seller’s knowledge, by any other party thereto and to Seller’s knowledge no condition exists and no event has occurred that is reasonably expected to result in a breach by Seller or by any other party thereto of any of the Assigned Contracts; and (iv) no Third Party to any of the Assigned Contracts has in writing terminated or, to Seller’s knowledge, purported to terminate or requested any material modification or waiver thereof.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right="40" w:firstLine="443"/>
        <w:spacing w:after="0" w:line="272" w:lineRule="auto"/>
        <w:tabs>
          <w:tab w:leader="none" w:pos="6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4.20(a)</w:t>
      </w:r>
      <w:r>
        <w:rPr>
          <w:rFonts w:ascii="Arial" w:cs="Arial" w:eastAsia="Arial" w:hAnsi="Arial"/>
          <w:sz w:val="17"/>
          <w:szCs w:val="17"/>
          <w:color w:val="auto"/>
        </w:rPr>
        <w:t>, (i) Seller is, and for the past five years has been, in compliance in all material respects with all applicable Environmental Laws with respect to the Business and the Owned Real Property; (ii) no Authority or other Person has given notice or alleged in writing to Seller or any of its Affiliates (or, to Seller’s knowledge, otherwise alleged) that Seller has or may have violated or otherwise Breached any such Environmental Law with respect to the Business or the Owned Real Property; (iii) Seller has disposed of, in accordance in all material respects with all applicable Laws, all obsolete or discrepant Hazardous Materials located on or about the Facilities; and (iv) none of the Facilities is subject to any currently outstanding or ongoing requirements or obligations of any Order regarding Hazardous Materials, compliance with Environmental Laws or satisfaction of Environmental Liabilities under the terms and conditions of the Leases.</w:t>
      </w:r>
    </w:p>
    <w:p>
      <w:pPr>
        <w:spacing w:after="0" w:line="69" w:lineRule="exact"/>
        <w:rPr>
          <w:rFonts w:ascii="Arial" w:cs="Arial" w:eastAsia="Arial" w:hAnsi="Arial"/>
          <w:sz w:val="17"/>
          <w:szCs w:val="17"/>
          <w:color w:val="auto"/>
        </w:rPr>
      </w:pPr>
    </w:p>
    <w:p>
      <w:pPr>
        <w:ind w:firstLine="443"/>
        <w:spacing w:after="0" w:line="279" w:lineRule="auto"/>
        <w:tabs>
          <w:tab w:leader="none" w:pos="693"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4.20(b)</w:t>
      </w:r>
      <w:r>
        <w:rPr>
          <w:rFonts w:ascii="Arial" w:cs="Arial" w:eastAsia="Arial" w:hAnsi="Arial"/>
          <w:sz w:val="17"/>
          <w:szCs w:val="17"/>
          <w:color w:val="auto"/>
        </w:rPr>
        <w:t>, (i) Seller is not subject to any unresolved Environmental Liabilities in connection with the Business or the Owned Real Property, whether based on Contract, negligence, trespass, strict liability, nuisance, toxic tort, or any other cause of action or theory; and (ii) no Authority or other Person has given notice or alleged in writing to Seller (or, to Seller’s knowledge, otherwise alleged) that Seller has or may have any such Environmental Liabilities in connection with the Business or the Owned Real Property.</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700" w:top="274" w:right="239" w:bottom="1440" w:gutter="0" w:footer="0" w:header="0"/>
        </w:sectPr>
      </w:pPr>
    </w:p>
    <w:bookmarkStart w:id="41" w:name="page42"/>
    <w:bookmarkEnd w:id="41"/>
    <w:p>
      <w:pPr>
        <w:ind w:right="100" w:firstLine="443"/>
        <w:spacing w:after="0" w:line="286" w:lineRule="auto"/>
        <w:tabs>
          <w:tab w:leader="none" w:pos="68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4.20(c)</w:t>
      </w:r>
      <w:r>
        <w:rPr>
          <w:rFonts w:ascii="Arial" w:cs="Arial" w:eastAsia="Arial" w:hAnsi="Arial"/>
          <w:sz w:val="17"/>
          <w:szCs w:val="17"/>
          <w:color w:val="auto"/>
        </w:rPr>
        <w:t xml:space="preserve"> lists the address of all Real Property, other than the Facilities, that Seller or Affiliates have ever owned or leased in connection with the Business at any time during the five year period prior to the date hereof (the “</w:t>
      </w:r>
      <w:r>
        <w:rPr>
          <w:rFonts w:ascii="Arial" w:cs="Arial" w:eastAsia="Arial" w:hAnsi="Arial"/>
          <w:sz w:val="17"/>
          <w:szCs w:val="17"/>
          <w:u w:val="single" w:color="auto"/>
          <w:color w:val="auto"/>
        </w:rPr>
        <w:t>Former Real Property</w:t>
      </w:r>
      <w:r>
        <w:rPr>
          <w:rFonts w:ascii="Arial" w:cs="Arial" w:eastAsia="Arial" w:hAnsi="Arial"/>
          <w:sz w:val="17"/>
          <w:szCs w:val="17"/>
          <w:color w:val="auto"/>
        </w:rPr>
        <w:t>”) and describes the operations conducted by Seller or its Affiliates on or in relation to the Former Real Property and approximate dates of operation thereon.</w:t>
      </w:r>
    </w:p>
    <w:p>
      <w:pPr>
        <w:spacing w:after="0" w:line="57" w:lineRule="exact"/>
        <w:rPr>
          <w:rFonts w:ascii="Arial" w:cs="Arial" w:eastAsia="Arial" w:hAnsi="Arial"/>
          <w:sz w:val="17"/>
          <w:szCs w:val="17"/>
          <w:color w:val="auto"/>
        </w:rPr>
      </w:pPr>
    </w:p>
    <w:p>
      <w:pPr>
        <w:ind w:left="700" w:hanging="257"/>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4.20(d)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79" w:lineRule="auto"/>
        <w:tabs>
          <w:tab w:leader="none" w:pos="1095" w:val="left"/>
        </w:tabs>
        <w:numPr>
          <w:ilvl w:val="1"/>
          <w:numId w:val="54"/>
        </w:numPr>
        <w:rPr>
          <w:rFonts w:ascii="Arial" w:cs="Arial" w:eastAsia="Arial" w:hAnsi="Arial"/>
          <w:sz w:val="17"/>
          <w:szCs w:val="17"/>
          <w:color w:val="auto"/>
        </w:rPr>
      </w:pPr>
      <w:r>
        <w:rPr>
          <w:rFonts w:ascii="Arial" w:cs="Arial" w:eastAsia="Arial" w:hAnsi="Arial"/>
          <w:sz w:val="17"/>
          <w:szCs w:val="17"/>
          <w:color w:val="auto"/>
        </w:rPr>
        <w:t>no Hazardous Material has ever been Released, generated, treated, contained, handled, used, manufactured, processed, buried, disposed of, deposited or stored in violation in any material respect of any Environmental Law by Seller or its Affiliates in connection with the Business or the Owned Real Property to Seller’s knowledge, on, under or about any of the Facilities or any Former Real Property prior to the disposal of Seller’s or its Affiliate’s interest therein in violation in any material respect of any Environmental Law;</w:t>
      </w:r>
    </w:p>
    <w:p>
      <w:pPr>
        <w:spacing w:after="0" w:line="63" w:lineRule="exact"/>
        <w:rPr>
          <w:rFonts w:ascii="Arial" w:cs="Arial" w:eastAsia="Arial" w:hAnsi="Arial"/>
          <w:sz w:val="17"/>
          <w:szCs w:val="17"/>
          <w:color w:val="auto"/>
        </w:rPr>
      </w:pPr>
    </w:p>
    <w:p>
      <w:pPr>
        <w:ind w:left="460" w:right="40" w:firstLine="421"/>
        <w:spacing w:after="0" w:line="259" w:lineRule="auto"/>
        <w:tabs>
          <w:tab w:leader="none" w:pos="11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underground storage tanks are located on, under or about the Facilities or, to Seller’s knowledge, were located on, under or about the Former Real Property prior to the disposal of Seller’s or its Affiliate’s interest therein (and to Seller’s knowledge with regard to the Facilities, storage tanks have been duly registered with all appropriate Authorities and otherwise are in compliance in all material respects with all applicable Environmental Laws); and</w:t>
      </w:r>
    </w:p>
    <w:p>
      <w:pPr>
        <w:spacing w:after="0" w:line="78" w:lineRule="exact"/>
        <w:rPr>
          <w:rFonts w:ascii="Arial" w:cs="Arial" w:eastAsia="Arial" w:hAnsi="Arial"/>
          <w:sz w:val="18"/>
          <w:szCs w:val="18"/>
          <w:color w:val="auto"/>
        </w:rPr>
      </w:pPr>
    </w:p>
    <w:p>
      <w:pPr>
        <w:ind w:left="460" w:right="200" w:firstLine="421"/>
        <w:spacing w:after="0" w:line="312" w:lineRule="auto"/>
        <w:tabs>
          <w:tab w:leader="none" w:pos="11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except for expenditures in the Ordinary Course of Business, to Seller’s knowledge, no capital expenditures are necessary in order for Seller or its Affiliates to comply in all material respects with any Environmental Law in connection with the Business or the Owned Real Property, nor has any Authority given written notice to Seller or any of its Affiliates that any such capital expenditure is required.</w:t>
      </w:r>
    </w:p>
    <w:p>
      <w:pPr>
        <w:spacing w:after="0" w:line="38" w:lineRule="exact"/>
        <w:rPr>
          <w:rFonts w:ascii="Arial" w:cs="Arial" w:eastAsia="Arial" w:hAnsi="Arial"/>
          <w:sz w:val="16"/>
          <w:szCs w:val="16"/>
          <w:color w:val="auto"/>
        </w:rPr>
      </w:pPr>
    </w:p>
    <w:p>
      <w:pPr>
        <w:ind w:right="140" w:firstLine="443"/>
        <w:spacing w:after="0" w:line="277" w:lineRule="auto"/>
        <w:tabs>
          <w:tab w:leader="none" w:pos="6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Seller is not bound by any Contract to pay to, reimburse, guarantee, pledge, defend, indemnify or hold harmless any Person other than Buyer from or against any Environmental Liabilities related to the Business or the Owned Real Property.</w:t>
      </w:r>
    </w:p>
    <w:p>
      <w:pPr>
        <w:spacing w:after="0" w:line="62" w:lineRule="exact"/>
        <w:rPr>
          <w:rFonts w:ascii="Arial" w:cs="Arial" w:eastAsia="Arial" w:hAnsi="Arial"/>
          <w:sz w:val="18"/>
          <w:szCs w:val="18"/>
          <w:color w:val="auto"/>
        </w:rPr>
      </w:pPr>
    </w:p>
    <w:p>
      <w:pPr>
        <w:ind w:right="380" w:firstLine="443"/>
        <w:spacing w:after="0" w:line="264" w:lineRule="auto"/>
        <w:tabs>
          <w:tab w:leader="none" w:pos="6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Seller has provided Buyer with correct and complete copies of all Environmental reports, site assessments, compliance audits or similar studies made by, furnished to or in the custody or reasonable control of Seller or its Affiliates during the last five years relating to the Business, the Facilities or the Former Real Property.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Dealers and Suppliers</w:t>
      </w:r>
      <w:r>
        <w:rPr>
          <w:rFonts w:ascii="Arial" w:cs="Arial" w:eastAsia="Arial" w:hAnsi="Arial"/>
          <w:sz w:val="18"/>
          <w:szCs w:val="18"/>
          <w:color w:val="auto"/>
        </w:rPr>
        <w:t>.</w:t>
      </w:r>
    </w:p>
    <w:p>
      <w:pPr>
        <w:spacing w:after="0" w:line="117" w:lineRule="exact"/>
        <w:rPr>
          <w:sz w:val="20"/>
          <w:szCs w:val="20"/>
          <w:color w:val="auto"/>
        </w:rPr>
      </w:pPr>
    </w:p>
    <w:p>
      <w:pPr>
        <w:ind w:right="140" w:firstLine="443"/>
        <w:spacing w:after="0" w:line="264" w:lineRule="auto"/>
        <w:tabs>
          <w:tab w:leader="none" w:pos="68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Schedule 4.21(a)</w:t>
      </w:r>
      <w:r>
        <w:rPr>
          <w:rFonts w:ascii="Arial" w:cs="Arial" w:eastAsia="Arial" w:hAnsi="Arial"/>
          <w:sz w:val="18"/>
          <w:szCs w:val="18"/>
          <w:color w:val="auto"/>
        </w:rPr>
        <w:t xml:space="preserve"> lists (i) the revenue of each customer, including each dealer and distributor, of the Business for the calendar years 2012 and 2013 and for the period January 1, 2014 through September 30, 2014 and (ii) the territory of each such dealer and distributor related to the Business. Except as set forth in </w:t>
      </w:r>
      <w:r>
        <w:rPr>
          <w:rFonts w:ascii="Arial" w:cs="Arial" w:eastAsia="Arial" w:hAnsi="Arial"/>
          <w:sz w:val="18"/>
          <w:szCs w:val="18"/>
          <w:u w:val="single" w:color="auto"/>
          <w:color w:val="auto"/>
        </w:rPr>
        <w:t>Schedule 4.21(a)</w:t>
      </w:r>
      <w:r>
        <w:rPr>
          <w:rFonts w:ascii="Arial" w:cs="Arial" w:eastAsia="Arial" w:hAnsi="Arial"/>
          <w:sz w:val="18"/>
          <w:szCs w:val="18"/>
          <w:color w:val="auto"/>
        </w:rPr>
        <w: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74" w:right="239" w:bottom="1440" w:gutter="0" w:footer="0" w:header="0"/>
        </w:sectPr>
      </w:pPr>
    </w:p>
    <w:bookmarkStart w:id="42" w:name="page43"/>
    <w:bookmarkEnd w:id="42"/>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since January 1, 2013, (i) no Top Dealer and no other material aggregation of customers or dealers of the Business has provided Seller with notice that it intends to terminate or substantially reduce (in comparison to the volume indicated in </w:t>
      </w:r>
      <w:r>
        <w:rPr>
          <w:rFonts w:ascii="Arial" w:cs="Arial" w:eastAsia="Arial" w:hAnsi="Arial"/>
          <w:sz w:val="18"/>
          <w:szCs w:val="18"/>
          <w:u w:val="single" w:color="auto"/>
          <w:color w:val="auto"/>
        </w:rPr>
        <w:t>Schedule 4.21(a)</w:t>
      </w:r>
      <w:r>
        <w:rPr>
          <w:rFonts w:ascii="Arial" w:cs="Arial" w:eastAsia="Arial" w:hAnsi="Arial"/>
          <w:sz w:val="18"/>
          <w:szCs w:val="18"/>
          <w:color w:val="auto"/>
        </w:rPr>
        <w:t>) its purchases from the Business or (ii) to Seller’s knowledge, there has not been any material adverse change in the business arrangement with any Top Dealer or material aggregation of customers or dealers of the Business.</w:t>
      </w:r>
    </w:p>
    <w:p>
      <w:pPr>
        <w:spacing w:after="0" w:line="79" w:lineRule="exact"/>
        <w:rPr>
          <w:sz w:val="20"/>
          <w:szCs w:val="20"/>
          <w:color w:val="auto"/>
        </w:rPr>
      </w:pPr>
    </w:p>
    <w:p>
      <w:pPr>
        <w:ind w:left="460" w:right="40" w:firstLine="443"/>
        <w:spacing w:after="0" w:line="276" w:lineRule="auto"/>
        <w:tabs>
          <w:tab w:leader="none" w:pos="115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Schedule 4.21(b)</w:t>
      </w:r>
      <w:r>
        <w:rPr>
          <w:rFonts w:ascii="Arial" w:cs="Arial" w:eastAsia="Arial" w:hAnsi="Arial"/>
          <w:sz w:val="17"/>
          <w:szCs w:val="17"/>
          <w:color w:val="auto"/>
        </w:rPr>
        <w:t xml:space="preserve"> (i) sets forth a list of all suppliers during the 12-month period preceding the date of the Latest Interim Balance Sheet, that sold goods or services to the Business totaling an aggregate of at least $250,000; (ii) specifies the volume of purchases (in U.S. dollars) from each such supplier during such 12-month period; and (iii) specifies the 10 largest suppliers in terms of the value (in dollars) of goods and services purchased by Seller (each, a “</w:t>
      </w:r>
      <w:r>
        <w:rPr>
          <w:rFonts w:ascii="Arial" w:cs="Arial" w:eastAsia="Arial" w:hAnsi="Arial"/>
          <w:sz w:val="17"/>
          <w:szCs w:val="17"/>
          <w:u w:val="single" w:color="auto"/>
          <w:color w:val="auto"/>
        </w:rPr>
        <w:t>Top Supplier</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4.21(b)</w:t>
      </w:r>
      <w:r>
        <w:rPr>
          <w:rFonts w:ascii="Arial" w:cs="Arial" w:eastAsia="Arial" w:hAnsi="Arial"/>
          <w:sz w:val="17"/>
          <w:szCs w:val="17"/>
          <w:color w:val="auto"/>
        </w:rPr>
        <w:t>, there has not been since the beginning of such twelve month period any termination of, or substantial adverse change in, the business arrangement with any Top Supplier.</w:t>
      </w:r>
    </w:p>
    <w:p>
      <w:pPr>
        <w:spacing w:after="0" w:line="64" w:lineRule="exact"/>
        <w:rPr>
          <w:rFonts w:ascii="Arial" w:cs="Arial" w:eastAsia="Arial" w:hAnsi="Arial"/>
          <w:sz w:val="17"/>
          <w:szCs w:val="17"/>
          <w:color w:val="auto"/>
        </w:rPr>
      </w:pPr>
    </w:p>
    <w:p>
      <w:pPr>
        <w:ind w:left="460" w:right="640" w:firstLine="443"/>
        <w:spacing w:after="0" w:line="277" w:lineRule="auto"/>
        <w:tabs>
          <w:tab w:leader="none" w:pos="11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4.21(c)</w:t>
      </w:r>
      <w:r>
        <w:rPr>
          <w:rFonts w:ascii="Arial" w:cs="Arial" w:eastAsia="Arial" w:hAnsi="Arial"/>
          <w:sz w:val="18"/>
          <w:szCs w:val="18"/>
          <w:color w:val="auto"/>
        </w:rPr>
        <w:t xml:space="preserve">, each dealer of the Business has signed and is a party to the form of dealer contract attached to </w:t>
      </w:r>
      <w:r>
        <w:rPr>
          <w:rFonts w:ascii="Arial" w:cs="Arial" w:eastAsia="Arial" w:hAnsi="Arial"/>
          <w:sz w:val="18"/>
          <w:szCs w:val="18"/>
          <w:u w:val="single" w:color="auto"/>
          <w:color w:val="auto"/>
        </w:rPr>
        <w:t>Schedule 4.21(c)</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Products and Warranties</w:t>
      </w:r>
      <w:r>
        <w:rPr>
          <w:rFonts w:ascii="Arial" w:cs="Arial" w:eastAsia="Arial" w:hAnsi="Arial"/>
          <w:sz w:val="17"/>
          <w:szCs w:val="17"/>
          <w:color w:val="auto"/>
        </w:rPr>
        <w:t xml:space="preserve">. Each finished product manufactured, sold, leased, or delivered by the Business has been manufactured, sold, leased, or delivered by Seller in conformity with all applicable commitments and requirements under applicable Contracts and all express and implied warranties, and meets the standards required by all applicable Laws. Seller has no Liability for replacement or repair of any product manufactured, sold, leased, or delivered by the Business or other Liabilities in connection therewith other than ordinary course warranty repair not in excess of the reserve therefor set forth on the Final Closing Balance Sheet. No product manufactured, sold, leased, or delivered by Seller is subject to any guaranty, warranty or other indemnity beyond the applicable standard terms and conditions of sale or lease. </w:t>
      </w:r>
      <w:r>
        <w:rPr>
          <w:rFonts w:ascii="Arial" w:cs="Arial" w:eastAsia="Arial" w:hAnsi="Arial"/>
          <w:sz w:val="17"/>
          <w:szCs w:val="17"/>
          <w:u w:val="single" w:color="auto"/>
          <w:color w:val="auto"/>
        </w:rPr>
        <w:t>Schedule 4.22</w:t>
      </w:r>
      <w:r>
        <w:rPr>
          <w:rFonts w:ascii="Arial" w:cs="Arial" w:eastAsia="Arial" w:hAnsi="Arial"/>
          <w:sz w:val="17"/>
          <w:szCs w:val="17"/>
          <w:color w:val="auto"/>
        </w:rPr>
        <w:t xml:space="preserve"> sets forth a copy of Seller’s standard terms and conditions of sale or lease (including applicable guaranty, warranty and indemnity provisions) with respect to the Business.</w:t>
      </w:r>
    </w:p>
    <w:p>
      <w:pPr>
        <w:spacing w:after="0" w:line="178"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Sufficiency of Purchased Assets</w:t>
      </w:r>
      <w:r>
        <w:rPr>
          <w:rFonts w:ascii="Arial" w:cs="Arial" w:eastAsia="Arial" w:hAnsi="Arial"/>
          <w:sz w:val="16"/>
          <w:szCs w:val="16"/>
          <w:color w:val="auto"/>
        </w:rPr>
        <w:t xml:space="preserve">. Except for the assets listed on </w:t>
      </w:r>
      <w:r>
        <w:rPr>
          <w:rFonts w:ascii="Arial" w:cs="Arial" w:eastAsia="Arial" w:hAnsi="Arial"/>
          <w:sz w:val="16"/>
          <w:szCs w:val="16"/>
          <w:u w:val="single" w:color="auto"/>
          <w:color w:val="auto"/>
        </w:rPr>
        <w:t>Schedule 1.2(j)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1.2(k)</w:t>
      </w:r>
      <w:r>
        <w:rPr>
          <w:rFonts w:ascii="Arial" w:cs="Arial" w:eastAsia="Arial" w:hAnsi="Arial"/>
          <w:sz w:val="16"/>
          <w:szCs w:val="16"/>
          <w:color w:val="auto"/>
        </w:rPr>
        <w:t>, the Purchased Assets constitute all of the assets, properties and rights, both tangible and intangible and including all Contracts, used by Seller in the course of operating the Business as currently conducted and as conducted during the period covered by the Financial Statements except for the use of certain shared software, computer equipment and snow removal equipment that will be used by Seller to provide services under the Transition Services Agreement. Except for the assets listed on</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u w:val="single" w:color="auto"/>
          <w:color w:val="auto"/>
        </w:rPr>
        <w:t>Schedule 1.2(j)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Schedule 1.2(k)</w:t>
      </w:r>
      <w:r>
        <w:rPr>
          <w:rFonts w:ascii="Arial" w:cs="Arial" w:eastAsia="Arial" w:hAnsi="Arial"/>
          <w:sz w:val="17"/>
          <w:szCs w:val="17"/>
          <w:color w:val="auto"/>
        </w:rPr>
        <w:t>, the Purchased Assets constitute all of the assets and rights that are necessary to allow Buyer to operate the Business in the manner in which the Business is currently conducted and as conducted during the period covered by the Financial Statements; in each case except for the use of certain shared software, computer equipment and snow removal equipment that will be used by Seller to provide services under the Transition Services Agreement and except for personnel to be provided to Buyer under the Personnel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3" w:name="page44"/>
    <w:bookmarkEnd w:id="4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4.24 </w:t>
      </w:r>
      <w:r>
        <w:rPr>
          <w:rFonts w:ascii="Arial" w:cs="Arial" w:eastAsia="Arial" w:hAnsi="Arial"/>
          <w:sz w:val="18"/>
          <w:szCs w:val="18"/>
          <w:u w:val="single" w:color="auto"/>
          <w:color w:val="auto"/>
        </w:rPr>
        <w:t>Manufacturing and Marketing Rights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4.24</w:t>
      </w:r>
      <w:r>
        <w:rPr>
          <w:rFonts w:ascii="Arial" w:cs="Arial" w:eastAsia="Arial" w:hAnsi="Arial"/>
          <w:sz w:val="18"/>
          <w:szCs w:val="18"/>
          <w:color w:val="auto"/>
        </w:rPr>
        <w:t>, Seller has not granted to any Person any rights to manufacture, produce, assemble, license, market, or sell any products that are or were developed, manufactured, marked or sold in connection with the operation of the Business by Seller and is not bound by any agreement that will affect Buyer’s right to develop, manufacture, assemble, distribute, market or sell such products after the Closing.</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4.25 </w:t>
      </w:r>
      <w:r>
        <w:rPr>
          <w:rFonts w:ascii="Arial" w:cs="Arial" w:eastAsia="Arial" w:hAnsi="Arial"/>
          <w:sz w:val="17"/>
          <w:szCs w:val="17"/>
          <w:u w:val="single" w:color="auto"/>
          <w:color w:val="auto"/>
        </w:rPr>
        <w:t>Product Liability Claims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4.25</w:t>
      </w:r>
      <w:r>
        <w:rPr>
          <w:rFonts w:ascii="Arial" w:cs="Arial" w:eastAsia="Arial" w:hAnsi="Arial"/>
          <w:sz w:val="17"/>
          <w:szCs w:val="17"/>
          <w:color w:val="auto"/>
        </w:rPr>
        <w:t>, Seller has not, with respect to the Business, since January 1, 2010, received a claim, or incurred any uninsured or insured liability, for or based upon failure to warn, breach of product warranty (other than warranty service and repair claims incurred in the Ordinary Course of Business), strict liability in tort, general negligence, negligent manufacture of product, negligent provision of services or any other allegation of liability, including or resulting in, but not limited to, product recalls, arising from the materials, design, testing, manufacture, packaging, labeling (including instructions for use) or sale of the products of the Business or from the provision of services by the Business (“</w:t>
      </w:r>
      <w:r>
        <w:rPr>
          <w:rFonts w:ascii="Arial" w:cs="Arial" w:eastAsia="Arial" w:hAnsi="Arial"/>
          <w:sz w:val="17"/>
          <w:szCs w:val="17"/>
          <w:u w:val="single" w:color="auto"/>
          <w:color w:val="auto"/>
        </w:rPr>
        <w:t>Product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Liability Claim</w:t>
      </w:r>
      <w:r>
        <w:rPr>
          <w:rFonts w:ascii="Arial" w:cs="Arial" w:eastAsia="Arial" w:hAnsi="Arial"/>
          <w:sz w:val="17"/>
          <w:szCs w:val="17"/>
          <w:color w:val="auto"/>
        </w:rPr>
        <w:t>”). Seller has provided to Buyer a description of each Product Liability Claim received by Seller.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88" w:lineRule="auto"/>
        <w:tabs>
          <w:tab w:leader="none" w:pos="1143" w:val="left"/>
        </w:tabs>
        <w:numPr>
          <w:ilvl w:val="1"/>
          <w:numId w:val="57"/>
        </w:numPr>
        <w:rPr>
          <w:rFonts w:ascii="Arial" w:cs="Arial" w:eastAsia="Arial" w:hAnsi="Arial"/>
          <w:sz w:val="16"/>
          <w:szCs w:val="16"/>
          <w:color w:val="auto"/>
        </w:rPr>
      </w:pPr>
      <w:r>
        <w:rPr>
          <w:rFonts w:ascii="Arial" w:cs="Arial" w:eastAsia="Arial" w:hAnsi="Arial"/>
          <w:sz w:val="16"/>
          <w:szCs w:val="16"/>
          <w:color w:val="auto"/>
        </w:rPr>
        <w:t>None of Seller, any Seller Shareholders, nor any of Seller’s directors, officers, employees or other agents has, directly or indirectly, given or agreed to give any gift or similar benefit (excepting de minimis and occasional tokens) to any customer, supplier, governmental employee or other Authority or Person who is or may be in a position to help or hinder Seller (or assist Seller in connection with any actual or proposed transaction) which</w:t>
      </w:r>
    </w:p>
    <w:p>
      <w:pPr>
        <w:ind w:left="460" w:right="60" w:firstLine="4"/>
        <w:spacing w:after="0" w:line="255"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might subject Seller to any damage or penalty in any Proceeding; (ii) if not given in the past, might have adversely affected the assets, business or operations of the Business as reflected in the Financial Statements; or (iii) if not continued in the future, might adversely affect the Purchased Assets or the performance of the Business.</w:t>
      </w:r>
    </w:p>
    <w:p>
      <w:pPr>
        <w:spacing w:after="0" w:line="82" w:lineRule="exact"/>
        <w:rPr>
          <w:rFonts w:ascii="Arial" w:cs="Arial" w:eastAsia="Arial" w:hAnsi="Arial"/>
          <w:sz w:val="18"/>
          <w:szCs w:val="18"/>
          <w:color w:val="auto"/>
        </w:rPr>
      </w:pPr>
    </w:p>
    <w:p>
      <w:pPr>
        <w:ind w:left="460" w:firstLine="443"/>
        <w:spacing w:after="0" w:line="264" w:lineRule="auto"/>
        <w:tabs>
          <w:tab w:leader="none" w:pos="1153"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Each transaction in which the Business has engaged is accurately recorded on Seller’s books and records. Seller maintains a system of internal accounting controls adequate to insure that Seller does not maintain any off-the-books accounts and that Seller’s assets are used only in accordance with management directives and legitimate Business purposes.</w:t>
      </w:r>
    </w:p>
    <w:p>
      <w:pPr>
        <w:spacing w:after="0" w:line="73" w:lineRule="exact"/>
        <w:rPr>
          <w:rFonts w:ascii="Arial" w:cs="Arial" w:eastAsia="Arial" w:hAnsi="Arial"/>
          <w:sz w:val="18"/>
          <w:szCs w:val="18"/>
          <w:color w:val="auto"/>
        </w:rPr>
      </w:pPr>
    </w:p>
    <w:p>
      <w:pPr>
        <w:ind w:left="460" w:right="220" w:firstLine="443"/>
        <w:spacing w:after="0" w:line="276" w:lineRule="auto"/>
        <w:tabs>
          <w:tab w:leader="none" w:pos="1143"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The Business has at all times been in compliance in all material respects with all Laws relating to export control and trade embargoes. </w:t>
      </w:r>
      <w:r>
        <w:rPr>
          <w:rFonts w:ascii="Arial" w:cs="Arial" w:eastAsia="Arial" w:hAnsi="Arial"/>
          <w:sz w:val="17"/>
          <w:szCs w:val="17"/>
          <w:u w:val="single" w:color="auto"/>
          <w:color w:val="auto"/>
        </w:rPr>
        <w:t>Schedule 4.26(c)</w:t>
      </w:r>
      <w:r>
        <w:rPr>
          <w:rFonts w:ascii="Arial" w:cs="Arial" w:eastAsia="Arial" w:hAnsi="Arial"/>
          <w:sz w:val="17"/>
          <w:szCs w:val="17"/>
          <w:color w:val="auto"/>
        </w:rPr>
        <w:t xml:space="preserve"> lists each country, other than the United States, into which the Business has sold any product in the last five years along with the approximate amount of sales made into each such country for such period. Seller has not violated the antiboycott prohibitions contained in 50 U.S.C. §2401 et seq. or taken any action that can be penalized under Code §999. All products sold by the Business, and all inventory and other materials imported by the Business, have included all necessary and appropriate country of origin documentation with each item.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4" w:name="page45"/>
    <w:bookmarkEnd w:id="44"/>
    <w:p>
      <w:pPr>
        <w:ind w:right="2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4.27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4.27</w:t>
      </w:r>
      <w:r>
        <w:rPr>
          <w:rFonts w:ascii="Arial" w:cs="Arial" w:eastAsia="Arial" w:hAnsi="Arial"/>
          <w:sz w:val="17"/>
          <w:szCs w:val="17"/>
          <w:color w:val="auto"/>
        </w:rPr>
        <w:t xml:space="preserve"> and except for ordinary course compensation paid to a Person in his or her capacity as an employee of the Company, no officer, director, equity owner or Affiliate of Shareholder or any individual in such officer’s, director’s, manager’s, equity owner’s or Affiliate’s immediate family is, or was at any time since January 1, 2011, a party to any Contract or transaction with Seller in connection with the Business or has any interest in any material property used in the operation of the Business.</w:t>
      </w:r>
    </w:p>
    <w:p>
      <w:pPr>
        <w:spacing w:after="0" w:line="17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Brokers</w:t>
      </w:r>
      <w:r>
        <w:rPr>
          <w:rFonts w:ascii="Arial" w:cs="Arial" w:eastAsia="Arial" w:hAnsi="Arial"/>
          <w:sz w:val="18"/>
          <w:szCs w:val="18"/>
          <w:color w:val="auto"/>
        </w:rPr>
        <w:t>. None of Seller, its Affiliates, any Seller Shareholders, nor any of their respective directors, officers, employees, consultants or other agents or representatives, has employed any broker, finder or financial advisor, or incurred any Liability for any brokerage fee or commission, finder’s fee or financial advisory fee, in connection with the transactions contemplated hereby. In no event will Buyer or any of the Purchased Assets be subject to any Liability or Encumbrance relating to any brokerage fee or commission, finder’s fee or financial advisory fee incurred by or on behalf of Seller or the Seller Shareholders in connection with the transactions contemplated hereby.</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4.29 </w:t>
      </w:r>
      <w:r>
        <w:rPr>
          <w:rFonts w:ascii="Arial" w:cs="Arial" w:eastAsia="Arial" w:hAnsi="Arial"/>
          <w:sz w:val="17"/>
          <w:szCs w:val="17"/>
          <w:u w:val="single" w:color="auto"/>
          <w:color w:val="auto"/>
        </w:rPr>
        <w:t>Baker Tilly Virchow Krause, LLP</w:t>
      </w:r>
      <w:r>
        <w:rPr>
          <w:rFonts w:ascii="Arial" w:cs="Arial" w:eastAsia="Arial" w:hAnsi="Arial"/>
          <w:sz w:val="17"/>
          <w:szCs w:val="17"/>
          <w:color w:val="auto"/>
        </w:rPr>
        <w:t xml:space="preserve">. None of Seller, the Seller Shareholders or any of their Affiliates has received products or services from Baker Tilly Virchow Krause, LLP (directly or indirectly) at any time during the five-year period prior to the date hereof and there is no pending or contemplated proposal or engagement with Baker Tilly Virchow Krause, LLP (other than its services as the Neutral Auditor under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u w:val="single" w:color="auto"/>
          <w:color w:val="auto"/>
        </w:rPr>
        <w:t>No Misstatements</w:t>
      </w:r>
      <w:r>
        <w:rPr>
          <w:rFonts w:ascii="Arial" w:cs="Arial" w:eastAsia="Arial" w:hAnsi="Arial"/>
          <w:sz w:val="18"/>
          <w:szCs w:val="18"/>
          <w:color w:val="auto"/>
        </w:rPr>
        <w:t xml:space="preserve">. No representation or warranty made by Seller or the Major Shareholders in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by the Seller Shareholders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as made under this Agreement and at Closing pursuant to the closing deliverable referenced in </w:t>
      </w:r>
      <w:r>
        <w:rPr>
          <w:rFonts w:ascii="Arial" w:cs="Arial" w:eastAsia="Arial" w:hAnsi="Arial"/>
          <w:sz w:val="18"/>
          <w:szCs w:val="18"/>
          <w:u w:val="single" w:color="auto"/>
          <w:color w:val="auto"/>
        </w:rPr>
        <w:t>Section 3.2(e)</w:t>
      </w:r>
      <w:r>
        <w:rPr>
          <w:rFonts w:ascii="Arial" w:cs="Arial" w:eastAsia="Arial" w:hAnsi="Arial"/>
          <w:sz w:val="18"/>
          <w:szCs w:val="18"/>
          <w:color w:val="auto"/>
        </w:rPr>
        <w:t>, contains any untrue statement of material fact or omits to state any material fact necessary in order to make the statements herein or therein, in light of the circumstances under which they were made, not misleading as of the date of this Agreement.</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 Other Representations and Warranties</w:t>
      </w:r>
      <w:r>
        <w:rPr>
          <w:rFonts w:ascii="Arial" w:cs="Arial" w:eastAsia="Arial" w:hAnsi="Arial"/>
          <w:sz w:val="16"/>
          <w:szCs w:val="16"/>
          <w:color w:val="auto"/>
        </w:rPr>
        <w:t xml:space="preserve">. Except for the representations and warranties contained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with respect to each Seller Shareholder those contained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including the related portions of the Seller Disclosure Schedule, as made under this Agreement and at Closing pursuant to the closing deliverable referenced in </w:t>
      </w:r>
      <w:r>
        <w:rPr>
          <w:rFonts w:ascii="Arial" w:cs="Arial" w:eastAsia="Arial" w:hAnsi="Arial"/>
          <w:sz w:val="16"/>
          <w:szCs w:val="16"/>
          <w:u w:val="single" w:color="auto"/>
          <w:color w:val="auto"/>
        </w:rPr>
        <w:t>Section 3.2(e)</w:t>
      </w:r>
      <w:r>
        <w:rPr>
          <w:rFonts w:ascii="Arial" w:cs="Arial" w:eastAsia="Arial" w:hAnsi="Arial"/>
          <w:sz w:val="16"/>
          <w:szCs w:val="16"/>
          <w:color w:val="auto"/>
        </w:rPr>
        <w:t>, none of Seller, any Seller Shareholder or any of their respective employees, agents, representatives or advisors has made or makes any other express or implied representation or warranty, either written or oral, on behalf of Seller or any Seller Shareholder, including any representation or warranty as to the accuracy or completeness of any information regarding the Business and the Purchased Assets furnished or made available to Buyer and its employees, agents, representatives (including any information, documents or material delivered or made available to Buyer or any of such Persons in the Data Room, management presentations or in any other form in expectation of the transactions contemplated hereby) or as to the future revenue, profitability or success of the Business, or any representation or warranty arising from statute or otherwise in law.</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REGARDING SELLER SHAREHOLDERS</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Each Seller Shareholder represents and warrants, severally but not jointly, to Buyer, as of the date hereof and as of the Closing Date, as set forth in this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Organization; Standing; Corporate Power</w:t>
      </w:r>
      <w:r>
        <w:rPr>
          <w:rFonts w:ascii="Arial" w:cs="Arial" w:eastAsia="Arial" w:hAnsi="Arial"/>
          <w:sz w:val="16"/>
          <w:szCs w:val="16"/>
          <w:color w:val="auto"/>
        </w:rPr>
        <w:t>. Such Seller Shareholder is either an individual natural person, or a trust duly organized, validly existing and in good standing (or of analogous status) under the laws of its jurisdiction of organization (as applicable), and has all requisite individual or trust power and authority to conduct his, her or its business and affairs as currently being conducted and to own, lease and operate his, her or its properties and assets. The Seller Shareholder which is the Brule 2014 GRAT (the “</w:t>
      </w:r>
      <w:r>
        <w:rPr>
          <w:rFonts w:ascii="Arial" w:cs="Arial" w:eastAsia="Arial" w:hAnsi="Arial"/>
          <w:sz w:val="16"/>
          <w:szCs w:val="16"/>
          <w:u w:val="single" w:color="auto"/>
          <w:color w:val="auto"/>
        </w:rPr>
        <w:t>GRAT</w:t>
      </w:r>
      <w:r>
        <w:rPr>
          <w:rFonts w:ascii="Arial" w:cs="Arial" w:eastAsia="Arial" w:hAnsi="Arial"/>
          <w:sz w:val="16"/>
          <w:szCs w:val="16"/>
          <w:color w:val="auto"/>
        </w:rPr>
        <w:t>”) is a “grantor trust” (within the meaning of Section 671 et. seq. of the Code) and has been duly organized and is existing as a Michigan trust. The sole trustee of the GRAT is David J. Brule who is authorized under the GRAT’s Governing Documents to execute and deliver this Agreement. None of such Seller Shareholders is a corporation, partnership, limited liability company or other entity.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Authority; No Breach</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89" w:lineRule="auto"/>
        <w:tabs>
          <w:tab w:leader="none" w:pos="11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Such Seller Shareholder has all necessary power and authority to execute and deliver this Agreement and to complete the transactions contemplated by this Agreement. Such Seller Shareholder has taken all action required by Law, its Governing Documents (as applicable) and otherwise to authorize such Seller Shareholder’s execution, delivery and performance of this Agreement. Such Seller Shareholder has duly and validly executed and delivered this Agreement and, assuming the due authorization, execution and delivery of this Agreement by Buyer, this Agreement constitutes the legal and valid binding obligation of such Seller Shareholder enforceable in accordance with its terms, subject to applicable bankruptcy, insolvency, reorganization, moratorium or other similar Laws relating to creditors’ rights generally and to general principles of equity (regardless of whether such enforceability is considered in a proceeding in equity or at law). In the case of the GRAT, no approval of such Seller Shareholder’s trustee is required by Law, such Seller Shareholder’s Governing Documents or otherwise in connection with this Agreement or the transactions contemplated hereby, except for those which have been obtained and which have not been amended, modified or rescinded and remain in full force and effect.</w:t>
      </w:r>
    </w:p>
    <w:p>
      <w:pPr>
        <w:spacing w:after="0" w:line="58" w:lineRule="exact"/>
        <w:rPr>
          <w:rFonts w:ascii="Arial" w:cs="Arial" w:eastAsia="Arial" w:hAnsi="Arial"/>
          <w:sz w:val="16"/>
          <w:szCs w:val="16"/>
          <w:color w:val="auto"/>
        </w:rPr>
      </w:pPr>
    </w:p>
    <w:p>
      <w:pPr>
        <w:ind w:left="460" w:right="580" w:firstLine="443"/>
        <w:spacing w:after="0" w:line="277"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completion or performance of the transactions contemplated hereby will, directly or indirectly:</w:t>
      </w:r>
    </w:p>
    <w:p>
      <w:pPr>
        <w:spacing w:after="0" w:line="62" w:lineRule="exact"/>
        <w:rPr>
          <w:rFonts w:ascii="Arial" w:cs="Arial" w:eastAsia="Arial" w:hAnsi="Arial"/>
          <w:sz w:val="18"/>
          <w:szCs w:val="18"/>
          <w:color w:val="auto"/>
        </w:rPr>
      </w:pPr>
    </w:p>
    <w:p>
      <w:pPr>
        <w:ind w:left="920" w:right="340" w:firstLine="421"/>
        <w:spacing w:after="0" w:line="277" w:lineRule="auto"/>
        <w:tabs>
          <w:tab w:leader="none" w:pos="15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Breach any provision of such Seller Shareholder’s Governing Documents (as applicable) or, in the case of the GRAT, any resolution adopted by such Seller Shareholder’s trustee (as applicable);</w:t>
      </w:r>
    </w:p>
    <w:p>
      <w:pPr>
        <w:spacing w:after="0" w:line="62" w:lineRule="exact"/>
        <w:rPr>
          <w:rFonts w:ascii="Arial" w:cs="Arial" w:eastAsia="Arial" w:hAnsi="Arial"/>
          <w:sz w:val="18"/>
          <w:szCs w:val="18"/>
          <w:color w:val="auto"/>
        </w:rPr>
      </w:pPr>
    </w:p>
    <w:p>
      <w:pPr>
        <w:ind w:left="920" w:right="80" w:firstLine="421"/>
        <w:spacing w:after="0" w:line="264" w:lineRule="auto"/>
        <w:tabs>
          <w:tab w:leader="none" w:pos="16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assuming the Consents identified in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are obtained, breach any provision of, or give any Person a right to declare a default or exercise any remedy under, or accelerate the maturity or performance of, or payment under, or to cancel, terminate or modify, any Contract to which such Seller Shareholder is a party or by which he, she or it is bound;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0" w:right="259" w:bottom="1440" w:gutter="0" w:footer="0" w:header="0"/>
        </w:sectPr>
      </w:pPr>
    </w:p>
    <w:bookmarkStart w:id="46" w:name="page47"/>
    <w:bookmarkEnd w:id="46"/>
    <w:p>
      <w:pPr>
        <w:ind w:left="1660" w:hanging="319"/>
        <w:spacing w:after="0"/>
        <w:tabs>
          <w:tab w:leader="none" w:pos="1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in the creation or imposition of an Encumbrance upon or in relation to any asset of such Seller Shareholder; or</w:t>
      </w:r>
    </w:p>
    <w:p>
      <w:pPr>
        <w:spacing w:after="0" w:line="117" w:lineRule="exact"/>
        <w:rPr>
          <w:rFonts w:ascii="Arial" w:cs="Arial" w:eastAsia="Arial" w:hAnsi="Arial"/>
          <w:sz w:val="18"/>
          <w:szCs w:val="18"/>
          <w:color w:val="auto"/>
        </w:rPr>
      </w:pPr>
    </w:p>
    <w:p>
      <w:pPr>
        <w:ind w:left="920" w:right="20" w:firstLine="421"/>
        <w:spacing w:after="0" w:line="264" w:lineRule="auto"/>
        <w:tabs>
          <w:tab w:leader="none" w:pos="16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assuming the Consents identified in </w:t>
      </w:r>
      <w:r>
        <w:rPr>
          <w:rFonts w:ascii="Arial" w:cs="Arial" w:eastAsia="Arial" w:hAnsi="Arial"/>
          <w:sz w:val="18"/>
          <w:szCs w:val="18"/>
          <w:u w:val="single" w:color="auto"/>
          <w:color w:val="auto"/>
        </w:rPr>
        <w:t>Schedule 4.5</w:t>
      </w:r>
      <w:r>
        <w:rPr>
          <w:rFonts w:ascii="Arial" w:cs="Arial" w:eastAsia="Arial" w:hAnsi="Arial"/>
          <w:sz w:val="18"/>
          <w:szCs w:val="18"/>
          <w:color w:val="auto"/>
        </w:rPr>
        <w:t xml:space="preserve"> are obtained, violate or otherwise Breach, or give any Authority the right to challenge any of the transactions contemplated by this Agreement or exercise any remedy or obtain any relief under, any Law or Order applicable to such Seller Shareholder.</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Consents and Filings</w:t>
      </w:r>
      <w:r>
        <w:rPr>
          <w:rFonts w:ascii="Arial" w:cs="Arial" w:eastAsia="Arial" w:hAnsi="Arial"/>
          <w:sz w:val="16"/>
          <w:szCs w:val="16"/>
          <w:color w:val="auto"/>
        </w:rPr>
        <w:t>. Such Seller Shareholder is not required by Law, Contract or otherwise to give any notice to, make any filing with, or obtain any Consent from any Authority or other Person in connection with such Seller Shareholder’s execution, delivery or performance of this Agreement or the completion of the transactions contemplated hereby, except such other notices, filings and Consents that, if not obtained or made, would not, individually or in the aggregate, reasonably be expected to (a) be material to such Seller Shareholder; (b) impair in any material respect such Seller Shareholder’s ability to perform his, her or its obligations under this Agreement; or (c) prevent or materially delay the completion of the transactions contemplated by this Agreement.</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Brokers</w:t>
      </w:r>
      <w:r>
        <w:rPr>
          <w:rFonts w:ascii="Arial" w:cs="Arial" w:eastAsia="Arial" w:hAnsi="Arial"/>
          <w:sz w:val="17"/>
          <w:szCs w:val="17"/>
          <w:color w:val="auto"/>
        </w:rPr>
        <w:t xml:space="preserve">. Neither such Seller Shareholder nor in the case of the GRAT, its trustee, nor any consultants or other agents or representatives of any such Seller Shareholders has employed any broker, finder or financial advisor, or incurred any Liability for any brokerage fee or commission, finder’s fee or financial advisory fee, in connection with the transactions contemplated hereby, except as is identified in </w:t>
      </w:r>
      <w:r>
        <w:rPr>
          <w:rFonts w:ascii="Arial" w:cs="Arial" w:eastAsia="Arial" w:hAnsi="Arial"/>
          <w:sz w:val="17"/>
          <w:szCs w:val="17"/>
          <w:u w:val="single" w:color="auto"/>
          <w:color w:val="auto"/>
        </w:rPr>
        <w:t>Schedule 4.28</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Buyer represents and warrants to Seller, as of the date hereof and as of the Closing Date, as set forth in this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 Standing; Corporate Power</w:t>
      </w:r>
      <w:r>
        <w:rPr>
          <w:rFonts w:ascii="Arial" w:cs="Arial" w:eastAsia="Arial" w:hAnsi="Arial"/>
          <w:sz w:val="18"/>
          <w:szCs w:val="18"/>
          <w:color w:val="auto"/>
        </w:rPr>
        <w:t>.</w:t>
      </w:r>
    </w:p>
    <w:p>
      <w:pPr>
        <w:spacing w:after="0" w:line="117" w:lineRule="exact"/>
        <w:rPr>
          <w:sz w:val="20"/>
          <w:szCs w:val="20"/>
          <w:color w:val="auto"/>
        </w:rPr>
      </w:pPr>
    </w:p>
    <w:p>
      <w:pPr>
        <w:ind w:left="460" w:right="220" w:firstLine="443"/>
        <w:spacing w:after="0" w:line="255"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 is a corporation duly organized, validly existing and in good standing under the laws of the state of Delaware and has all requisite corporate power and authority to conduct its business and affairs as currently being conducted and to own, lease and operate its properties and assets. Buyer is duly qualified or licensed to do business as a foreign entity in good standing in each jurisdiction where the nature of its business or the ownership, leasing or operation of its assets requires such licensing or qualification, except where the failure to be so qualified or licensed would not reasonably be expected to have a material adverse effect on Buyer’s ability to consummate the transactions contemplated by this Agreement or to perform its obligations hereunder.</w:t>
      </w:r>
    </w:p>
    <w:p>
      <w:pPr>
        <w:spacing w:after="0" w:line="85"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Buyer’s filings with the SEC include correct and complete copies of Buyer’s Governing Documents, each as in full force and effect as of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6.2 </w:t>
      </w:r>
      <w:r>
        <w:rPr>
          <w:rFonts w:ascii="Arial" w:cs="Arial" w:eastAsia="Arial" w:hAnsi="Arial"/>
          <w:sz w:val="18"/>
          <w:szCs w:val="18"/>
          <w:u w:val="single" w:color="auto"/>
          <w:color w:val="auto"/>
        </w:rPr>
        <w:t>Authority; No Breach</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70" w:lineRule="auto"/>
        <w:tabs>
          <w:tab w:leader="none" w:pos="11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Buyer has all necessary corporate power and authority to execute and deliver this Agreement and to complete the transactions contemplated by this Agreement. Buyer has taken all action required by Law, its Governing Documents and otherwise to authorize Buyer’s execution, delivery and performance of this Agreement. Buyer has duly and validly executed and delivered this Agreement and, assuming the due authorization, execution and delivery of this Agreement by Seller and the Seller Shareholders, this Agreement constitutes the legal and valid binding obligation of Buyer enforceable in accordance with its terms, subject to applicable bankruptcy, insolvency, reorganization, moratorium or other similar Laws relating to creditors’ rights generally and to general principles of equity (regardless of whether such enforceability is considered in a proceeding in equity or at law). No vote of Buyer’s stockholders and no approval of Buyer’s board of directors is required by Law, Buyer’s Governing Documents or otherwise in connection with this Agreement or the transactions contemplated hereby, except as has been obtained and which has not been amended, modified or rescinded and remains in full force and effect.</w:t>
      </w:r>
    </w:p>
    <w:p>
      <w:pPr>
        <w:spacing w:after="0" w:line="73" w:lineRule="exact"/>
        <w:rPr>
          <w:rFonts w:ascii="Arial" w:cs="Arial" w:eastAsia="Arial" w:hAnsi="Arial"/>
          <w:sz w:val="17"/>
          <w:szCs w:val="17"/>
          <w:color w:val="auto"/>
        </w:rPr>
      </w:pPr>
    </w:p>
    <w:p>
      <w:pPr>
        <w:ind w:left="460" w:right="580" w:firstLine="443"/>
        <w:spacing w:after="0" w:line="27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completion or performance of the transactions contemplated hereby will, directly or indirectly:</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Breach any provision of Buyer’s Governing Documents or any resolution adopted by Buyer’s board of directors;</w:t>
      </w:r>
    </w:p>
    <w:p>
      <w:pPr>
        <w:spacing w:after="0" w:line="117" w:lineRule="exact"/>
        <w:rPr>
          <w:rFonts w:ascii="Arial" w:cs="Arial" w:eastAsia="Arial" w:hAnsi="Arial"/>
          <w:sz w:val="18"/>
          <w:szCs w:val="18"/>
          <w:color w:val="auto"/>
        </w:rPr>
      </w:pPr>
    </w:p>
    <w:p>
      <w:pPr>
        <w:ind w:left="920" w:right="420" w:firstLine="421"/>
        <w:spacing w:after="0" w:line="342" w:lineRule="auto"/>
        <w:tabs>
          <w:tab w:leader="none" w:pos="1605" w:val="left"/>
        </w:tabs>
        <w:numPr>
          <w:ilvl w:val="1"/>
          <w:numId w:val="62"/>
        </w:numPr>
        <w:rPr>
          <w:rFonts w:ascii="Arial" w:cs="Arial" w:eastAsia="Arial" w:hAnsi="Arial"/>
          <w:sz w:val="16"/>
          <w:szCs w:val="16"/>
          <w:color w:val="auto"/>
        </w:rPr>
      </w:pPr>
      <w:r>
        <w:rPr>
          <w:rFonts w:ascii="Arial" w:cs="Arial" w:eastAsia="Arial" w:hAnsi="Arial"/>
          <w:sz w:val="16"/>
          <w:szCs w:val="16"/>
          <w:color w:val="auto"/>
        </w:rPr>
        <w:t>Breach any provision of, or give any Person a right to declare a default or exercise any remedy under, or accelerate the maturity or performance of, or payment under, or to cancel, terminate or modify, any Contract to which Buyer is a party or by which it is bound;</w:t>
      </w:r>
    </w:p>
    <w:p>
      <w:pPr>
        <w:spacing w:after="0" w:line="15" w:lineRule="exact"/>
        <w:rPr>
          <w:rFonts w:ascii="Arial" w:cs="Arial" w:eastAsia="Arial" w:hAnsi="Arial"/>
          <w:sz w:val="16"/>
          <w:szCs w:val="16"/>
          <w:color w:val="auto"/>
        </w:rPr>
      </w:pPr>
    </w:p>
    <w:p>
      <w:pPr>
        <w:ind w:left="1660" w:hanging="319"/>
        <w:spacing w:after="0"/>
        <w:tabs>
          <w:tab w:leader="none" w:pos="1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result in the creation or imposition of an Encumbrance upon or in relation to any asset of Buyer; or</w:t>
      </w:r>
    </w:p>
    <w:p>
      <w:pPr>
        <w:spacing w:after="0" w:line="117" w:lineRule="exact"/>
        <w:rPr>
          <w:rFonts w:ascii="Arial" w:cs="Arial" w:eastAsia="Arial" w:hAnsi="Arial"/>
          <w:sz w:val="18"/>
          <w:szCs w:val="18"/>
          <w:color w:val="auto"/>
        </w:rPr>
      </w:pPr>
    </w:p>
    <w:p>
      <w:pPr>
        <w:ind w:left="920" w:right="320" w:firstLine="421"/>
        <w:spacing w:after="0" w:line="277" w:lineRule="auto"/>
        <w:tabs>
          <w:tab w:leader="none" w:pos="16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violate or otherwise Breach, or give any Authority the right to challenge any of the transactions contemplated by this Agreement or exercise any remedy or obtain any relief under, any Law or Order applicable to Buyer.</w:t>
      </w:r>
    </w:p>
    <w:p>
      <w:pPr>
        <w:spacing w:after="0" w:line="17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Consents and Filings</w:t>
      </w:r>
      <w:r>
        <w:rPr>
          <w:rFonts w:ascii="Arial" w:cs="Arial" w:eastAsia="Arial" w:hAnsi="Arial"/>
          <w:sz w:val="16"/>
          <w:szCs w:val="16"/>
          <w:color w:val="auto"/>
        </w:rPr>
        <w:t>. Other than the required filings and submissions made under the HSR Act or pursuant to the applicable rules and regulations of the SEC and the New York Stock Exchange, Buyer is not required by Law, Contract or otherwise to give any notice to, make any filing with, or obtain any Consent from any Authority or other Person in connection with Buyer’s execution, delivery or performance of this Agreement or the completion of the transactions contemplated hereby, except such other notices, filings and Consents that, if not obtained or made, would not, individually or in the aggregate, reasonably be expected to (a) be material to Buyer; (b) impair in any material respect Buyer’s ability to perform its obligations under this Agreement; or</w:t>
      </w:r>
    </w:p>
    <w:p>
      <w:pPr>
        <w:spacing w:after="0" w:line="2" w:lineRule="exact"/>
        <w:rPr>
          <w:sz w:val="20"/>
          <w:szCs w:val="20"/>
          <w:color w:val="auto"/>
        </w:rPr>
      </w:pPr>
    </w:p>
    <w:p>
      <w:pPr>
        <w:ind w:left="5620" w:right="4280" w:hanging="5612"/>
        <w:spacing w:after="0" w:line="433"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prevent or materially delay the completion of the transactions contemplated by this Agreement. 35</w:t>
      </w:r>
    </w:p>
    <w:p>
      <w:pPr>
        <w:sectPr>
          <w:pgSz w:w="11900" w:h="16838" w:orient="portrait"/>
          <w:cols w:equalWidth="0" w:num="1">
            <w:col w:w="11400"/>
          </w:cols>
          <w:pgMar w:left="240" w:top="274" w:right="259" w:bottom="1440" w:gutter="0" w:footer="0" w:header="0"/>
        </w:sectPr>
      </w:pPr>
    </w:p>
    <w:bookmarkStart w:id="48" w:name="page49"/>
    <w:bookmarkEnd w:id="48"/>
    <w:p>
      <w:pPr>
        <w:jc w:val="both"/>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6.4 </w:t>
      </w:r>
      <w:r>
        <w:rPr>
          <w:rFonts w:ascii="Arial" w:cs="Arial" w:eastAsia="Arial" w:hAnsi="Arial"/>
          <w:sz w:val="18"/>
          <w:szCs w:val="18"/>
          <w:u w:val="single" w:color="auto"/>
          <w:color w:val="auto"/>
        </w:rPr>
        <w:t>Brokers</w:t>
      </w:r>
      <w:r>
        <w:rPr>
          <w:rFonts w:ascii="Arial" w:cs="Arial" w:eastAsia="Arial" w:hAnsi="Arial"/>
          <w:sz w:val="18"/>
          <w:szCs w:val="18"/>
          <w:color w:val="auto"/>
        </w:rPr>
        <w:t>. None of Buyer, its Affiliates or any of their directors, officers, employees, consultants or other agents or representatives has employed any broker, finder or financial advisor, or incurred any Liability for any brokerage fee or commission, finder’s fee or financial advisory fee, in connection with the transactions contemplated hereby.</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Baker Tilly Virchow Krause, LLP</w:t>
      </w:r>
      <w:r>
        <w:rPr>
          <w:rFonts w:ascii="Arial" w:cs="Arial" w:eastAsia="Arial" w:hAnsi="Arial"/>
          <w:sz w:val="18"/>
          <w:szCs w:val="18"/>
          <w:color w:val="auto"/>
        </w:rPr>
        <w:t xml:space="preserve">. Neither Buyer nor any of its Affiliates has received products or services from Baker Tilly Virchow Krause, LLP (directly or indirectly) at any time during the five-year period prior to the date hereof and there is no pending or contemplated proposal or engagement with Baker Tilly Virchow Krause, LLP (other than its services as the Neutral Auditor under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Financing</w:t>
      </w:r>
      <w:r>
        <w:rPr>
          <w:rFonts w:ascii="Arial" w:cs="Arial" w:eastAsia="Arial" w:hAnsi="Arial"/>
          <w:sz w:val="18"/>
          <w:szCs w:val="18"/>
          <w:color w:val="auto"/>
        </w:rPr>
        <w:t>. Buyer has, or as of the Closing will have, sufficient cash on hand and/or other sources of immediately available funds to enable it to make payment of the Closing Cash Consideration.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 Misstatements</w:t>
      </w:r>
      <w:r>
        <w:rPr>
          <w:rFonts w:ascii="Arial" w:cs="Arial" w:eastAsia="Arial" w:hAnsi="Arial"/>
          <w:sz w:val="18"/>
          <w:szCs w:val="18"/>
          <w:color w:val="auto"/>
        </w:rPr>
        <w:t xml:space="preserve">. No representation or warranty made by Buyer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contains any untrue statement of material fact or omits to state any material fact necessary in order to make the statements herein or therein, in light of the circumstances under which they were made, not misleading as of the date of this Agreement.</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No Other Representations and Warranties</w:t>
      </w:r>
      <w:r>
        <w:rPr>
          <w:rFonts w:ascii="Arial" w:cs="Arial" w:eastAsia="Arial" w:hAnsi="Arial"/>
          <w:sz w:val="17"/>
          <w:szCs w:val="17"/>
          <w:color w:val="auto"/>
        </w:rPr>
        <w:t xml:space="preserve">. Except for the representations and warranties contained in this </w:t>
      </w:r>
      <w:r>
        <w:rPr>
          <w:rFonts w:ascii="Arial" w:cs="Arial" w:eastAsia="Arial" w:hAnsi="Arial"/>
          <w:sz w:val="17"/>
          <w:szCs w:val="17"/>
          <w:u w:val="single" w:color="auto"/>
          <w:color w:val="auto"/>
        </w:rPr>
        <w:t>ARTICLE 6</w:t>
      </w:r>
      <w:r>
        <w:rPr>
          <w:rFonts w:ascii="Arial" w:cs="Arial" w:eastAsia="Arial" w:hAnsi="Arial"/>
          <w:sz w:val="17"/>
          <w:szCs w:val="17"/>
          <w:color w:val="auto"/>
        </w:rPr>
        <w:t>, neither Buyer nor any of its employees, agents, representatives or advisors has made or makes any other express or implied representation or warranty, either written or oral, on behalf of Buyer, including any representation or warranty as to the accuracy or completeness of any information regarding Buyer or its post-Closing plans for the Business and the Purchased Assets furnished or made available to Seller, Seller Shareholders and their respective employees, agents, representatives, or any representation or warranty arising from statute or otherwise in law.</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PRE-CLOSING COVENANTS AND AGREEMENTS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xml:space="preserve">. The obligations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only apply during the Pre-Closing Period.</w:t>
      </w:r>
    </w:p>
    <w:p>
      <w:pPr>
        <w:spacing w:after="0" w:line="117" w:lineRule="exact"/>
        <w:rPr>
          <w:sz w:val="20"/>
          <w:szCs w:val="20"/>
          <w:color w:val="auto"/>
        </w:rPr>
      </w:pPr>
    </w:p>
    <w:p>
      <w:pPr>
        <w:ind w:left="460" w:right="20" w:firstLine="443"/>
        <w:spacing w:after="0" w:line="255" w:lineRule="auto"/>
        <w:tabs>
          <w:tab w:leader="none" w:pos="11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Except as expressly provided in this Agreement or in </w:t>
      </w:r>
      <w:r>
        <w:rPr>
          <w:rFonts w:ascii="Arial" w:cs="Arial" w:eastAsia="Arial" w:hAnsi="Arial"/>
          <w:sz w:val="18"/>
          <w:szCs w:val="18"/>
          <w:u w:val="single" w:color="auto"/>
          <w:color w:val="auto"/>
        </w:rPr>
        <w:t>Schedule 7.1</w:t>
      </w:r>
      <w:r>
        <w:rPr>
          <w:rFonts w:ascii="Arial" w:cs="Arial" w:eastAsia="Arial" w:hAnsi="Arial"/>
          <w:sz w:val="18"/>
          <w:szCs w:val="18"/>
          <w:color w:val="auto"/>
        </w:rPr>
        <w:t>, or to the extent that Buyer otherwise consents in writing (which consent will not be unreasonably withheld, conditioned or delayed), Seller will, and the Seller Shareholders will cause Seller to, operate the Business in the Ordinary Course of Business and in material compliance with all applicable Laws and use all commercially reasonable efforts to (w) maintain good relationships with the IBEW Union, (x) preserve intact its business organization, (y) keep available the services of its officers, employees and consultants, and (z) preserve its relationships with customers, suppliers, licensors, licensees, distributors, Authorities, creditors and others with whom it has business dealings.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49" w:name="page50"/>
    <w:bookmarkEnd w:id="49"/>
    <w:p>
      <w:pPr>
        <w:ind w:right="40" w:firstLine="443"/>
        <w:spacing w:after="0" w:line="264" w:lineRule="auto"/>
        <w:tabs>
          <w:tab w:leader="none" w:pos="693"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and without limiting the generality of the foregoing, except as expressly provided in this Agreement or in </w:t>
      </w:r>
      <w:r>
        <w:rPr>
          <w:rFonts w:ascii="Arial" w:cs="Arial" w:eastAsia="Arial" w:hAnsi="Arial"/>
          <w:sz w:val="18"/>
          <w:szCs w:val="18"/>
          <w:u w:val="single" w:color="auto"/>
          <w:color w:val="auto"/>
        </w:rPr>
        <w:t>Schedule 7.1</w:t>
      </w:r>
      <w:r>
        <w:rPr>
          <w:rFonts w:ascii="Arial" w:cs="Arial" w:eastAsia="Arial" w:hAnsi="Arial"/>
          <w:sz w:val="18"/>
          <w:szCs w:val="18"/>
          <w:color w:val="auto"/>
        </w:rPr>
        <w:t>, or to the extent that Buyer otherwise consents in writing (which consent will not be unreasonably withheld, conditioned or delayed), Seller will not, and the Seller Shareholders will cause Seller to not, in each case to the extent related to the Business:</w:t>
      </w:r>
    </w:p>
    <w:p>
      <w:pPr>
        <w:spacing w:after="0" w:line="73" w:lineRule="exact"/>
        <w:rPr>
          <w:rFonts w:ascii="Arial" w:cs="Arial" w:eastAsia="Arial" w:hAnsi="Arial"/>
          <w:sz w:val="18"/>
          <w:szCs w:val="18"/>
          <w:color w:val="auto"/>
        </w:rPr>
      </w:pPr>
    </w:p>
    <w:p>
      <w:pPr>
        <w:ind w:left="460" w:right="160" w:firstLine="421"/>
        <w:spacing w:after="0" w:line="279" w:lineRule="auto"/>
        <w:tabs>
          <w:tab w:leader="none" w:pos="1095" w:val="left"/>
        </w:tabs>
        <w:numPr>
          <w:ilvl w:val="1"/>
          <w:numId w:val="65"/>
        </w:numPr>
        <w:rPr>
          <w:rFonts w:ascii="Arial" w:cs="Arial" w:eastAsia="Arial" w:hAnsi="Arial"/>
          <w:sz w:val="17"/>
          <w:szCs w:val="17"/>
          <w:color w:val="auto"/>
        </w:rPr>
      </w:pPr>
      <w:r>
        <w:rPr>
          <w:rFonts w:ascii="Arial" w:cs="Arial" w:eastAsia="Arial" w:hAnsi="Arial"/>
          <w:sz w:val="17"/>
          <w:szCs w:val="17"/>
          <w:color w:val="auto"/>
        </w:rPr>
        <w:t>sell, lease, sublease, license, transfer, mortgage, pledge or otherwise dispose of, or create any Encumbrance (other than any Permitted Encumbrance) upon, any of its properties or assets, other than (1) sales, leases, subleases, licenses, transfers, mortgages, pledges or other dispositions or Encumbrances of properties or assets under and in accordance with the terms of existing Contracts; and (2) dispositions of inventory and dispositions of surplus or obsolete properties or assets in the Ordinary Course of Business;</w:t>
      </w:r>
    </w:p>
    <w:p>
      <w:pPr>
        <w:spacing w:after="0" w:line="63" w:lineRule="exact"/>
        <w:rPr>
          <w:rFonts w:ascii="Arial" w:cs="Arial" w:eastAsia="Arial" w:hAnsi="Arial"/>
          <w:sz w:val="17"/>
          <w:szCs w:val="17"/>
          <w:color w:val="auto"/>
        </w:rPr>
      </w:pPr>
    </w:p>
    <w:p>
      <w:pPr>
        <w:ind w:left="460" w:right="120" w:firstLine="421"/>
        <w:spacing w:after="0" w:line="264" w:lineRule="auto"/>
        <w:tabs>
          <w:tab w:leader="none" w:pos="1145"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enter into, terminate, cancel, materially amend, materially extend or waive, release or assign any material right or claim under any Lease or Assigned Contract or any Lease or Contract that, if entered into prior to the date hereof, would have to be listed on </w:t>
      </w:r>
      <w:r>
        <w:rPr>
          <w:rFonts w:ascii="Arial" w:cs="Arial" w:eastAsia="Arial" w:hAnsi="Arial"/>
          <w:sz w:val="18"/>
          <w:szCs w:val="18"/>
          <w:u w:val="single" w:color="auto"/>
          <w:color w:val="auto"/>
        </w:rPr>
        <w:t>Schedule 4.8(a)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4.19(a)</w:t>
      </w:r>
      <w:r>
        <w:rPr>
          <w:rFonts w:ascii="Arial" w:cs="Arial" w:eastAsia="Arial" w:hAnsi="Arial"/>
          <w:sz w:val="18"/>
          <w:szCs w:val="18"/>
          <w:color w:val="auto"/>
        </w:rPr>
        <w:t>, as the case may be, other than in the Ordinary Course of Business;</w:t>
      </w:r>
    </w:p>
    <w:p>
      <w:pPr>
        <w:spacing w:after="0" w:line="73" w:lineRule="exact"/>
        <w:rPr>
          <w:rFonts w:ascii="Arial" w:cs="Arial" w:eastAsia="Arial" w:hAnsi="Arial"/>
          <w:sz w:val="18"/>
          <w:szCs w:val="18"/>
          <w:color w:val="auto"/>
        </w:rPr>
      </w:pPr>
    </w:p>
    <w:p>
      <w:pPr>
        <w:ind w:left="460" w:right="420" w:firstLine="421"/>
        <w:spacing w:after="0" w:line="308" w:lineRule="auto"/>
        <w:tabs>
          <w:tab w:leader="none" w:pos="1195" w:val="left"/>
        </w:tabs>
        <w:numPr>
          <w:ilvl w:val="1"/>
          <w:numId w:val="65"/>
        </w:numPr>
        <w:rPr>
          <w:rFonts w:ascii="Arial" w:cs="Arial" w:eastAsia="Arial" w:hAnsi="Arial"/>
          <w:sz w:val="17"/>
          <w:szCs w:val="17"/>
          <w:color w:val="auto"/>
        </w:rPr>
      </w:pPr>
      <w:r>
        <w:rPr>
          <w:rFonts w:ascii="Arial" w:cs="Arial" w:eastAsia="Arial" w:hAnsi="Arial"/>
          <w:sz w:val="17"/>
          <w:szCs w:val="17"/>
          <w:color w:val="auto"/>
        </w:rPr>
        <w:t>transfer, assign, terminate, cancel, abandon or modify any Permits or fail to use commercially reasonable efforts to maintain any Permits as currently in effect, except for Permits that are immaterial to the Business or as required by applicable Law;</w:t>
      </w:r>
    </w:p>
    <w:p>
      <w:pPr>
        <w:spacing w:after="0" w:line="38" w:lineRule="exact"/>
        <w:rPr>
          <w:rFonts w:ascii="Arial" w:cs="Arial" w:eastAsia="Arial" w:hAnsi="Arial"/>
          <w:sz w:val="17"/>
          <w:szCs w:val="17"/>
          <w:color w:val="auto"/>
        </w:rPr>
      </w:pPr>
    </w:p>
    <w:p>
      <w:pPr>
        <w:ind w:left="460" w:right="520" w:firstLine="421"/>
        <w:spacing w:after="0" w:line="277" w:lineRule="auto"/>
        <w:tabs>
          <w:tab w:leader="none" w:pos="11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decline or fail to use all commercially reasonable efforts to maintain all insurance policies as currently in effect (or comparable replacement policies to the extent available for a similar cost) or to prevent the lapse of any such policies;</w:t>
      </w:r>
    </w:p>
    <w:p>
      <w:pPr>
        <w:spacing w:after="0" w:line="62" w:lineRule="exact"/>
        <w:rPr>
          <w:rFonts w:ascii="Arial" w:cs="Arial" w:eastAsia="Arial" w:hAnsi="Arial"/>
          <w:sz w:val="18"/>
          <w:szCs w:val="18"/>
          <w:color w:val="auto"/>
        </w:rPr>
      </w:pPr>
    </w:p>
    <w:p>
      <w:pPr>
        <w:ind w:left="460" w:right="100" w:firstLine="421"/>
        <w:spacing w:after="0" w:line="264" w:lineRule="auto"/>
        <w:tabs>
          <w:tab w:leader="none" w:pos="11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make any representation or commitment to, or enter into any formal or informal understanding with, any employees or independent contractors of Seller with respect to compensation, benefits, or terms of employment or engagement to be provided by Buyer or any of Buyer’s Affiliates;</w:t>
      </w:r>
    </w:p>
    <w:p>
      <w:pPr>
        <w:spacing w:after="0" w:line="73" w:lineRule="exact"/>
        <w:rPr>
          <w:rFonts w:ascii="Arial" w:cs="Arial" w:eastAsia="Arial" w:hAnsi="Arial"/>
          <w:sz w:val="18"/>
          <w:szCs w:val="18"/>
          <w:color w:val="auto"/>
        </w:rPr>
      </w:pPr>
    </w:p>
    <w:p>
      <w:pPr>
        <w:ind w:left="460" w:right="20" w:firstLine="421"/>
        <w:spacing w:after="0" w:line="259" w:lineRule="auto"/>
        <w:tabs>
          <w:tab w:leader="none" w:pos="11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other than regularly scheduled increases and regularly scheduled bonuses or as otherwise required under Seller’s collective bargaining agreement, modify in any material respect the compensation levels, remuneration or the method of determining the compensation or remuneration of employees, consultants or independent contractors or any bonus payment or similar arrangement with or for the benefit of any such employee, consultant or independent contractor;</w:t>
      </w:r>
    </w:p>
    <w:p>
      <w:pPr>
        <w:spacing w:after="0" w:line="78" w:lineRule="exact"/>
        <w:rPr>
          <w:rFonts w:ascii="Arial" w:cs="Arial" w:eastAsia="Arial" w:hAnsi="Arial"/>
          <w:sz w:val="18"/>
          <w:szCs w:val="18"/>
          <w:color w:val="auto"/>
        </w:rPr>
      </w:pPr>
    </w:p>
    <w:p>
      <w:pPr>
        <w:ind w:left="460" w:firstLine="421"/>
        <w:spacing w:after="0" w:line="277" w:lineRule="auto"/>
        <w:tabs>
          <w:tab w:leader="none" w:pos="1235"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 enter into, adopt, modify or terminate any collective bargaining or other agreement with a Union, in each case whether written or oral;</w:t>
      </w:r>
    </w:p>
    <w:p>
      <w:pPr>
        <w:spacing w:after="0" w:line="62" w:lineRule="exact"/>
        <w:rPr>
          <w:rFonts w:ascii="Arial" w:cs="Arial" w:eastAsia="Arial" w:hAnsi="Arial"/>
          <w:sz w:val="18"/>
          <w:szCs w:val="18"/>
          <w:color w:val="auto"/>
        </w:rPr>
      </w:pPr>
    </w:p>
    <w:p>
      <w:pPr>
        <w:ind w:left="460" w:firstLine="421"/>
        <w:spacing w:after="0" w:line="277" w:lineRule="auto"/>
        <w:tabs>
          <w:tab w:leader="none" w:pos="12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transfer or license to any Person or allow to lapse or go abandoned any Material IP, enter into any license agreement with any Person to obtain any Material IP or commence, discharge or settle any Proceeding relating to any Material IP;</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60"/>
          </w:cols>
          <w:pgMar w:left="700" w:top="274" w:right="339" w:bottom="1440" w:gutter="0" w:footer="0" w:header="0"/>
        </w:sectPr>
      </w:pPr>
    </w:p>
    <w:bookmarkStart w:id="50" w:name="page51"/>
    <w:bookmarkEnd w:id="50"/>
    <w:p>
      <w:pPr>
        <w:ind w:left="460" w:right="760" w:firstLine="421"/>
        <w:spacing w:after="0" w:line="277" w:lineRule="auto"/>
        <w:tabs>
          <w:tab w:leader="none" w:pos="1185" w:val="left"/>
        </w:tabs>
        <w:numPr>
          <w:ilvl w:val="1"/>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 any actions or fail to take any actions that would knowingly cause or result in any Breach of Seller’s representations and warranties set forth in this Agreement at any time on or prior to the Closing Date; or</w:t>
      </w:r>
    </w:p>
    <w:p>
      <w:pPr>
        <w:spacing w:after="0" w:line="62" w:lineRule="exact"/>
        <w:rPr>
          <w:rFonts w:ascii="Arial" w:cs="Arial" w:eastAsia="Arial" w:hAnsi="Arial"/>
          <w:sz w:val="18"/>
          <w:szCs w:val="18"/>
          <w:color w:val="auto"/>
        </w:rPr>
      </w:pPr>
    </w:p>
    <w:p>
      <w:pPr>
        <w:ind w:left="1140" w:hanging="259"/>
        <w:spacing w:after="0"/>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commit or agree to take, or authorize the taking, of any of the foregoing actions.</w:t>
      </w:r>
    </w:p>
    <w:p>
      <w:pPr>
        <w:spacing w:after="0" w:line="117" w:lineRule="exact"/>
        <w:rPr>
          <w:rFonts w:ascii="Arial" w:cs="Arial" w:eastAsia="Arial" w:hAnsi="Arial"/>
          <w:sz w:val="18"/>
          <w:szCs w:val="18"/>
          <w:color w:val="auto"/>
        </w:rPr>
      </w:pPr>
    </w:p>
    <w:p>
      <w:pPr>
        <w:ind w:left="680" w:hanging="237"/>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expressly provided in this Agreement or to the extent that Buyer otherwise consents in writing, no Seller Shareholder will</w:t>
      </w:r>
    </w:p>
    <w:p>
      <w:pPr>
        <w:spacing w:after="0" w:line="34" w:lineRule="exact"/>
        <w:rPr>
          <w:rFonts w:ascii="Arial" w:cs="Arial" w:eastAsia="Arial" w:hAnsi="Arial"/>
          <w:sz w:val="17"/>
          <w:szCs w:val="17"/>
          <w:color w:val="auto"/>
        </w:rPr>
      </w:pPr>
    </w:p>
    <w:p>
      <w:pPr>
        <w:ind w:right="100"/>
        <w:spacing w:after="0" w:line="261" w:lineRule="auto"/>
        <w:rPr>
          <w:rFonts w:ascii="Arial" w:cs="Arial" w:eastAsia="Arial" w:hAnsi="Arial"/>
          <w:sz w:val="17"/>
          <w:szCs w:val="17"/>
          <w:color w:val="auto"/>
        </w:rPr>
      </w:pPr>
      <w:r>
        <w:rPr>
          <w:rFonts w:ascii="Arial" w:cs="Arial" w:eastAsia="Arial" w:hAnsi="Arial"/>
          <w:sz w:val="18"/>
          <w:szCs w:val="18"/>
          <w:color w:val="auto"/>
        </w:rPr>
        <w:t>knowingly take any actions or fail to take any actions that would cause any Breach of that Seller Shareholder’s representations and warranties set forth in this Agreement at any time on or prior to the Closing Date.</w:t>
      </w:r>
    </w:p>
    <w:p>
      <w:pPr>
        <w:spacing w:after="0" w:line="75" w:lineRule="exact"/>
        <w:rPr>
          <w:rFonts w:ascii="Arial" w:cs="Arial" w:eastAsia="Arial" w:hAnsi="Arial"/>
          <w:sz w:val="17"/>
          <w:szCs w:val="17"/>
          <w:color w:val="auto"/>
        </w:rPr>
      </w:pPr>
    </w:p>
    <w:p>
      <w:pPr>
        <w:jc w:val="both"/>
        <w:ind w:right="160" w:firstLine="443"/>
        <w:spacing w:after="0" w:line="264" w:lineRule="auto"/>
        <w:tabs>
          <w:tab w:leader="none" w:pos="6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expressly provided in this Agreement or to the extent that Seller otherwise consents in writing, Buyer will not knowingly take any actions or fail to take any actions that would cause any Breach of Buyer’s representations and warranties set forth in this Agreement at any time on or prior to the Closing Date.</w:t>
      </w:r>
    </w:p>
    <w:p>
      <w:pPr>
        <w:spacing w:after="0" w:line="73" w:lineRule="exact"/>
        <w:rPr>
          <w:rFonts w:ascii="Arial" w:cs="Arial" w:eastAsia="Arial" w:hAnsi="Arial"/>
          <w:sz w:val="18"/>
          <w:szCs w:val="18"/>
          <w:color w:val="auto"/>
        </w:rPr>
      </w:pPr>
    </w:p>
    <w:p>
      <w:pPr>
        <w:ind w:right="440" w:firstLine="443"/>
        <w:spacing w:after="0" w:line="277" w:lineRule="auto"/>
        <w:tabs>
          <w:tab w:leader="none" w:pos="68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Nothing in this Agreement is intended to give Buyer, directly or indirectly, any right to control or direct the business or operations of the Business prior to Closing.</w:t>
      </w:r>
    </w:p>
    <w:p>
      <w:pPr>
        <w:spacing w:after="0" w:line="62" w:lineRule="exact"/>
        <w:rPr>
          <w:rFonts w:ascii="Arial" w:cs="Arial" w:eastAsia="Arial" w:hAnsi="Arial"/>
          <w:sz w:val="18"/>
          <w:szCs w:val="18"/>
          <w:color w:val="auto"/>
        </w:rPr>
      </w:pPr>
    </w:p>
    <w:p>
      <w:pPr>
        <w:ind w:firstLine="443"/>
        <w:spacing w:after="0" w:line="270" w:lineRule="auto"/>
        <w:tabs>
          <w:tab w:leader="none" w:pos="66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of Seller and the Seller Shareholders, on the one part, and Buyer, on the other part, will promptly advise the other in writing if such party obtains or receives actual knowledge that (i) an event has occurred or failed to occur which, individually or in the aggregate with other events, would reasonably be expected to result in the failure to satisfy a condition to the Closing or otherwise materially delay the Closing; (ii) (1) any of such party’s representations or warranties set forth in this Agreement that are qualified as to materiality or Material Adverse Effect have become untrue or inaccurate in any respect or (2) any of the representations and warranties set forth in this Agreement that are not qualified as to materiality or Material Adverse Effect have become untrue or inaccurate in any material respect; or (iii) such party has Breached any of its (or his or her) obligations under this Agreement. Notwithstanding the foregoing, no such notification under this sentence or the preceding sentence will affect the representations, warranties, covenants or agreements of the parties (or remedies with respect thereto) or the conditions to the obligations of the parties under this Agreement, unless expressly waived in writing at or prior to Closing.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 Solicitation</w:t>
      </w:r>
      <w:r>
        <w:rPr>
          <w:rFonts w:ascii="Arial" w:cs="Arial" w:eastAsia="Arial" w:hAnsi="Arial"/>
          <w:sz w:val="18"/>
          <w:szCs w:val="18"/>
          <w:color w:val="auto"/>
        </w:rPr>
        <w:t xml:space="preserve">. The obligations of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shall only apply during the Pre-Closing Period.</w:t>
      </w:r>
    </w:p>
    <w:p>
      <w:pPr>
        <w:spacing w:after="0" w:line="117" w:lineRule="exact"/>
        <w:rPr>
          <w:sz w:val="20"/>
          <w:szCs w:val="20"/>
          <w:color w:val="auto"/>
        </w:rPr>
      </w:pPr>
    </w:p>
    <w:p>
      <w:pPr>
        <w:ind w:right="260" w:firstLine="443"/>
        <w:spacing w:after="0" w:line="302" w:lineRule="auto"/>
        <w:tabs>
          <w:tab w:leader="none" w:pos="683"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Seller and the Seller Shareholders will not, and will cause their directors, officers, employees, agents, representatives and Affiliates not to, directly or indirectly, take any of the following actions with any Person other than Buyer: (i) solicit, initiate, entertain, or knowingly encourage or facilitate, any proposals or offers from, or conduct discussions or engage in negotiations with any Person relating to any actual or prospective sale or other transfer (including by merger, reorganization or similar transaction) of any asset used in the conduct of the Business (except for sales of whole</w:t>
      </w:r>
    </w:p>
    <w:p>
      <w:pPr>
        <w:spacing w:after="0" w:line="8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74" w:right="239" w:bottom="1440" w:gutter="0" w:footer="0" w:header="0"/>
        </w:sectPr>
      </w:pPr>
    </w:p>
    <w:bookmarkStart w:id="51" w:name="page52"/>
    <w:bookmarkEnd w:id="51"/>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goods and parts to dealers in the Ordinary Course of Business and routine disposition of non-material assets consistent with past practices), a sale or transfer of any equity interest in Seller, or any other transaction that, if completed, could reasonably be expected to prevent, impede, delay or frustrate, in whole or in part, the transactions contemplated by this Agreement (each, an “</w:t>
      </w:r>
      <w:r>
        <w:rPr>
          <w:rFonts w:ascii="Arial" w:cs="Arial" w:eastAsia="Arial" w:hAnsi="Arial"/>
          <w:sz w:val="17"/>
          <w:szCs w:val="17"/>
          <w:u w:val="single" w:color="auto"/>
          <w:color w:val="auto"/>
        </w:rPr>
        <w:t>Alternative Transaction</w:t>
      </w:r>
      <w:r>
        <w:rPr>
          <w:rFonts w:ascii="Arial" w:cs="Arial" w:eastAsia="Arial" w:hAnsi="Arial"/>
          <w:sz w:val="17"/>
          <w:szCs w:val="17"/>
          <w:color w:val="auto"/>
        </w:rPr>
        <w:t>”); (ii) provide written, oral, audio, video or other form of information with respect to Seller or the Business or any of the Purchased Assets to any Person, other than Buyer (and its directors, officers, employees, agents, representatives and Affiliates), relating to, or otherwise cooperate with, facilitate or encourage any effort with regard to, or attempt by any such Person to pursue, an Alternative Transaction; or (iii) enter into any direct or indirect, written or oral agreement, or complete any transaction, with any Person providing for, relating to or constituting an Alternative Transaction. Seller and the Seller Shareholders will notify Buyer promptly if any proposals or other communications regarding an Alternative Transaction are received by, or any such information is requested from Seller, any Seller Shareholder or any of their respective directors, officers, employees, agents, representatives and Affiliates, or any such negotiations are sought to be initiated or continued, regarding any Alternative Transaction, and the substantive terms and conditions of any such proposal or other communications.</w:t>
      </w:r>
    </w:p>
    <w:p>
      <w:pPr>
        <w:spacing w:after="0" w:line="75" w:lineRule="exact"/>
        <w:rPr>
          <w:sz w:val="20"/>
          <w:szCs w:val="20"/>
          <w:color w:val="auto"/>
        </w:rPr>
      </w:pPr>
    </w:p>
    <w:p>
      <w:pPr>
        <w:ind w:firstLine="443"/>
        <w:spacing w:after="0" w:line="276" w:lineRule="auto"/>
        <w:tabs>
          <w:tab w:leader="none" w:pos="693"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Seller and the Seller Shareholders will ensure that their directors, officers, employees, consultants, lenders, advisors, agents, representatives and Affiliates are aware of the restrictions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as reasonably necessary to avoid violations hereof. Any violation of the restrictions set forth in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by any such Persons (including any investment banker, financial advisor, attorney, accountant, or other retained advisor, agent or representative) of Seller or any Seller Shareholder, or otherwise at the direction or with the consent or knowledge of Seller or any Seller Shareholder, will be deemed to be a breach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by Seller (and any such Seller Shareholder, if applicable).</w:t>
      </w:r>
    </w:p>
    <w:p>
      <w:pPr>
        <w:spacing w:after="0" w:line="64" w:lineRule="exact"/>
        <w:rPr>
          <w:rFonts w:ascii="Arial" w:cs="Arial" w:eastAsia="Arial" w:hAnsi="Arial"/>
          <w:sz w:val="17"/>
          <w:szCs w:val="17"/>
          <w:color w:val="auto"/>
        </w:rPr>
      </w:pPr>
    </w:p>
    <w:p>
      <w:pPr>
        <w:ind w:right="100" w:firstLine="443"/>
        <w:spacing w:after="0" w:line="276" w:lineRule="auto"/>
        <w:tabs>
          <w:tab w:leader="none" w:pos="683"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Seller and each Seller Shareholder acknowledges and agrees that Buyer and its Affiliates would be damaged irreparably in the event any of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are not performed in accordance with their specific terms or otherwise are Breached. Accordingly, Seller and each Seller Shareholder agrees that Buyer and its Affiliates will be entitled to an injunction or injunctions to prevent Breaches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and to enforce specifically the terms and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in any action instituted in any court having jurisdiction over the parties and the matter, in addition to any other remedy to which they may be entitled, at law or in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 xml:space="preserve">. The obligations of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shall only apply during the Pre-Closing Period.</w:t>
      </w:r>
    </w:p>
    <w:p>
      <w:pPr>
        <w:spacing w:after="0" w:line="117" w:lineRule="exact"/>
        <w:rPr>
          <w:sz w:val="20"/>
          <w:szCs w:val="20"/>
          <w:color w:val="auto"/>
        </w:rPr>
      </w:pPr>
    </w:p>
    <w:p>
      <w:pPr>
        <w:ind w:left="680" w:hanging="237"/>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Subject to applicable Law, Seller will:</w:t>
      </w:r>
    </w:p>
    <w:p>
      <w:pPr>
        <w:spacing w:after="0" w:line="117" w:lineRule="exact"/>
        <w:rPr>
          <w:rFonts w:ascii="Arial" w:cs="Arial" w:eastAsia="Arial" w:hAnsi="Arial"/>
          <w:sz w:val="18"/>
          <w:szCs w:val="18"/>
          <w:color w:val="auto"/>
        </w:rPr>
      </w:pPr>
    </w:p>
    <w:p>
      <w:pPr>
        <w:ind w:left="460" w:right="80" w:firstLine="421"/>
        <w:spacing w:after="0" w:line="264" w:lineRule="auto"/>
        <w:tabs>
          <w:tab w:leader="none" w:pos="10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afford to Buyer and its representatives reasonable physical and electronic access (including for the purpose of coordinating integration activities and transition planning), during regular business hours upon reasonable notice, to the employees, plants, offices, warehouses and other facilities of the Business and</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74" w:right="259" w:bottom="1440" w:gutter="0" w:footer="0" w:header="0"/>
        </w:sectPr>
      </w:pPr>
    </w:p>
    <w:bookmarkStart w:id="52" w:name="page53"/>
    <w:bookmarkEnd w:id="52"/>
    <w:p>
      <w:pPr>
        <w:jc w:val="both"/>
        <w:ind w:left="460"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all books, Contracts (subject to applicable confidentiality restrictions), commitments and records of the Business (including Tax Returns and work papers relating thereto), provide copies thereof as requested, and request Seller’s independent public accountants to provide access to and copies of their work papers and such other information as Buyer may reasonably request;</w:t>
      </w:r>
    </w:p>
    <w:p>
      <w:pPr>
        <w:spacing w:after="0" w:line="73" w:lineRule="exact"/>
        <w:rPr>
          <w:sz w:val="20"/>
          <w:szCs w:val="20"/>
          <w:color w:val="auto"/>
        </w:rPr>
      </w:pPr>
    </w:p>
    <w:p>
      <w:pPr>
        <w:ind w:left="1140" w:hanging="259"/>
        <w:spacing w:after="0"/>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upon reasonable notice, permit Buyer and its representatives to make such inspections as it may reasonably require; and</w:t>
      </w:r>
    </w:p>
    <w:p>
      <w:pPr>
        <w:spacing w:after="0" w:line="117" w:lineRule="exact"/>
        <w:rPr>
          <w:rFonts w:ascii="Arial" w:cs="Arial" w:eastAsia="Arial" w:hAnsi="Arial"/>
          <w:sz w:val="18"/>
          <w:szCs w:val="18"/>
          <w:color w:val="auto"/>
        </w:rPr>
      </w:pPr>
    </w:p>
    <w:p>
      <w:pPr>
        <w:ind w:left="460" w:right="260" w:firstLine="421"/>
        <w:spacing w:after="0" w:line="342" w:lineRule="auto"/>
        <w:tabs>
          <w:tab w:leader="none" w:pos="1195" w:val="left"/>
        </w:tabs>
        <w:numPr>
          <w:ilvl w:val="1"/>
          <w:numId w:val="71"/>
        </w:numPr>
        <w:rPr>
          <w:rFonts w:ascii="Arial" w:cs="Arial" w:eastAsia="Arial" w:hAnsi="Arial"/>
          <w:sz w:val="16"/>
          <w:szCs w:val="16"/>
          <w:color w:val="auto"/>
        </w:rPr>
      </w:pPr>
      <w:r>
        <w:rPr>
          <w:rFonts w:ascii="Arial" w:cs="Arial" w:eastAsia="Arial" w:hAnsi="Arial"/>
          <w:sz w:val="16"/>
          <w:szCs w:val="16"/>
          <w:color w:val="auto"/>
        </w:rPr>
        <w:t>cause Seller’s officers to furnish Buyer and its representatives with such financial and operating data and other information with respect to the business, properties and personnel of the Business in such format and detail as Buyer may from time to time reasonably request.</w:t>
      </w:r>
    </w:p>
    <w:p>
      <w:pPr>
        <w:spacing w:after="0" w:line="15" w:lineRule="exact"/>
        <w:rPr>
          <w:rFonts w:ascii="Arial" w:cs="Arial" w:eastAsia="Arial" w:hAnsi="Arial"/>
          <w:sz w:val="16"/>
          <w:szCs w:val="16"/>
          <w:color w:val="auto"/>
        </w:rPr>
      </w:pPr>
    </w:p>
    <w:p>
      <w:pPr>
        <w:ind w:firstLine="443"/>
        <w:spacing w:after="0" w:line="279" w:lineRule="auto"/>
        <w:tabs>
          <w:tab w:leader="none" w:pos="693"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All requests by Buyer and its representatives for information and access hereunder will be coordinated through either of the Seller Shareholders or a designee of such person. All information acquired by Buyer or any of its representatives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will be subject to the terms and conditions of the Confidentiality Agreement. No investigation or information provided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will affect any representation or warranty in this Agreement of any party hereto or any condition to the obligations of the parties hereto.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Reasonable Efforts; Notification</w:t>
      </w:r>
      <w:r>
        <w:rPr>
          <w:rFonts w:ascii="Arial" w:cs="Arial" w:eastAsia="Arial" w:hAnsi="Arial"/>
          <w:sz w:val="18"/>
          <w:szCs w:val="18"/>
          <w:color w:val="auto"/>
        </w:rPr>
        <w:t xml:space="preserve">. The obligations of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shall only apply during the Pre-Closing Period.</w:t>
      </w:r>
    </w:p>
    <w:p>
      <w:pPr>
        <w:spacing w:after="0" w:line="117" w:lineRule="exact"/>
        <w:rPr>
          <w:sz w:val="20"/>
          <w:szCs w:val="20"/>
          <w:color w:val="auto"/>
        </w:rPr>
      </w:pPr>
    </w:p>
    <w:p>
      <w:pPr>
        <w:jc w:val="both"/>
        <w:ind w:right="300" w:firstLine="443"/>
        <w:spacing w:after="0" w:line="259" w:lineRule="auto"/>
        <w:tabs>
          <w:tab w:leader="none" w:pos="6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each of the parties will use all commercially reasonable efforts to take, or cause to be taken, all actions, and to do, or cause to be done, and to assist and cooperate with the other parties in doing, all things necessary, proper or advisable to complete and make effective, in the most expeditious manner practicable, the transactions contemplated by this Agreement, including the use of all commercially reasonable efforts to:</w:t>
      </w:r>
    </w:p>
    <w:p>
      <w:pPr>
        <w:spacing w:after="0" w:line="78" w:lineRule="exact"/>
        <w:rPr>
          <w:rFonts w:ascii="Arial" w:cs="Arial" w:eastAsia="Arial" w:hAnsi="Arial"/>
          <w:sz w:val="18"/>
          <w:szCs w:val="18"/>
          <w:color w:val="auto"/>
        </w:rPr>
      </w:pPr>
    </w:p>
    <w:p>
      <w:pPr>
        <w:ind w:left="1100" w:hanging="219"/>
        <w:spacing w:after="0"/>
        <w:tabs>
          <w:tab w:leader="none" w:pos="11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cause the conditions to Closing to be satisfied as promptly as practicable;</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obtain all necessary Consents from, and submit all necessary notices, registrations and filings with, Authorities and other Third Parties;</w:t>
      </w:r>
    </w:p>
    <w:p>
      <w:pPr>
        <w:spacing w:after="0" w:line="140" w:lineRule="exact"/>
        <w:rPr>
          <w:rFonts w:ascii="Arial" w:cs="Arial" w:eastAsia="Arial" w:hAnsi="Arial"/>
          <w:sz w:val="16"/>
          <w:szCs w:val="16"/>
          <w:color w:val="auto"/>
        </w:rPr>
      </w:pPr>
    </w:p>
    <w:p>
      <w:pPr>
        <w:ind w:left="460" w:right="120" w:firstLine="421"/>
        <w:spacing w:after="0" w:line="342" w:lineRule="auto"/>
        <w:tabs>
          <w:tab w:leader="none" w:pos="1195"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defend against any Proceedings or other actions by Authorities or other Third Parties challenging this Agreement or the completion of the transactions contemplated hereby (including seeking to have vacated or reversed any Order issued by an Authority); and</w:t>
      </w:r>
    </w:p>
    <w:p>
      <w:pPr>
        <w:spacing w:after="0" w:line="15" w:lineRule="exact"/>
        <w:rPr>
          <w:rFonts w:ascii="Arial" w:cs="Arial" w:eastAsia="Arial" w:hAnsi="Arial"/>
          <w:sz w:val="16"/>
          <w:szCs w:val="16"/>
          <w:color w:val="auto"/>
        </w:rPr>
      </w:pPr>
    </w:p>
    <w:p>
      <w:pPr>
        <w:ind w:left="1180" w:hanging="299"/>
        <w:spacing w:after="0"/>
        <w:tabs>
          <w:tab w:leader="none" w:pos="11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execute and deliver such additional instruments as may be necessary to complete the transactions contemplated by this Agreement.</w:t>
      </w:r>
    </w:p>
    <w:p>
      <w:pPr>
        <w:spacing w:after="0" w:line="140" w:lineRule="exact"/>
        <w:rPr>
          <w:rFonts w:ascii="Arial" w:cs="Arial" w:eastAsia="Arial" w:hAnsi="Arial"/>
          <w:sz w:val="16"/>
          <w:szCs w:val="16"/>
          <w:color w:val="auto"/>
        </w:rPr>
      </w:pPr>
    </w:p>
    <w:p>
      <w:pPr>
        <w:ind w:right="620" w:firstLine="443"/>
        <w:spacing w:after="0" w:line="277" w:lineRule="auto"/>
        <w:tabs>
          <w:tab w:leader="none" w:pos="6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At or prior to the Closing, Seller will update the Seller Disclosure Schedule (but not any other schedules other than </w:t>
      </w:r>
      <w:r>
        <w:rPr>
          <w:rFonts w:ascii="Arial" w:cs="Arial" w:eastAsia="Arial" w:hAnsi="Arial"/>
          <w:sz w:val="18"/>
          <w:szCs w:val="18"/>
          <w:u w:val="single" w:color="auto"/>
          <w:color w:val="auto"/>
        </w:rPr>
        <w:t>Schedule 1.1(c)</w:t>
      </w:r>
      <w:r>
        <w:rPr>
          <w:rFonts w:ascii="Arial" w:cs="Arial" w:eastAsia="Arial" w:hAnsi="Arial"/>
          <w:sz w:val="18"/>
          <w:szCs w:val="18"/>
          <w:color w:val="auto"/>
        </w:rPr>
        <w:t xml:space="preserve"> as mutually agreed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74" w:right="239" w:bottom="1440" w:gutter="0" w:footer="0" w:header="0"/>
        </w:sectPr>
      </w:pPr>
    </w:p>
    <w:bookmarkStart w:id="53" w:name="page54"/>
    <w:bookmarkEnd w:id="53"/>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by Seller and Buyer and </w:t>
      </w:r>
      <w:r>
        <w:rPr>
          <w:rFonts w:ascii="Arial" w:cs="Arial" w:eastAsia="Arial" w:hAnsi="Arial"/>
          <w:sz w:val="18"/>
          <w:szCs w:val="18"/>
          <w:u w:val="single" w:color="auto"/>
          <w:color w:val="auto"/>
        </w:rPr>
        <w:t>Schedule 12.14</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 7.5(h)</w:t>
      </w:r>
      <w:r>
        <w:rPr>
          <w:rFonts w:ascii="Arial" w:cs="Arial" w:eastAsia="Arial" w:hAnsi="Arial"/>
          <w:sz w:val="18"/>
          <w:szCs w:val="18"/>
          <w:color w:val="auto"/>
        </w:rPr>
        <w:t xml:space="preserve">) to reflect events or circumstances, whether arising before or after the date of this Agreement, if such update is necessary so that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true and correct but no such supplement will be deemed to modify the Seller Disclosure Schedule or otherwise qualify any of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for purposes of determining the accuracy of such representations for any purposes of this Agreement, including without limitation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11.3(b)(i)</w:t>
      </w:r>
      <w:r>
        <w:rPr>
          <w:rFonts w:ascii="Arial" w:cs="Arial" w:eastAsia="Arial" w:hAnsi="Arial"/>
          <w:sz w:val="18"/>
          <w:szCs w:val="18"/>
          <w:color w:val="auto"/>
        </w:rPr>
        <w:t xml:space="preserve">. For purposes of clarity, no supplements or updates made to the Seller Disclosure Schedule after the date hereof will operate to waive any right of any Buyer Indemnified Party to indemnification under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11.3(b)(i)</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680" w:hanging="237"/>
        <w:spacing w:after="0"/>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Buyer has received an ALTA/ACSM survey of the Owned Real Property (the “</w:t>
      </w:r>
      <w:r>
        <w:rPr>
          <w:rFonts w:ascii="Arial" w:cs="Arial" w:eastAsia="Arial" w:hAnsi="Arial"/>
          <w:sz w:val="17"/>
          <w:szCs w:val="17"/>
          <w:u w:val="single" w:color="auto"/>
          <w:color w:val="auto"/>
        </w:rPr>
        <w:t>Survey</w:t>
      </w:r>
      <w:r>
        <w:rPr>
          <w:rFonts w:ascii="Arial" w:cs="Arial" w:eastAsia="Arial" w:hAnsi="Arial"/>
          <w:sz w:val="17"/>
          <w:szCs w:val="17"/>
          <w:color w:val="auto"/>
        </w:rPr>
        <w:t>”) prepared by a Michigan registered surveyor.</w:t>
      </w:r>
    </w:p>
    <w:p>
      <w:pPr>
        <w:spacing w:after="0" w:line="128" w:lineRule="exact"/>
        <w:rPr>
          <w:rFonts w:ascii="Arial" w:cs="Arial" w:eastAsia="Arial" w:hAnsi="Arial"/>
          <w:sz w:val="17"/>
          <w:szCs w:val="17"/>
          <w:color w:val="auto"/>
        </w:rPr>
      </w:pPr>
    </w:p>
    <w:p>
      <w:pPr>
        <w:ind w:firstLine="443"/>
        <w:spacing w:after="0" w:line="302" w:lineRule="auto"/>
        <w:tabs>
          <w:tab w:leader="none" w:pos="6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Seller has caused or will cause First American Title Insurance Company (the “</w:t>
      </w:r>
      <w:r>
        <w:rPr>
          <w:rFonts w:ascii="Arial" w:cs="Arial" w:eastAsia="Arial" w:hAnsi="Arial"/>
          <w:sz w:val="16"/>
          <w:szCs w:val="16"/>
          <w:u w:val="single" w:color="auto"/>
          <w:color w:val="auto"/>
        </w:rPr>
        <w:t>Title Insurer</w:t>
      </w:r>
      <w:r>
        <w:rPr>
          <w:rFonts w:ascii="Arial" w:cs="Arial" w:eastAsia="Arial" w:hAnsi="Arial"/>
          <w:sz w:val="16"/>
          <w:szCs w:val="16"/>
          <w:color w:val="auto"/>
        </w:rPr>
        <w:t>”) to furnish to Buyer and Seller with a commitment (“</w:t>
      </w:r>
      <w:r>
        <w:rPr>
          <w:rFonts w:ascii="Arial" w:cs="Arial" w:eastAsia="Arial" w:hAnsi="Arial"/>
          <w:sz w:val="16"/>
          <w:szCs w:val="16"/>
          <w:u w:val="single" w:color="auto"/>
          <w:color w:val="auto"/>
        </w:rPr>
        <w:t>Commitment</w:t>
      </w:r>
      <w:r>
        <w:rPr>
          <w:rFonts w:ascii="Arial" w:cs="Arial" w:eastAsia="Arial" w:hAnsi="Arial"/>
          <w:sz w:val="16"/>
          <w:szCs w:val="16"/>
          <w:color w:val="auto"/>
        </w:rPr>
        <w:t>”) regarding each Owned Real Property for an ALTA 2006 Owner’s Policy of Title Insurance in an amount reasonably acceptable to Buyer and Seller (but in any event no less than the current assessed value for the land and improvements on each Owned Real Property on the Closing Date). The Commitment, the Schedule B documents and the Survey, if any, shall collectively be referred to as the “</w:t>
      </w:r>
      <w:r>
        <w:rPr>
          <w:rFonts w:ascii="Arial" w:cs="Arial" w:eastAsia="Arial" w:hAnsi="Arial"/>
          <w:sz w:val="16"/>
          <w:szCs w:val="16"/>
          <w:u w:val="single" w:color="auto"/>
          <w:color w:val="auto"/>
        </w:rPr>
        <w:t>Title Evidence</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right="200" w:firstLine="443"/>
        <w:spacing w:after="0" w:line="264" w:lineRule="auto"/>
        <w:tabs>
          <w:tab w:leader="none" w:pos="6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or before the Closing, Seller will cause Title Insurer to furnish to Buyer an owner’s title insurance policy (“</w:t>
      </w:r>
      <w:r>
        <w:rPr>
          <w:rFonts w:ascii="Arial" w:cs="Arial" w:eastAsia="Arial" w:hAnsi="Arial"/>
          <w:sz w:val="18"/>
          <w:szCs w:val="18"/>
          <w:u w:val="single" w:color="auto"/>
          <w:color w:val="auto"/>
        </w:rPr>
        <w:t>Title Policy</w:t>
      </w:r>
      <w:r>
        <w:rPr>
          <w:rFonts w:ascii="Arial" w:cs="Arial" w:eastAsia="Arial" w:hAnsi="Arial"/>
          <w:sz w:val="18"/>
          <w:szCs w:val="18"/>
          <w:color w:val="auto"/>
        </w:rPr>
        <w:t>”) issued by Title Insurer pursuant to the Commitment, or a suitably marked up Commitment initialed by the Title Insurer undertaking to issue a Title Policy within a reasonable time in the form required by the Commitment, as reasonably approved by Buyer.</w:t>
      </w:r>
    </w:p>
    <w:p>
      <w:pPr>
        <w:spacing w:after="0" w:line="73" w:lineRule="exact"/>
        <w:rPr>
          <w:rFonts w:ascii="Arial" w:cs="Arial" w:eastAsia="Arial" w:hAnsi="Arial"/>
          <w:sz w:val="18"/>
          <w:szCs w:val="18"/>
          <w:color w:val="auto"/>
        </w:rPr>
      </w:pPr>
    </w:p>
    <w:p>
      <w:pPr>
        <w:ind w:right="20" w:firstLine="443"/>
        <w:spacing w:after="0" w:line="291" w:lineRule="auto"/>
        <w:tabs>
          <w:tab w:leader="none" w:pos="693"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Seller will pay the costs of the Commitment, the related title searches and a GAP endorsement. Buyer will pay the premium for the Title Policy and the cost of any other endorsements Buyer desires. Seller and Buyer will each pay one half of any reasonable and customary closing fee or charge imposed by the Title Insurer or its designated closing agent. Buyer will pay all costs related to or arising from the Survey. Seller will pay all state and local transfer tax due on the deed to be delivered by Seller under this Agreement. Seller will pay recording fees for instruments necessary to cure any objections to the matters disclosed in the Title Evidence which can be cured solely by the payment of a fixed sum of money including, without limitation, payment of any mortgages, judgments, or monetary liens (the “Payment Objections”) and such payments shall be paid at Closing by Seller from the Closing proceeds. Buyer will pay recording fees for each deed and any other documents desired by Buyer or its lender.</w:t>
      </w:r>
    </w:p>
    <w:p>
      <w:pPr>
        <w:spacing w:after="0" w:line="59" w:lineRule="exact"/>
        <w:rPr>
          <w:rFonts w:ascii="Arial" w:cs="Arial" w:eastAsia="Arial" w:hAnsi="Arial"/>
          <w:sz w:val="16"/>
          <w:szCs w:val="16"/>
          <w:color w:val="auto"/>
        </w:rPr>
      </w:pPr>
    </w:p>
    <w:p>
      <w:pPr>
        <w:jc w:val="both"/>
        <w:ind w:right="200" w:firstLine="443"/>
        <w:spacing w:after="0" w:line="264" w:lineRule="auto"/>
        <w:tabs>
          <w:tab w:leader="none" w:pos="6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other provisions of this Agreement notwithstanding, Seller will pay all general real estate taxes and installments of special assessments, including any interest and penalties, with respect to the Owned Real Estate that are due and payable in all years prior to the year in which the Closing occurs. Seller and Buyer will prorate the general</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700" w:top="274" w:right="239" w:bottom="1440" w:gutter="0" w:footer="0" w:header="0"/>
        </w:sectPr>
      </w:pPr>
    </w:p>
    <w:bookmarkStart w:id="54" w:name="page55"/>
    <w:bookmarkEnd w:id="5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real estate taxes and installments of special assessments with respect to the Owned Real Estate due and payable in the year of Closing as of the Closing Date based upon the calendar year, without duplication of any accrual or refund included in the Final Closing Balance Sheet. Such proration shall be based on the number of days in such year on or before the Closing Date and the number of days in such year after the Closing Date. Seller shall receive a credit at Closing for any real estate taxes and assessments previously paid by Seller with respect to the prorated period after the Closing Date. Buyer will pay all general real estate taxes and installments of special assessments, including interest, due and payable with respect to the Owned Real Estate for the prorated period after the Closing Date.</w:t>
      </w:r>
    </w:p>
    <w:p>
      <w:pPr>
        <w:spacing w:after="0" w:line="85" w:lineRule="exact"/>
        <w:rPr>
          <w:sz w:val="20"/>
          <w:szCs w:val="20"/>
          <w:color w:val="auto"/>
        </w:rPr>
      </w:pPr>
    </w:p>
    <w:p>
      <w:pPr>
        <w:ind w:right="20" w:firstLine="443"/>
        <w:spacing w:after="0" w:line="277" w:lineRule="auto"/>
        <w:tabs>
          <w:tab w:leader="none" w:pos="6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Seller and Seller Shareholders acknowledge that Buyer has not completed its due diligence with respect to the Title Evidence, and accordingly a closing condition in favor of Buyer has been set forth in </w:t>
      </w:r>
      <w:r>
        <w:rPr>
          <w:rFonts w:ascii="Arial" w:cs="Arial" w:eastAsia="Arial" w:hAnsi="Arial"/>
          <w:sz w:val="18"/>
          <w:szCs w:val="18"/>
          <w:u w:val="single" w:color="auto"/>
          <w:color w:val="auto"/>
        </w:rPr>
        <w:t>Section 9.2(e)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Seller will use its commercially reasonable efforts to resolve any objections to matters disclosed in the Title Evidence raised by Buyer.</w:t>
      </w:r>
    </w:p>
    <w:p>
      <w:pPr>
        <w:spacing w:after="0" w:line="128" w:lineRule="exact"/>
        <w:rPr>
          <w:rFonts w:ascii="Arial" w:cs="Arial" w:eastAsia="Arial" w:hAnsi="Arial"/>
          <w:sz w:val="17"/>
          <w:szCs w:val="17"/>
          <w:color w:val="auto"/>
        </w:rPr>
      </w:pPr>
    </w:p>
    <w:p>
      <w:pPr>
        <w:ind w:right="120" w:firstLine="443"/>
        <w:spacing w:after="0" w:line="259" w:lineRule="auto"/>
        <w:tabs>
          <w:tab w:leader="none" w:pos="6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to the contrary, Seller and Buyer agree that prior to Closing, </w:t>
      </w:r>
      <w:r>
        <w:rPr>
          <w:rFonts w:ascii="Arial" w:cs="Arial" w:eastAsia="Arial" w:hAnsi="Arial"/>
          <w:sz w:val="18"/>
          <w:szCs w:val="18"/>
          <w:u w:val="single" w:color="auto"/>
          <w:color w:val="auto"/>
        </w:rPr>
        <w:t>Schedule 12.14</w:t>
      </w:r>
      <w:r>
        <w:rPr>
          <w:rFonts w:ascii="Arial" w:cs="Arial" w:eastAsia="Arial" w:hAnsi="Arial"/>
          <w:sz w:val="18"/>
          <w:szCs w:val="18"/>
          <w:color w:val="auto"/>
        </w:rPr>
        <w:t xml:space="preserve"> will be prepared to contain only those items that Title Insurer and Buyer have agreed will be shown as title exceptions on the Title Policy. In furtherance thereof, the parties agree that the pro-forma title policy issued by Title Insurer and agreed to by Buyer shall be the basis for the items to be set forth on </w:t>
      </w:r>
      <w:r>
        <w:rPr>
          <w:rFonts w:ascii="Arial" w:cs="Arial" w:eastAsia="Arial" w:hAnsi="Arial"/>
          <w:sz w:val="18"/>
          <w:szCs w:val="18"/>
          <w:u w:val="single" w:color="auto"/>
          <w:color w:val="auto"/>
        </w:rPr>
        <w:t>Schedule 12.14</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7" w:lineRule="exact"/>
        <w:rPr>
          <w:sz w:val="20"/>
          <w:szCs w:val="20"/>
          <w:color w:val="auto"/>
        </w:rPr>
      </w:pPr>
    </w:p>
    <w:p>
      <w:pPr>
        <w:ind w:right="300" w:firstLine="443"/>
        <w:spacing w:after="0" w:line="264" w:lineRule="auto"/>
        <w:tabs>
          <w:tab w:leader="none" w:pos="683"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Buyer shall offer employment to Business Employees pursuant to the terms set forth in the Personnel Agreement and as of the Buyer Employment Start Date (as defined in the Personnel Agreement); </w:t>
      </w:r>
      <w:r>
        <w:rPr>
          <w:rFonts w:ascii="Arial" w:cs="Arial" w:eastAsia="Arial" w:hAnsi="Arial"/>
          <w:sz w:val="18"/>
          <w:szCs w:val="18"/>
          <w:i w:val="1"/>
          <w:iCs w:val="1"/>
          <w:color w:val="auto"/>
        </w:rPr>
        <w:t>provided</w:t>
      </w:r>
      <w:r>
        <w:rPr>
          <w:rFonts w:ascii="Arial" w:cs="Arial" w:eastAsia="Arial" w:hAnsi="Arial"/>
          <w:sz w:val="18"/>
          <w:szCs w:val="18"/>
          <w:color w:val="auto"/>
        </w:rPr>
        <w:t>, that Buyer shall offer to employ David J. Brule II effective immediately following Closing in accordance with the terms of the Employment Agreement.</w:t>
      </w:r>
    </w:p>
    <w:p>
      <w:pPr>
        <w:spacing w:after="0" w:line="73" w:lineRule="exact"/>
        <w:rPr>
          <w:rFonts w:ascii="Arial" w:cs="Arial" w:eastAsia="Arial" w:hAnsi="Arial"/>
          <w:sz w:val="18"/>
          <w:szCs w:val="18"/>
          <w:color w:val="auto"/>
        </w:rPr>
      </w:pPr>
    </w:p>
    <w:p>
      <w:pPr>
        <w:jc w:val="both"/>
        <w:ind w:right="220" w:firstLine="443"/>
        <w:spacing w:after="0" w:line="264" w:lineRule="auto"/>
        <w:tabs>
          <w:tab w:leader="none" w:pos="6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Seller shall be responsible for providing and/or discharging any and all notifications, benefits, and liabilities for pre-Closing and pre-Buyer Employment Start Date notifications, benefits and liabilities to Business Employees, collective bargaining representatives of Sellers’ employees, and governmental entities required by Law.</w:t>
      </w:r>
    </w:p>
    <w:p>
      <w:pPr>
        <w:spacing w:after="0" w:line="73" w:lineRule="exact"/>
        <w:rPr>
          <w:rFonts w:ascii="Arial" w:cs="Arial" w:eastAsia="Arial" w:hAnsi="Arial"/>
          <w:sz w:val="18"/>
          <w:szCs w:val="18"/>
          <w:color w:val="auto"/>
        </w:rPr>
      </w:pPr>
    </w:p>
    <w:p>
      <w:pPr>
        <w:ind w:firstLine="443"/>
        <w:spacing w:after="0" w:line="270" w:lineRule="auto"/>
        <w:tabs>
          <w:tab w:leader="none" w:pos="683" w:val="left"/>
        </w:tabs>
        <w:numPr>
          <w:ilvl w:val="0"/>
          <w:numId w:val="76"/>
        </w:numPr>
        <w:rPr>
          <w:rFonts w:ascii="Arial" w:cs="Arial" w:eastAsia="Arial" w:hAnsi="Arial"/>
          <w:sz w:val="17"/>
          <w:szCs w:val="17"/>
          <w:color w:val="auto"/>
        </w:rPr>
      </w:pPr>
      <w:r>
        <w:rPr>
          <w:rFonts w:ascii="Arial" w:cs="Arial" w:eastAsia="Arial" w:hAnsi="Arial"/>
          <w:sz w:val="17"/>
          <w:szCs w:val="17"/>
          <w:color w:val="auto"/>
        </w:rPr>
        <w:t>With respect to any Seller Plan that is a 401(k) plan in which the Business Employees participate as of the day immediately prior to the Buyer Employment Start Date, Seller shall take or cause to be taken all necessary action to vest such employees in their respective account balances and to make all matching contributions, profit sharing and true-up contributions in respect of periods prior to the Buyer Employment Start Date in accordance with Seller’s past practices and the terms of the Plan (and with respect to IBEW Business Employees, pursuant to the terms of the collective bargaining agreement). Buyer and Seller shall cooperate in implementing such administrative procedures as may be reasonably necessary to permit Hired Business Employees to take distributions of such balances as soon as reasonably practicable following the Buyer Employment Start Date and, at their option, to make direct rollovers of such distributions (including direct rollovers of outstanding loans and any promissory notes evidencing such loans, but excluding direct rollovers of other in-kind distributions and Roth account distributions) to a 401(k) plan sponsored and maintained by Buyer or its Affiliates from and after the Buyer Employment Start Date.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74" w:right="259" w:bottom="1440" w:gutter="0" w:footer="0" w:header="0"/>
        </w:sectPr>
      </w:pPr>
    </w:p>
    <w:bookmarkStart w:id="55" w:name="page56"/>
    <w:bookmarkEnd w:id="55"/>
    <w:p>
      <w:pPr>
        <w:ind w:left="460" w:right="500" w:firstLine="443"/>
        <w:spacing w:after="0" w:line="277"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on the date hereof, Buyer will engage in good faith discussions with the IBEW Union regarding the terms and conditions of Buyer’s employment of the IBEW Business Employees beginning on the Buyer Employment Start Date.</w:t>
      </w:r>
    </w:p>
    <w:p>
      <w:pPr>
        <w:spacing w:after="0" w:line="62"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Seller and Buyer will cooperate in good faith with the trustees of the IBEW-LU2221 Health and Welfare Trust to transfer an equitable portion of the assets of such trust (on or as soon as reasonably practicable after the Buyer Employment Start Date) to a new IBEW Union health and welfare plan trust established for IBEW Business Employees who become Hired Business Employees.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No Plan Amendment or Third Party Rights</w:t>
      </w:r>
      <w:r>
        <w:rPr>
          <w:rFonts w:ascii="Arial" w:cs="Arial" w:eastAsia="Arial" w:hAnsi="Arial"/>
          <w:sz w:val="17"/>
          <w:szCs w:val="17"/>
          <w:color w:val="auto"/>
        </w:rPr>
        <w:t xml:space="preserve">. Nothing herein expressed or implied shall confer upon any employee, former employee, leased employee, independent contractor or consultant of Seller any rights or remedies, including right to employment or continued employment with Seller or Buyer for any specified period, under or by reason of this Agreement, the Transition Services Agreement or the Personnel Agreement. Nothing in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will be deemed to amend any Plan or employee benefit plan of Buyer. No person, including any employee (or dependent thereof) of Seller, is a third party beneficiary of any term of </w:t>
      </w:r>
      <w:r>
        <w:rPr>
          <w:rFonts w:ascii="Arial" w:cs="Arial" w:eastAsia="Arial" w:hAnsi="Arial"/>
          <w:sz w:val="17"/>
          <w:szCs w:val="17"/>
          <w:u w:val="single" w:color="auto"/>
          <w:color w:val="auto"/>
        </w:rPr>
        <w:t>Section 7.6</w:t>
      </w:r>
      <w:r>
        <w:rPr>
          <w:rFonts w:ascii="Arial" w:cs="Arial" w:eastAsia="Arial" w:hAnsi="Arial"/>
          <w:sz w:val="17"/>
          <w:szCs w:val="17"/>
          <w:color w:val="auto"/>
        </w:rPr>
        <w:t>, the Transition Services Agreement or the Personnel Agreement.</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COVENANTS AND AGREEMENTS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Public Announcement</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69" w:lineRule="auto"/>
        <w:tabs>
          <w:tab w:leader="none" w:pos="1143"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Except as otherwise agreed in writing between Buyer and Seller, as required by Law or as expressly permitted by the communications plan described in </w:t>
      </w:r>
      <w:r>
        <w:rPr>
          <w:rFonts w:ascii="Arial" w:cs="Arial" w:eastAsia="Arial" w:hAnsi="Arial"/>
          <w:sz w:val="17"/>
          <w:szCs w:val="17"/>
          <w:u w:val="single" w:color="auto"/>
          <w:color w:val="auto"/>
        </w:rPr>
        <w:t>Section 8.1(b)</w:t>
      </w:r>
      <w:r>
        <w:rPr>
          <w:rFonts w:ascii="Arial" w:cs="Arial" w:eastAsia="Arial" w:hAnsi="Arial"/>
          <w:sz w:val="17"/>
          <w:szCs w:val="17"/>
          <w:color w:val="auto"/>
        </w:rPr>
        <w:t>, none of Seller or any Seller Shareholder, nor any of their respective Affiliates, will make any public announcement (including any general announcement to employees, customers, suppliers or others having dealings with Seller), postings to any public website or electronic forum, or similar communication regarding this Agreement or the transactions contemplated hereby. Buyer will be free to make any public announcement or similar communication that Buyer deems appropriate or advisable in which case Buyer will use commercially reasonable efforts to advise Seller and the Seller Shareholders prior to making such announcement or communication; provided, however, that if Buyer includes in any such announcement or communication a statement attributable to a Seller Shareholder, Buyer will, prior to making such announcement or communication, provide a draft of the same to the applicable Seller Shareholder at least two (2) Business Days in advance and incorporate any reasonable comments from such Seller Shareholder with respect to such statement. Seller and the Seller Shareholders understand and acknowledge that Buyer will be required to file a Current Report on Form 8-K with the SEC to disclose the acquisition contemplated by this Agreement and Seller and the Seller Shareholders expressly consent to such timely filing.</w:t>
      </w:r>
    </w:p>
    <w:p>
      <w:pPr>
        <w:spacing w:after="0" w:line="74" w:lineRule="exact"/>
        <w:rPr>
          <w:rFonts w:ascii="Arial" w:cs="Arial" w:eastAsia="Arial" w:hAnsi="Arial"/>
          <w:sz w:val="17"/>
          <w:szCs w:val="17"/>
          <w:color w:val="auto"/>
        </w:rPr>
      </w:pPr>
    </w:p>
    <w:p>
      <w:pPr>
        <w:jc w:val="both"/>
        <w:ind w:left="460" w:right="440" w:firstLine="443"/>
        <w:spacing w:after="0" w:line="312" w:lineRule="auto"/>
        <w:tabs>
          <w:tab w:leader="none" w:pos="1153" w:val="left"/>
        </w:tabs>
        <w:numPr>
          <w:ilvl w:val="0"/>
          <w:numId w:val="78"/>
        </w:numPr>
        <w:rPr>
          <w:rFonts w:ascii="Arial" w:cs="Arial" w:eastAsia="Arial" w:hAnsi="Arial"/>
          <w:sz w:val="16"/>
          <w:szCs w:val="16"/>
          <w:color w:val="auto"/>
        </w:rPr>
      </w:pPr>
      <w:r>
        <w:rPr>
          <w:rFonts w:ascii="Arial" w:cs="Arial" w:eastAsia="Arial" w:hAnsi="Arial"/>
          <w:sz w:val="16"/>
          <w:szCs w:val="16"/>
          <w:color w:val="auto"/>
        </w:rPr>
        <w:t>Seller and Buyer will consult with one another regarding the communications plan (including content and medium) by which Business Employees, customers, suppliers and others having business dealings with the Business will be informed of the transactions contemplated by this Agreement, and all communications in such communications plan that are to be conducted jointly will be conducted jointly by Seller and Buyer.</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80" w:firstLine="443"/>
        <w:spacing w:after="0" w:line="287" w:lineRule="auto"/>
        <w:tabs>
          <w:tab w:leader="none" w:pos="683"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this Agreement, the term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(i) all information, books and records of Buyer, including customer, supplier and prospect information, Intellectual Property, sales, marketing, employment, financial and accounting information, and quality control and regulatory information, which Seller, any Seller Shareholder or any of their directors, officers, employees, agents, representatives and Affiliates is provided or learns in connection with or as a result of the negotiation, preparation or performance of this Agreement or the transactions contemplated hereby (“</w:t>
      </w:r>
      <w:r>
        <w:rPr>
          <w:rFonts w:ascii="Arial" w:cs="Arial" w:eastAsia="Arial" w:hAnsi="Arial"/>
          <w:sz w:val="16"/>
          <w:szCs w:val="16"/>
          <w:u w:val="single" w:color="auto"/>
          <w:color w:val="auto"/>
        </w:rPr>
        <w:t>Buyer Information</w:t>
      </w:r>
      <w:r>
        <w:rPr>
          <w:rFonts w:ascii="Arial" w:cs="Arial" w:eastAsia="Arial" w:hAnsi="Arial"/>
          <w:sz w:val="16"/>
          <w:szCs w:val="16"/>
          <w:color w:val="auto"/>
        </w:rPr>
        <w:t xml:space="preserve">”); (ii) all Intellectual Property included in the Purchased Assets and all tangible and electronic embodiments of the Intellectual Property; and (iii) all Business Information and other books and records of Seller that constitute Purchased Assets, excluding in each case any such information that at any time is or becomes lawfully available to the general public through no fault of Seller or a Seller Shareholder. Notwithstanding the foregoing, “Confidential Information” shall not include any information which (a) is or becomes generally available to the public other than as a result of breach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Seller or any Seller Shareholder, (b) is received by Seller or any Seller Shareholder from a Third Party who is not bound by any confidentiality obligation to Seller or Buyer with respect to the same, or (c) is required for Seller to operate the Systems Control division in the Ordinary Course of Business, provided that such information is solely used for such purpose.</w:t>
      </w:r>
    </w:p>
    <w:p>
      <w:pPr>
        <w:spacing w:after="0" w:line="64" w:lineRule="exact"/>
        <w:rPr>
          <w:rFonts w:ascii="Arial" w:cs="Arial" w:eastAsia="Arial" w:hAnsi="Arial"/>
          <w:sz w:val="16"/>
          <w:szCs w:val="16"/>
          <w:color w:val="auto"/>
        </w:rPr>
      </w:pPr>
    </w:p>
    <w:p>
      <w:pPr>
        <w:ind w:firstLine="443"/>
        <w:spacing w:after="0" w:line="287" w:lineRule="auto"/>
        <w:tabs>
          <w:tab w:leader="none" w:pos="693"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as required by the terms of a valid and binding Order issued by a competent Authority or applicable Law (including Tax obligations), Seller and each Seller Shareholder will and will cause their directors, officers, employees, agents, representatives and Affiliates to keep confidential and protect, and to not disclose, allow access to or use in any way (other than in connection with the performance of their obligations or exercise of their rights hereunder and/or under any Ancillary Documents), any Buyer Information and, from and after the Closing, all other Confidential Information. Seller and each Seller Shareholder acknowledge and agree that the Buyer Information is and will continue to be and, from and after the Closing, all other Confidential Information will be, the exclusive property of Buyer and its Affiliates. Promptly following Closing, Seller and each Seller Shareholder will deliver to Buyer or destroy, at Buyer’s request and option, all tangible and electronic embodiments (including all copies) of the Buyer Information that are in the possession or control of Seller or such Seller Shareholder, or any of their directors, officers, employees, agents, representatives and Affiliates, without retaining any copies thereof, except that one archive copy may be retained on a strictly confidential basis by Seller’s outside counsel, as custodian, to the extent required to comply with Seller’s legal obligations subject to providing written notice to Buyer describing in reasonable detail the nature and scope of the records so retained and the contact information of such custodian.</w:t>
      </w:r>
    </w:p>
    <w:p>
      <w:pPr>
        <w:spacing w:after="0" w:line="64" w:lineRule="exact"/>
        <w:rPr>
          <w:rFonts w:ascii="Arial" w:cs="Arial" w:eastAsia="Arial" w:hAnsi="Arial"/>
          <w:sz w:val="16"/>
          <w:szCs w:val="16"/>
          <w:color w:val="auto"/>
        </w:rPr>
      </w:pPr>
    </w:p>
    <w:p>
      <w:pPr>
        <w:ind w:right="140" w:firstLine="443"/>
        <w:spacing w:after="0" w:line="277" w:lineRule="auto"/>
        <w:tabs>
          <w:tab w:leader="none" w:pos="683"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covenants and undertakings contained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relate to matters which may be of a special, unique and extraordinary character and a violation of</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60"/>
          </w:cols>
          <w:pgMar w:left="700" w:top="274" w:right="239" w:bottom="1440" w:gutter="0" w:footer="0" w:header="0"/>
        </w:sectPr>
      </w:pPr>
    </w:p>
    <w:bookmarkStart w:id="57" w:name="page58"/>
    <w:bookmarkEnd w:id="57"/>
    <w:p>
      <w:pPr>
        <w:ind w:left="46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of the terms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may cause irreparable injury to Buyer and its Affiliates, the amount of which may be impossible to estimate or determine and for which adequate compensation may not be available. Therefore, Buyer and its Affiliates will be entitled to an injunction, restraining order or other equitable relief from a court of competent jurisdiction restraining any violation or threatened violation of any such terms by Seller or any Seller Shareholder or any of their directors, officers, employees, agents, representatives or Affiliates.</w:t>
      </w:r>
    </w:p>
    <w:p>
      <w:pPr>
        <w:spacing w:after="0" w:line="63"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Seller or any Seller Shareholder receives a request to disclose all or any part of the Confidential Information in connection with a</w:t>
      </w:r>
    </w:p>
    <w:p>
      <w:pPr>
        <w:spacing w:after="0" w:line="34" w:lineRule="exact"/>
        <w:rPr>
          <w:rFonts w:ascii="Arial" w:cs="Arial" w:eastAsia="Arial" w:hAnsi="Arial"/>
          <w:sz w:val="17"/>
          <w:szCs w:val="17"/>
          <w:color w:val="auto"/>
        </w:rPr>
      </w:pPr>
    </w:p>
    <w:p>
      <w:pPr>
        <w:ind w:left="460" w:right="40"/>
        <w:spacing w:after="0" w:line="253" w:lineRule="auto"/>
        <w:rPr>
          <w:rFonts w:ascii="Arial" w:cs="Arial" w:eastAsia="Arial" w:hAnsi="Arial"/>
          <w:sz w:val="17"/>
          <w:szCs w:val="17"/>
          <w:color w:val="auto"/>
        </w:rPr>
      </w:pPr>
      <w:r>
        <w:rPr>
          <w:rFonts w:ascii="Arial" w:cs="Arial" w:eastAsia="Arial" w:hAnsi="Arial"/>
          <w:sz w:val="18"/>
          <w:szCs w:val="18"/>
          <w:color w:val="auto"/>
        </w:rPr>
        <w:t>Proceeding, Seller or that Seller Shareholder (as applicable) will, to the extent permitted by Law, (i) promptly notify Buyer of the existence, terms and circumstances surrounding such request, (ii) consult with Buyer regarding the advisability of taking legally available steps to resist or narrow such request, and (iii) if disclosure of such information is required, disclose the minimum required and exercise commercially reasonable efforts to obtain, at Buyer’s expense, an Order or other reliable assurance that confidential treatment will be accorded such portion of the disclosed information which Buyer so designates.</w:t>
      </w:r>
    </w:p>
    <w:p>
      <w:pPr>
        <w:spacing w:after="0" w:line="83" w:lineRule="exact"/>
        <w:rPr>
          <w:rFonts w:ascii="Arial" w:cs="Arial" w:eastAsia="Arial" w:hAnsi="Arial"/>
          <w:sz w:val="17"/>
          <w:szCs w:val="17"/>
          <w:color w:val="auto"/>
        </w:rPr>
      </w:pPr>
    </w:p>
    <w:p>
      <w:pPr>
        <w:ind w:left="460" w:firstLine="443"/>
        <w:spacing w:after="0" w:line="254" w:lineRule="auto"/>
        <w:tabs>
          <w:tab w:leader="none" w:pos="11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Promptly following the execution of this Agreement, Seller and the Seller Shareholders will use commercially reasonable efforts to cause all Persons (other than Buyer and its Affiliates) who have been furnished with any Confidential Information or other confidential information regarding the Business and Purchased Assets in connection with the solicitation of, or discussions regarding, an Alternative Transaction prior to the date hereof (other than information provided to any Authority or to a Third Party pursuant to an Assigned Contract) promptly to return or destroy such information to the extent that the applicable confidentiality agreements or similar provisions allow Seller or the Seller Shareholder to require such return or destruction. Neither Seller nor any Seller Shareholder will release any Person from the confidentiality provisions of any Contract to which Seller or a Seller Shareholder is or becomes a party or under which it is a beneficiary, relating to any Alternative Transaction or that otherwise protects or relates to any Confidential Information.</w:t>
      </w:r>
    </w:p>
    <w:p>
      <w:pPr>
        <w:spacing w:after="0" w:line="84" w:lineRule="exact"/>
        <w:rPr>
          <w:rFonts w:ascii="Arial" w:cs="Arial" w:eastAsia="Arial" w:hAnsi="Arial"/>
          <w:sz w:val="18"/>
          <w:szCs w:val="18"/>
          <w:color w:val="auto"/>
        </w:rPr>
      </w:pPr>
    </w:p>
    <w:p>
      <w:pPr>
        <w:ind w:left="460" w:right="140" w:firstLine="443"/>
        <w:spacing w:after="0" w:line="276" w:lineRule="auto"/>
        <w:tabs>
          <w:tab w:leader="none" w:pos="1123"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Seller and the Seller Shareholders will ensure that their directors, officers, employees, consultants, lenders, advisors, agents, representatives and Affiliates are aware of the restrictions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as reasonably necessary to avoid violations hereof. Any violation of the restrictions set forth in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by any such Persons (including any investment banker, financial advisor, attorney, accountant, or other retained advisor, agent or representative) of Seller or any Seller Shareholder, or otherwise at the direction or with the consent of Seller or any Seller Shareholder, will be deemed to be a breach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by Seller (and any such Seller Shareholder, if applicable).</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 As a further material portion of the consideration to be received by Buyer for entering into this Agreement, Seller and each Major Shareholder agree as follows:</w:t>
      </w:r>
    </w:p>
    <w:p>
      <w:pPr>
        <w:spacing w:after="0" w:line="62" w:lineRule="exact"/>
        <w:rPr>
          <w:sz w:val="20"/>
          <w:szCs w:val="20"/>
          <w:color w:val="auto"/>
        </w:rPr>
      </w:pPr>
    </w:p>
    <w:p>
      <w:pPr>
        <w:ind w:left="460" w:right="180" w:firstLine="443"/>
        <w:spacing w:after="0" w:line="277" w:lineRule="auto"/>
        <w:tabs>
          <w:tab w:leader="none" w:pos="11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Neither Seller nor either Major Shareholder will, during the Restricted Period, directly or indirectly, engage or have an interest, anywhere in the United States,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58" w:name="page59"/>
    <w:bookmarkEnd w:id="5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Canada, China, England, Germany, Japan, New Zealand or any other country in or to which Seller sells or markets products or services in the conduct of the Business, either alone or in association with others, whether as principal, officer, advisor, agent, employee, director, partner or stockholder, or through the investment of capital, lending of money or property, rendering of contract manufacturing or other services or otherwise, in or to any business that develops, manufactures, markets, distributes or sells snow and ice management products (other than acquiring an aggregate of not more than 2% of the outstanding shares of any company with a class of securities listed for trading on a national securities exchange, provided that Seller, either alone or in combination with any other Person or Persons, does not have or attempt to acquire control of such company). Further, neither Seller nor either Major Shareholder will at any time, directly or indirectly, use or authorize any Person to use any Mark or other identifying words or images which are the same as or substantially similar to any of those which are included in the Purchased Assets, whether or not the use would be in a business in which each such Person is prohibited from engaging pursuant to this </w:t>
      </w:r>
      <w:r>
        <w:rPr>
          <w:rFonts w:ascii="Arial" w:cs="Arial" w:eastAsia="Arial" w:hAnsi="Arial"/>
          <w:sz w:val="16"/>
          <w:szCs w:val="16"/>
          <w:u w:val="single" w:color="auto"/>
          <w:color w:val="auto"/>
        </w:rPr>
        <w:t>Section 8.3(a)</w:t>
      </w:r>
      <w:r>
        <w:rPr>
          <w:rFonts w:ascii="Arial" w:cs="Arial" w:eastAsia="Arial" w:hAnsi="Arial"/>
          <w:sz w:val="16"/>
          <w:szCs w:val="16"/>
          <w:color w:val="auto"/>
        </w:rPr>
        <w:t>.</w:t>
      </w:r>
    </w:p>
    <w:p>
      <w:pPr>
        <w:spacing w:after="0" w:line="59" w:lineRule="exact"/>
        <w:rPr>
          <w:sz w:val="20"/>
          <w:szCs w:val="20"/>
          <w:color w:val="auto"/>
        </w:rPr>
      </w:pPr>
    </w:p>
    <w:p>
      <w:pPr>
        <w:ind w:right="100" w:firstLine="443"/>
        <w:spacing w:after="0" w:line="271" w:lineRule="auto"/>
        <w:tabs>
          <w:tab w:leader="none" w:pos="693"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Neither Buyer, Seller nor either Major Shareholder will, during the Restricted Period, directly or indirectly, on its own behalf or on behalf of any other Person, hire, recruit or otherwise solicit or induce any employee of the other party to terminate his or her employment or other relationship with Seller, Buyer or any of their Affiliates, as applicable, except that the provisions of this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will not apply with respect to (i) a Person whose employment has been terminated or who terminates his or her own employment without direct or indirect solicitation or inducement by Buyer, Seller or either Major Shareholder, as applicable; (ii) solicitations made in public advertisements or through employment search firms (so long as neither Buyer, Seller nor either Major Shareholder, as applicable, directly or indirectly instructs the search firm to contact employees of such business) and hires in connection with such general solicitations; and (iii) hiring any Person who contacts Buyer, Seller or either Major Shareholder, as applicable, entirely on his or her own initiative.</w:t>
      </w:r>
    </w:p>
    <w:p>
      <w:pPr>
        <w:spacing w:after="0" w:line="70" w:lineRule="exact"/>
        <w:rPr>
          <w:rFonts w:ascii="Arial" w:cs="Arial" w:eastAsia="Arial" w:hAnsi="Arial"/>
          <w:sz w:val="17"/>
          <w:szCs w:val="17"/>
          <w:color w:val="auto"/>
        </w:rPr>
      </w:pPr>
    </w:p>
    <w:p>
      <w:pPr>
        <w:ind w:firstLine="443"/>
        <w:spacing w:after="0" w:line="288" w:lineRule="auto"/>
        <w:tabs>
          <w:tab w:leader="none" w:pos="68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Buyer, Seller and each Major Shareholder acknowledge and agree that the restrictions imposed by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material conditions to the willingness of the parties hereto to enter into this Agreement and agree that such restrictions are reasonable (including with respect to duration, geographical area and scope) and necessary to protect the legitimate interests of each party and its respective Affiliates (including the preservation of the Purchased Assets). Nevertheless, if, at the time of enforcement of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 court holds that the duration, scope or area restrictions stated herein are unreasonable under circumstances then existing, the parties agree that the maximum duration, scope or area reasonable under such circumstances will be substituted for the stated duration, scope or area. In addition, Buyer, Seller and each Major Shareholder acknowledge and agree that each party and its Affiliates would be damaged irreparably in the event any of the provisions of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not performed in accordance with their specific terms or otherwise are Breached. Accordingly, each party agrees that the other party and its Affiliates will be entitled to an injunction or injunctions to prevent Breaches of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to enforce specifically the terms and provisions of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in any action instituted in any court having jurisdiction over the parties and the matter, in addition to any other remedy to which they may be entitled, at law or in equity.</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40"/>
          </w:cols>
          <w:pgMar w:left="700" w:top="274" w:right="259" w:bottom="1440" w:gutter="0" w:footer="0" w:header="0"/>
        </w:sectPr>
      </w:pPr>
    </w:p>
    <w:bookmarkStart w:id="59" w:name="page60"/>
    <w:bookmarkEnd w:id="59"/>
    <w:p>
      <w:pPr>
        <w:ind w:right="34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8.4 </w:t>
      </w:r>
      <w:r>
        <w:rPr>
          <w:rFonts w:ascii="Arial" w:cs="Arial" w:eastAsia="Arial" w:hAnsi="Arial"/>
          <w:sz w:val="17"/>
          <w:szCs w:val="17"/>
          <w:u w:val="single" w:color="auto"/>
          <w:color w:val="auto"/>
        </w:rPr>
        <w:t>Transfer Taxes</w:t>
      </w:r>
      <w:r>
        <w:rPr>
          <w:rFonts w:ascii="Arial" w:cs="Arial" w:eastAsia="Arial" w:hAnsi="Arial"/>
          <w:sz w:val="17"/>
          <w:szCs w:val="17"/>
          <w:color w:val="auto"/>
        </w:rPr>
        <w:t>. Notwithstanding anything to the contrary in this Agreement, Seller and Buyer will each pay, and be responsible for, 50% of any sales Tax, use Tax, transfer Tax (including any real estate transfer or similar tax on transfer of the Owned Real Property), documentary stamp Tax, value added Tax or similar Taxes and related fees (“</w:t>
      </w:r>
      <w:r>
        <w:rPr>
          <w:rFonts w:ascii="Arial" w:cs="Arial" w:eastAsia="Arial" w:hAnsi="Arial"/>
          <w:sz w:val="17"/>
          <w:szCs w:val="17"/>
          <w:u w:val="single" w:color="auto"/>
          <w:color w:val="auto"/>
        </w:rPr>
        <w:t>Transfer Taxes</w:t>
      </w:r>
      <w:r>
        <w:rPr>
          <w:rFonts w:ascii="Arial" w:cs="Arial" w:eastAsia="Arial" w:hAnsi="Arial"/>
          <w:sz w:val="17"/>
          <w:szCs w:val="17"/>
          <w:color w:val="auto"/>
        </w:rPr>
        <w:t>”) imposed on the sale or transfer of the Purchased Assets pursuant to this Agreement or the entering into of this Agreement. Seller will prepare and file all Tax Returns with respect to such Transfer Taxes, subject to Buyer’s right to review and approve the same, which approval shall not be unreasonably withheld, delayed or conditioned.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Payment of Retained Liabilities; Collection of Accounts Receivable</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Seller will pay or make adequate provision for the payment in full of all of the Retained Liabilities.</w:t>
      </w:r>
    </w:p>
    <w:p>
      <w:pPr>
        <w:spacing w:after="0" w:line="117" w:lineRule="exact"/>
        <w:rPr>
          <w:rFonts w:ascii="Arial" w:cs="Arial" w:eastAsia="Arial" w:hAnsi="Arial"/>
          <w:sz w:val="18"/>
          <w:szCs w:val="18"/>
          <w:color w:val="auto"/>
        </w:rPr>
      </w:pPr>
    </w:p>
    <w:p>
      <w:pPr>
        <w:ind w:left="460" w:right="60" w:firstLine="443"/>
        <w:spacing w:after="0" w:line="283" w:lineRule="auto"/>
        <w:tabs>
          <w:tab w:leader="none" w:pos="1153"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the Closing Date or as soon as practicable thereafter, but in any event not more than five (5) Business Days after the Closing Date, Seller and Buyer shall jointly notify customers and other account debtors of the Business that the Business has been acquired by Buyer. Such notice shall include notification that payment of all accounts receivable with respect to the Business after the Closing (whether the receivable arose before, on or after the Closing) shall be payable to Seller until January 1, 2015, at which time payment for all such receivables will be transferred to Buyer. Amounts received by Seller for payment of any accounts receivable arising from operation of the Business after the Closing (“</w:t>
      </w:r>
      <w:r>
        <w:rPr>
          <w:rFonts w:ascii="Arial" w:cs="Arial" w:eastAsia="Arial" w:hAnsi="Arial"/>
          <w:sz w:val="16"/>
          <w:szCs w:val="16"/>
          <w:u w:val="single" w:color="auto"/>
          <w:color w:val="auto"/>
        </w:rPr>
        <w:t>Buyer Receivables</w:t>
      </w:r>
      <w:r>
        <w:rPr>
          <w:rFonts w:ascii="Arial" w:cs="Arial" w:eastAsia="Arial" w:hAnsi="Arial"/>
          <w:sz w:val="16"/>
          <w:szCs w:val="16"/>
          <w:color w:val="auto"/>
        </w:rPr>
        <w:t>”), whether received before, on or after January 1, 2015, shall be for the account of and held in trust for Buyer and transferred to Buyer in the manner hereinafter described. Amounts received by Buyer for payment of any Accounts Receivable, whether received before, on or after January 1, 2015, shall be for the account of and held in trust for Seller and promptly (and in any event, within five Business Days of receipt) transferred to Seller along with such information related to the payment as Seller may reasonably request. If Seller receives payment of Accounts Receivable after the Closing, Seller shall retain the payment as a Retained Asset but will on a periodic basis provide a written update of such payments to Buyer. Seller will use commercially reasonable efforts, consistent with past practices of the Business prior to the Closing, to collect all Accounts Receivable. On or about the eighth</w:t>
      </w:r>
    </w:p>
    <w:p>
      <w:pPr>
        <w:spacing w:after="0" w:line="4" w:lineRule="exact"/>
        <w:rPr>
          <w:rFonts w:ascii="Arial" w:cs="Arial" w:eastAsia="Arial" w:hAnsi="Arial"/>
          <w:sz w:val="16"/>
          <w:szCs w:val="16"/>
          <w:color w:val="auto"/>
        </w:rPr>
      </w:pPr>
    </w:p>
    <w:p>
      <w:pPr>
        <w:ind w:left="460" w:right="240"/>
        <w:spacing w:after="0" w:line="255" w:lineRule="auto"/>
        <w:rPr>
          <w:rFonts w:ascii="Arial" w:cs="Arial" w:eastAsia="Arial" w:hAnsi="Arial"/>
          <w:sz w:val="16"/>
          <w:szCs w:val="16"/>
          <w:color w:val="auto"/>
        </w:rPr>
      </w:pPr>
      <w:r>
        <w:rPr>
          <w:rFonts w:ascii="Arial" w:cs="Arial" w:eastAsia="Arial" w:hAnsi="Arial"/>
          <w:sz w:val="18"/>
          <w:szCs w:val="18"/>
          <w:color w:val="auto"/>
        </w:rPr>
        <w:t>(8</w:t>
      </w:r>
      <w:r>
        <w:rPr>
          <w:rFonts w:ascii="Arial" w:cs="Arial" w:eastAsia="Arial" w:hAnsi="Arial"/>
          <w:sz w:val="15"/>
          <w:szCs w:val="15"/>
          <w:color w:val="auto"/>
        </w:rPr>
        <w:t>th</w:t>
      </w:r>
      <w:r>
        <w:rPr>
          <w:rFonts w:ascii="Arial" w:cs="Arial" w:eastAsia="Arial" w:hAnsi="Arial"/>
          <w:sz w:val="18"/>
          <w:szCs w:val="18"/>
          <w:color w:val="auto"/>
        </w:rPr>
        <w:t>) day after the Closing, and weekly thereafter until the earlier of the full collection of all Accounts Receivable and January 1, 2015, Seller will transfer to Buyer all payments received on Buyer Receivables during the prior seven (7) day period with a report reasonably identifying the payment received.</w:t>
      </w:r>
    </w:p>
    <w:p>
      <w:pPr>
        <w:spacing w:after="0" w:line="82" w:lineRule="exact"/>
        <w:rPr>
          <w:rFonts w:ascii="Arial" w:cs="Arial" w:eastAsia="Arial" w:hAnsi="Arial"/>
          <w:sz w:val="16"/>
          <w:szCs w:val="16"/>
          <w:color w:val="auto"/>
        </w:rPr>
      </w:pPr>
    </w:p>
    <w:p>
      <w:pPr>
        <w:ind w:left="460" w:firstLine="443"/>
        <w:spacing w:after="0" w:line="257" w:lineRule="auto"/>
        <w:tabs>
          <w:tab w:leader="none" w:pos="11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Payments received from a customer or other account debtor of the Business after the Closing will be presumed to apply first to the longest outstanding accounts receivable from that payor and then to the most recent accounts receivable from that payor, and so on, until all Accounts Receivable from that payor have been paid in full to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any use of credits and discounts by a customer that are identifiable to a specific invoice will be used against that invoice and (ii) any payment that is indicated by a customer to be for a specific invoice will be applied to that invoice.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0" w:name="page61"/>
    <w:bookmarkEnd w:id="60"/>
    <w:p>
      <w:pPr>
        <w:ind w:firstLine="443"/>
        <w:spacing w:after="0" w:line="297" w:lineRule="auto"/>
        <w:tabs>
          <w:tab w:leader="none" w:pos="693"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Seller reclaims any inventory in which it has a priority security interest under the Collateral Subordination Agreement from any delinquent customer or other account debtor of the Business, whether through foreclosure on Seller’s priority security interest in such inventory or otherwise, and such inventory is useable and saleable in the ordinary course of business either “as is” or with reasonable refurbishment, Buyer will purchase such inventory from Seller at a purchase price equal to the standard cost of Seller as of the Closing of such inventory. In no event may Seller take any action, whether with respect to any reclaimed inventory or otherwise, that would constitute a breach of the covenants set forth in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jc w:val="both"/>
        <w:ind w:right="100" w:firstLine="443"/>
        <w:spacing w:after="0" w:line="259" w:lineRule="auto"/>
        <w:tabs>
          <w:tab w:leader="none" w:pos="683"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Buyer, its employees or representatives, or a Business Employee, at the request of Seller, initiates a sale or other transfer of any inventory from any customer of the Business owing delinquent Accounts Receivable to Seller to another customer of the Business, then Seller will pay to Buyer an amount equal to 10% of the amount collected by Seller from the selling customer on the applicable Accounts Receivable following such sale or other transfer.</w:t>
      </w:r>
    </w:p>
    <w:p>
      <w:pPr>
        <w:spacing w:after="0" w:line="78" w:lineRule="exact"/>
        <w:rPr>
          <w:rFonts w:ascii="Arial" w:cs="Arial" w:eastAsia="Arial" w:hAnsi="Arial"/>
          <w:sz w:val="18"/>
          <w:szCs w:val="18"/>
          <w:color w:val="auto"/>
        </w:rPr>
      </w:pPr>
    </w:p>
    <w:p>
      <w:pPr>
        <w:jc w:val="both"/>
        <w:ind w:right="200" w:firstLine="443"/>
        <w:spacing w:after="0" w:line="259" w:lineRule="auto"/>
        <w:tabs>
          <w:tab w:leader="none" w:pos="66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contrary term above, if after April 1, 2015, Buyer sells inventory to any customer of the Business whom Buyer knows has delinquent Accounts Receivable owed to Seller, then any payment from such delinquent customer received by Buyer after such a sale will apply first to the longest outstanding Accounts Receivable from that customer. Seller will deliver a list of such delinquent customers to Buyer no later than March 31, 2015.</w:t>
      </w:r>
    </w:p>
    <w:p>
      <w:pPr>
        <w:spacing w:after="0" w:line="78" w:lineRule="exact"/>
        <w:rPr>
          <w:rFonts w:ascii="Arial" w:cs="Arial" w:eastAsia="Arial" w:hAnsi="Arial"/>
          <w:sz w:val="18"/>
          <w:szCs w:val="18"/>
          <w:color w:val="auto"/>
        </w:rPr>
      </w:pPr>
    </w:p>
    <w:p>
      <w:pPr>
        <w:ind w:right="560" w:firstLine="443"/>
        <w:spacing w:after="0" w:line="342" w:lineRule="auto"/>
        <w:tabs>
          <w:tab w:leader="none" w:pos="693"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Seller may after written notice to Buyer initiate Third Party collection proceedings to the extent consistent with Seller’s past practices, provided that Seller considers in good faith any reasonable proposal by Buyer with respect to the method of such collection efforts.</w:t>
      </w:r>
    </w:p>
    <w:p>
      <w:pPr>
        <w:spacing w:after="0" w:line="15" w:lineRule="exact"/>
        <w:rPr>
          <w:rFonts w:ascii="Arial" w:cs="Arial" w:eastAsia="Arial" w:hAnsi="Arial"/>
          <w:sz w:val="16"/>
          <w:szCs w:val="16"/>
          <w:color w:val="auto"/>
        </w:rPr>
      </w:pPr>
    </w:p>
    <w:p>
      <w:pPr>
        <w:ind w:left="700" w:hanging="257"/>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Seller Shareholders will cause Seller to comply with the provisions of this </w:t>
      </w:r>
      <w:r>
        <w:rPr>
          <w:rFonts w:ascii="Arial" w:cs="Arial" w:eastAsia="Arial" w:hAnsi="Arial"/>
          <w:sz w:val="18"/>
          <w:szCs w:val="18"/>
          <w:u w:val="single" w:color="auto"/>
          <w:color w:val="auto"/>
        </w:rPr>
        <w:t>Section 8.5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Retention of and Access to Records</w:t>
      </w:r>
      <w:r>
        <w:rPr>
          <w:rFonts w:ascii="Arial" w:cs="Arial" w:eastAsia="Arial" w:hAnsi="Arial"/>
          <w:sz w:val="18"/>
          <w:szCs w:val="18"/>
          <w:color w:val="auto"/>
        </w:rPr>
        <w:t>. From and after the Closing Date:</w:t>
      </w:r>
    </w:p>
    <w:p>
      <w:pPr>
        <w:spacing w:after="0" w:line="117" w:lineRule="exact"/>
        <w:rPr>
          <w:sz w:val="20"/>
          <w:szCs w:val="20"/>
          <w:color w:val="auto"/>
        </w:rPr>
      </w:pPr>
    </w:p>
    <w:p>
      <w:pPr>
        <w:ind w:right="260" w:firstLine="443"/>
        <w:spacing w:after="0" w:line="264" w:lineRule="auto"/>
        <w:tabs>
          <w:tab w:leader="none" w:pos="6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Seller will retain and provide Buyer and its representatives with reasonable access to and copies of all books and records that constitute Retained Assets, during normal business hours and upon reasonable written notice, for any reasonable business purposes specified by Buyer in such notice.</w:t>
      </w:r>
    </w:p>
    <w:p>
      <w:pPr>
        <w:spacing w:after="0" w:line="73" w:lineRule="exact"/>
        <w:rPr>
          <w:rFonts w:ascii="Arial" w:cs="Arial" w:eastAsia="Arial" w:hAnsi="Arial"/>
          <w:sz w:val="18"/>
          <w:szCs w:val="18"/>
          <w:color w:val="auto"/>
        </w:rPr>
      </w:pPr>
    </w:p>
    <w:p>
      <w:pPr>
        <w:jc w:val="both"/>
        <w:ind w:right="20" w:firstLine="443"/>
        <w:spacing w:after="0" w:line="259" w:lineRule="auto"/>
        <w:tabs>
          <w:tab w:leader="none" w:pos="6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Buyer will retain all books and records that constitute Purchased Assets for a period consistent with the retention period assigned in Buyer’s “Records Classification and Retention” policy as in effect on the date hereof, a correct and complete copy of which has been provided to Seller. Solely for purposes of determining the retention period within such policy for the Business’ books and records, such books and records will be retained within such policy as if they had been created by or for the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700" w:top="274" w:right="279" w:bottom="1440" w:gutter="0" w:footer="0" w:header="0"/>
        </w:sectPr>
      </w:pPr>
    </w:p>
    <w:bookmarkStart w:id="61" w:name="page62"/>
    <w:bookmarkEnd w:id="61"/>
    <w:p>
      <w:pPr>
        <w:ind w:left="460"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 of Buyer and its Affiliates. Following the expiration of such period, Buyer may dispose of such books and records; provided that, if requested by Seller prior to the expiration of the applicable retention period, or if requested by Seller after the expiration of the applicable retention period if Buyer is still in the possession or control of the applicable books and records at such time, Buyer shall deliver to Seller, at Seller’s expense, any of such books and records as Seller may request in order to enable Seller to prepare Tax Returns or respond to Tax audits, defend or prosecute any Proceeding involving a Third Party, in connection with accounting or financial reporting requirements applicable to Seller, in order to fulfill Seller’s or any Seller’s Shareholder’s obligations under this Agreement or any Ancillary Document, or for any other reasonable business purpose that does not have an adverse impact on Buyer (and specifically excluding in connection with any enforcement by Seller or any Seller Shareholder of its rights against Buyer or any of its Affiliates under this Agreement).</w:t>
      </w:r>
    </w:p>
    <w:p>
      <w:pPr>
        <w:spacing w:after="0" w:line="19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Preparation of Financial Statements</w:t>
      </w:r>
      <w:r>
        <w:rPr>
          <w:rFonts w:ascii="Arial" w:cs="Arial" w:eastAsia="Arial" w:hAnsi="Arial"/>
          <w:sz w:val="16"/>
          <w:szCs w:val="16"/>
          <w:color w:val="auto"/>
        </w:rPr>
        <w:t>. Seller and the Seller Shareholders acknowledge that Buyer is a public company listed on the New York Stock Exchange and, as such, has certain financial reporting obligations under applicable Law and/or stock exchange requirements, which may require Buyer to file with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on a Current Report on Form 8-K certain audited and unaudited financial statements and related footnotes for the Business for certain periods and pro forma financial statements giving effect to the transactions contemplated hereby, all of which must be prepared in accordance with GAAP consistently applied. In order that Buyer may comply with such obligations, Seller shall, at Seller’s sole cost and expense, prepare and deliver to Buyer no later than 60 days after the Closing, an audited consolidated balance sheet of the Business as at the Closing Date and the related audited consolidated statements of income, statement of cash flows and changes in stockholders’ equity of the Business for period from January 1, 2014 through the Closing Date, in each case with all applicable footnotes, and including a report from Seller’s independent auditor containing an unqualified opinion that such financial statements present fairly, in all material respects, the financial position of the Business and the results of operations in accordance with GAAP consistently applied (the “</w:t>
      </w:r>
      <w:r>
        <w:rPr>
          <w:rFonts w:ascii="Arial" w:cs="Arial" w:eastAsia="Arial" w:hAnsi="Arial"/>
          <w:sz w:val="16"/>
          <w:szCs w:val="16"/>
          <w:u w:val="single" w:color="auto"/>
          <w:color w:val="auto"/>
        </w:rPr>
        <w:t>Required Post-Closing Financial Statements</w:t>
      </w:r>
      <w:r>
        <w:rPr>
          <w:rFonts w:ascii="Arial" w:cs="Arial" w:eastAsia="Arial" w:hAnsi="Arial"/>
          <w:sz w:val="16"/>
          <w:szCs w:val="16"/>
          <w:color w:val="auto"/>
        </w:rPr>
        <w:t>”). Seller shall use its best efforts to assist with obtaining all the consents required from accounting firms for Buyer to file the Required Post-Closing Financial Statements with the SEC no later than 75 days after the Closing Date.</w:t>
      </w:r>
    </w:p>
    <w:p>
      <w:pPr>
        <w:spacing w:after="0" w:line="1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Iron Mountain Operations</w:t>
      </w:r>
      <w:r>
        <w:rPr>
          <w:rFonts w:ascii="Arial" w:cs="Arial" w:eastAsia="Arial" w:hAnsi="Arial"/>
          <w:sz w:val="17"/>
          <w:szCs w:val="17"/>
          <w:color w:val="auto"/>
        </w:rPr>
        <w:t xml:space="preserve">. Until March 31, 2018 (which is the initial termination date of the existing collective bargaining agreement between IBEW and Seller), Buyer will conduct a significant portion of the Business in Iron Mountain, MI so long as, during such period, there occurs no damage to the Owned Real Property, whether caused by accident, fire, flood, excessive snow fall, tornado, the exercise by any Person of rights to mine iron ore and any other minerals or fossils, in, under or upon the Owned Real Property, or otherwise, that causes a material disruption to the operations or profitability of the Business for more than a temporary period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covenant shall be of no further force and effect if either (i) no agreement is reached by December 31, 2014 to the mutual satisfaction of Buyer, Seller and the trustees of the IBEW-LU2221 Health and Welfare Trust as to the transfer of an equitable portion of the assets of such trust (on or as soon as reasonably practicable after the Buyer Employment Start Date) to a new IBEW Union health and welfare plan trust established for IBEW Business Employees who become Hired Business Employees or (ii) by December 31, 2014, IBEW does not agree to enter into a new collective bargaining agreement with Buyer on the same economic terms and termination date as the existing collective bargaining agreement between IBEW and Seller.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62" w:name="page63"/>
    <w:bookmarkEnd w:id="62"/>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Seller, each Seller Shareholder and Buyer agree that, from time to time, from and after the Closing Date, each of them will execute and deliver such further instruments of conveyance and transfer and take such other action as may be necessary to carry out the transactions contemplated by this Agreement. In addition, Seller will provide Buyer with reasonable physical and electronic access to its premises and computers (and will use commercially reasonable efforts to cause any Third Parties who possess or control any of the Purchased Assets to provide Buyer with reasonable physical and electronic access to their premises and computers), and will otherwise provide Buyer with such assistance as Buyer may reasonably request, in order to collect, package and otherwise prepare for delivery to Buyer all Purchased Assets that are in tangible or electronic form.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8.11 </w:t>
      </w:r>
      <w:r>
        <w:rPr>
          <w:rFonts w:ascii="Arial" w:cs="Arial" w:eastAsia="Arial" w:hAnsi="Arial"/>
          <w:sz w:val="16"/>
          <w:szCs w:val="16"/>
          <w:u w:val="single" w:color="auto"/>
          <w:color w:val="auto"/>
        </w:rPr>
        <w:t>Unused Inventory Items</w:t>
      </w:r>
      <w:r>
        <w:rPr>
          <w:rFonts w:ascii="Arial" w:cs="Arial" w:eastAsia="Arial" w:hAnsi="Arial"/>
          <w:sz w:val="16"/>
          <w:szCs w:val="16"/>
          <w:color w:val="auto"/>
        </w:rPr>
        <w:t xml:space="preserve">. In the event any of the items of Inventory included on </w:t>
      </w:r>
      <w:r>
        <w:rPr>
          <w:rFonts w:ascii="Arial" w:cs="Arial" w:eastAsia="Arial" w:hAnsi="Arial"/>
          <w:sz w:val="16"/>
          <w:szCs w:val="16"/>
          <w:u w:val="single" w:color="auto"/>
          <w:color w:val="auto"/>
        </w:rPr>
        <w:t>Schedule 8.11</w:t>
      </w:r>
      <w:r>
        <w:rPr>
          <w:rFonts w:ascii="Arial" w:cs="Arial" w:eastAsia="Arial" w:hAnsi="Arial"/>
          <w:sz w:val="16"/>
          <w:szCs w:val="16"/>
          <w:color w:val="auto"/>
        </w:rPr>
        <w:t xml:space="preserve"> are not sold or used to produce finished goods in the course of operating the Business within thirty (30) months following the Closing, then Seller will pay to Buyer the value (as indicated on </w:t>
      </w:r>
      <w:r>
        <w:rPr>
          <w:rFonts w:ascii="Arial" w:cs="Arial" w:eastAsia="Arial" w:hAnsi="Arial"/>
          <w:sz w:val="16"/>
          <w:szCs w:val="16"/>
          <w:u w:val="single" w:color="auto"/>
          <w:color w:val="auto"/>
        </w:rPr>
        <w:t>Schedule 8.11</w:t>
      </w:r>
      <w:r>
        <w:rPr>
          <w:rFonts w:ascii="Arial" w:cs="Arial" w:eastAsia="Arial" w:hAnsi="Arial"/>
          <w:sz w:val="16"/>
          <w:szCs w:val="16"/>
          <w:color w:val="auto"/>
        </w:rPr>
        <w:t>) of each such unsold and unused item within five (5) Business Days of being provided a written notification by Buyer that lists the unsold and used items. Within fourteen (14) days of receiving the written notice, Seller will have the right to inspect and count the unsold items set forth on such schedule.</w:t>
      </w:r>
    </w:p>
    <w:p>
      <w:pPr>
        <w:spacing w:after="0" w:line="15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Bulk Sales Laws</w:t>
      </w:r>
      <w:r>
        <w:rPr>
          <w:rFonts w:ascii="Arial" w:cs="Arial" w:eastAsia="Arial" w:hAnsi="Arial"/>
          <w:sz w:val="18"/>
          <w:szCs w:val="18"/>
          <w:color w:val="auto"/>
        </w:rPr>
        <w:t>. The parties hereby waive compliance with the provisions of any bulk sales, bulk transfer or similar Laws of any jurisdiction that may otherwise be applicable with respect to the sale of any or all of the Purchased Assets to Buyer.</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Personal Property Taxes</w:t>
      </w:r>
      <w:r>
        <w:rPr>
          <w:rFonts w:ascii="Arial" w:cs="Arial" w:eastAsia="Arial" w:hAnsi="Arial"/>
          <w:sz w:val="18"/>
          <w:szCs w:val="18"/>
          <w:color w:val="auto"/>
        </w:rPr>
        <w:t>. Seller will use its commercially reasonable efforts to cooperate with and assist Buyer in obtaining the benefits, to the extent related to the Business, of the personal property tax exemption granted to Seller by the City of Iron Mountain, Michigan as evidenced by that certain Certification of Personal Property Tax Abatement dated November 9, 2004.</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Conditions to Buyer’s, Seller’s and Seller Shareholders’ Obligations</w:t>
      </w:r>
      <w:r>
        <w:rPr>
          <w:rFonts w:ascii="Arial" w:cs="Arial" w:eastAsia="Arial" w:hAnsi="Arial"/>
          <w:sz w:val="18"/>
          <w:szCs w:val="18"/>
          <w:color w:val="auto"/>
        </w:rPr>
        <w:t>. The respective obligation of each of Buyer on the one hand and Seller and the Seller Shareholders on the other hand to complete the Closing is subject to the satisfaction or waiver (to the extent permitted by Law) of the following conditions precedent:</w:t>
      </w:r>
    </w:p>
    <w:p>
      <w:pPr>
        <w:spacing w:after="0" w:line="73" w:lineRule="exact"/>
        <w:rPr>
          <w:sz w:val="20"/>
          <w:szCs w:val="20"/>
          <w:color w:val="auto"/>
        </w:rPr>
      </w:pPr>
    </w:p>
    <w:p>
      <w:pPr>
        <w:ind w:left="460" w:firstLine="443"/>
        <w:spacing w:after="0" w:line="277" w:lineRule="auto"/>
        <w:tabs>
          <w:tab w:leader="none" w:pos="114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and the transactions contemplated hereby will have been approved (and not rescinded or modified) by the requisite affirmative vote of the Seller Shareholders in accordance with applicable corporate Law and Seller’s Governing Documents;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Law or Order will be in effect prohibiting the Closing (a “</w:t>
      </w:r>
      <w:r>
        <w:rPr>
          <w:rFonts w:ascii="Arial" w:cs="Arial" w:eastAsia="Arial" w:hAnsi="Arial"/>
          <w:sz w:val="18"/>
          <w:szCs w:val="18"/>
          <w:u w:val="single" w:color="auto"/>
          <w:color w:val="auto"/>
        </w:rPr>
        <w:t>Legal Restraint</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63" w:name="page64"/>
    <w:bookmarkEnd w:id="63"/>
    <w:p>
      <w:pPr>
        <w:jc w:val="both"/>
        <w:ind w:left="460" w:right="140" w:firstLine="443"/>
        <w:spacing w:after="0" w:line="279" w:lineRule="auto"/>
        <w:tabs>
          <w:tab w:leader="none" w:pos="1143"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of a favorable determination or expiration of the applicable waiting periods under the Hart-Scott-Rodino Antitrust Improvements Act of 1976, as amended (“</w:t>
      </w:r>
      <w:r>
        <w:rPr>
          <w:rFonts w:ascii="Arial" w:cs="Arial" w:eastAsia="Arial" w:hAnsi="Arial"/>
          <w:sz w:val="17"/>
          <w:szCs w:val="17"/>
          <w:u w:val="single" w:color="auto"/>
          <w:color w:val="auto"/>
        </w:rPr>
        <w:t>HSR Act</w:t>
      </w:r>
      <w:r>
        <w:rPr>
          <w:rFonts w:ascii="Arial" w:cs="Arial" w:eastAsia="Arial" w:hAnsi="Arial"/>
          <w:sz w:val="17"/>
          <w:szCs w:val="17"/>
          <w:color w:val="auto"/>
        </w:rPr>
        <w:t>”), and the regulations thereunder and other antitrust laws relating to the transactions contemplated by this Agreement and there shall not be in effect any voluntary agreement between Buyer and Seller, and the FTC and DOJ, pursuant to which Buyer and Seller have agreed not to consummate the transactions contemplated by this Agreement for any period of time;</w:t>
      </w:r>
    </w:p>
    <w:p>
      <w:pPr>
        <w:spacing w:after="0" w:line="63" w:lineRule="exact"/>
        <w:rPr>
          <w:rFonts w:ascii="Arial" w:cs="Arial" w:eastAsia="Arial" w:hAnsi="Arial"/>
          <w:sz w:val="17"/>
          <w:szCs w:val="17"/>
          <w:color w:val="auto"/>
        </w:rPr>
      </w:pPr>
    </w:p>
    <w:p>
      <w:pPr>
        <w:ind w:left="460" w:right="420" w:firstLine="443"/>
        <w:spacing w:after="0" w:line="277" w:lineRule="auto"/>
        <w:tabs>
          <w:tab w:leader="none" w:pos="115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Employment Agreement (in the form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 shall have been approved by the Compensation Committee of the Board of Directors of Buyer; and</w:t>
      </w:r>
    </w:p>
    <w:p>
      <w:pPr>
        <w:spacing w:after="0" w:line="62" w:lineRule="exact"/>
        <w:rPr>
          <w:rFonts w:ascii="Arial" w:cs="Arial" w:eastAsia="Arial" w:hAnsi="Arial"/>
          <w:sz w:val="18"/>
          <w:szCs w:val="18"/>
          <w:color w:val="auto"/>
        </w:rPr>
      </w:pPr>
    </w:p>
    <w:p>
      <w:pPr>
        <w:ind w:left="460" w:firstLine="443"/>
        <w:spacing w:after="0" w:line="271" w:lineRule="auto"/>
        <w:tabs>
          <w:tab w:leader="none" w:pos="1143"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Proceeding will be pending or threatened in writing (or to each party’s actual knowledge, otherwise threatened) by any Authority or other Third Party against Seller, any Seller Shareholder, the Seller Board, Buyer, or any other Person (i) arising from or relating to this Agreement or any of the transactions contemplated hereby; (ii) seeking to prohibit or impose any limitations on Buyer’s direct or indirect (whether through one or more Subsidiaries or otherwise) ownership or operation of the Purchased Assets, or to compel any such Person to dispose of or hold separate any portion of the Purchased Assets; (iii) seeking to limit the right of Buyer or any of its Affiliates to acquire or hold, or exercise full rights of ownership of, the Purchased Assets; (iv) seeking to prohibit Buyer or any of its Affiliates from effectively controlling the Purchased Assets; or (v) which otherwise would reasonably be expected to have a Material Adverse Effect; and no Law or Order will be in effect that would, or would reasonably be expected to, result directly or indirectly in any of the foregoing consequences.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Conditions to Buyer’s Obligations</w:t>
      </w:r>
      <w:r>
        <w:rPr>
          <w:rFonts w:ascii="Arial" w:cs="Arial" w:eastAsia="Arial" w:hAnsi="Arial"/>
          <w:sz w:val="16"/>
          <w:szCs w:val="16"/>
          <w:color w:val="auto"/>
        </w:rPr>
        <w:t>. The obligation of Buyer to complete the Closing is subject to the satisfaction or waiver (in the sole discretion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Buyer) of each of the following conditions precedent (in addition to those contained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103" w:lineRule="exact"/>
        <w:rPr>
          <w:sz w:val="20"/>
          <w:szCs w:val="20"/>
          <w:color w:val="auto"/>
        </w:rPr>
      </w:pPr>
    </w:p>
    <w:p>
      <w:pPr>
        <w:ind w:left="460" w:right="280" w:firstLine="443"/>
        <w:spacing w:after="0" w:line="277" w:lineRule="auto"/>
        <w:tabs>
          <w:tab w:leader="none" w:pos="11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sole holder of voting capital stock of Seller will not have rescinded, purported to have rescinded or otherwise challenged the validity or enforceability of his signature on the Written Consent;</w:t>
      </w:r>
    </w:p>
    <w:p>
      <w:pPr>
        <w:spacing w:after="0" w:line="62" w:lineRule="exact"/>
        <w:rPr>
          <w:rFonts w:ascii="Arial" w:cs="Arial" w:eastAsia="Arial" w:hAnsi="Arial"/>
          <w:sz w:val="18"/>
          <w:szCs w:val="18"/>
          <w:color w:val="auto"/>
        </w:rPr>
      </w:pPr>
    </w:p>
    <w:p>
      <w:pPr>
        <w:ind w:left="460" w:right="120" w:firstLine="443"/>
        <w:spacing w:after="0" w:line="257" w:lineRule="auto"/>
        <w:tabs>
          <w:tab w:leader="none" w:pos="115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representations and warranties of Seller and the Seller Shareholders contained in this Agreement that are (i) qualified as to materiality or by reference to a Material Adverse Effect will be accurate in all respects or (ii) not so qualified will be accurate in all material respects, in each case as of the date of this Agreement and as of the Closing Date as though made on the Closing Date (without taking into account any disclosures of discoveries, events or occurrences arising on or after the date hereof), except that any such representations or warranties which expressly relate to an earlier date need only have been accurate as of such date;</w:t>
      </w:r>
    </w:p>
    <w:p>
      <w:pPr>
        <w:spacing w:after="0" w:line="80" w:lineRule="exact"/>
        <w:rPr>
          <w:rFonts w:ascii="Arial" w:cs="Arial" w:eastAsia="Arial" w:hAnsi="Arial"/>
          <w:sz w:val="18"/>
          <w:szCs w:val="18"/>
          <w:color w:val="auto"/>
        </w:rPr>
      </w:pPr>
    </w:p>
    <w:p>
      <w:pPr>
        <w:ind w:left="460" w:right="140" w:firstLine="443"/>
        <w:spacing w:after="0" w:line="277" w:lineRule="auto"/>
        <w:tabs>
          <w:tab w:leader="none" w:pos="1143"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Seller and the Seller Shareholders will have performed in all material respects each of the obligations they are required to perform at or prior to the Closing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4" w:name="page65"/>
    <w:bookmarkEnd w:id="64"/>
    <w:p>
      <w:pPr>
        <w:ind w:left="460" w:firstLine="443"/>
        <w:spacing w:after="0" w:line="277" w:lineRule="auto"/>
        <w:tabs>
          <w:tab w:leader="none" w:pos="1153"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change, effect, event, violation, inaccuracy, circumstance or condition will have occurred or will exist which has had or would reasonably be expected to have a Material Adverse Effect;</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1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Buyer will have received the Title Policy or a suitably marked up Commitment referenced in </w:t>
      </w:r>
      <w:r>
        <w:rPr>
          <w:rFonts w:ascii="Arial" w:cs="Arial" w:eastAsia="Arial" w:hAnsi="Arial"/>
          <w:sz w:val="18"/>
          <w:szCs w:val="18"/>
          <w:u w:val="single" w:color="auto"/>
          <w:color w:val="auto"/>
        </w:rPr>
        <w:t>Section 7.5(c)</w:t>
      </w:r>
      <w:r>
        <w:rPr>
          <w:rFonts w:ascii="Arial" w:cs="Arial" w:eastAsia="Arial" w:hAnsi="Arial"/>
          <w:sz w:val="18"/>
          <w:szCs w:val="18"/>
          <w:color w:val="auto"/>
        </w:rPr>
        <w:t xml:space="preserve"> and the same, as well as the survey for the Owned Real Estate, shall be satisfactory to Buyer in its sole discretion; and</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Buyer will have received all of the certificates, Required Consents and other documents specified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Conditions to Obligation of Seller and Seller Shareholders</w:t>
      </w:r>
      <w:r>
        <w:rPr>
          <w:rFonts w:ascii="Arial" w:cs="Arial" w:eastAsia="Arial" w:hAnsi="Arial"/>
          <w:sz w:val="18"/>
          <w:szCs w:val="18"/>
          <w:color w:val="auto"/>
        </w:rPr>
        <w:t xml:space="preserve">. The obligation of Seller and Seller Shareholders to complete the transactions contemplated by this Agreement is subject to the satisfaction or waiver (in the sole discretion of Seller) of each of the following conditions precedent (in addition to those contained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73" w:lineRule="exact"/>
        <w:rPr>
          <w:sz w:val="20"/>
          <w:szCs w:val="20"/>
          <w:color w:val="auto"/>
        </w:rPr>
      </w:pPr>
    </w:p>
    <w:p>
      <w:pPr>
        <w:ind w:left="460" w:right="200" w:firstLine="443"/>
        <w:spacing w:after="0" w:line="257" w:lineRule="auto"/>
        <w:tabs>
          <w:tab w:leader="none" w:pos="114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representations and warranties of Buyer contained in this Agreement that are (i) qualified as to materiality or by reference to material adverse effect will be accurate in all respects or (ii) not so qualified will be accurate in all material respects, in each case as of the date of this Agreement and as of the Closing Date as though made on the Closing Date (without taking into account any disclosures of discoveries, events or occurrences arising on or after the date hereof), except that any such representations or warranties which expressly refer to an earlier date need only have been accurate as of that earlier date;</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Buyer will have performed in all material respects each of the obligations it is required to perform at or prior to the Closing; and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Seller will have received from Buyer all of the certificates and other documents specified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Closing may be abandoned, at any time prior to the Closing:</w:t>
      </w:r>
    </w:p>
    <w:p>
      <w:pPr>
        <w:spacing w:after="0" w:line="117" w:lineRule="exact"/>
        <w:rPr>
          <w:sz w:val="20"/>
          <w:szCs w:val="20"/>
          <w:color w:val="auto"/>
        </w:rPr>
      </w:pPr>
    </w:p>
    <w:p>
      <w:pPr>
        <w:ind w:left="1140" w:hanging="237"/>
        <w:spacing w:after="0"/>
        <w:tabs>
          <w:tab w:leader="none" w:pos="1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the mutual written consent of Buyer and Seller;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either Buyer or Seller, upon written notice to the other, if:</w:t>
      </w:r>
    </w:p>
    <w:p>
      <w:pPr>
        <w:spacing w:after="0" w:line="117" w:lineRule="exact"/>
        <w:rPr>
          <w:rFonts w:ascii="Arial" w:cs="Arial" w:eastAsia="Arial" w:hAnsi="Arial"/>
          <w:sz w:val="18"/>
          <w:szCs w:val="18"/>
          <w:color w:val="auto"/>
        </w:rPr>
      </w:pPr>
    </w:p>
    <w:p>
      <w:pPr>
        <w:ind w:left="920" w:right="80" w:firstLine="421"/>
        <w:spacing w:after="0" w:line="302" w:lineRule="auto"/>
        <w:tabs>
          <w:tab w:leader="none" w:pos="1555"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Closing has not occurred on or before December 31, 2014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except that (A) this termination right may not be exercised by a party if that party is then in Breach of this Agreement and the Breach has prevented the Closing from being completed on or before such date and (B) Buyer or Seller by written notice to the other on or before the above-stated Termination Date may extend the Termination Date up to 30 calendar days in the event that all conditions to Closing other than that set forth in </w:t>
      </w:r>
      <w:r>
        <w:rPr>
          <w:rFonts w:ascii="Arial" w:cs="Arial" w:eastAsia="Arial" w:hAnsi="Arial"/>
          <w:sz w:val="16"/>
          <w:szCs w:val="16"/>
          <w:u w:val="single" w:color="auto"/>
          <w:color w:val="auto"/>
        </w:rPr>
        <w:t>Section 9.1(c)</w:t>
      </w:r>
      <w:r>
        <w:rPr>
          <w:rFonts w:ascii="Arial" w:cs="Arial" w:eastAsia="Arial" w:hAnsi="Arial"/>
          <w:sz w:val="16"/>
          <w:szCs w:val="16"/>
          <w:color w:val="auto"/>
        </w:rPr>
        <w:t xml:space="preserve"> have been or are</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274" w:right="359" w:bottom="1440" w:gutter="0" w:footer="0" w:header="0"/>
        </w:sectPr>
      </w:pPr>
    </w:p>
    <w:bookmarkStart w:id="65" w:name="page66"/>
    <w:bookmarkEnd w:id="65"/>
    <w:p>
      <w:pPr>
        <w:ind w:left="92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capable of being satisfied at the time of such extension and the electing party believes in good faith the condition in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is reasonably capable of being satisfied on or prior to such extended Termination Date; or</w:t>
      </w:r>
    </w:p>
    <w:p>
      <w:pPr>
        <w:spacing w:after="0" w:line="62" w:lineRule="exact"/>
        <w:rPr>
          <w:sz w:val="20"/>
          <w:szCs w:val="20"/>
          <w:color w:val="auto"/>
        </w:rPr>
      </w:pPr>
    </w:p>
    <w:p>
      <w:pPr>
        <w:ind w:left="1600" w:hanging="259"/>
        <w:spacing w:after="0"/>
        <w:tabs>
          <w:tab w:leader="none" w:pos="1600"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a Legal Restraint having the effect set forth in </w:t>
      </w:r>
      <w:r>
        <w:rPr>
          <w:rFonts w:ascii="Arial" w:cs="Arial" w:eastAsia="Arial" w:hAnsi="Arial"/>
          <w:sz w:val="17"/>
          <w:szCs w:val="17"/>
          <w:u w:val="single" w:color="auto"/>
          <w:color w:val="auto"/>
        </w:rPr>
        <w:t>Section 9.1(b)</w:t>
      </w:r>
      <w:r>
        <w:rPr>
          <w:rFonts w:ascii="Arial" w:cs="Arial" w:eastAsia="Arial" w:hAnsi="Arial"/>
          <w:sz w:val="17"/>
          <w:szCs w:val="17"/>
          <w:color w:val="auto"/>
        </w:rPr>
        <w:t xml:space="preserve"> is in effect and has become final and not subject to further appeal;</w:t>
      </w:r>
    </w:p>
    <w:p>
      <w:pPr>
        <w:spacing w:after="0" w:line="128" w:lineRule="exact"/>
        <w:rPr>
          <w:rFonts w:ascii="Arial" w:cs="Arial" w:eastAsia="Arial" w:hAnsi="Arial"/>
          <w:sz w:val="17"/>
          <w:szCs w:val="17"/>
          <w:color w:val="auto"/>
        </w:rPr>
      </w:pPr>
    </w:p>
    <w:p>
      <w:pPr>
        <w:ind w:left="460" w:firstLine="443"/>
        <w:spacing w:after="0" w:line="259" w:lineRule="auto"/>
        <w:tabs>
          <w:tab w:leader="none" w:pos="11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by Buyer, upon written notice to Seller, if Seller or any Seller Shareholder is in Breach of this Agreement, the Breach would result in the failure to satisfy one or more of the conditions set forth in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9.2</w:t>
      </w:r>
      <w:r>
        <w:rPr>
          <w:rFonts w:ascii="Arial" w:cs="Arial" w:eastAsia="Arial" w:hAnsi="Arial"/>
          <w:sz w:val="18"/>
          <w:szCs w:val="18"/>
          <w:color w:val="auto"/>
        </w:rPr>
        <w:t>, and in any such case, the Breach is incapable of being cured or, if capable of being cured, has not been cured within 30 days after written notice of default (which notice may also serve as notice of termination if so stated therein) has been delivered to Seller; or</w:t>
      </w:r>
    </w:p>
    <w:p>
      <w:pPr>
        <w:spacing w:after="0" w:line="78" w:lineRule="exact"/>
        <w:rPr>
          <w:rFonts w:ascii="Arial" w:cs="Arial" w:eastAsia="Arial" w:hAnsi="Arial"/>
          <w:sz w:val="18"/>
          <w:szCs w:val="18"/>
          <w:color w:val="auto"/>
        </w:rPr>
      </w:pPr>
    </w:p>
    <w:p>
      <w:pPr>
        <w:jc w:val="both"/>
        <w:ind w:left="460" w:right="120" w:firstLine="443"/>
        <w:spacing w:after="0" w:line="259" w:lineRule="auto"/>
        <w:tabs>
          <w:tab w:leader="none" w:pos="11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by Seller, upon written notice to Buyer, if Buyer is in Breach of this Agreement, the Breach would result in the failure to satisfy one or more of the conditions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9.3</w:t>
      </w:r>
      <w:r>
        <w:rPr>
          <w:rFonts w:ascii="Arial" w:cs="Arial" w:eastAsia="Arial" w:hAnsi="Arial"/>
          <w:sz w:val="18"/>
          <w:szCs w:val="18"/>
          <w:color w:val="auto"/>
        </w:rPr>
        <w:t>, and in any such case, the Breach is incapable of being cured or, if capable of being cured, has not been cured within 30 days after written notice of default (which notice may also serve as notice of termination if so stated therein) has been delivered to Buyer.</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Obligations Upon Termination</w:t>
      </w:r>
      <w:r>
        <w:rPr>
          <w:rFonts w:ascii="Arial" w:cs="Arial" w:eastAsia="Arial" w:hAnsi="Arial"/>
          <w:sz w:val="18"/>
          <w:szCs w:val="18"/>
          <w:color w:val="auto"/>
        </w:rPr>
        <w:t xml:space="preserve">. The right of termination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is in addition to any other rights that Buyer, Seller or a Seller Shareholder may have under this Agreement or otherwise, and the exercise of a right of termination will not constitute an election of remedies and will not preclude an action for damages resulting from a Breach of this Agreement. If this Agreement is terminated, all continuing obligations of the parties under this Agreement will terminate, except that the second sentence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(Access to Information; Confidentiality),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(Confidentiality) insofar as it relates to Buyer Information only,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(Public Announcement),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(Miscellaneous Provisions) will survive indefinitely unless sooner modified or terminated in writing by the parties. In addition, as provided in </w:t>
      </w:r>
      <w:r>
        <w:rPr>
          <w:rFonts w:ascii="Arial" w:cs="Arial" w:eastAsia="Arial" w:hAnsi="Arial"/>
          <w:sz w:val="18"/>
          <w:szCs w:val="18"/>
          <w:u w:val="single" w:color="auto"/>
          <w:color w:val="auto"/>
        </w:rPr>
        <w:t>Section 12.11</w:t>
      </w:r>
      <w:r>
        <w:rPr>
          <w:rFonts w:ascii="Arial" w:cs="Arial" w:eastAsia="Arial" w:hAnsi="Arial"/>
          <w:sz w:val="18"/>
          <w:szCs w:val="18"/>
          <w:color w:val="auto"/>
        </w:rPr>
        <w:t>, the Confidentiality Agreement will remain in effect in accordance with its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 AND INDEMNIFICATION</w:t>
      </w:r>
    </w:p>
    <w:p>
      <w:pPr>
        <w:spacing w:after="0" w:line="21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Subject to the applicable provisions of </w:t>
      </w:r>
      <w:r>
        <w:rPr>
          <w:rFonts w:ascii="Arial" w:cs="Arial" w:eastAsia="Arial" w:hAnsi="Arial"/>
          <w:sz w:val="18"/>
          <w:szCs w:val="18"/>
          <w:u w:val="single" w:color="auto"/>
          <w:color w:val="auto"/>
        </w:rPr>
        <w:t>Section 11.4</w:t>
      </w:r>
      <w:r>
        <w:rPr>
          <w:rFonts w:ascii="Arial" w:cs="Arial" w:eastAsia="Arial" w:hAnsi="Arial"/>
          <w:sz w:val="18"/>
          <w:szCs w:val="18"/>
          <w:color w:val="auto"/>
        </w:rPr>
        <w:t>, all representations, warranties and covenants contained in this Agreement or any Ancillary Document will survive the Closing and the completion of the transactions contemplated by this Agreement. The indemnification rights and other remedies under this Agreement will not be limited or otherwise affected in any manner or to any extent as a result of any investigation made, or any knowledge acquired or capable of being acquired, whether before, at or after the Closing, by a party regarding any actual or potential Breach of a representation, warranty or covenant by another party.</w:t>
      </w:r>
    </w:p>
    <w:p>
      <w:pPr>
        <w:spacing w:after="0" w:line="18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Indemnification of Seller Indemnified Parties</w:t>
      </w:r>
      <w:r>
        <w:rPr>
          <w:rFonts w:ascii="Arial" w:cs="Arial" w:eastAsia="Arial" w:hAnsi="Arial"/>
          <w:sz w:val="18"/>
          <w:szCs w:val="18"/>
          <w:color w:val="auto"/>
        </w:rPr>
        <w:t xml:space="preserve">. Subject to the applicable provisions of </w:t>
      </w:r>
      <w:r>
        <w:rPr>
          <w:rFonts w:ascii="Arial" w:cs="Arial" w:eastAsia="Arial" w:hAnsi="Arial"/>
          <w:sz w:val="18"/>
          <w:szCs w:val="18"/>
          <w:u w:val="single" w:color="auto"/>
          <w:color w:val="auto"/>
        </w:rPr>
        <w:t>Section 11.4</w:t>
      </w:r>
      <w:r>
        <w:rPr>
          <w:rFonts w:ascii="Arial" w:cs="Arial" w:eastAsia="Arial" w:hAnsi="Arial"/>
          <w:sz w:val="18"/>
          <w:szCs w:val="18"/>
          <w:color w:val="auto"/>
        </w:rPr>
        <w:t>, Buyer will indemnify in full the Seller Shareholders, Seller and 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6" w:name="page67"/>
    <w:bookmarkEnd w:id="66"/>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directors, employees and agents (collectively, the “</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and hold them harmless from and against, any and all Losses which they or any of them may suffer or incur, directly or indirectly, regardless of when suffered or incurred and whether or not involving a claim by a Third Party, which arise from or relate to:</w:t>
      </w:r>
    </w:p>
    <w:p>
      <w:pPr>
        <w:spacing w:after="0" w:line="73" w:lineRule="exact"/>
        <w:rPr>
          <w:sz w:val="20"/>
          <w:szCs w:val="20"/>
          <w:color w:val="auto"/>
        </w:rPr>
      </w:pPr>
    </w:p>
    <w:p>
      <w:pPr>
        <w:ind w:left="460" w:firstLine="443"/>
        <w:spacing w:after="0" w:line="277" w:lineRule="auto"/>
        <w:tabs>
          <w:tab w:leader="none" w:pos="1143"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of a representation or warranty by Buyer in this Agreement or in any Ancillary Document, determined in each case without giving effect to any materiality or material adverse effect qualifiers therein;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of a covenant, agreement or undertaking of Buyer in this Agreement;</w:t>
      </w:r>
    </w:p>
    <w:p>
      <w:pPr>
        <w:spacing w:after="0" w:line="117" w:lineRule="exact"/>
        <w:rPr>
          <w:rFonts w:ascii="Arial" w:cs="Arial" w:eastAsia="Arial" w:hAnsi="Arial"/>
          <w:sz w:val="18"/>
          <w:szCs w:val="18"/>
          <w:color w:val="auto"/>
        </w:rPr>
      </w:pPr>
    </w:p>
    <w:p>
      <w:pPr>
        <w:ind w:left="460" w:right="80" w:firstLine="443"/>
        <w:spacing w:after="0" w:line="286" w:lineRule="auto"/>
        <w:tabs>
          <w:tab w:leader="none" w:pos="114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Assumed Liabilities (regardless of whether there has been any Breach or whether the Losses are recoverable under any other provision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except to the extent such matter, or the same or substantially similar facts and circumstances giving rise to such indemnification claim under this </w:t>
      </w:r>
      <w:r>
        <w:rPr>
          <w:rFonts w:ascii="Arial" w:cs="Arial" w:eastAsia="Arial" w:hAnsi="Arial"/>
          <w:sz w:val="17"/>
          <w:szCs w:val="17"/>
          <w:u w:val="single" w:color="auto"/>
          <w:color w:val="auto"/>
        </w:rPr>
        <w:t>Section 11.2(c)</w:t>
      </w:r>
      <w:r>
        <w:rPr>
          <w:rFonts w:ascii="Arial" w:cs="Arial" w:eastAsia="Arial" w:hAnsi="Arial"/>
          <w:sz w:val="17"/>
          <w:szCs w:val="17"/>
          <w:color w:val="auto"/>
        </w:rPr>
        <w:t xml:space="preserve">, also gives rise to a claim for indemnification by a Buyer Indemnified Party under </w:t>
      </w:r>
      <w:r>
        <w:rPr>
          <w:rFonts w:ascii="Arial" w:cs="Arial" w:eastAsia="Arial" w:hAnsi="Arial"/>
          <w:sz w:val="17"/>
          <w:szCs w:val="17"/>
          <w:u w:val="single" w:color="auto"/>
          <w:color w:val="auto"/>
        </w:rPr>
        <w:t>Section 11.3</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60" w:right="120" w:firstLine="443"/>
        <w:spacing w:after="0" w:line="264" w:lineRule="auto"/>
        <w:tabs>
          <w:tab w:leader="none" w:pos="1153"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any and all Taxes arising out of the Business or ownership or use of the Purchased Assets for any period commencing after the Closing Date provided that such Taxes are not included in the Retained Liabilities, except to the extent that any Buyer Indemnified Party would be entitled to indemnification for such matter under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right="20" w:firstLine="443"/>
        <w:spacing w:after="0" w:line="276" w:lineRule="auto"/>
        <w:tabs>
          <w:tab w:leader="none" w:pos="1143"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all Liabilities otherwise arising from or relating to Buyer’s use, ownership or operation of the Purchased Assets or the operation of the Business after the Closing (regardless of whether there has been any Breach or whether the Losses are recoverable under any other provision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except (i) to the extent such matter, or the same or substantially similar facts and circumstances giving rise to such indemnification claim under this </w:t>
      </w:r>
      <w:r>
        <w:rPr>
          <w:rFonts w:ascii="Arial" w:cs="Arial" w:eastAsia="Arial" w:hAnsi="Arial"/>
          <w:sz w:val="17"/>
          <w:szCs w:val="17"/>
          <w:u w:val="single" w:color="auto"/>
          <w:color w:val="auto"/>
        </w:rPr>
        <w:t>Section 11.2(e)</w:t>
      </w:r>
      <w:r>
        <w:rPr>
          <w:rFonts w:ascii="Arial" w:cs="Arial" w:eastAsia="Arial" w:hAnsi="Arial"/>
          <w:sz w:val="17"/>
          <w:szCs w:val="17"/>
          <w:color w:val="auto"/>
        </w:rPr>
        <w:t xml:space="preserve">, also gives rise to a claim for indemnification by a Buyer Indemnified Party under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(ii) for such matters for which Seller is responsible under the Transition Services Agreement or Personnel Agreement; or</w:t>
      </w:r>
    </w:p>
    <w:p>
      <w:pPr>
        <w:spacing w:after="0" w:line="64" w:lineRule="exact"/>
        <w:rPr>
          <w:rFonts w:ascii="Arial" w:cs="Arial" w:eastAsia="Arial" w:hAnsi="Arial"/>
          <w:sz w:val="17"/>
          <w:szCs w:val="17"/>
          <w:color w:val="auto"/>
        </w:rPr>
      </w:pPr>
    </w:p>
    <w:p>
      <w:pPr>
        <w:ind w:left="460" w:right="320" w:firstLine="443"/>
        <w:spacing w:after="0" w:line="342" w:lineRule="auto"/>
        <w:tabs>
          <w:tab w:leader="none" w:pos="1123"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any and all reasonable costs and expenses, including reasonable legal fees and expenses, in connection with enforcing the indemnification rights of the Seller Indemnified Parties pursuant to this </w:t>
      </w:r>
      <w:r>
        <w:rPr>
          <w:rFonts w:ascii="Arial" w:cs="Arial" w:eastAsia="Arial" w:hAnsi="Arial"/>
          <w:sz w:val="16"/>
          <w:szCs w:val="16"/>
          <w:u w:val="single" w:color="auto"/>
          <w:color w:val="auto"/>
        </w:rPr>
        <w:t>Section 11.2</w:t>
      </w:r>
      <w:r>
        <w:rPr>
          <w:rFonts w:ascii="Arial" w:cs="Arial" w:eastAsia="Arial" w:hAnsi="Arial"/>
          <w:sz w:val="16"/>
          <w:szCs w:val="16"/>
          <w:color w:val="auto"/>
        </w:rPr>
        <w:t>, in each case to the extent that such enforcement is successful.</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Indemnification of Buyer Indemnified Parties</w:t>
      </w:r>
      <w:r>
        <w:rPr>
          <w:rFonts w:ascii="Arial" w:cs="Arial" w:eastAsia="Arial" w:hAnsi="Arial"/>
          <w:sz w:val="18"/>
          <w:szCs w:val="18"/>
          <w:color w:val="auto"/>
        </w:rPr>
        <w:t>.</w:t>
      </w:r>
    </w:p>
    <w:p>
      <w:pPr>
        <w:spacing w:after="0" w:line="117" w:lineRule="exact"/>
        <w:rPr>
          <w:sz w:val="20"/>
          <w:szCs w:val="20"/>
          <w:color w:val="auto"/>
        </w:rPr>
      </w:pPr>
    </w:p>
    <w:p>
      <w:pPr>
        <w:jc w:val="both"/>
        <w:ind w:left="460" w:right="100" w:firstLine="443"/>
        <w:spacing w:after="0" w:line="279" w:lineRule="auto"/>
        <w:tabs>
          <w:tab w:leader="none" w:pos="1143"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Subject to the applicable provisions of </w:t>
      </w:r>
      <w:r>
        <w:rPr>
          <w:rFonts w:ascii="Arial" w:cs="Arial" w:eastAsia="Arial" w:hAnsi="Arial"/>
          <w:sz w:val="17"/>
          <w:szCs w:val="17"/>
          <w:u w:val="single" w:color="auto"/>
          <w:color w:val="auto"/>
        </w:rPr>
        <w:t>Section 11.4</w:t>
      </w:r>
      <w:r>
        <w:rPr>
          <w:rFonts w:ascii="Arial" w:cs="Arial" w:eastAsia="Arial" w:hAnsi="Arial"/>
          <w:sz w:val="17"/>
          <w:szCs w:val="17"/>
          <w:color w:val="auto"/>
        </w:rPr>
        <w:t>, Seller and the Seller Shareholders will jointly and severally indemnify in full Buyer and each of Buyer’s Affiliates, together with their respective officers, directors, employees and agents (collectively, the “</w:t>
      </w:r>
      <w:r>
        <w:rPr>
          <w:rFonts w:ascii="Arial" w:cs="Arial" w:eastAsia="Arial" w:hAnsi="Arial"/>
          <w:sz w:val="17"/>
          <w:szCs w:val="17"/>
          <w:u w:val="single" w:color="auto"/>
          <w:color w:val="auto"/>
        </w:rPr>
        <w:t>Buyer Indemnified Parties</w:t>
      </w:r>
      <w:r>
        <w:rPr>
          <w:rFonts w:ascii="Arial" w:cs="Arial" w:eastAsia="Arial" w:hAnsi="Arial"/>
          <w:sz w:val="17"/>
          <w:szCs w:val="17"/>
          <w:color w:val="auto"/>
        </w:rPr>
        <w:t>”), and hold them harmless from and against, any and all Losses which they or any of them may suffer or incur, directly or indirectly, regardless of when suffered or incurred and whether or not involving a claim by a Third Party, which arise from or relate to:</w:t>
      </w:r>
    </w:p>
    <w:p>
      <w:pPr>
        <w:spacing w:after="0" w:line="63" w:lineRule="exact"/>
        <w:rPr>
          <w:rFonts w:ascii="Arial" w:cs="Arial" w:eastAsia="Arial" w:hAnsi="Arial"/>
          <w:sz w:val="17"/>
          <w:szCs w:val="17"/>
          <w:color w:val="auto"/>
        </w:rPr>
      </w:pPr>
    </w:p>
    <w:p>
      <w:pPr>
        <w:ind w:left="920" w:right="40" w:firstLine="421"/>
        <w:spacing w:after="0" w:line="259" w:lineRule="auto"/>
        <w:tabs>
          <w:tab w:leader="none" w:pos="1555"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any Breach of a representation or warranty by Seller or any Seller Shareholder under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 or in any Ancillary Document, determined in each case (except for the representations and warranties set forth in (</w:t>
      </w:r>
      <w:r>
        <w:rPr>
          <w:rFonts w:ascii="Arial" w:cs="Arial" w:eastAsia="Arial" w:hAnsi="Arial"/>
          <w:sz w:val="18"/>
          <w:szCs w:val="18"/>
          <w:u w:val="single" w:color="auto"/>
          <w:color w:val="auto"/>
        </w:rPr>
        <w:t>Section 4.7(b)</w:t>
      </w:r>
      <w:r>
        <w:rPr>
          <w:rFonts w:ascii="Arial" w:cs="Arial" w:eastAsia="Arial" w:hAnsi="Arial"/>
          <w:sz w:val="18"/>
          <w:szCs w:val="18"/>
          <w:color w:val="auto"/>
        </w:rPr>
        <w:t xml:space="preserve">, clause (B) of </w:t>
      </w:r>
      <w:r>
        <w:rPr>
          <w:rFonts w:ascii="Arial" w:cs="Arial" w:eastAsia="Arial" w:hAnsi="Arial"/>
          <w:sz w:val="18"/>
          <w:szCs w:val="18"/>
          <w:u w:val="single" w:color="auto"/>
          <w:color w:val="auto"/>
        </w:rPr>
        <w:t>Section 4.17(a)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4.19(a)(xviii)</w:t>
      </w:r>
      <w:r>
        <w:rPr>
          <w:rFonts w:ascii="Arial" w:cs="Arial" w:eastAsia="Arial" w:hAnsi="Arial"/>
          <w:sz w:val="18"/>
          <w:szCs w:val="18"/>
          <w:color w:val="auto"/>
        </w:rPr>
        <w:t xml:space="preserve"> and the final sentence of </w:t>
      </w:r>
      <w:r>
        <w:rPr>
          <w:rFonts w:ascii="Arial" w:cs="Arial" w:eastAsia="Arial" w:hAnsi="Arial"/>
          <w:sz w:val="18"/>
          <w:szCs w:val="18"/>
          <w:u w:val="single" w:color="auto"/>
          <w:color w:val="auto"/>
        </w:rPr>
        <w:t>Section 4.21(a)</w:t>
      </w:r>
      <w:r>
        <w:rPr>
          <w:rFonts w:ascii="Arial" w:cs="Arial" w:eastAsia="Arial" w:hAnsi="Arial"/>
          <w:sz w:val="18"/>
          <w:szCs w:val="18"/>
          <w:color w:val="auto"/>
        </w:rPr>
        <w:t>) without giving effect to any materiality or Material Adverse Effect qualifiers therein;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67" w:name="page68"/>
    <w:bookmarkEnd w:id="67"/>
    <w:p>
      <w:pPr>
        <w:ind w:left="460" w:right="120" w:firstLine="421"/>
        <w:spacing w:after="0" w:line="257" w:lineRule="auto"/>
        <w:tabs>
          <w:tab w:leader="none" w:pos="1145" w:val="left"/>
        </w:tabs>
        <w:numPr>
          <w:ilvl w:val="1"/>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Breach of a covenant, agreement or undertaking of Seller or any Seller Shareholder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indemnification claim may be made by a Buyer Indemnified Party under this </w:t>
      </w:r>
      <w:r>
        <w:rPr>
          <w:rFonts w:ascii="Arial" w:cs="Arial" w:eastAsia="Arial" w:hAnsi="Arial"/>
          <w:sz w:val="18"/>
          <w:szCs w:val="18"/>
          <w:u w:val="single" w:color="auto"/>
          <w:color w:val="auto"/>
        </w:rPr>
        <w:t>Section 11.3(a)(ii)</w:t>
      </w:r>
      <w:r>
        <w:rPr>
          <w:rFonts w:ascii="Arial" w:cs="Arial" w:eastAsia="Arial" w:hAnsi="Arial"/>
          <w:sz w:val="18"/>
          <w:szCs w:val="18"/>
          <w:color w:val="auto"/>
        </w:rPr>
        <w:t xml:space="preserve"> as a result of a breach of a covenant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11.3(a)(i)</w:t>
      </w:r>
      <w:r>
        <w:rPr>
          <w:rFonts w:ascii="Arial" w:cs="Arial" w:eastAsia="Arial" w:hAnsi="Arial"/>
          <w:sz w:val="18"/>
          <w:szCs w:val="18"/>
          <w:color w:val="auto"/>
        </w:rPr>
        <w:t xml:space="preserve"> as a result of a breach of a warranty and representation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in either case resulting from the same events or circumstances, then the applicable Buyer Indemnified Party shall not seek recourse for such matter under this </w:t>
      </w:r>
      <w:r>
        <w:rPr>
          <w:rFonts w:ascii="Arial" w:cs="Arial" w:eastAsia="Arial" w:hAnsi="Arial"/>
          <w:sz w:val="18"/>
          <w:szCs w:val="18"/>
          <w:u w:val="single" w:color="auto"/>
          <w:color w:val="auto"/>
        </w:rPr>
        <w:t>Section 11.3(a)(ii)</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60" w:right="500" w:firstLine="421"/>
        <w:spacing w:after="0" w:line="277" w:lineRule="auto"/>
        <w:tabs>
          <w:tab w:leader="none" w:pos="119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Retained Liabilities (regardless of whether there has been any Breach or whether the Losses are recoverable under any other provision of this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460" w:right="60" w:firstLine="421"/>
        <w:spacing w:after="0" w:line="264" w:lineRule="auto"/>
        <w:tabs>
          <w:tab w:leader="none" w:pos="118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all Liabilities otherwise arising from or relating to Seller’s use, ownership or operation of the Purchased Assets or the operation of the Business prior to the Closing (regardless of whether there has been any Breach or whether the Losses are recoverable under any other provision of this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firstLine="421"/>
        <w:spacing w:after="0" w:line="277" w:lineRule="auto"/>
        <w:tabs>
          <w:tab w:leader="none" w:pos="11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Liabilities arising from or relating to any transactions involving any capital stock or other equity of Seller, whether occurring among current or former shareholders of Seller;</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matters set forth on </w:t>
      </w:r>
      <w:r>
        <w:rPr>
          <w:rFonts w:ascii="Arial" w:cs="Arial" w:eastAsia="Arial" w:hAnsi="Arial"/>
          <w:sz w:val="18"/>
          <w:szCs w:val="18"/>
          <w:u w:val="single" w:color="auto"/>
          <w:color w:val="auto"/>
        </w:rPr>
        <w:t>Schedule 11.3</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60" w:right="460" w:firstLine="421"/>
        <w:spacing w:after="0" w:line="264" w:lineRule="auto"/>
        <w:tabs>
          <w:tab w:leader="none" w:pos="123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any and all costs and expenses, including reasonable legal fees and expenses, incurred in connection with enforcing the indemnification rights of the Buyer Indemnified Parties pursuant to this </w:t>
      </w:r>
      <w:r>
        <w:rPr>
          <w:rFonts w:ascii="Arial" w:cs="Arial" w:eastAsia="Arial" w:hAnsi="Arial"/>
          <w:sz w:val="18"/>
          <w:szCs w:val="18"/>
          <w:u w:val="single" w:color="auto"/>
          <w:color w:val="auto"/>
        </w:rPr>
        <w:t>Section 11.3(a)</w:t>
      </w:r>
      <w:r>
        <w:rPr>
          <w:rFonts w:ascii="Arial" w:cs="Arial" w:eastAsia="Arial" w:hAnsi="Arial"/>
          <w:sz w:val="18"/>
          <w:szCs w:val="18"/>
          <w:color w:val="auto"/>
        </w:rPr>
        <w:t>, in each case to the extent that such enforcement is successful.</w:t>
      </w:r>
    </w:p>
    <w:p>
      <w:pPr>
        <w:spacing w:after="0" w:line="73" w:lineRule="exact"/>
        <w:rPr>
          <w:rFonts w:ascii="Arial" w:cs="Arial" w:eastAsia="Arial" w:hAnsi="Arial"/>
          <w:sz w:val="18"/>
          <w:szCs w:val="18"/>
          <w:color w:val="auto"/>
        </w:rPr>
      </w:pPr>
    </w:p>
    <w:p>
      <w:pPr>
        <w:ind w:right="40" w:firstLine="443"/>
        <w:spacing w:after="0" w:line="286" w:lineRule="auto"/>
        <w:tabs>
          <w:tab w:leader="none" w:pos="693"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Subject to the applicable provisions of </w:t>
      </w:r>
      <w:r>
        <w:rPr>
          <w:rFonts w:ascii="Arial" w:cs="Arial" w:eastAsia="Arial" w:hAnsi="Arial"/>
          <w:sz w:val="17"/>
          <w:szCs w:val="17"/>
          <w:u w:val="single" w:color="auto"/>
          <w:color w:val="auto"/>
        </w:rPr>
        <w:t>Section 11.4</w:t>
      </w:r>
      <w:r>
        <w:rPr>
          <w:rFonts w:ascii="Arial" w:cs="Arial" w:eastAsia="Arial" w:hAnsi="Arial"/>
          <w:sz w:val="17"/>
          <w:szCs w:val="17"/>
          <w:color w:val="auto"/>
        </w:rPr>
        <w:t>, each Seller Shareholder will severally, but not jointly, indemnify in full the Buyer Indemnified Parties, and hold them harmless from and against, any and all Losses which they or any of them may suffer or incur, directly or indirectly, regardless of when suffered or incurred and whether or not involving a claim by a Third Party, which arise from or relate to:</w:t>
      </w:r>
    </w:p>
    <w:p>
      <w:pPr>
        <w:spacing w:after="0" w:line="57" w:lineRule="exact"/>
        <w:rPr>
          <w:rFonts w:ascii="Arial" w:cs="Arial" w:eastAsia="Arial" w:hAnsi="Arial"/>
          <w:sz w:val="17"/>
          <w:szCs w:val="17"/>
          <w:color w:val="auto"/>
        </w:rPr>
      </w:pPr>
    </w:p>
    <w:p>
      <w:pPr>
        <w:jc w:val="center"/>
        <w:ind w:left="460" w:firstLine="421"/>
        <w:spacing w:after="0" w:line="342" w:lineRule="auto"/>
        <w:tabs>
          <w:tab w:leader="none" w:pos="1095"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any Breach of a representation or warranty by that Seller Shareholder under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Agreement or in any Ancillary Document, determined in each case without giving effect to any materiality, Material Adverse Effect or material adverse effect qualifiers therein;</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00"/>
          </w:cols>
          <w:pgMar w:left="700" w:top="274" w:right="299" w:bottom="1440" w:gutter="0" w:footer="0" w:header="0"/>
        </w:sectPr>
      </w:pPr>
    </w:p>
    <w:bookmarkStart w:id="68" w:name="page69"/>
    <w:bookmarkEnd w:id="68"/>
    <w:p>
      <w:pPr>
        <w:ind w:left="460" w:right="180" w:firstLine="421"/>
        <w:spacing w:after="0" w:line="257" w:lineRule="auto"/>
        <w:tabs>
          <w:tab w:leader="none" w:pos="1145" w:val="left"/>
        </w:tabs>
        <w:numPr>
          <w:ilvl w:val="1"/>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Breach of a covenant, agreement or undertaking by that Seller Shareholder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indemnification claim may be made by a Buyer Indemnified Party under this </w:t>
      </w:r>
      <w:r>
        <w:rPr>
          <w:rFonts w:ascii="Arial" w:cs="Arial" w:eastAsia="Arial" w:hAnsi="Arial"/>
          <w:sz w:val="18"/>
          <w:szCs w:val="18"/>
          <w:u w:val="single" w:color="auto"/>
          <w:color w:val="auto"/>
        </w:rPr>
        <w:t>Section 11.3(b)(ii)</w:t>
      </w:r>
      <w:r>
        <w:rPr>
          <w:rFonts w:ascii="Arial" w:cs="Arial" w:eastAsia="Arial" w:hAnsi="Arial"/>
          <w:sz w:val="18"/>
          <w:szCs w:val="18"/>
          <w:color w:val="auto"/>
        </w:rPr>
        <w:t xml:space="preserve"> as a result of a breach of a covenant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11.3(a)(ii)</w:t>
      </w:r>
      <w:r>
        <w:rPr>
          <w:rFonts w:ascii="Arial" w:cs="Arial" w:eastAsia="Arial" w:hAnsi="Arial"/>
          <w:sz w:val="18"/>
          <w:szCs w:val="18"/>
          <w:color w:val="auto"/>
        </w:rPr>
        <w:t xml:space="preserve"> as a result of a breach of a warranty and representation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in either case resulting from the same events or circumstances, then the applicable Buyer Indemnified Party shall not seek recourse for such matter under this </w:t>
      </w:r>
      <w:r>
        <w:rPr>
          <w:rFonts w:ascii="Arial" w:cs="Arial" w:eastAsia="Arial" w:hAnsi="Arial"/>
          <w:sz w:val="18"/>
          <w:szCs w:val="18"/>
          <w:u w:val="single" w:color="auto"/>
          <w:color w:val="auto"/>
        </w:rPr>
        <w:t>Section 11.3(b)(ii)</w:t>
      </w:r>
      <w:r>
        <w:rPr>
          <w:rFonts w:ascii="Arial" w:cs="Arial" w:eastAsia="Arial" w:hAnsi="Arial"/>
          <w:sz w:val="18"/>
          <w:szCs w:val="18"/>
          <w:color w:val="auto"/>
        </w:rPr>
        <w:t>; or</w:t>
      </w:r>
    </w:p>
    <w:p>
      <w:pPr>
        <w:spacing w:after="0" w:line="80" w:lineRule="exact"/>
        <w:rPr>
          <w:rFonts w:ascii="Arial" w:cs="Arial" w:eastAsia="Arial" w:hAnsi="Arial"/>
          <w:sz w:val="18"/>
          <w:szCs w:val="18"/>
          <w:color w:val="auto"/>
        </w:rPr>
      </w:pPr>
    </w:p>
    <w:p>
      <w:pPr>
        <w:ind w:left="460" w:right="500" w:firstLine="421"/>
        <w:spacing w:after="0" w:line="264" w:lineRule="auto"/>
        <w:tabs>
          <w:tab w:leader="none" w:pos="1195"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any and all costs and expenses, including reasonable legal fees and expenses, incurred in connection with enforcing the indemnification rights of the Buyer Indemnified Parties pursuant to this </w:t>
      </w:r>
      <w:r>
        <w:rPr>
          <w:rFonts w:ascii="Arial" w:cs="Arial" w:eastAsia="Arial" w:hAnsi="Arial"/>
          <w:sz w:val="18"/>
          <w:szCs w:val="18"/>
          <w:u w:val="single" w:color="auto"/>
          <w:color w:val="auto"/>
        </w:rPr>
        <w:t>Section 11.3(b)</w:t>
      </w:r>
      <w:r>
        <w:rPr>
          <w:rFonts w:ascii="Arial" w:cs="Arial" w:eastAsia="Arial" w:hAnsi="Arial"/>
          <w:sz w:val="18"/>
          <w:szCs w:val="18"/>
          <w:color w:val="auto"/>
        </w:rPr>
        <w:t>, in each case to the extent that such enforcement is successful.</w:t>
      </w:r>
    </w:p>
    <w:p>
      <w:pPr>
        <w:spacing w:after="0" w:line="73" w:lineRule="exact"/>
        <w:rPr>
          <w:rFonts w:ascii="Arial" w:cs="Arial" w:eastAsia="Arial" w:hAnsi="Arial"/>
          <w:sz w:val="18"/>
          <w:szCs w:val="18"/>
          <w:color w:val="auto"/>
        </w:rPr>
      </w:pPr>
    </w:p>
    <w:p>
      <w:pPr>
        <w:ind w:right="220" w:firstLine="443"/>
        <w:spacing w:after="0" w:line="279" w:lineRule="auto"/>
        <w:tabs>
          <w:tab w:leader="none" w:pos="683"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Seller and Seller Shareholders acknowledge that Buyer has certain rights to liquidated damages under Section 9(f) of the Employment Agreement and that the payment of such liquidated damages if required under the terms of Section 9(f) of the Employment Agreement shall be made by Seller. Notwithstanding anything to the contrary in this Agreement, it is understood that Seller’s obligation to pay liquidated damages shall not be subject to the Basket but shall in all other respects be subject to the other provisions of this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right="200" w:firstLine="443"/>
        <w:spacing w:after="0" w:line="259" w:lineRule="auto"/>
        <w:tabs>
          <w:tab w:leader="none" w:pos="6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Seller and Seller Shareholders acknowledge that Buyer has certain rights to payments under Section 2.10(c) of the Personnel Agreement including that such payments shall be made by Seller. Notwithstanding anything to the contrary in this Agreement, it is understood that Seller’s obligation to make the payments referred to in the preceding sentence shall not be subject to the Basket but shall in all other respects be subject to the other provision of this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After the Closing, notwithstanding any contrary term herein (i) the Buyer Indemnified Parties may not recover any Losses under</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Section 11.3(a)(i)</w:t>
      </w:r>
      <w:r>
        <w:rPr>
          <w:rFonts w:ascii="Arial" w:cs="Arial" w:eastAsia="Arial" w:hAnsi="Arial"/>
          <w:sz w:val="17"/>
          <w:szCs w:val="17"/>
          <w:color w:val="auto"/>
        </w:rPr>
        <w:t xml:space="preserve"> until the total of all Losses with respect to those matters collectively exceed Seven Hundred Fifty Thousand Dollars ($750,000) (the “</w:t>
      </w:r>
      <w:r>
        <w:rPr>
          <w:rFonts w:ascii="Arial" w:cs="Arial" w:eastAsia="Arial" w:hAnsi="Arial"/>
          <w:sz w:val="17"/>
          <w:szCs w:val="17"/>
          <w:u w:val="single" w:color="auto"/>
          <w:color w:val="auto"/>
        </w:rPr>
        <w:t>Basket</w:t>
      </w:r>
      <w:r>
        <w:rPr>
          <w:rFonts w:ascii="Arial" w:cs="Arial" w:eastAsia="Arial" w:hAnsi="Arial"/>
          <w:sz w:val="17"/>
          <w:szCs w:val="17"/>
          <w:color w:val="auto"/>
        </w:rPr>
        <w:t xml:space="preserve">”), in which case, subject to any other applicable limitations contained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the Buyer Indemnified Parties will be entitled to recover all Losses in excess of the Basket; and (ii) (1) the Buyer Indemnified Parties may not recover any Losses under </w:t>
      </w:r>
      <w:r>
        <w:rPr>
          <w:rFonts w:ascii="Arial" w:cs="Arial" w:eastAsia="Arial" w:hAnsi="Arial"/>
          <w:sz w:val="17"/>
          <w:szCs w:val="17"/>
          <w:u w:val="single" w:color="auto"/>
          <w:color w:val="auto"/>
        </w:rPr>
        <w:t>Section 11.3(a)(i)</w:t>
      </w:r>
      <w:r>
        <w:rPr>
          <w:rFonts w:ascii="Arial" w:cs="Arial" w:eastAsia="Arial" w:hAnsi="Arial"/>
          <w:sz w:val="17"/>
          <w:szCs w:val="17"/>
          <w:color w:val="auto"/>
        </w:rPr>
        <w:t xml:space="preserve"> to the extent that the Losses with respect to those matters collectively exceed Thirty Million Dollars ($30,0000,000) and (2) the Buyer Indemnified Parties may not recover any Losses under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to the extent all Losses with respect to those matters collectively exceed the Purchase Price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Notwithstanding the foregoing, neither the Basket nor the Cap will apply with respect to any Breach of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(Organization, Standing and Corporate Power),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(Authority; Approvals), the last sentence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4.8(a)</w:t>
      </w:r>
      <w:r>
        <w:rPr>
          <w:rFonts w:ascii="Arial" w:cs="Arial" w:eastAsia="Arial" w:hAnsi="Arial"/>
          <w:sz w:val="17"/>
          <w:szCs w:val="17"/>
          <w:color w:val="auto"/>
        </w:rPr>
        <w:t xml:space="preserve"> or the first sentence of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(Title),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(Inventory),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(Tax Matters) or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(Brokers) or to any claims based on fraud, knowing and intentional misconduct or willful misconduct, and the Losses associated with any such Breaches will not count toward the Basket or Cap for determining the recoverability of other Losses.</w:t>
      </w:r>
    </w:p>
    <w:p>
      <w:pPr>
        <w:spacing w:after="0" w:line="72" w:lineRule="exact"/>
        <w:rPr>
          <w:sz w:val="20"/>
          <w:szCs w:val="20"/>
          <w:color w:val="auto"/>
        </w:rPr>
      </w:pPr>
    </w:p>
    <w:p>
      <w:pPr>
        <w:ind w:right="200" w:firstLine="443"/>
        <w:spacing w:after="0" w:line="264" w:lineRule="auto"/>
        <w:tabs>
          <w:tab w:leader="none" w:pos="6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Subject to the foregoing limitations, the amount of any Losses to which a Buyer Indemnified Party is entitled to indemnification under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will be recovered in the following manner, (i) first, to the extent of any outstanding unpaid principal balance owed under the Promissory Note by offset against such balance of the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74" w:right="239" w:bottom="1440" w:gutter="0" w:footer="0" w:header="0"/>
        </w:sectPr>
      </w:pPr>
    </w:p>
    <w:bookmarkStart w:id="69" w:name="page70"/>
    <w:bookmarkEnd w:id="6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such Losses, plus interest accrued on the amount of such Losses at the interest rate applicable under the Promissory Note from the date of the Promissory Note until the date of such offset or other recovery, following written notice of offset from Buyer to Seller, and (ii) second, to the extent the Losses and such interest exceed the amounts available to offset under the Promissory Note, by payment directly from Seller and/or the Seller Shareholders (with full recourse against each of them and all of their assets). If Seller or any Seller Shareholder becomes obligated to indemnify a Buyer Indemnified Party directly, such indemnification obligations shall be paid within five Business Days of Seller or such Seller Shareholder agreeing such indemnification obligation is payable or the Buyer Indemnified Party receives a judgment in its favor with respect to the applicable claim. Any exercise of such right of offset under the Promissory Note in good faith, whether or not ultimately determined to be justified, will not constitute a breach of this Agreement or the Promissory Note, provided that if ultimately determined that any amount of principal of such offset was not justified, then (x) any default interest rate provided under the Promissory Note will be deemed to have been accruing on the account of such principal (in addition to the base interest rate) during the period from the initial offset until paid in full and (y) Seller shall have the right to recover any out-of-pocket costs, including reasonable attorney’s fees, arising in connection with such offset.</w:t>
      </w:r>
    </w:p>
    <w:p>
      <w:pPr>
        <w:spacing w:after="0" w:line="75" w:lineRule="exact"/>
        <w:rPr>
          <w:sz w:val="20"/>
          <w:szCs w:val="20"/>
          <w:color w:val="auto"/>
        </w:rPr>
      </w:pPr>
    </w:p>
    <w:p>
      <w:pPr>
        <w:ind w:right="200" w:firstLine="443"/>
        <w:spacing w:after="0" w:line="264" w:lineRule="auto"/>
        <w:tabs>
          <w:tab w:leader="none" w:pos="68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following claims limitations periods will apply, but, for clarity, in each case Losses relating to any claim will be recoverable whenever they are incurred provided notice of the claim is given within the required claims period and the applicable representation will continue to survive for purposes of indemnification for the matter set forth in any claim that is given within the required claims period:</w:t>
      </w:r>
    </w:p>
    <w:p>
      <w:pPr>
        <w:spacing w:after="0" w:line="73" w:lineRule="exact"/>
        <w:rPr>
          <w:rFonts w:ascii="Arial" w:cs="Arial" w:eastAsia="Arial" w:hAnsi="Arial"/>
          <w:sz w:val="18"/>
          <w:szCs w:val="18"/>
          <w:color w:val="auto"/>
        </w:rPr>
      </w:pPr>
    </w:p>
    <w:p>
      <w:pPr>
        <w:ind w:left="460" w:right="40" w:firstLine="421"/>
        <w:spacing w:after="0" w:line="285" w:lineRule="auto"/>
        <w:tabs>
          <w:tab w:leader="none" w:pos="1095" w:val="left"/>
        </w:tabs>
        <w:numPr>
          <w:ilvl w:val="2"/>
          <w:numId w:val="101"/>
        </w:numPr>
        <w:rPr>
          <w:rFonts w:ascii="Arial" w:cs="Arial" w:eastAsia="Arial" w:hAnsi="Arial"/>
          <w:sz w:val="16"/>
          <w:szCs w:val="16"/>
          <w:color w:val="auto"/>
        </w:rPr>
      </w:pPr>
      <w:r>
        <w:rPr>
          <w:rFonts w:ascii="Arial" w:cs="Arial" w:eastAsia="Arial" w:hAnsi="Arial"/>
          <w:sz w:val="16"/>
          <w:szCs w:val="16"/>
          <w:color w:val="auto"/>
        </w:rPr>
        <w:t xml:space="preserve">Claims for indemnification under </w:t>
      </w:r>
      <w:r>
        <w:rPr>
          <w:rFonts w:ascii="Arial" w:cs="Arial" w:eastAsia="Arial" w:hAnsi="Arial"/>
          <w:sz w:val="16"/>
          <w:szCs w:val="16"/>
          <w:u w:val="single" w:color="auto"/>
          <w:color w:val="auto"/>
        </w:rPr>
        <w:t>Sections 11.2(a)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11.3(a)(i)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11.3(b)(i)</w:t>
      </w:r>
      <w:r>
        <w:rPr>
          <w:rFonts w:ascii="Arial" w:cs="Arial" w:eastAsia="Arial" w:hAnsi="Arial"/>
          <w:sz w:val="16"/>
          <w:szCs w:val="16"/>
          <w:color w:val="auto"/>
        </w:rPr>
        <w:t xml:space="preserve"> must be made no later than the 18 month anniversary of the Closing Date, except that claims arising from any Breach of the representations and warranties contained in (1)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(Organization, Standing and Corporate Power),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(Capitalization),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(Authority; Approvals),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(Compliance with Laws; Permits; Regulatory Matters),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(Tax Matters),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(Organization, Standing and Corporate Power),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(Authority; No Breach),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(Organization, Standing and Corporate Power)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(Authority; No Breach) must be made no later than the date that is six</w:t>
      </w:r>
    </w:p>
    <w:p>
      <w:pPr>
        <w:spacing w:after="0" w:line="2" w:lineRule="exact"/>
        <w:rPr>
          <w:rFonts w:ascii="Arial" w:cs="Arial" w:eastAsia="Arial" w:hAnsi="Arial"/>
          <w:sz w:val="16"/>
          <w:szCs w:val="16"/>
          <w:color w:val="auto"/>
        </w:rPr>
      </w:pPr>
    </w:p>
    <w:p>
      <w:pPr>
        <w:ind w:left="460" w:right="140" w:firstLine="1"/>
        <w:spacing w:after="0" w:line="290" w:lineRule="auto"/>
        <w:tabs>
          <w:tab w:leader="none" w:pos="71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years after the Closing Date, (2)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(Employee Benefits) must be made no later than the 36 month anniversary of the Closing Date and (3) </w:t>
      </w:r>
      <w:r>
        <w:rPr>
          <w:rFonts w:ascii="Arial" w:cs="Arial" w:eastAsia="Arial" w:hAnsi="Arial"/>
          <w:sz w:val="17"/>
          <w:szCs w:val="17"/>
          <w:u w:val="single" w:color="auto"/>
          <w:color w:val="auto"/>
        </w:rPr>
        <w:t>Section 4.20</w:t>
      </w:r>
      <w:r>
        <w:rPr>
          <w:rFonts w:ascii="Arial" w:cs="Arial" w:eastAsia="Arial" w:hAnsi="Arial"/>
          <w:sz w:val="17"/>
          <w:szCs w:val="17"/>
          <w:color w:val="auto"/>
        </w:rPr>
        <w:t xml:space="preserve"> (Environmental Matters) must be made no later than the 60 month anniversary of the Closing Date.</w:t>
      </w:r>
    </w:p>
    <w:p>
      <w:pPr>
        <w:spacing w:after="0" w:line="53" w:lineRule="exact"/>
        <w:rPr>
          <w:rFonts w:ascii="Arial" w:cs="Arial" w:eastAsia="Arial" w:hAnsi="Arial"/>
          <w:sz w:val="17"/>
          <w:szCs w:val="17"/>
          <w:color w:val="auto"/>
        </w:rPr>
      </w:pPr>
    </w:p>
    <w:p>
      <w:pPr>
        <w:ind w:left="1140" w:hanging="259"/>
        <w:spacing w:after="0"/>
        <w:tabs>
          <w:tab w:leader="none" w:pos="114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 xml:space="preserve">All other claims for indemnification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must be made no later than the date that is six (6) years after the Closing Date.</w:t>
      </w:r>
    </w:p>
    <w:p>
      <w:pPr>
        <w:spacing w:after="0" w:line="140" w:lineRule="exact"/>
        <w:rPr>
          <w:rFonts w:ascii="Arial" w:cs="Arial" w:eastAsia="Arial" w:hAnsi="Arial"/>
          <w:sz w:val="16"/>
          <w:szCs w:val="16"/>
          <w:color w:val="auto"/>
        </w:rPr>
      </w:pPr>
    </w:p>
    <w:p>
      <w:pPr>
        <w:ind w:right="460" w:firstLine="443"/>
        <w:spacing w:after="0" w:line="312" w:lineRule="auto"/>
        <w:tabs>
          <w:tab w:leader="none" w:pos="69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With respect to any matters covered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w:t>
      </w:r>
      <w:r>
        <w:rPr>
          <w:rFonts w:ascii="Arial" w:cs="Arial" w:eastAsia="Arial" w:hAnsi="Arial"/>
          <w:sz w:val="16"/>
          <w:szCs w:val="16"/>
          <w:color w:val="auto"/>
        </w:rPr>
        <w:t>, as the case may be, the Indemnified Party shall use commercially reasonable efforts to assert all claims under all applicable insurance policies and any indemnification claim shall be net of any insurance proceeds received by the Indemnified Party (net of any deductible amounts and costs of collection) and, to the extent that insurance proceeds are collected</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700" w:top="274" w:right="239" w:bottom="1440" w:gutter="0" w:footer="0" w:header="0"/>
        </w:sectPr>
      </w:pPr>
    </w:p>
    <w:bookmarkStart w:id="70" w:name="page71"/>
    <w:bookmarkEnd w:id="70"/>
    <w:p>
      <w:pPr>
        <w:ind w:right="6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Indemnified Party after an indemnification claim has been settled, the Indemnified Party will restore the Indemnifying Party to the same economic position as would have existed had such insurance proceeds been collected prior to the settlement of such claim.</w:t>
      </w:r>
    </w:p>
    <w:p>
      <w:pPr>
        <w:spacing w:after="0" w:line="38" w:lineRule="exact"/>
        <w:rPr>
          <w:sz w:val="20"/>
          <w:szCs w:val="20"/>
          <w:color w:val="auto"/>
        </w:rPr>
      </w:pPr>
    </w:p>
    <w:p>
      <w:pPr>
        <w:ind w:right="80" w:firstLine="443"/>
        <w:spacing w:after="0" w:line="257" w:lineRule="auto"/>
        <w:tabs>
          <w:tab w:leader="none" w:pos="68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amounts for which an Indemnifying Party shall be liable under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11.3</w:t>
      </w:r>
      <w:r>
        <w:rPr>
          <w:rFonts w:ascii="Arial" w:cs="Arial" w:eastAsia="Arial" w:hAnsi="Arial"/>
          <w:sz w:val="18"/>
          <w:szCs w:val="18"/>
          <w:color w:val="auto"/>
        </w:rPr>
        <w:t>, as the case may be, shall be net of any Tax benefit actually realized by the Indemnified Party as a result of the facts and circumstances giving rise to the liability of the Indemnifying Party in the tax year of the Indemnifying Party in which the claim is first asserted or in the next taxable year thereafter. The Indemnified Party shall reimburse the Indemnifying Party for such tax benefit to the extent such amount is subsequently realized by the Indemnified Party after an indemnification claim has been settled so long as the tax benefit is realized for such a taxable period.</w:t>
      </w:r>
    </w:p>
    <w:p>
      <w:pPr>
        <w:spacing w:after="0" w:line="80" w:lineRule="exact"/>
        <w:rPr>
          <w:rFonts w:ascii="Arial" w:cs="Arial" w:eastAsia="Arial" w:hAnsi="Arial"/>
          <w:sz w:val="18"/>
          <w:szCs w:val="18"/>
          <w:color w:val="auto"/>
        </w:rPr>
      </w:pPr>
    </w:p>
    <w:p>
      <w:pPr>
        <w:ind w:right="80" w:firstLine="443"/>
        <w:spacing w:after="0" w:line="297" w:lineRule="auto"/>
        <w:tabs>
          <w:tab w:leader="none" w:pos="66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If any of the Losses for which an Indemnifying Party is responsible under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are reasonably recoverable against a third party vendor of the Indemnified Party, then the Indemnified Party will, to the extent pursuing recovery from such vendor would be commercially reasonable, attempt in good faith to collect any and all such Losses on account thereof from such vendor for the benefit of the Indemnifying Party. The Indemnified Party shall reimburse the Indemnifying Party for any and all Losses paid by the Indemnifying Party to the Indemnified Party pursuant to this Agreement to the extent such amount is subsequently received by the Indemnified Party from a vendor, net of any costs of collection.</w:t>
      </w:r>
    </w:p>
    <w:p>
      <w:pPr>
        <w:spacing w:after="0" w:line="50" w:lineRule="exact"/>
        <w:rPr>
          <w:rFonts w:ascii="Arial" w:cs="Arial" w:eastAsia="Arial" w:hAnsi="Arial"/>
          <w:sz w:val="16"/>
          <w:szCs w:val="16"/>
          <w:color w:val="auto"/>
        </w:rPr>
      </w:pPr>
    </w:p>
    <w:p>
      <w:pPr>
        <w:ind w:right="40" w:firstLine="443"/>
        <w:spacing w:after="0" w:line="286" w:lineRule="auto"/>
        <w:tabs>
          <w:tab w:leader="none" w:pos="69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 xml:space="preserve">The Indemnified Party agrees to take all commercially reasonable actions required by Law to mitigate Losses upon becoming aware of any claim which may be made for indemnification under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w:t>
      </w:r>
      <w:r>
        <w:rPr>
          <w:rFonts w:ascii="Arial" w:cs="Arial" w:eastAsia="Arial" w:hAnsi="Arial"/>
          <w:sz w:val="16"/>
          <w:szCs w:val="16"/>
          <w:color w:val="auto"/>
        </w:rPr>
        <w:t>, as the case may be; provided however (i) in no event will Buyer be required to pursue any claim or Proceeding against a customer; and (ii) if a prudent Person would believe that a potential mitigation action would be reasonably likely to give rise to an additional, possibly non-indemnified harm, then the Indemnified Party will not be required to take that action unless</w:t>
      </w:r>
    </w:p>
    <w:p>
      <w:pPr>
        <w:spacing w:after="0" w:line="1" w:lineRule="exact"/>
        <w:rPr>
          <w:rFonts w:ascii="Arial" w:cs="Arial" w:eastAsia="Arial" w:hAnsi="Arial"/>
          <w:sz w:val="16"/>
          <w:szCs w:val="16"/>
          <w:color w:val="auto"/>
        </w:rPr>
      </w:pPr>
    </w:p>
    <w:p>
      <w:pPr>
        <w:ind w:firstLine="4"/>
        <w:spacing w:after="0" w:line="255" w:lineRule="auto"/>
        <w:tabs>
          <w:tab w:leader="none" w:pos="32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Indemnifying Party expressly acknowledges its obligation to provide indemnification for Losses as well as any Losses that might arise from the proposed mitigation and (bb) the Indemnified Party reasonably believes that such indemnification with respect to such additional Losses will be available and sufficient to hold Indemnified Party harmless.</w:t>
      </w:r>
    </w:p>
    <w:p>
      <w:pPr>
        <w:spacing w:after="0" w:line="82" w:lineRule="exact"/>
        <w:rPr>
          <w:rFonts w:ascii="Arial" w:cs="Arial" w:eastAsia="Arial" w:hAnsi="Arial"/>
          <w:sz w:val="18"/>
          <w:szCs w:val="18"/>
          <w:color w:val="auto"/>
        </w:rPr>
      </w:pPr>
    </w:p>
    <w:p>
      <w:pPr>
        <w:ind w:right="760" w:firstLine="443"/>
        <w:spacing w:after="0" w:line="264" w:lineRule="auto"/>
        <w:tabs>
          <w:tab w:leader="none" w:pos="69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Indemnified Parties may not recover duplicative Losses in respect of a single set of facts or circumstances under more than one representation, warranty or covenant in this Agreement whether such facts or circumstances would give rise to a breach of more than one representation, warranty or covenant in this Agreement.</w:t>
      </w:r>
    </w:p>
    <w:p>
      <w:pPr>
        <w:spacing w:after="0" w:line="73" w:lineRule="exact"/>
        <w:rPr>
          <w:rFonts w:ascii="Arial" w:cs="Arial" w:eastAsia="Arial" w:hAnsi="Arial"/>
          <w:sz w:val="18"/>
          <w:szCs w:val="18"/>
          <w:color w:val="auto"/>
        </w:rPr>
      </w:pPr>
    </w:p>
    <w:p>
      <w:pPr>
        <w:ind w:right="180" w:firstLine="443"/>
        <w:spacing w:after="0" w:line="257" w:lineRule="auto"/>
        <w:tabs>
          <w:tab w:leader="none" w:pos="65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parties acknowledge and agree that the Bring-Down Certificates to be delivered at the Closing under Sections 3.2(e) and 3.3(d) are intended solely to memorialize satisfaction of the condition to the Closing set forth in Sections 3.2(e) and 3.3(d), respectively, and are not intended to function as personal representations and warranties of the individual(s) executing such Bring-Down Certificates. Rather, the only representations and warranties in this Agreement are the representations and warranties of the applicable parties set forth in Articles 4, 5 and 6 of this Agreement, as the case may be.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700" w:top="274"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11.5 </w:t>
      </w:r>
      <w:r>
        <w:rPr>
          <w:rFonts w:ascii="Arial" w:cs="Arial" w:eastAsia="Arial" w:hAnsi="Arial"/>
          <w:sz w:val="18"/>
          <w:szCs w:val="18"/>
          <w:u w:val="single" w:color="auto"/>
          <w:color w:val="auto"/>
        </w:rPr>
        <w:t>Indemnification Claims Procedures</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71" w:lineRule="auto"/>
        <w:tabs>
          <w:tab w:leader="none" w:pos="68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If a Buyer Indemnified Party becomes aware of a claim for indemnification under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11.3(c)</w:t>
      </w:r>
      <w:r>
        <w:rPr>
          <w:rFonts w:ascii="Arial" w:cs="Arial" w:eastAsia="Arial" w:hAnsi="Arial"/>
          <w:sz w:val="17"/>
          <w:szCs w:val="17"/>
          <w:color w:val="auto"/>
        </w:rPr>
        <w:t xml:space="preserve">, it will promptly notify Seller of the claim, or if under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it will promptly notify the relevant Seller Shareholder of the claim, and if a Seller Indemnified Party becomes aware of a claim for indemnification under </w:t>
      </w:r>
      <w:r>
        <w:rPr>
          <w:rFonts w:ascii="Arial" w:cs="Arial" w:eastAsia="Arial" w:hAnsi="Arial"/>
          <w:sz w:val="17"/>
          <w:szCs w:val="17"/>
          <w:u w:val="single" w:color="auto"/>
          <w:color w:val="auto"/>
        </w:rPr>
        <w:t>Section 11.2</w:t>
      </w:r>
      <w:r>
        <w:rPr>
          <w:rFonts w:ascii="Arial" w:cs="Arial" w:eastAsia="Arial" w:hAnsi="Arial"/>
          <w:sz w:val="17"/>
          <w:szCs w:val="17"/>
          <w:color w:val="auto"/>
        </w:rPr>
        <w:t>, it will promptly notify Buyer of the claim (in each case, the giver of such notification being referred to hereafter as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and the recipient of such notification being referred to hereafter as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Such indemnification notice will specify in reasonable detail, to the extent then known, the nature of the Losses suffered and the facts giving rise to the claim. Notwithstanding the foregoing, but subject to </w:t>
      </w:r>
      <w:r>
        <w:rPr>
          <w:rFonts w:ascii="Arial" w:cs="Arial" w:eastAsia="Arial" w:hAnsi="Arial"/>
          <w:sz w:val="17"/>
          <w:szCs w:val="17"/>
          <w:u w:val="single" w:color="auto"/>
          <w:color w:val="auto"/>
        </w:rPr>
        <w:t>Section 11.4(c)</w:t>
      </w:r>
      <w:r>
        <w:rPr>
          <w:rFonts w:ascii="Arial" w:cs="Arial" w:eastAsia="Arial" w:hAnsi="Arial"/>
          <w:sz w:val="17"/>
          <w:szCs w:val="17"/>
          <w:color w:val="auto"/>
        </w:rPr>
        <w:t>, any failure to so notify the Indemnifying Party will not relieve the Indemnifying Party from its indemnification obligations or other Liabilities hereunder except to the extent (and only to the extent) that the Indemnifying Party demonstrates that the defense of the matter is materially prejudiced thereby.</w:t>
      </w:r>
    </w:p>
    <w:p>
      <w:pPr>
        <w:spacing w:after="0" w:line="70" w:lineRule="exact"/>
        <w:rPr>
          <w:rFonts w:ascii="Arial" w:cs="Arial" w:eastAsia="Arial" w:hAnsi="Arial"/>
          <w:sz w:val="17"/>
          <w:szCs w:val="17"/>
          <w:color w:val="auto"/>
        </w:rPr>
      </w:pPr>
    </w:p>
    <w:p>
      <w:pPr>
        <w:ind w:right="100" w:firstLine="443"/>
        <w:spacing w:after="0" w:line="293" w:lineRule="auto"/>
        <w:tabs>
          <w:tab w:leader="none" w:pos="69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Indemnifying Party will have 30 days after receipt of the indemnification notice to notify the Indemnified Party in writing of any objections thereto, specifying in reasonable detail the nature of and basis for each objection. To the extent that the Indemnifying Party fails to timely object to all or part of an indemnification claim, the Indemnifying Party will be deemed to have irrevocably accepted Liability for the claim. To the extent that the Indemnifying Party timely objects to all or part of an indemnification claim, the Indemnifying Party and the Indemnified Party will negotiate in good faith to resolve the dispute within 30 days thereafter. If the Indemnified Party and the Indemnifying Party are unable to resolve the dispute within that 30 day period, then either of them may proceed to arbitration and mediation with respect to the dispute as provided in </w:t>
      </w:r>
      <w:r>
        <w:rPr>
          <w:rFonts w:ascii="Arial" w:cs="Arial" w:eastAsia="Arial" w:hAnsi="Arial"/>
          <w:sz w:val="16"/>
          <w:szCs w:val="16"/>
          <w:u w:val="single" w:color="auto"/>
          <w:color w:val="auto"/>
        </w:rPr>
        <w:t>Section 12.8</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560" w:firstLine="443"/>
        <w:spacing w:after="0" w:line="277" w:lineRule="auto"/>
        <w:tabs>
          <w:tab w:leader="none" w:pos="6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action by an Indemnified Party to determine the extent of an indemnified Liability, including voluntary disclosure to Authorities or potential claimants, will in any way affect a party’s right to indemnification under this Agreement.</w:t>
      </w:r>
    </w:p>
    <w:p>
      <w:pPr>
        <w:spacing w:after="0" w:line="62" w:lineRule="exact"/>
        <w:rPr>
          <w:rFonts w:ascii="Arial" w:cs="Arial" w:eastAsia="Arial" w:hAnsi="Arial"/>
          <w:sz w:val="18"/>
          <w:szCs w:val="18"/>
          <w:color w:val="auto"/>
        </w:rPr>
      </w:pPr>
    </w:p>
    <w:p>
      <w:pPr>
        <w:jc w:val="both"/>
        <w:ind w:right="180" w:firstLine="443"/>
        <w:spacing w:after="0" w:line="264" w:lineRule="auto"/>
        <w:tabs>
          <w:tab w:leader="none" w:pos="6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Seller Shareholders acknowledge and agree that any action taken by the Seller in its capacity as the Indemnifying Party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with regard to any claim brought by an Indemnified Party under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will be binding upon the Seller Shareholders and in no way limit or modify the Seller Shareholders’ indemnification obligations under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00" w:firstLine="443"/>
        <w:spacing w:after="0" w:line="312" w:lineRule="auto"/>
        <w:tabs>
          <w:tab w:leader="none" w:pos="68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Notwithstanding any provision in this Agreement to the contrary (other than the proviso set forth in </w:t>
      </w:r>
      <w:r>
        <w:rPr>
          <w:rFonts w:ascii="Arial" w:cs="Arial" w:eastAsia="Arial" w:hAnsi="Arial"/>
          <w:sz w:val="16"/>
          <w:szCs w:val="16"/>
          <w:u w:val="single" w:color="auto"/>
          <w:color w:val="auto"/>
        </w:rPr>
        <w:t>Section 11.3(a)(ii)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11.3(b)(ii)</w:t>
      </w:r>
      <w:r>
        <w:rPr>
          <w:rFonts w:ascii="Arial" w:cs="Arial" w:eastAsia="Arial" w:hAnsi="Arial"/>
          <w:sz w:val="16"/>
          <w:szCs w:val="16"/>
          <w:color w:val="auto"/>
        </w:rPr>
        <w:t xml:space="preserve">), nothing shall prevent a Buyer Indemnified Party from making any claim for indemnification under any of </w:t>
      </w:r>
      <w:r>
        <w:rPr>
          <w:rFonts w:ascii="Arial" w:cs="Arial" w:eastAsia="Arial" w:hAnsi="Arial"/>
          <w:sz w:val="16"/>
          <w:szCs w:val="16"/>
          <w:u w:val="single" w:color="auto"/>
          <w:color w:val="auto"/>
        </w:rPr>
        <w:t>Sections 11.3(a)(ii)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11.3(a)(vii)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11.3(b)(ii)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even if such indemnification claim could have been brought under </w:t>
      </w:r>
      <w:r>
        <w:rPr>
          <w:rFonts w:ascii="Arial" w:cs="Arial" w:eastAsia="Arial" w:hAnsi="Arial"/>
          <w:sz w:val="16"/>
          <w:szCs w:val="16"/>
          <w:u w:val="single" w:color="auto"/>
          <w:color w:val="auto"/>
        </w:rPr>
        <w:t>Section 11.3(a)(i)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11.3(b)(i)</w:t>
      </w:r>
      <w:r>
        <w:rPr>
          <w:rFonts w:ascii="Arial" w:cs="Arial" w:eastAsia="Arial" w:hAnsi="Arial"/>
          <w:sz w:val="16"/>
          <w:szCs w:val="16"/>
          <w:color w:val="auto"/>
        </w:rPr>
        <w:t>.</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0"/>
          </w:cols>
          <w:pgMar w:left="700" w:top="274"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11.6 </w:t>
      </w:r>
      <w:r>
        <w:rPr>
          <w:rFonts w:ascii="Arial" w:cs="Arial" w:eastAsia="Arial" w:hAnsi="Arial"/>
          <w:sz w:val="18"/>
          <w:szCs w:val="18"/>
          <w:u w:val="single" w:color="auto"/>
          <w:color w:val="auto"/>
        </w:rPr>
        <w:t>Payment of Indemnification Claims</w:t>
      </w:r>
      <w:r>
        <w:rPr>
          <w:rFonts w:ascii="Arial" w:cs="Arial" w:eastAsia="Arial" w:hAnsi="Arial"/>
          <w:sz w:val="18"/>
          <w:szCs w:val="18"/>
          <w:color w:val="auto"/>
        </w:rPr>
        <w:t>.</w:t>
      </w:r>
    </w:p>
    <w:p>
      <w:pPr>
        <w:spacing w:after="0" w:line="117" w:lineRule="exact"/>
        <w:rPr>
          <w:sz w:val="20"/>
          <w:szCs w:val="20"/>
          <w:color w:val="auto"/>
        </w:rPr>
      </w:pPr>
    </w:p>
    <w:p>
      <w:pPr>
        <w:ind w:firstLine="443"/>
        <w:spacing w:after="0" w:line="286" w:lineRule="auto"/>
        <w:tabs>
          <w:tab w:leader="none" w:pos="68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With regard to any claim asserted against an Indemnified Party in a Proceeding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for which indemnification is payable hereunder, such indemnification will become immediately due and payable, without further notice or demand, upon the earliest to occur of: (i) the entry of a judgment against the Indemnified Party and the expiration of any applicable appeal period or, if earlier, 10 days prior to the date that the judgment creditor has the right to execute the judgment; (ii) the entry of a nonappealable judgment or final appellate decision against the Indemnified Party;</w:t>
      </w:r>
    </w:p>
    <w:p>
      <w:pPr>
        <w:spacing w:after="0" w:line="1" w:lineRule="exact"/>
        <w:rPr>
          <w:rFonts w:ascii="Arial" w:cs="Arial" w:eastAsia="Arial" w:hAnsi="Arial"/>
          <w:sz w:val="16"/>
          <w:szCs w:val="16"/>
          <w:color w:val="auto"/>
        </w:rPr>
      </w:pPr>
    </w:p>
    <w:p>
      <w:pPr>
        <w:ind w:right="40" w:firstLine="4"/>
        <w:spacing w:after="0" w:line="255" w:lineRule="auto"/>
        <w:tabs>
          <w:tab w:leader="none" w:pos="3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 settlement of the Third Party Claim; or (iv) with respect to indemnities for any Liability for Taxes, 10 days following the issuance of an Order by a Tax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reasonable expenses of counsel to the Indemnified Party, together with other reasonable costs and expenses (including any appeal bonds), will be reimbursed on a current basis (subject to </w:t>
      </w:r>
      <w:r>
        <w:rPr>
          <w:rFonts w:ascii="Arial" w:cs="Arial" w:eastAsia="Arial" w:hAnsi="Arial"/>
          <w:sz w:val="18"/>
          <w:szCs w:val="18"/>
          <w:u w:val="single" w:color="auto"/>
          <w:color w:val="auto"/>
        </w:rPr>
        <w:t>Section 11.7(b)(i))</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firstLine="443"/>
        <w:spacing w:after="0" w:line="272" w:lineRule="auto"/>
        <w:tabs>
          <w:tab w:leader="none" w:pos="69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 xml:space="preserve">With regard to any claim not involving a Third Party Claim for which indemnification is payable hereunder, such indemnification will become immediately due and payable, without further notice or demand, upon the earliest to occur of: (i) the expiration of the period for objecting to the claim under </w:t>
      </w:r>
      <w:r>
        <w:rPr>
          <w:rFonts w:ascii="Arial" w:cs="Arial" w:eastAsia="Arial" w:hAnsi="Arial"/>
          <w:sz w:val="17"/>
          <w:szCs w:val="17"/>
          <w:u w:val="single" w:color="auto"/>
          <w:color w:val="auto"/>
        </w:rPr>
        <w:t>Section 11.5(b)</w:t>
      </w:r>
      <w:r>
        <w:rPr>
          <w:rFonts w:ascii="Arial" w:cs="Arial" w:eastAsia="Arial" w:hAnsi="Arial"/>
          <w:sz w:val="17"/>
          <w:szCs w:val="17"/>
          <w:color w:val="auto"/>
        </w:rPr>
        <w:t xml:space="preserve"> unless an objection has been duly made; (ii) the date the dispute is resolved by mutual written agreement of the Indemnified Party and the Indemnifying Party under </w:t>
      </w:r>
      <w:r>
        <w:rPr>
          <w:rFonts w:ascii="Arial" w:cs="Arial" w:eastAsia="Arial" w:hAnsi="Arial"/>
          <w:sz w:val="17"/>
          <w:szCs w:val="17"/>
          <w:u w:val="single" w:color="auto"/>
          <w:color w:val="auto"/>
        </w:rPr>
        <w:t>Section 11.5(b)</w:t>
      </w:r>
      <w:r>
        <w:rPr>
          <w:rFonts w:ascii="Arial" w:cs="Arial" w:eastAsia="Arial" w:hAnsi="Arial"/>
          <w:sz w:val="17"/>
          <w:szCs w:val="17"/>
          <w:color w:val="auto"/>
        </w:rPr>
        <w:t>; (iii) the entry of a judgment in favor of the Indemnified Party in an action brought to enforce this Agreement and the expiration of any applicable appeal period or, if earlier, 10 days prior to the date that the judgment creditor has the right to execute the judgment; (iv) the entry of a nonappealable judgment or final appellate decision in favor of the Indemnified Party in an action brought to enforce this Agreement; or (v) a settlement of an action brought by the Indemnified Party to enforce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Third Party Proceedings</w:t>
      </w:r>
      <w:r>
        <w:rPr>
          <w:rFonts w:ascii="Arial" w:cs="Arial" w:eastAsia="Arial" w:hAnsi="Arial"/>
          <w:sz w:val="18"/>
          <w:szCs w:val="18"/>
          <w:color w:val="auto"/>
        </w:rPr>
        <w:t>.</w:t>
      </w:r>
    </w:p>
    <w:p>
      <w:pPr>
        <w:spacing w:after="0" w:line="117" w:lineRule="exact"/>
        <w:rPr>
          <w:sz w:val="20"/>
          <w:szCs w:val="20"/>
          <w:color w:val="auto"/>
        </w:rPr>
      </w:pPr>
    </w:p>
    <w:p>
      <w:pPr>
        <w:ind w:right="280" w:firstLine="443"/>
        <w:spacing w:after="0" w:line="286" w:lineRule="auto"/>
        <w:tabs>
          <w:tab w:leader="none" w:pos="68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Indemnifying Party will be entitled to participate in the defense of any Third Party Claim and, subject to </w:t>
      </w:r>
      <w:r>
        <w:rPr>
          <w:rFonts w:ascii="Arial" w:cs="Arial" w:eastAsia="Arial" w:hAnsi="Arial"/>
          <w:sz w:val="17"/>
          <w:szCs w:val="17"/>
          <w:u w:val="single" w:color="auto"/>
          <w:color w:val="auto"/>
        </w:rPr>
        <w:t>Section 11.7(d)</w:t>
      </w:r>
      <w:r>
        <w:rPr>
          <w:rFonts w:ascii="Arial" w:cs="Arial" w:eastAsia="Arial" w:hAnsi="Arial"/>
          <w:sz w:val="17"/>
          <w:szCs w:val="17"/>
          <w:color w:val="auto"/>
        </w:rPr>
        <w:t xml:space="preserve">, may elect to assume the defense of and control resolution of the Third Party Claim with counsel reasonably satisfactory to the Indemnified Party by delivering written notice of the election within 10 Business Days after receiving notice of the Third Party Claim as provided in </w:t>
      </w:r>
      <w:r>
        <w:rPr>
          <w:rFonts w:ascii="Arial" w:cs="Arial" w:eastAsia="Arial" w:hAnsi="Arial"/>
          <w:sz w:val="17"/>
          <w:szCs w:val="17"/>
          <w:u w:val="single" w:color="auto"/>
          <w:color w:val="auto"/>
        </w:rPr>
        <w:t>Section 11.5</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700" w:hanging="257"/>
        <w:spacing w:after="0"/>
        <w:tabs>
          <w:tab w:leader="none" w:pos="7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 Indemnifying Party timely elects to assume the defense of a Third Party Claim:</w:t>
      </w:r>
    </w:p>
    <w:p>
      <w:pPr>
        <w:spacing w:after="0" w:line="117" w:lineRule="exact"/>
        <w:rPr>
          <w:rFonts w:ascii="Arial" w:cs="Arial" w:eastAsia="Arial" w:hAnsi="Arial"/>
          <w:sz w:val="18"/>
          <w:szCs w:val="18"/>
          <w:color w:val="auto"/>
        </w:rPr>
      </w:pPr>
    </w:p>
    <w:p>
      <w:pPr>
        <w:jc w:val="both"/>
        <w:ind w:left="460" w:right="220" w:firstLine="421"/>
        <w:spacing w:after="0" w:line="286" w:lineRule="auto"/>
        <w:tabs>
          <w:tab w:leader="none" w:pos="109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the Indemnifying Party will not, so long as it conducts the defense in a commercially reasonable manner, be liable to the Indemnified Party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for any fees of other counsel or any other expenses with respect to the defense of the Third Party Claim, in each case subsequently incurred by the Indemnified Party in connection with the defense of the Third Party Claim;</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20"/>
          </w:cols>
          <w:pgMar w:left="700" w:top="274" w:right="279" w:bottom="1440" w:gutter="0" w:footer="0" w:header="0"/>
        </w:sectPr>
      </w:pPr>
    </w:p>
    <w:bookmarkStart w:id="73" w:name="page74"/>
    <w:bookmarkEnd w:id="73"/>
    <w:p>
      <w:pPr>
        <w:ind w:left="460" w:right="200" w:firstLine="421"/>
        <w:spacing w:after="0" w:line="277" w:lineRule="auto"/>
        <w:tabs>
          <w:tab w:leader="none" w:pos="1145" w:val="left"/>
        </w:tabs>
        <w:numPr>
          <w:ilvl w:val="2"/>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assumption will conclusively establish for purposes of this Agreement that the claims asserted in the Third Party Claim are within the scope of and subject to indemnification; and</w:t>
      </w:r>
    </w:p>
    <w:p>
      <w:pPr>
        <w:spacing w:after="0" w:line="62" w:lineRule="exact"/>
        <w:rPr>
          <w:rFonts w:ascii="Arial" w:cs="Arial" w:eastAsia="Arial" w:hAnsi="Arial"/>
          <w:sz w:val="18"/>
          <w:szCs w:val="18"/>
          <w:color w:val="auto"/>
        </w:rPr>
      </w:pPr>
    </w:p>
    <w:p>
      <w:pPr>
        <w:ind w:left="460" w:right="60" w:firstLine="421"/>
        <w:spacing w:after="0" w:line="255" w:lineRule="auto"/>
        <w:tabs>
          <w:tab w:leader="none" w:pos="119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no compromise or settlement of the Third Party Claim may be effected by the Indemnifying Party without the Indemnified Party’s consent (which consent will not be unreasonably withheld, conditioned or delayed) unless (1) the compromise or settlement includes a grant by each claimant or plaintiff of a full, unconditional release of the Indemnified Party from all Liabilities arising from or relating to the claim; (2) the sole relief provided for is monetary damages that are paid in full by the Indemnifying Party (or its Affiliates); and (3) the terms of the compromise or settlement are strictly confidential among the parties thereto, and any copies required to be filed with any Authority are filed under seal or similar measures are taken to ensure confidential treatment thereof.</w:t>
      </w:r>
    </w:p>
    <w:p>
      <w:pPr>
        <w:spacing w:after="0" w:line="85" w:lineRule="exact"/>
        <w:rPr>
          <w:rFonts w:ascii="Arial" w:cs="Arial" w:eastAsia="Arial" w:hAnsi="Arial"/>
          <w:sz w:val="18"/>
          <w:szCs w:val="18"/>
          <w:color w:val="auto"/>
        </w:rPr>
      </w:pPr>
    </w:p>
    <w:p>
      <w:pPr>
        <w:ind w:right="280" w:firstLine="443"/>
        <w:spacing w:after="0" w:line="308" w:lineRule="auto"/>
        <w:tabs>
          <w:tab w:leader="none" w:pos="68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an Indemnifying Party does not timely elect to assume the defense of a Third Party Claim, then the Indemnifying Party will be bound by any determination made in the Proceeding or any compromise or settlement effected by the Indemnified Party in good faith.</w:t>
      </w:r>
    </w:p>
    <w:p>
      <w:pPr>
        <w:spacing w:after="0" w:line="38" w:lineRule="exact"/>
        <w:rPr>
          <w:rFonts w:ascii="Arial" w:cs="Arial" w:eastAsia="Arial" w:hAnsi="Arial"/>
          <w:sz w:val="17"/>
          <w:szCs w:val="17"/>
          <w:color w:val="auto"/>
        </w:rPr>
      </w:pPr>
    </w:p>
    <w:p>
      <w:pPr>
        <w:ind w:right="40" w:firstLine="443"/>
        <w:spacing w:after="0" w:line="286" w:lineRule="auto"/>
        <w:tabs>
          <w:tab w:leader="none" w:pos="69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11.7(a)</w:t>
      </w:r>
      <w:r>
        <w:rPr>
          <w:rFonts w:ascii="Arial" w:cs="Arial" w:eastAsia="Arial" w:hAnsi="Arial"/>
          <w:sz w:val="16"/>
          <w:szCs w:val="16"/>
          <w:color w:val="auto"/>
        </w:rPr>
        <w:t>, an Indemnified Party may retain or assume the exclusive right to defend, settle or compromise a Third Party Claim if the Indemnified Party reasonably determines in good faith that (i) the claim relates to or arises in connection with any criminal or quasi-criminal matter; (ii) the claim seeks or is likely to seek an injunction or other equitable relief against the Indemnified Party; (iii) there is or may be a conflict of interest (aside from the parties’ respective rights and obligations hereunder) between the Indemnifying Party and the Indemnified Party;</w:t>
      </w:r>
    </w:p>
    <w:p>
      <w:pPr>
        <w:spacing w:after="0" w:line="1" w:lineRule="exact"/>
        <w:rPr>
          <w:rFonts w:ascii="Arial" w:cs="Arial" w:eastAsia="Arial" w:hAnsi="Arial"/>
          <w:sz w:val="16"/>
          <w:szCs w:val="16"/>
          <w:color w:val="auto"/>
        </w:rPr>
      </w:pPr>
    </w:p>
    <w:p>
      <w:pPr>
        <w:ind w:right="20" w:firstLine="4"/>
        <w:spacing w:after="0" w:line="253" w:lineRule="auto"/>
        <w:tabs>
          <w:tab w:leader="none" w:pos="3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Indemnifying Party is not defending the claim in a commercially reasonable manner; or (v) the Indemnifying Party does not, or is not likely to, have the financial capacity to defend the claim and provide indemnification with respect to the claim. In any case where an Indemnified Party asserts its rights hereunder, no compromise or settlement of the Third Party Claim may be effected by the Indemnified Party without the Indemnifying Party’s consent unless the compromise or settlement includes a grant by each claimant or plaintiff of a full, unconditional release of the Indemnifying Party from all Liabilities arising from or relating to the claim.</w:t>
      </w:r>
    </w:p>
    <w:p>
      <w:pPr>
        <w:spacing w:after="0" w:line="83" w:lineRule="exact"/>
        <w:rPr>
          <w:rFonts w:ascii="Arial" w:cs="Arial" w:eastAsia="Arial" w:hAnsi="Arial"/>
          <w:sz w:val="18"/>
          <w:szCs w:val="18"/>
          <w:color w:val="auto"/>
        </w:rPr>
      </w:pPr>
    </w:p>
    <w:p>
      <w:pPr>
        <w:ind w:firstLine="443"/>
        <w:spacing w:after="0" w:line="272" w:lineRule="auto"/>
        <w:tabs>
          <w:tab w:leader="none" w:pos="68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Indemnified Party or the Indemnifying Party, as the case may be, that is controlling the defense of a Third Party Claim will keep the other reasonably informed of the Proceeding at all stages thereof, whether or not the other is represented by counsel. Each party agrees to render to each other such assistance as may reasonably be requested in order to ensure the proper and adequate defense of a Third Party Claim. Each party will cooperate with the other and provide such assistance, at the sole cost and expense of the Indemnifying Party, as such other party may reasonably request in connection with the defense of the Third Party Claim, including providing such other party with reasonable access to and reasonable use of all relevant corporate records and making its officers and employees reasonably available for depositions, pretrial discovery and as witnesses at trial, if required. In requesting any such cooperation, the party requesting</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60"/>
          </w:cols>
          <w:pgMar w:left="700" w:top="274" w:right="239" w:bottom="1440" w:gutter="0" w:footer="0" w:header="0"/>
        </w:sectPr>
      </w:pPr>
    </w:p>
    <w:bookmarkStart w:id="74" w:name="page75"/>
    <w:bookmarkEnd w:id="74"/>
    <w:p>
      <w:pPr>
        <w:ind w:lef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assistance will have due regard for, and attempt to not be disruptive of, the business and day to day operations of the other party and will follow all reasonable requests of the other party regarding any documents or instruments which such party believes should be given confidential treatment.</w:t>
      </w:r>
    </w:p>
    <w:p>
      <w:pPr>
        <w:spacing w:after="0" w:line="124"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Tax Treatment</w:t>
      </w:r>
      <w:r>
        <w:rPr>
          <w:rFonts w:ascii="Arial" w:cs="Arial" w:eastAsia="Arial" w:hAnsi="Arial"/>
          <w:sz w:val="16"/>
          <w:szCs w:val="16"/>
          <w:color w:val="auto"/>
        </w:rPr>
        <w:t xml:space="preserve">. For Tax purposes, unless otherwise required by Law, the parties agree to treat all payments made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and any payments in respect of any Breaches of representations, warranties, covenants or agreements hereunder, as adjustments to the Purchase Price.</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After the Closing, except for claims based on fraud, knowing and intentional misconduct or willful misconduct, the rights and remedies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are the sole and exclusive rights and remedies of any Indemnified Party under or in connection with this Agreement, except that nothing in this Agreement will limit any right to injunctive or other equitable relief.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Interpretation and Usage</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86" w:lineRule="auto"/>
        <w:tabs>
          <w:tab w:leader="none" w:pos="114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Unless there is a clear contrary intention: (i) a reference made to an article, section, appendix, addendum, exhibit or schedule means a reference to an article, section, appendix, annex, addendum, exhibit or schedule of or to this Agreement; (ii) the singular includes the plural and vice versa; (iii) reference to any agreement, document or instrument means that agreement, document or instrument, including all appendices, annexes, addenda, exhibits, schedules thereto, as amended or modified and in effect from time to time in accordance with the terms thereof; (iv) reference to any Law means that Law as amended, modified, codified, replaced or reenacted, in whole or in part, and in effect from time to time (except as used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in which case any changes post-Closing shall be disregarded), including rules and regulations promulgated thereunder, and reference to any section or other provision of any Law means that section or provision from time to time in effect and constituting the substantive amendment, modification, codification, replacement or reenactment of that section or provision; (v) “hereunder,” “hereof,” “hereto,” and words of similar import will be deemed references to this Agreement as a whole and not to any particular article, section or other provision of this Agreement; (vi) “including” (and with correlative meaning “include”) means including without limiting the generality of any description preceding such term; (vii) “or” is used in the inclusive sense of “and/or”; (viii) “it” or “its” in reference to a Person will be deemed to include individual natural Persons; and (ix) the terms “writing,” “written” and words of similar import will be deemed to include communications and documents in e-mail, fax or any other similar electronic or documentary form (except that notices given under this Agreement must comply with the requirements of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60" w:right="620" w:firstLine="443"/>
        <w:spacing w:after="0" w:line="277" w:lineRule="auto"/>
        <w:tabs>
          <w:tab w:leader="none" w:pos="11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Seller Disclosure Schedule is divided into sections which correspond to the sections of this Agreement. The sections of the Seller Disclosure Schedule relate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5" w:name="page76"/>
    <w:bookmarkEnd w:id="75"/>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only to the representations and warranties in the sections of this Agreement to which they correspond and not to any other representation or warranty in this Agreement, except to the extent that (i) a section of the Seller Disclosure Schedule expressly refers to another section thereof by specific cross reference or (ii) it is reasonably apparent from the text of a particular disclosure that the disclosure also applies to another representation or warranty. The Seller Disclosure Schedule shall not vary, change or alter the literal meaning of the representations and warranties of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hereof, other than creating exceptions thereto or listing applicable items, in each case which are responsive to the language of the warranties and representations contained in this Agreement.</w:t>
      </w:r>
    </w:p>
    <w:p>
      <w:pPr>
        <w:spacing w:after="0" w:line="85" w:lineRule="exact"/>
        <w:rPr>
          <w:sz w:val="20"/>
          <w:szCs w:val="20"/>
          <w:color w:val="auto"/>
        </w:rPr>
      </w:pPr>
    </w:p>
    <w:p>
      <w:pPr>
        <w:ind w:left="460" w:right="40" w:firstLine="443"/>
        <w:spacing w:after="0" w:line="257" w:lineRule="auto"/>
        <w:tabs>
          <w:tab w:leader="none" w:pos="114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 “to its knowledge” or similar statements means, with respect to any individual natural Person, the knowledge of that individual, and with respect to any other Person, the knowledge of any one or more members of senior management of that Person (and in the case of Seller, any of Dan Liebergen, Rick Conn, Dan Davis, Charles Schmidt, Jody Christy, Erick Weecks and/or either of the Major Shareholders), and includes in each case both the actual knowledge of such Person and the knowledge such Person would reasonably be expected to obtain in the course of a reasonable inquiry into the matter.</w:t>
      </w:r>
    </w:p>
    <w:p>
      <w:pPr>
        <w:spacing w:after="0" w:line="80" w:lineRule="exact"/>
        <w:rPr>
          <w:rFonts w:ascii="Arial" w:cs="Arial" w:eastAsia="Arial" w:hAnsi="Arial"/>
          <w:sz w:val="18"/>
          <w:szCs w:val="18"/>
          <w:color w:val="auto"/>
        </w:rPr>
      </w:pPr>
    </w:p>
    <w:p>
      <w:pPr>
        <w:ind w:left="460" w:right="120" w:firstLine="443"/>
        <w:spacing w:after="0" w:line="277" w:lineRule="auto"/>
        <w:tabs>
          <w:tab w:leader="none" w:pos="11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table of contents and the headings of the sections and subsections of this Agreement are inserted for convenience of the parties only and will not constitute a part hereof.</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4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In the event of an ambiguity or question of intent or interpretation arises, this Agreement will be construed as if drafted jointly by the parties, and no presumption or burden of proof will arise favoring or disfavoring any party by virtue of the authorship of any provisions of this Agreement.</w:t>
      </w:r>
    </w:p>
    <w:p>
      <w:pPr>
        <w:spacing w:after="0" w:line="73" w:lineRule="exact"/>
        <w:rPr>
          <w:rFonts w:ascii="Arial" w:cs="Arial" w:eastAsia="Arial" w:hAnsi="Arial"/>
          <w:sz w:val="18"/>
          <w:szCs w:val="18"/>
          <w:color w:val="auto"/>
        </w:rPr>
      </w:pPr>
    </w:p>
    <w:p>
      <w:pPr>
        <w:ind w:left="460" w:right="120" w:firstLine="443"/>
        <w:spacing w:after="0" w:line="264" w:lineRule="auto"/>
        <w:tabs>
          <w:tab w:leader="none" w:pos="11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For any reference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or the Seller Disclosure Schedule to a document or information being “provided” or “delivered” to Buyer, the document or information will be conclusively established as having been “provided” or “delivered” to Buyer if posted to the Data Room at least three (3) Business Days prior to the date hereof.</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Subject to applicable Law, this Agreement may be amended or modified from time to time prior to the Closing, with respect to any of the terms contained herein, except that all amendments and modifications must be set forth in a writing duly executed by Buyer and Seller. Each Seller Shareholder acknowledges and agrees that any amendment of any provision of this Agreement or any Ancillary Agreement that is duly executed by Seller will be binding against that Seller Shareholder except that no Seller Shareholder will be bound without its prior written consent to any material modification of the (a) representations or warranties regarding such Seller Shareholder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(b) the express covenants and obligations of such Seller Shareholder set forth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or (c) the limitation on such Seller Shareholder’s liability set forth in </w:t>
      </w:r>
      <w:r>
        <w:rPr>
          <w:rFonts w:ascii="Arial" w:cs="Arial" w:eastAsia="Arial" w:hAnsi="Arial"/>
          <w:sz w:val="18"/>
          <w:szCs w:val="18"/>
          <w:u w:val="single" w:color="auto"/>
          <w:color w:val="auto"/>
        </w:rPr>
        <w:t>Section 11.4(b)</w:t>
      </w:r>
      <w:r>
        <w:rPr>
          <w:rFonts w:ascii="Arial" w:cs="Arial" w:eastAsia="Arial" w:hAnsi="Arial"/>
          <w:sz w:val="18"/>
          <w:szCs w:val="18"/>
          <w:color w:val="auto"/>
        </w:rPr>
        <w: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76" w:name="page77"/>
    <w:bookmarkEnd w:id="76"/>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8"/>
          <w:szCs w:val="18"/>
          <w:u w:val="single" w:color="auto"/>
          <w:color w:val="auto"/>
        </w:rPr>
        <w:t>Waiver of Compliance; Consents</w:t>
      </w:r>
      <w:r>
        <w:rPr>
          <w:rFonts w:ascii="Arial" w:cs="Arial" w:eastAsia="Arial" w:hAnsi="Arial"/>
          <w:sz w:val="18"/>
          <w:szCs w:val="18"/>
          <w:color w:val="auto"/>
        </w:rPr>
        <w:t>. Any failure of a party to comply with any obligation, covenant, agreement or condition herein may be expressly waived in writing by the party entitled to compliance, but any waiver or failure to insist upon strict compliance with the obligation, covenant, agreement or condition will not operate as a waiver of, or estoppel with respect to, any subsequent or other failure. No single or partial exercise of a right or remedy will preclude any other or further exercise thereof or of any other right or remedy hereunder. Whenever this Agreement requires or permits the consent by or on behalf of a party, the consent must be given in writing in the same manner as for waivers of compliance. The foregoing notwithstanding, each Seller Shareholder acknowledges and agrees that any waiver of any provision of this Agreement or any Ancillary Agreement that is duly executed by Seller will be binding against that Seller Shareholder.</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Nothing in this Agreement will entitle any Person (other than a party hereto and its respective successors and assigns permitted hereby) to any claim, cause of action, remedy or right of any kind.</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Fees and Expenses</w:t>
      </w:r>
      <w:r>
        <w:rPr>
          <w:rFonts w:ascii="Arial" w:cs="Arial" w:eastAsia="Arial" w:hAnsi="Arial"/>
          <w:sz w:val="18"/>
          <w:szCs w:val="18"/>
          <w:color w:val="auto"/>
        </w:rPr>
        <w:t>. Each of the parties hereto will bear its own costs, fees and expenses in connection with the negotiation, preparation, execution, delivery and performance of this Agreement and the consummation of the transactions contemplated hereby, including fees, commissions and expenses payable to brokers, finders, investment bankers, consultants, exchange or transfer agents, attorneys, accountants and other professionals; provided that, for the avoidance of doubt, the parties acknowledge and agree that Buyer has paid the filing fee for the parties’ submissions under the HSR Act and such fee shall be non-refundable in all cases.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required or permitted hereunder must be made in writing and will be deemed to have been duly given and effective: (a) on the date of delivery, if delivered personally; (b) on the earlier of the fourth day after mailing or the date of the return receipt acknowledgment, if mailed, postage prepaid, by certified or registered mail, return receipt requested; (c) on the date of transmission, if sent by facsimile; or (d) on the date of requested delivery if sent by a recognized overnight courier:</w:t>
      </w:r>
    </w:p>
    <w:p>
      <w:pPr>
        <w:sectPr>
          <w:pgSz w:w="11900" w:h="16838" w:orient="portrait"/>
          <w:cols w:equalWidth="0" w:num="1">
            <w:col w:w="11420"/>
          </w:cols>
          <w:pgMar w:left="240" w:top="274" w:right="239" w:bottom="1440" w:gutter="0" w:footer="0" w:header="0"/>
        </w:sect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Northern Star Industries,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Industrial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Iron Mountain, Michigan 49801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J. Brule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(906) 779-4202</w:t>
      </w:r>
    </w:p>
    <w:p>
      <w:pPr>
        <w:spacing w:after="0" w:line="103" w:lineRule="exact"/>
        <w:rPr>
          <w:sz w:val="20"/>
          <w:szCs w:val="20"/>
          <w:color w:val="auto"/>
        </w:rPr>
      </w:pPr>
    </w:p>
    <w:p>
      <w:pPr>
        <w:sectPr>
          <w:pgSz w:w="11900" w:h="16838" w:orient="portrait"/>
          <w:cols w:equalWidth="0" w:num="2">
            <w:col w:w="2380" w:space="720"/>
            <w:col w:w="832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Godfrey &amp; Kahn, 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780 North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Christopher B. Noyes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(414) 273-5198</w:t>
      </w:r>
    </w:p>
    <w:p>
      <w:pPr>
        <w:spacing w:after="0" w:line="200" w:lineRule="exact"/>
        <w:rPr>
          <w:sz w:val="20"/>
          <w:szCs w:val="20"/>
          <w:color w:val="auto"/>
        </w:rPr>
      </w:pPr>
    </w:p>
    <w:p>
      <w:pPr>
        <w:sectPr>
          <w:pgSz w:w="11900" w:h="16838" w:orient="portrait"/>
          <w:cols w:equalWidth="0" w:num="2">
            <w:col w:w="2380" w:space="720"/>
            <w:col w:w="8320"/>
          </w:cols>
          <w:pgMar w:left="240" w:top="27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person or address as Seller may furnish to the other parties in writing in accordance with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type w:val="continuous"/>
        </w:sectPr>
      </w:pPr>
    </w:p>
    <w:bookmarkStart w:id="77" w:name="page78"/>
    <w:bookmarkEnd w:id="77"/>
    <w:p>
      <w:pPr>
        <w:ind w:left="460"/>
        <w:spacing w:after="0"/>
        <w:rPr>
          <w:sz w:val="20"/>
          <w:szCs w:val="20"/>
          <w:color w:val="auto"/>
        </w:rPr>
      </w:pPr>
      <w:r>
        <w:rPr>
          <w:rFonts w:ascii="Arial" w:cs="Arial" w:eastAsia="Arial" w:hAnsi="Arial"/>
          <w:sz w:val="17"/>
          <w:szCs w:val="17"/>
          <w:color w:val="auto"/>
        </w:rPr>
        <w:t>If to Buyer,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-215900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Bloomington, MN 55420-1196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(952) 887-8920</w:t>
      </w:r>
    </w:p>
    <w:p>
      <w:pPr>
        <w:spacing w:after="0" w:line="103" w:lineRule="exact"/>
        <w:rPr>
          <w:sz w:val="20"/>
          <w:szCs w:val="20"/>
          <w:color w:val="auto"/>
        </w:rPr>
      </w:pPr>
    </w:p>
    <w:p>
      <w:pPr>
        <w:sectPr>
          <w:pgSz w:w="11900" w:h="16838" w:orient="portrait"/>
          <w:cols w:equalWidth="0" w:num="2">
            <w:col w:w="2380" w:space="720"/>
            <w:col w:w="8320"/>
          </w:cols>
          <w:pgMar w:left="240" w:top="274" w:right="239" w:bottom="1440" w:gutter="0" w:footer="0" w:header="0"/>
        </w:sect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Oppenheimer Wolff &amp; Donnelly LLP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222 South Ninth Street, Suite 2000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Timothy J. Scallen, Esq.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Fax: (612) 607-7100</w:t>
      </w:r>
    </w:p>
    <w:p>
      <w:pPr>
        <w:spacing w:after="0" w:line="200" w:lineRule="exact"/>
        <w:rPr>
          <w:sz w:val="20"/>
          <w:szCs w:val="20"/>
          <w:color w:val="auto"/>
        </w:rPr>
      </w:pPr>
    </w:p>
    <w:p>
      <w:pPr>
        <w:sectPr>
          <w:pgSz w:w="11900" w:h="16838" w:orient="portrait"/>
          <w:cols w:equalWidth="0" w:num="2">
            <w:col w:w="2380" w:space="720"/>
            <w:col w:w="8320"/>
          </w:cols>
          <w:pgMar w:left="240" w:top="27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or to such other person or address as Buyer may furnish to the other parties in writing in accordance with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ectPr>
          <w:pgSz w:w="11900" w:h="16838" w:orient="portrait"/>
          <w:cols w:equalWidth="0" w:num="1">
            <w:col w:w="11420"/>
          </w:cols>
          <w:pgMar w:left="240" w:top="274" w:right="239" w:bottom="1440" w:gutter="0" w:footer="0" w:header="0"/>
          <w:type w:val="continuous"/>
        </w:sect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a Seller Shareholder, to:</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 David J. Brule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Northern Star Industries,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130 North Industrial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Iron Mountain, MI 49801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(906) 779-4202</w:t>
      </w:r>
    </w:p>
    <w:p>
      <w:pPr>
        <w:spacing w:after="0" w:line="200" w:lineRule="exact"/>
        <w:rPr>
          <w:sz w:val="20"/>
          <w:szCs w:val="20"/>
          <w:color w:val="auto"/>
        </w:rPr>
      </w:pPr>
    </w:p>
    <w:p>
      <w:pPr>
        <w:sectPr>
          <w:pgSz w:w="11900" w:h="16838" w:orient="portrait"/>
          <w:cols w:equalWidth="0" w:num="2">
            <w:col w:w="2540" w:space="560"/>
            <w:col w:w="8320"/>
          </w:cols>
          <w:pgMar w:left="240" w:top="274" w:right="239" w:bottom="1440" w:gutter="0" w:footer="0" w:header="0"/>
          <w:type w:val="continuous"/>
        </w:sectPr>
      </w:pPr>
    </w:p>
    <w:p>
      <w:pPr>
        <w:spacing w:after="0" w:line="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or to such other person or address as such Seller Shareholder may furnish to the other parties in writing in accordance with this </w:t>
      </w:r>
      <w:r>
        <w:rPr>
          <w:rFonts w:ascii="Arial" w:cs="Arial" w:eastAsia="Arial" w:hAnsi="Arial"/>
          <w:sz w:val="18"/>
          <w:szCs w:val="18"/>
          <w:u w:val="single" w:color="auto"/>
          <w:color w:val="auto"/>
        </w:rPr>
        <w:t>Section 12.6</w:t>
      </w:r>
      <w:r>
        <w:rPr>
          <w:rFonts w:ascii="Arial" w:cs="Arial" w:eastAsia="Arial" w:hAnsi="Arial"/>
          <w:sz w:val="18"/>
          <w:szCs w:val="18"/>
          <w:color w:val="auto"/>
        </w:rPr>
        <w:t>. Each Seller Shareholder hereby designates the above-named individual as its agent for receipt of notices hereunder unless and until notice of a successor designee is given in accordance herewith.</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Agreement and all of the provisions hereof will be binding upon and inure to the benefit of the parties hereto and their respective heirs, personal representatives, successors and permitted assigns, but neither this Agreement nor any of the rights, interests or obligations hereunder may be assigned (whether voluntarily, involuntarily, by operation of law or otherwise) by Seller or the Seller Shareholders without the prior written consent of Buyer. Prior to Closing, Buyer may not assign (whether voluntarily, involuntarily, by operation of law or otherwise) this Agreement, in whole or in part, without the consent of Seller or Seller Shareholders, except that Buyer may assign this Agreement, in whole or in any part and from time to time, to any Subsidiary or other Affiliate of Buyer provided Buyer remains bound by this Agreement jointly and severally with any such assignee. Subject to the terms of the Promissory Note, after Closing, Buyer may assign (whether voluntarily, involuntarily, by operation of law or otherwise) this Agreement, in whole or in any part and from time to time without the consent of Seller or the Seller Shareholders provided Buyer remains bound by this Agreement jointly and severally with any such assignee. Any assignment or purported assignment in violation of this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will be void and of no force or effect. Without limiting the generality of the foregoing, and solely for purposes of clarity, the foregoing restriction on assignment prohibits and invalidates any assignment, distribution or other transfer (and any purported assignment, distribution or other transfer) of any rights to receive or other interest in or with respect to the purchase price payable hereunder.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12.8 </w:t>
      </w:r>
      <w:r>
        <w:rPr>
          <w:rFonts w:ascii="Arial" w:cs="Arial" w:eastAsia="Arial" w:hAnsi="Arial"/>
          <w:sz w:val="18"/>
          <w:szCs w:val="18"/>
          <w:u w:val="single" w:color="auto"/>
          <w:color w:val="auto"/>
        </w:rPr>
        <w:t>Governing Law; Arbitration and Mediation</w:t>
      </w:r>
      <w:r>
        <w:rPr>
          <w:rFonts w:ascii="Arial" w:cs="Arial" w:eastAsia="Arial" w:hAnsi="Arial"/>
          <w:sz w:val="18"/>
          <w:szCs w:val="18"/>
          <w:color w:val="auto"/>
        </w:rPr>
        <w:t>.</w:t>
      </w:r>
    </w:p>
    <w:p>
      <w:pPr>
        <w:spacing w:after="0" w:line="117" w:lineRule="exact"/>
        <w:rPr>
          <w:sz w:val="20"/>
          <w:szCs w:val="20"/>
          <w:color w:val="auto"/>
        </w:rPr>
      </w:pPr>
    </w:p>
    <w:p>
      <w:pPr>
        <w:ind w:right="100" w:firstLine="443"/>
        <w:spacing w:after="0" w:line="286" w:lineRule="auto"/>
        <w:tabs>
          <w:tab w:leader="none" w:pos="68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This Agreement and, except as otherwise expressly stated therein, the Ancillary Documents, and the legal relations among the parties hereto will be governed by and construed in accordance with the internal substantive laws of the State of Delaware (without regard to the laws of conflict that might otherwise apply) as to all matters, including matters of validity, construction, effect, performance and remedies.</w:t>
      </w:r>
    </w:p>
    <w:p>
      <w:pPr>
        <w:spacing w:after="0" w:line="57" w:lineRule="exact"/>
        <w:rPr>
          <w:rFonts w:ascii="Arial" w:cs="Arial" w:eastAsia="Arial" w:hAnsi="Arial"/>
          <w:sz w:val="17"/>
          <w:szCs w:val="17"/>
          <w:color w:val="auto"/>
        </w:rPr>
      </w:pPr>
    </w:p>
    <w:p>
      <w:pPr>
        <w:ind w:firstLine="443"/>
        <w:spacing w:after="0" w:line="284" w:lineRule="auto"/>
        <w:tabs>
          <w:tab w:leader="none" w:pos="69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Sections 8.2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8.3</w:t>
      </w:r>
      <w:r>
        <w:rPr>
          <w:rFonts w:ascii="Arial" w:cs="Arial" w:eastAsia="Arial" w:hAnsi="Arial"/>
          <w:sz w:val="16"/>
          <w:szCs w:val="16"/>
          <w:color w:val="auto"/>
        </w:rPr>
        <w:t>, all Arbitrable Claims arising between the parties in connection with this Agreement will be finally resolved by arbitration administered by JAMS under and in accordance with its JAMS Comprehensive Arbitration Rules and Procedures, and judgment on the award rendered by the arbitrator may be entered by any court having competent jurisdiction. The term “</w:t>
      </w:r>
      <w:r>
        <w:rPr>
          <w:rFonts w:ascii="Arial" w:cs="Arial" w:eastAsia="Arial" w:hAnsi="Arial"/>
          <w:sz w:val="16"/>
          <w:szCs w:val="16"/>
          <w:u w:val="single" w:color="auto"/>
          <w:color w:val="auto"/>
        </w:rPr>
        <w:t>Arbitrable Claims</w:t>
      </w:r>
      <w:r>
        <w:rPr>
          <w:rFonts w:ascii="Arial" w:cs="Arial" w:eastAsia="Arial" w:hAnsi="Arial"/>
          <w:sz w:val="16"/>
          <w:szCs w:val="16"/>
          <w:color w:val="auto"/>
        </w:rPr>
        <w:t xml:space="preserve">” means any claims, disputes, controversies, demands, causes of action (whether arising under state or federal statutes, equity, the common law or any other applicable Law), damages, claims or demands for equitable relief, other matters in question between or among Seller, the Seller Shareholders and Buyer under this Agreement or arising out of the negotiation, execution, delivery (including the fraudulent inducement thereof), or performance of this Agreement and other matters for which this Agreement specifically provides for arbitration, but specifically excludes any matters of injunctive relief or specific performance specifically reserved to a party under this Agreement. Disputes will be identified by the aggrieved party by notice of dispute in writing to the other party setting forth with particularity the issues responsible for the dispute. Upon receipt of such notice, the parties will attempt in good faith to resolve the dispute and, if they fail to resolve the dispute, will mediate such dispute pursuant to </w:t>
      </w:r>
      <w:r>
        <w:rPr>
          <w:rFonts w:ascii="Arial" w:cs="Arial" w:eastAsia="Arial" w:hAnsi="Arial"/>
          <w:sz w:val="16"/>
          <w:szCs w:val="16"/>
          <w:u w:val="single" w:color="auto"/>
          <w:color w:val="auto"/>
        </w:rPr>
        <w:t>Section 12.8(c)</w:t>
      </w:r>
      <w:r>
        <w:rPr>
          <w:rFonts w:ascii="Arial" w:cs="Arial" w:eastAsia="Arial" w:hAnsi="Arial"/>
          <w:sz w:val="16"/>
          <w:szCs w:val="16"/>
          <w:color w:val="auto"/>
        </w:rPr>
        <w:t xml:space="preserve"> prior to submitting the dispute to arbitration. In the event that the parties cannot amicably resolve the issues prior to or as a result of mediation, the dispute will be submitted to arbitration. The arbitration will take place in Chicago, Illinois. The party initiating arbitration will request a list of five impartial arbitrators from the office of JAMS located in or nearest the city in which the arbitration is to take place. From this list, the parties will alternately strike arbitrators (with the party initiating arbitration making the first strike) until one name is left. The parties agree to facilitate the arbitration by: (a) conducting arbitration hearings to the greatest extent possible on successive, contiguous days; and (b) observing strictly the time periods established by the JAMS Comprehensive Arbitration Rules and Procedures or by the arbitrator(s) for the submission of evidence and briefs. Discovery in the arbitration will be as limited as reasonably possible and in no event will a party be entitled to take more than three depositions (each deposition completed in no more than seven hours), ask more than ten narrowly focused interrogatories (sub-parts of an interrogatory deemed as a separate interrogation), or make more than fifteen narrowly focused document requests (sub-parts of a request deemed as a separate request). Any up-front fees payable to the arbitrator(s) or like up-front fees will be divided equally between Buyer and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prevailing party will be reimbursed its costs, including reasonable attorneys’ fees and arbitration expenses, proportionate to the degree of its success from the other party if, and only to the extent, expressly determined in the arbitrator’s award.</w:t>
      </w:r>
    </w:p>
    <w:p>
      <w:pPr>
        <w:spacing w:after="0" w:line="3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700" w:top="274" w:right="239" w:bottom="1440" w:gutter="0" w:footer="0" w:header="0"/>
        </w:sectPr>
      </w:pPr>
    </w:p>
    <w:bookmarkStart w:id="79" w:name="page80"/>
    <w:bookmarkEnd w:id="79"/>
    <w:p>
      <w:pPr>
        <w:ind w:left="460" w:firstLine="443"/>
        <w:spacing w:after="0" w:line="271" w:lineRule="auto"/>
        <w:tabs>
          <w:tab w:leader="none" w:pos="1143" w:val="left"/>
        </w:tabs>
        <w:numPr>
          <w:ilvl w:val="0"/>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Arbitrable Claims will be submitted to mediation (assuming other good faith attempts to resolve the dispute have failed) prior to submitting such claim to arbitration pursuant to </w:t>
      </w:r>
      <w:r>
        <w:rPr>
          <w:rFonts w:ascii="Arial" w:cs="Arial" w:eastAsia="Arial" w:hAnsi="Arial"/>
          <w:sz w:val="17"/>
          <w:szCs w:val="17"/>
          <w:u w:val="single" w:color="auto"/>
          <w:color w:val="auto"/>
        </w:rPr>
        <w:t>Section 12.8(b)</w:t>
      </w:r>
      <w:r>
        <w:rPr>
          <w:rFonts w:ascii="Arial" w:cs="Arial" w:eastAsia="Arial" w:hAnsi="Arial"/>
          <w:sz w:val="17"/>
          <w:szCs w:val="17"/>
          <w:color w:val="auto"/>
        </w:rPr>
        <w:t>. The mediation will take place in Chicago, Illinois, unless another location is agreed by the parties. If the parties are unable to agree upon a mediator, each party will select a mediator, which mediators in turn will select the mediator of the dispute. Each party’s representation at the mediation will include a business representative having full settlement authority. The parties will use best efforts to schedule the mediation within 30 days of the delivery of a request for mediation. Any mediation will be non-binding and anything presented in any mediation will be subject to Federal Rule of Evidence 408. The parties acknowledge that they agree to mediate disputes in hopes of amicably resolving the matter before incurring significant attorneys’ fees which may act as a barrier to settlement of the dispute at a later time. Accordingly, the parties will mediate in good faith and use reasonable efforts to reach a resolution of the matter.</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each of the Ancillary Documents may be executed in one or more counterparts, each of which will be deemed an original, but all of which together will constitute one and the same instrument. This Agreement and the Ancillary Documents will become effective when one or more counterparts have been signed by each of the parties and delivered to the other parties. This Agreement and the Ancillary Documents may be executed and delivered by facsimile or pdf transmission and a facsimile or pdf transmission will constitute an original for all purposes, except as may be otherwise required by law. At the request of any party, the parties will confirm a facsimile or pdf transmission by signing a duplicate original document.</w:t>
      </w:r>
    </w:p>
    <w:p>
      <w:pPr>
        <w:spacing w:after="0" w:line="158"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Enforcement</w:t>
      </w:r>
      <w:r>
        <w:rPr>
          <w:rFonts w:ascii="Arial" w:cs="Arial" w:eastAsia="Arial" w:hAnsi="Arial"/>
          <w:sz w:val="17"/>
          <w:szCs w:val="17"/>
          <w:color w:val="auto"/>
        </w:rPr>
        <w:t xml:space="preserve">. The parties agree that irreparable damage would occur in the event that any of the provisions of this Agreement or the Ancillary Documents are not performed in accordance with their specific terms or otherwise are Breached. Therefore, each party (a) hereby waives, in any action for specific performance, the defense of adequacy of a remedy at law and any requirement for the posting of any bond or other security in connection with any such remedy; and (b) agrees that the other parties will be entitled to specific performance of this Agreement and the Ancillary Documents in any Proceeding initiated to enforce the terms hereof, including the issuance of an Order or Orders to prevent or restrain any actual or threatened Breach of this Agreement or the Ancillary Documents, in each case without any requirement to post any bond or provide other security. The remedy of specific performance will be in addition to any other remedy or remedies to which the other parties may be entitled at law or in equity. The provisions of </w:t>
      </w:r>
      <w:r>
        <w:rPr>
          <w:rFonts w:ascii="Arial" w:cs="Arial" w:eastAsia="Arial" w:hAnsi="Arial"/>
          <w:sz w:val="17"/>
          <w:szCs w:val="17"/>
          <w:u w:val="single" w:color="auto"/>
          <w:color w:val="auto"/>
        </w:rPr>
        <w:t>Sections 8.2(c)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8.3(c)</w:t>
      </w:r>
      <w:r>
        <w:rPr>
          <w:rFonts w:ascii="Arial" w:cs="Arial" w:eastAsia="Arial" w:hAnsi="Arial"/>
          <w:sz w:val="17"/>
          <w:szCs w:val="17"/>
          <w:color w:val="auto"/>
        </w:rPr>
        <w:t xml:space="preserve"> hereof shall govern and control, with respect to the matters set forth therein, over this </w:t>
      </w:r>
      <w:r>
        <w:rPr>
          <w:rFonts w:ascii="Arial" w:cs="Arial" w:eastAsia="Arial" w:hAnsi="Arial"/>
          <w:sz w:val="17"/>
          <w:szCs w:val="17"/>
          <w:u w:val="single" w:color="auto"/>
          <w:color w:val="auto"/>
        </w:rPr>
        <w:t>Section 12.10</w:t>
      </w:r>
      <w:r>
        <w:rPr>
          <w:rFonts w:ascii="Arial" w:cs="Arial" w:eastAsia="Arial" w:hAnsi="Arial"/>
          <w:sz w:val="17"/>
          <w:szCs w:val="17"/>
          <w:color w:val="auto"/>
        </w:rPr>
        <w:t>.</w:t>
      </w:r>
    </w:p>
    <w:p>
      <w:pPr>
        <w:spacing w:after="0" w:line="179"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including the appendices, addenda, annexes, exhibits and schedules hereto, embodies the entire agreement and understanding of the parties in respect of the subject matter contained herein and supersedes all prior agreements and the understandings between the parties with respect to the subject matter of this Agreement (including the Letter of Intent dated September 3, 2014 among Buyer, Seller and the Seller Shareholders), other than the Confidentiality Agreement. The Confidentiality Agreement will terminate and cease to be of any further force or effect as of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Buyer shall remain bound thereby for the Restricted Period with respect to confidential information (as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80" w:name="page81"/>
    <w:bookmarkEnd w:id="80"/>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the Confidentiality Agreement) of Seller that is not Confidential Information within the meaning of this Agreement and does not otherwise relate to the Business, including (i) confidential information specifically regarding the Selling Shareholders and/or, (ii) confidential information specifically and exclusively related to the Systems Control business division of Seller. No discussions regarding, or exchange of drafts or comments in connection with, the transactions contemplated herein will constitute an agreement among the parties hereto or modify the terms of this Agreement. Any agreement among the parties will exist only when the parties have fully executed and delivered this Agreement or any amendments hereto adopted as provided herein.</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term or other provision of this Agreement or any of the Ancillary Documents is held to be invalid, illegal or incapable of being enforced by any rule of Law or public policy, all other terms and provisions of this Agreement will nevertheless remain in full force and effect so long as the economics or legal substance of the transactions contemplated hereby are not affected in any manner materially adverse to any party. Upon determination that any term or other provision hereof is invalid, illegal or incapable of being enforced, the parties hereto will negotiate in good faith to modify this Agreement or such Ancillary Document, as applicable, so as to effect the original intent of the parties as closely as possible to the fullest extent permitted by applicable Law in an acceptable manner to the end that the transactions contemplated hereby are fulfilled to the greatest extent possible. The provisions of </w:t>
      </w:r>
      <w:r>
        <w:rPr>
          <w:rFonts w:ascii="Arial" w:cs="Arial" w:eastAsia="Arial" w:hAnsi="Arial"/>
          <w:sz w:val="16"/>
          <w:szCs w:val="16"/>
          <w:u w:val="single" w:color="auto"/>
          <w:color w:val="auto"/>
        </w:rPr>
        <w:t>Section 8.3(c)</w:t>
      </w:r>
      <w:r>
        <w:rPr>
          <w:rFonts w:ascii="Arial" w:cs="Arial" w:eastAsia="Arial" w:hAnsi="Arial"/>
          <w:sz w:val="16"/>
          <w:szCs w:val="16"/>
          <w:color w:val="auto"/>
        </w:rPr>
        <w:t xml:space="preserve"> shall govern and control shall govern and control, with respect to the matters set forth therein, over this </w:t>
      </w:r>
      <w:r>
        <w:rPr>
          <w:rFonts w:ascii="Arial" w:cs="Arial" w:eastAsia="Arial" w:hAnsi="Arial"/>
          <w:sz w:val="16"/>
          <w:szCs w:val="16"/>
          <w:u w:val="single" w:color="auto"/>
          <w:color w:val="auto"/>
        </w:rPr>
        <w:t>Section 12.12</w:t>
      </w:r>
      <w:r>
        <w:rPr>
          <w:rFonts w:ascii="Arial" w:cs="Arial" w:eastAsia="Arial" w:hAnsi="Arial"/>
          <w:sz w:val="16"/>
          <w:szCs w:val="16"/>
          <w:color w:val="auto"/>
        </w:rPr>
        <w:t>.</w:t>
      </w:r>
    </w:p>
    <w:p>
      <w:pPr>
        <w:spacing w:after="0" w:line="163"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PARTIES WAIVE ANY RIGHT TO A JURY TRIAL OF ANY CONTROVERSY OR CLAIM ARISING OUT OF OR RELATING TO THIS AGREEMENT OR THE ANCILLARY DOCUMENTS, OR THE MAKING, PERFORMANCE OR INTERPRETATION THEREOF, INCLUDING FRAUDULENT INDUCEMENT THEREOF</w:t>
      </w:r>
      <w:r>
        <w:rPr>
          <w:rFonts w:ascii="Arial" w:cs="Arial" w:eastAsia="Arial" w:hAnsi="Arial"/>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Receivable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2.3(d)</w:t>
      </w:r>
      <w:r>
        <w:rPr>
          <w:rFonts w:ascii="Arial" w:cs="Arial" w:eastAsia="Arial" w:hAnsi="Arial"/>
          <w:sz w:val="18"/>
          <w:szCs w:val="18"/>
          <w:color w:val="auto"/>
        </w:rPr>
        <w:t>.</w:t>
      </w:r>
    </w:p>
    <w:p>
      <w:pPr>
        <w:spacing w:after="0" w:line="22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any Person that directly or indirectly through one or more intermediaries controls, is controlled by, or is under common control with, the specified Person, where “</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policies of a Person, whether through the ownership of voting securities, by contract, as trustee or executor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first paragraph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w:t>
      </w:r>
      <w:r>
        <w:rPr>
          <w:rFonts w:ascii="Arial" w:cs="Arial" w:eastAsia="Arial" w:hAnsi="Arial"/>
          <w:sz w:val="18"/>
          <w:szCs w:val="18"/>
          <w:color w:val="auto"/>
        </w:rPr>
        <w:t>t” means all agreements, certificates, instruments and other documents executed and delivered by one or more parties in connection with the execution, delivery and performance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Contracts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Accounts Payable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Employee Liabilities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Warranty Liabilities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Authority</w:t>
      </w:r>
      <w:r>
        <w:rPr>
          <w:rFonts w:ascii="Arial" w:cs="Arial" w:eastAsia="Arial" w:hAnsi="Arial"/>
          <w:sz w:val="16"/>
          <w:szCs w:val="16"/>
          <w:color w:val="auto"/>
        </w:rPr>
        <w:t>” means any U.S. or non-U.S. federal, state, provincial, local or other governmental or quasi-governmental, administrative, regulatory or judicial court, department, commission, agency, board, bureau, instrumentality or other authority. For clarity, this term includes the New York Stock Exchange.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Resolution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11.4(a)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Breach</w:t>
      </w:r>
      <w:r>
        <w:rPr>
          <w:rFonts w:ascii="Arial" w:cs="Arial" w:eastAsia="Arial" w:hAnsi="Arial"/>
          <w:sz w:val="17"/>
          <w:szCs w:val="17"/>
          <w:color w:val="auto"/>
        </w:rPr>
        <w:t>” means (a) with respect to any Contract, any breach of or inaccuracy in any representation or warranty given in connection with the Contract, any breach of or failure to perform or comply with any covenant or obligation in connection with the Contract, or the occurrence of any default or event of default, however defined, in connection with the Contract, or (b) with respect to any Law or Order (including any Permit), any violation or other failure to comply with any obligation or restriction contained in or imposed by the Law or Order (including any Permit).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Sunday or (b) any other day on which banks in Minneapolis, Minnesota are permitted or required to be closed.</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Employees</w:t>
      </w:r>
      <w:r>
        <w:rPr>
          <w:rFonts w:ascii="Arial" w:cs="Arial" w:eastAsia="Arial" w:hAnsi="Arial"/>
          <w:sz w:val="18"/>
          <w:szCs w:val="18"/>
          <w:color w:val="auto"/>
        </w:rPr>
        <w:t xml:space="preserve">” means employees of Seller who are (a) dedicated to the Business or spend a majority of time working on matters pertaining to the Business and (b) listed on </w:t>
      </w:r>
      <w:r>
        <w:rPr>
          <w:rFonts w:ascii="Arial" w:cs="Arial" w:eastAsia="Arial" w:hAnsi="Arial"/>
          <w:sz w:val="18"/>
          <w:szCs w:val="18"/>
          <w:u w:val="single" w:color="auto"/>
          <w:color w:val="auto"/>
        </w:rPr>
        <w:t>Schedule 4.15(a)</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1.1(h)</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is defined in the first paragraph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Employment Start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Buyer Indemnified Parties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8.2(a)(i)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Receivables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8.5(b)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w:t>
      </w:r>
      <w:r>
        <w:rPr>
          <w:rFonts w:ascii="Arial" w:cs="Arial" w:eastAsia="Arial" w:hAnsi="Arial"/>
          <w:sz w:val="18"/>
          <w:szCs w:val="18"/>
          <w:color w:val="auto"/>
        </w:rPr>
        <w:t xml:space="preserve">p” is defined in </w:t>
      </w:r>
      <w:r>
        <w:rPr>
          <w:rFonts w:ascii="Arial" w:cs="Arial" w:eastAsia="Arial" w:hAnsi="Arial"/>
          <w:sz w:val="18"/>
          <w:szCs w:val="18"/>
          <w:u w:val="single" w:color="auto"/>
          <w:color w:val="auto"/>
        </w:rPr>
        <w:t>Section 11.4(a)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Balance Sheet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4.16(f)</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Subordination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confidentiality agreement, dated as of July 15, 2013, between Buyer and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consent, approval, ratification, waiver or other authorization.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means any registered or unregistered writing or other work of authorship.</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Room</w:t>
      </w:r>
      <w:r>
        <w:rPr>
          <w:rFonts w:ascii="Arial" w:cs="Arial" w:eastAsia="Arial" w:hAnsi="Arial"/>
          <w:sz w:val="18"/>
          <w:szCs w:val="18"/>
          <w:color w:val="auto"/>
        </w:rPr>
        <w:t>” means the electronic documentation site established by Seller for centralizing due diligence materials in connection with the transactions contemplated by this Agreement, administered as of the date of this Agreement through the Box.com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3.2(j)</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74" w:right="279" w:bottom="1440" w:gutter="0" w:footer="0" w:header="0"/>
        </w:sectPr>
      </w:pPr>
    </w:p>
    <w:bookmarkStart w:id="83" w:name="page84"/>
    <w:bookmarkEnd w:id="83"/>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with respect to any asset or security, any mortgage, deed of trust, lien, pledge, charge, security interest, conditional sale or other security arrangement, collateral assignment, adverse claim of title, ownership or right to use, restriction, right of first refusal or offer or other encumbrance of any kind in respect of such asset or security.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soil, land surface or subsurface strata, surface water, ground water, drinking water supplies, stream sediments, ambient air (including indoor air), plant and animal life and any other environmental medium or natural resource, and “</w:t>
      </w:r>
      <w:r>
        <w:rPr>
          <w:rFonts w:ascii="Arial" w:cs="Arial" w:eastAsia="Arial" w:hAnsi="Arial"/>
          <w:sz w:val="18"/>
          <w:szCs w:val="18"/>
          <w:u w:val="single" w:color="auto"/>
          <w:color w:val="auto"/>
        </w:rPr>
        <w:t>Environmental</w:t>
      </w:r>
      <w:r>
        <w:rPr>
          <w:rFonts w:ascii="Arial" w:cs="Arial" w:eastAsia="Arial" w:hAnsi="Arial"/>
          <w:sz w:val="18"/>
          <w:szCs w:val="18"/>
          <w:color w:val="auto"/>
        </w:rPr>
        <w:t>” means having to do with any of the foregoing.</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applicable Law, Permit or Order relating to the pollution, contamination, protection or clean-up of the Environment or to human health, including any Law, Permit or Order that requires record-keeping, notification or reporting of matters relating to the Environment in effect as of the Closing Date.</w:t>
      </w:r>
    </w:p>
    <w:p>
      <w:pPr>
        <w:spacing w:after="0" w:line="18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Liabilities</w:t>
      </w:r>
      <w:r>
        <w:rPr>
          <w:rFonts w:ascii="Arial" w:cs="Arial" w:eastAsia="Arial" w:hAnsi="Arial"/>
          <w:sz w:val="16"/>
          <w:szCs w:val="16"/>
          <w:color w:val="auto"/>
        </w:rPr>
        <w:t>” means all liabilities, costs, expenses, penalties, fines, damages claims, demands or actions arising under Environmental Law, common law or based on Contract, including any (a) cleanup, removal, corrective, containment or other remediation or response actions or (b) actual or alleged violation of any Environmental Law in connection with Seller’s operation of the Business or ownership, occupancy or use of the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Net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Finished Goods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4.8(c)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Balance Sheet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Real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4.20(c)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accounting principles generally accepted in the United States.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with respect to a specified Person, (a) if a corporation, the articles or certificate of incorporation and the bylaws; (b) if a general partnership, the partnership agreement and any statement of partnership; (c) if a limited partnership, the limited partnership agreement and the certificate of limited partnership; (d) if a limited liability company, the articles of organization and operating agreement; (e) if a trust, the trust agreement or similar formation documents; (f) if another type of Person, any other charter or similar document adopted or filed in connection with the creation, formation or organization of the Person; (g) all stockholders’ and other equity holders’ or trustee agreements, voting agreements, voting trust agreements, joint venture agreements, registration rights agreements or other agreements or documents relating to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274" w:right="299" w:bottom="1440" w:gutter="0" w:footer="0" w:header="0"/>
        </w:sectPr>
      </w:pPr>
    </w:p>
    <w:bookmarkStart w:id="84" w:name="page85"/>
    <w:bookmarkEnd w:id="84"/>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organization, management or operation of any Person or relating to the rights, duties and obligations of the stockholders, trustees, owners or other equity holders of any Person; and (h) any amendment or supplement to any of the foregoing.</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liquid, solid or gaseous substance of any kind or nature that is regulated under any Environmental Law, including petroleum products and by-products, asbestos and asbestos-containing materials, medical and infectious wastes, urea formaldehyde, polychlorinated byphenyls, radon gas, radioactive substances and chlorofluorocarbons and other ozone-depleting substances.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Value Components</w:t>
      </w:r>
      <w:r>
        <w:rPr>
          <w:rFonts w:ascii="Arial" w:cs="Arial" w:eastAsia="Arial" w:hAnsi="Arial"/>
          <w:sz w:val="18"/>
          <w:szCs w:val="18"/>
          <w:color w:val="auto"/>
        </w:rPr>
        <w:t>” means engineered components purchased from Third Parties that are assembled into the applicable product without fabrication (</w:t>
      </w:r>
      <w:r>
        <w:rPr>
          <w:rFonts w:ascii="Arial" w:cs="Arial" w:eastAsia="Arial" w:hAnsi="Arial"/>
          <w:sz w:val="18"/>
          <w:szCs w:val="18"/>
          <w:u w:val="single" w:color="auto"/>
          <w:color w:val="auto"/>
        </w:rPr>
        <w:t>e.g.</w:t>
      </w:r>
      <w:r>
        <w:rPr>
          <w:rFonts w:ascii="Arial" w:cs="Arial" w:eastAsia="Arial" w:hAnsi="Arial"/>
          <w:sz w:val="18"/>
          <w:szCs w:val="18"/>
          <w:color w:val="auto"/>
        </w:rPr>
        <w:t>, hydraulics, head lights, controls, etc.).</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Hired Business Employees</w:t>
      </w:r>
      <w:r>
        <w:rPr>
          <w:rFonts w:ascii="Arial" w:cs="Arial" w:eastAsia="Arial" w:hAnsi="Arial"/>
          <w:sz w:val="18"/>
          <w:szCs w:val="18"/>
          <w:color w:val="auto"/>
        </w:rPr>
        <w:t>” means Non-IBEW Business Employees and IBEW Business Employees who accept Buyer’s offer of employment pursuant to the terms of the Personnel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IBEW Business Employees</w:t>
      </w:r>
      <w:r>
        <w:rPr>
          <w:rFonts w:ascii="Arial" w:cs="Arial" w:eastAsia="Arial" w:hAnsi="Arial"/>
          <w:sz w:val="16"/>
          <w:szCs w:val="16"/>
          <w:color w:val="auto"/>
        </w:rPr>
        <w:t>” means Business Employees who are covered by the collective bargaining agreement between Seller and the IBEW Union.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IBEW Union</w:t>
      </w:r>
      <w:r>
        <w:rPr>
          <w:rFonts w:ascii="Arial" w:cs="Arial" w:eastAsia="Arial" w:hAnsi="Arial"/>
          <w:sz w:val="18"/>
          <w:szCs w:val="18"/>
          <w:color w:val="auto"/>
        </w:rPr>
        <w:t>” is the International Brotherhood of Electrical Workers Local Union 2221.</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Seller, without duplication, (a) all obligations evidenced by a note, bond, debenture, credit agreement or similar instruments for the payment of which Seller is liable, (b) all obligations with respect to letters of credit, (c) all obligations under any interest rate and currency protection agreement (including any swaps, forward contracts, caps, floors, collars and similar agreements) and commodity swaps, forward contracts and similar agreements, (d) all obligations for any borrowed money or under any purchase money financing or capitalized lease obligation, (e) all obligations for the deferred purchase price of real property and (f) all guarantees issued in respect of the obligations described in clauses (a)-(e) above of any other Person, in each case including the aggregate principal amount of, and any accrued interest and applicable pre-payment, termination or redemption charges, premiums or penalties and any other fees, costs and expenses with respect to all such obligations and guarantees.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11.5(a)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11.5(a)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4.3(d)</w:t>
      </w: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and other similar proprietary rights in any jurisdiction, whether owned or held for use under license and whether registered or unregistered, including all (a) Marks, Patents and Copyrights; (b) confidential and/or proprietary information, trade secrets and know-how, including customer lists, customer data, technical information, plans, drawings, designs, formulae, process technology, manuals, data, records, procedures, product packaging instructions, product specifications and formulations, analytical methods, sources and specifications for raw materials, health and safety information, environmental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74" w:right="279" w:bottom="1440" w:gutter="0" w:footer="0" w:header="0"/>
        </w:sectPr>
      </w:pPr>
    </w:p>
    <w:bookmarkStart w:id="85" w:name="page86"/>
    <w:bookmarkEnd w:id="85"/>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and regulatory information, research and development records, data and reports; (c) software, including data files, source code, object code, application programming interfaces, databases and other software-related specifications and documentation; and (d) claims, causes of action and defenses relating to the enforcement of any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Interim Balance Sheet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Interim Income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Interim 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U.S. or non-U.S. federal, state, provincial, local, municipal or other law, statute, constitution, principle of common law, ordinance, code, permit, rule, regulation, policy, guideline, ruling, Order or requirement issued, enacted, adopted, promulgated, implemented or otherwise put into effect by or under the authority of any Authority.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4.8(b)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4.8(b)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Restraint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all Liabilities, deficiencies, demands, claims, suits, actions, or causes of action, assessments, losses, costs, expenses, interest, fines, penalties, actual or punitive damages or reasonable costs or reasonable expenses of any and all investigations, proceedings, judgments, remediations, settlements and compromises (including reasonable fees and expenses of attorneys, accountants and other advisors and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Shareholders</w:t>
      </w:r>
      <w:r>
        <w:rPr>
          <w:rFonts w:ascii="Arial" w:cs="Arial" w:eastAsia="Arial" w:hAnsi="Arial"/>
          <w:sz w:val="18"/>
          <w:szCs w:val="18"/>
          <w:color w:val="auto"/>
        </w:rPr>
        <w:t>” means each of David J. Brule and David J. Brule II.</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w:t>
      </w:r>
      <w:r>
        <w:rPr>
          <w:rFonts w:ascii="Arial" w:cs="Arial" w:eastAsia="Arial" w:hAnsi="Arial"/>
          <w:sz w:val="18"/>
          <w:szCs w:val="18"/>
          <w:color w:val="auto"/>
        </w:rPr>
        <w:t>” means any registered or unregistered trademark, service mark, trade name, product name, d/b/a, certification mark, Internet domain name, uniform resource locator, slogan, logo, symbol, trade dress or other indicia of origin.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86" w:name="page87"/>
    <w:bookmarkEnd w:id="86"/>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change, effect, event, violation, inaccuracy, circumstance or condition (whether considered individually or in the aggregate with other changes, effects, events, violations, inaccuracies, circumstances or conditions) that (a) has had or would reasonably be expected to have a material adverse effect on the Purchased Assets or the business, operations, results of operations, assets, properties, Liabilities, financial condition or financial performance of the Business, taken as a whole, or (b) materially impedes or delays, or is reasonably likely to materially impede or delay, the consummation of the transactions contemplated by this Agreement, except that none of the following will be considered (either alone or in combination) in determining whether a Material Adverse Effect has occurred: (i) general changes in the United States or global economic or political conditions, (ii) any action or inaction by Seller or any Seller Shareholders that Buyer approves or consents to in writing or that is expressly contemplated by this Agreement or otherwise taken or not taken in compliance with or in performance of the express terms of this Agreement, (iii) changes in any generally applicable Laws or generally applicable accounting regulations or principles (except to the extent that such developments have a disproportionate effect on Seller), (iv) changes directly resulting from the execution and delivery of this Agreement or consummation of the transactions contemplated hereby, including without limitation the announcement of the transactions contemplated by this Agreement and (v) conditions generally affecting the industries in which the Business operates (except to the extent that such conditions have a disproportionate effect on Seller relative to similarly situated industry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4.17(a)</w:t>
      </w:r>
      <w:r>
        <w:rPr>
          <w:rFonts w:ascii="Arial" w:cs="Arial" w:eastAsia="Arial" w:hAnsi="Arial"/>
          <w:sz w:val="18"/>
          <w:szCs w:val="18"/>
          <w:color w:val="auto"/>
        </w:rPr>
        <w: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Neutral Auditor</w:t>
      </w:r>
      <w:r>
        <w:rPr>
          <w:rFonts w:ascii="Arial" w:cs="Arial" w:eastAsia="Arial" w:hAnsi="Arial"/>
          <w:sz w:val="18"/>
          <w:szCs w:val="18"/>
          <w:color w:val="auto"/>
        </w:rPr>
        <w:t xml:space="preserve">” means the accounting firm identified in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or, if such Person is unwilling or unable to serve, such other nationally recognized accounting firm that Buyer and Seller may designate by mutual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Non-Competition Agreements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Non-IBEW Business Employees</w:t>
      </w:r>
      <w:r>
        <w:rPr>
          <w:rFonts w:ascii="Arial" w:cs="Arial" w:eastAsia="Arial" w:hAnsi="Arial"/>
          <w:sz w:val="18"/>
          <w:szCs w:val="18"/>
          <w:color w:val="auto"/>
        </w:rPr>
        <w:t>” means Business Employees who are not IBEW Business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injunction, judgment, decree, ruling, assessment or arbitration award of any Authority or arbitrator.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 specified Person, action that (a) is consistent in nature, scope and magnitude with the past practices of such Person and is taken in the ordinary course of such Person’s normal operations, and (b) does not require authorization by such Person’s board of directors, stockholders, partners or other owners or equity holders, trustees, lenders, beneficiaries or other Persons acting in a similar capacity and does not require any other separate or special authorization or Consent.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4.8(a)</w:t>
      </w:r>
      <w:r>
        <w:rPr>
          <w:rFonts w:ascii="Arial" w:cs="Arial" w:eastAsia="Arial" w:hAnsi="Arial"/>
          <w:sz w:val="18"/>
          <w:szCs w:val="18"/>
          <w:color w:val="auto"/>
        </w:rPr>
        <w: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means any patent, patent application (including any reissue, division, continuation-in-part or extension), invention or discovery that may be patentable and any improvements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Patent Assignment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Objections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7.5(d)</w:t>
      </w:r>
      <w:r>
        <w:rPr>
          <w:rFonts w:ascii="Arial" w:cs="Arial" w:eastAsia="Arial" w:hAnsi="Arial"/>
          <w:sz w:val="18"/>
          <w:szCs w:val="18"/>
          <w:color w:val="auto"/>
        </w:rPr>
        <w: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w:t>
      </w:r>
      <w:r>
        <w:rPr>
          <w:rFonts w:ascii="Arial" w:cs="Arial" w:eastAsia="Arial" w:hAnsi="Arial"/>
          <w:sz w:val="17"/>
          <w:szCs w:val="17"/>
          <w:color w:val="auto"/>
        </w:rPr>
        <w:t>” means any Consent, license, registration, certification, listing or permit issued, granted, given or otherwise made available by or under the authority of any Authority or recognized Third Party certification or standards organizations (including the International Standardization Organization, Underwriter’s Laboratories, the National Sanitation Foundation, the Canadian Standards Association, and their equivalents) or pursuant to any Law.</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w:t>
      </w:r>
      <w:r>
        <w:rPr>
          <w:rFonts w:ascii="Arial" w:cs="Arial" w:eastAsia="Arial" w:hAnsi="Arial"/>
          <w:sz w:val="18"/>
          <w:szCs w:val="18"/>
          <w:color w:val="auto"/>
        </w:rPr>
        <w:t xml:space="preserve">” means any Encumbrance regarding (a) Taxes not yet due and payable, (b) mechanics’, carriers’, workmen’s, repairmen’s, warehouseman’s or other similar liens (inchoate or otherwise) arising or incurred in the Ordinary Course of Business in respect of obligations which are not overdue and are not otherwise material to the business or assets of the Business, (c) requirements and restrictions of zoning, building and applicable Law that apply to the Owned Real Property, with respect to which the Owned Real Property is in compliance in all material respects and (d) matter disclosed on </w:t>
      </w:r>
      <w:r>
        <w:rPr>
          <w:rFonts w:ascii="Arial" w:cs="Arial" w:eastAsia="Arial" w:hAnsi="Arial"/>
          <w:sz w:val="18"/>
          <w:szCs w:val="18"/>
          <w:u w:val="single" w:color="auto"/>
          <w:color w:val="auto"/>
        </w:rPr>
        <w:t>Schedule 12.14</w:t>
      </w:r>
      <w:r>
        <w:rPr>
          <w:rFonts w:ascii="Arial" w:cs="Arial" w:eastAsia="Arial" w:hAnsi="Arial"/>
          <w:sz w:val="18"/>
          <w:szCs w:val="18"/>
          <w:color w:val="auto"/>
        </w:rPr>
        <w:t>.</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natural person or any corporation, partnership, limited liability company, limited liability partnership, joint stock company, business or other trust (including a grantor retained annuity trust), unincorporated association, joint venture or other entity (including any Authority).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Personnel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Physical Count Net Adjustment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Physical Count 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4.16(a)</w:t>
      </w:r>
      <w:r>
        <w:rPr>
          <w:rFonts w:ascii="Arial" w:cs="Arial" w:eastAsia="Arial" w:hAnsi="Arial"/>
          <w:sz w:val="18"/>
          <w:szCs w:val="18"/>
          <w:color w:val="auto"/>
        </w:rPr>
        <w: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Period</w:t>
      </w:r>
      <w:r>
        <w:rPr>
          <w:rFonts w:ascii="Arial" w:cs="Arial" w:eastAsia="Arial" w:hAnsi="Arial"/>
          <w:sz w:val="18"/>
          <w:szCs w:val="18"/>
          <w:color w:val="auto"/>
        </w:rPr>
        <w:t xml:space="preserve">” means the period from the date of this Agreement until the earlier of the Closing or the termination of this Agreement in accordance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Prepaid Expenses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1.1(c)</w:t>
      </w:r>
      <w:r>
        <w:rPr>
          <w:rFonts w:ascii="Arial" w:cs="Arial" w:eastAsia="Arial" w:hAnsi="Arial"/>
          <w:sz w:val="18"/>
          <w:szCs w:val="18"/>
          <w:color w:val="auto"/>
        </w:rPr>
        <w:t>.</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arbitration, audit, hearing, investigation, inquiry, litigation or suit (whether civil, criminal, administrative, judicial or investigative, whether formal or informal, whether public or private) commenced, brought, conducted or heard by or before, or otherwise involving, any Authority or arbitrator.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 Liability Claim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Promissory Note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40"/>
          </w:cols>
          <w:pgMar w:left="240" w:top="274" w:right="319" w:bottom="1440" w:gutter="0" w:footer="0" w:header="0"/>
        </w:sectPr>
      </w:pPr>
    </w:p>
    <w:bookmarkStart w:id="88" w:name="page89"/>
    <w:bookmarkEnd w:id="8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any parcel or tract of land, including any and all buildings, structures, fixtures and improvements located thereon, including those under construction, and all privileges, rights, easements and appurtenances belonging to or for the benefit thereof.</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Release</w:t>
      </w:r>
      <w:r>
        <w:rPr>
          <w:rFonts w:ascii="Arial" w:cs="Arial" w:eastAsia="Arial" w:hAnsi="Arial"/>
          <w:sz w:val="17"/>
          <w:szCs w:val="17"/>
          <w:color w:val="auto"/>
        </w:rPr>
        <w:t>” means any spill, emission, discharge, leak, escape, injection, deposit, disposal, dispersal, leach, migration or other release or threatened release, however defined and whether intentional or unintentional, of any Hazardous Material into, within or otherwise affecting the Environment.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3.2(l)</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Post-Closing Financial Statements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Shareholder Vote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period from the Closing until 11:59 p.m. (Central Time) on the five year anniversary of the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8.7</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is defined in the first paragraph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Board</w:t>
      </w:r>
      <w:r>
        <w:rPr>
          <w:rFonts w:ascii="Arial" w:cs="Arial" w:eastAsia="Arial" w:hAnsi="Arial"/>
          <w:sz w:val="18"/>
          <w:szCs w:val="18"/>
          <w:color w:val="auto"/>
        </w:rPr>
        <w:t>” means the board of directors of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xml:space="preserve">” is defined in the preamble to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Shareholder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Representative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Licenses</w:t>
      </w:r>
      <w:r>
        <w:rPr>
          <w:rFonts w:ascii="Arial" w:cs="Arial" w:eastAsia="Arial" w:hAnsi="Arial"/>
          <w:sz w:val="18"/>
          <w:szCs w:val="18"/>
          <w:color w:val="auto"/>
        </w:rPr>
        <w:t>” means licenses for standard “off-the-shelf” computer software having an annual per license cost of less than $10,000.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specified Person, any other Person in which more than 50% of the securities or other ownership or equity interests having the power to (a) elect a majority of the other Person’s board of directors or other governing body or (b) otherwise direct the business and policies of the other Person, are owned or controlled, directly or indirectly, by (x) the specified Person, (y) the specified Person and one or more Subsidiaries of the specified Person, or (z) one or more Subsidiaries of the specified Person.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Survey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240" w:top="274" w:right="499" w:bottom="1440" w:gutter="0" w:footer="0" w:header="0"/>
        </w:sectPr>
      </w:pPr>
    </w:p>
    <w:bookmarkStart w:id="89" w:name="page90"/>
    <w:bookmarkEnd w:id="8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Tax</w:t>
      </w:r>
      <w:r>
        <w:rPr>
          <w:rFonts w:ascii="Arial" w:cs="Arial" w:eastAsia="Arial" w:hAnsi="Arial"/>
          <w:sz w:val="17"/>
          <w:szCs w:val="17"/>
          <w:color w:val="auto"/>
        </w:rPr>
        <w:t>” means (a) any income, gross income, gross receipts, license, payroll, employment, excise, severance, stamp, occupation, premium, property (real, tangible or intangible), Environmental (including taxes under Code Section 59A), windfall profit, capital gain, customs, vehicle, airplane, boat, vessel or other title or registration, capital stock, franchise, employees’ income withholding, foreign or domestic withholding, social security (or the equivalent), unemployment, disability, Real Property, personal property, sales, use, ad valorem, transfer, registration, value added, alternative or add-on minimum, estimated or other tax, fee, assessment, levy, tariff, charge or duty of any kind whatsoever (including, for clarity, any amounts owed to any Authority or other Person in respect of unclaimed property or escheat laws) and any interest, penalty, addition to tax or additional amount, whether disputed or not, thereon imposed, assessed or collected by or under the authority of any Authority responsible for the imposition of the tax, (b) any Liability for the payment of any amounts of the type described in clause (a) of this definition as a result of being a member of an affiliated, consolidated, combined, unitary or aggregate group for any Taxable Period, and (c) any Liability for the payment of any amounts of the type described in clause (a) or (b) of this definition as a result of being a party to a tax sharing Contract, a transferee of or successor to any Person, or as a result of any express or implied Liability to assume the tax or to indemnify any other Person.</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statement, declaration, claim for refund, report, estimate, notice, form, schedule, informational return, statement or other document (including estimated Tax returns and reports, withholding Tax returns and reports, any schedule or attachment, information returns and reports and any amendment to any of the foregoing) relating to Taxes.</w:t>
      </w:r>
    </w:p>
    <w:p>
      <w:pPr>
        <w:spacing w:after="0" w:line="18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Taxable Period</w:t>
      </w:r>
      <w:r>
        <w:rPr>
          <w:rFonts w:ascii="Arial" w:cs="Arial" w:eastAsia="Arial" w:hAnsi="Arial"/>
          <w:sz w:val="17"/>
          <w:szCs w:val="17"/>
          <w:color w:val="auto"/>
        </w:rPr>
        <w:t>” means any taxable year, any other period that is treated as a taxable year, or any other period, or portion thereof, in the case of a Tax imposed with respect to another period (such as a quarter) with respect to which any Tax may be imposed under any applicable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10.1(b)(i)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who is not a party to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11.6(a)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Evidence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Insurer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Dealer</w:t>
      </w:r>
      <w:r>
        <w:rPr>
          <w:rFonts w:ascii="Arial" w:cs="Arial" w:eastAsia="Arial" w:hAnsi="Arial"/>
          <w:sz w:val="18"/>
          <w:szCs w:val="18"/>
          <w:color w:val="auto"/>
        </w:rPr>
        <w:t>” means any dealer of the Business from which Seller derived revenue of $500,000 or more in any of 2012, 2013 or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Supplier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4.21(b)(iii)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Assignment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3.2(h)</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4.15(b)</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and Retraining Notification Act of 1988 and any other similar Law requiring advance notification of the termination of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Recital E</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74" w:right="259" w:bottom="1440" w:gutter="0" w:footer="0" w:header="0"/>
        </w:sectPr>
      </w:pPr>
    </w:p>
    <w:bookmarkStart w:id="91" w:name="page92"/>
    <w:bookmarkEnd w:id="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Asset Purchase Agreement to be duly executed as of the day and year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M. Ramstad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Peter M. Ramstad</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Human Resources and Business</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Development</w:t>
            </w: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SELLER: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NORTHERN STAR INDUSTRIES,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Brule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David J. Brule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Arial" w:cs="Arial" w:eastAsia="Arial" w:hAnsi="Arial"/>
                <w:sz w:val="18"/>
                <w:szCs w:val="18"/>
                <w:b w:val="1"/>
                <w:bCs w:val="1"/>
                <w:color w:val="auto"/>
              </w:rPr>
              <w:t>SELLER SHAREHOLDERS:</w:t>
            </w:r>
          </w:p>
        </w:tc>
        <w:tc>
          <w:tcPr>
            <w:tcW w:w="1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tcPr>
          <w:p>
            <w:pPr>
              <w:spacing w:after="0"/>
              <w:rPr>
                <w:sz w:val="20"/>
                <w:szCs w:val="20"/>
                <w:color w:val="auto"/>
              </w:rPr>
            </w:pPr>
          </w:p>
        </w:tc>
      </w:tr>
      <w:tr>
        <w:trPr>
          <w:trHeight w:val="432"/>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Brule</w:t>
            </w:r>
          </w:p>
        </w:tc>
        <w:tc>
          <w:tcPr>
            <w:tcW w:w="18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Brule II</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David J. Brule</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David J. Brule II</w:t>
            </w:r>
          </w:p>
        </w:tc>
      </w:tr>
      <w:tr>
        <w:trPr>
          <w:trHeight w:val="431"/>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Brule</w:t>
            </w:r>
          </w:p>
        </w:tc>
        <w:tc>
          <w:tcPr>
            <w:tcW w:w="18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Ellette P. Nyman</w:t>
            </w: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Jonathan Brule</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Ellette P. Nyman</w:t>
            </w:r>
          </w:p>
        </w:tc>
      </w:tr>
      <w:tr>
        <w:trPr>
          <w:trHeight w:val="431"/>
        </w:trPr>
        <w:tc>
          <w:tcPr>
            <w:tcW w:w="3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BRULE 2014 GRAT</w:t>
            </w:r>
          </w:p>
        </w:tc>
      </w:tr>
      <w:tr>
        <w:trPr>
          <w:trHeight w:val="432"/>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Anne-Marie Brule Kavulla</w:t>
            </w:r>
          </w:p>
        </w:tc>
        <w:tc>
          <w:tcPr>
            <w:tcW w:w="18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Brule</w:t>
            </w: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Anne-Marie Brule Kavulla</w:t>
            </w:r>
          </w:p>
        </w:tc>
        <w:tc>
          <w:tcPr>
            <w:tcW w:w="1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By: David J. Brule</w:t>
            </w:r>
          </w:p>
        </w:tc>
      </w:tr>
      <w:tr>
        <w:trPr>
          <w:trHeight w:val="230"/>
        </w:trPr>
        <w:tc>
          <w:tcPr>
            <w:tcW w:w="3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Its:  Trustee</w:t>
            </w:r>
          </w:p>
        </w:tc>
      </w:tr>
      <w:tr>
        <w:trPr>
          <w:trHeight w:val="432"/>
        </w:trPr>
        <w:tc>
          <w:tcPr>
            <w:tcW w:w="3180" w:type="dxa"/>
            <w:vAlign w:val="bottom"/>
          </w:tcPr>
          <w:p>
            <w:pPr>
              <w:spacing w:after="0"/>
              <w:rPr>
                <w:sz w:val="24"/>
                <w:szCs w:val="24"/>
                <w:color w:val="auto"/>
              </w:rPr>
            </w:pPr>
          </w:p>
        </w:tc>
        <w:tc>
          <w:tcPr>
            <w:tcW w:w="8240" w:type="dxa"/>
            <w:vAlign w:val="bottom"/>
            <w:gridSpan w:val="3"/>
          </w:tcPr>
          <w:p>
            <w:pPr>
              <w:ind w:left="840"/>
              <w:spacing w:after="0"/>
              <w:rPr>
                <w:sz w:val="20"/>
                <w:szCs w:val="20"/>
                <w:color w:val="auto"/>
              </w:rPr>
            </w:pPr>
            <w:r>
              <w:rPr>
                <w:rFonts w:ascii="Arial" w:cs="Arial" w:eastAsia="Arial" w:hAnsi="Arial"/>
                <w:sz w:val="18"/>
                <w:szCs w:val="18"/>
                <w:color w:val="auto"/>
              </w:rPr>
              <w:t>[Signature Page to Asset Purchase Agreement]</w:t>
            </w:r>
          </w:p>
        </w:tc>
      </w:tr>
    </w:tbl>
    <w:p>
      <w:pPr>
        <w:sectPr>
          <w:pgSz w:w="11900" w:h="16838" w:orient="portrait"/>
          <w:cols w:equalWidth="0" w:num="1">
            <w:col w:w="11420"/>
          </w:cols>
          <w:pgMar w:left="240" w:top="27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891091AE0</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27,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TORO MANUFACTURING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EXMARK MANUFACTURING COMPANY INCORPORATED,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TORO INTERNATIONAL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CERTAIN OTHER SUBSIDIARIES,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Swing Line Lender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L/C Issuer,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BMO HARRIS BANK, N.A.</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r>
      <w:tr>
        <w:trPr>
          <w:trHeight w:val="399"/>
        </w:trPr>
        <w:tc>
          <w:tcPr>
            <w:tcW w:w="560" w:type="dxa"/>
            <w:vAlign w:val="bottom"/>
          </w:tcPr>
          <w:p>
            <w:pPr>
              <w:spacing w:after="0"/>
              <w:rPr>
                <w:sz w:val="24"/>
                <w:szCs w:val="24"/>
                <w:color w:val="auto"/>
              </w:rPr>
            </w:pPr>
          </w:p>
        </w:tc>
        <w:tc>
          <w:tcPr>
            <w:tcW w:w="10480" w:type="dxa"/>
            <w:vAlign w:val="bottom"/>
            <w:gridSpan w:val="3"/>
          </w:tcPr>
          <w:p>
            <w:pPr>
              <w:ind w:left="220"/>
              <w:spacing w:after="0"/>
              <w:rPr>
                <w:sz w:val="20"/>
                <w:szCs w:val="20"/>
                <w:color w:val="auto"/>
              </w:rPr>
            </w:pPr>
            <w:r>
              <w:rPr>
                <w:rFonts w:ascii="Arial" w:cs="Arial" w:eastAsia="Arial" w:hAnsi="Arial"/>
                <w:sz w:val="14"/>
                <w:szCs w:val="14"/>
                <w:color w:val="auto"/>
              </w:rPr>
              <w:t>Section</w:t>
            </w: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r>
      <w:tr>
        <w:trPr>
          <w:trHeight w:val="296"/>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820" w:type="dxa"/>
            <w:vAlign w:val="bottom"/>
          </w:tcPr>
          <w:p>
            <w:pPr>
              <w:jc w:val="center"/>
              <w:ind w:right="830"/>
              <w:spacing w:after="0"/>
              <w:rPr>
                <w:sz w:val="20"/>
                <w:szCs w:val="20"/>
                <w:color w:val="auto"/>
              </w:rPr>
            </w:pPr>
            <w:r>
              <w:rPr>
                <w:rFonts w:ascii="Arial" w:cs="Arial" w:eastAsia="Arial" w:hAnsi="Arial"/>
                <w:sz w:val="18"/>
                <w:szCs w:val="18"/>
                <w:color w:val="auto"/>
                <w:w w:val="98"/>
              </w:rPr>
              <w:t>ARTICLE I.</w:t>
            </w:r>
          </w:p>
        </w:tc>
        <w:tc>
          <w:tcPr>
            <w:tcW w:w="280" w:type="dxa"/>
            <w:vAlign w:val="bottom"/>
            <w:tcBorders>
              <w:top w:val="single" w:sz="8" w:color="auto"/>
            </w:tcBorders>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tcPr>
          <w:p>
            <w:pPr>
              <w:jc w:val="center"/>
              <w:ind w:right="850"/>
              <w:spacing w:after="0"/>
              <w:rPr>
                <w:sz w:val="20"/>
                <w:szCs w:val="20"/>
                <w:color w:val="auto"/>
              </w:rPr>
            </w:pPr>
            <w:r>
              <w:rPr>
                <w:rFonts w:ascii="Arial" w:cs="Arial" w:eastAsia="Arial" w:hAnsi="Arial"/>
                <w:sz w:val="18"/>
                <w:szCs w:val="18"/>
                <w:color w:val="auto"/>
                <w:w w:val="97"/>
              </w:rPr>
              <w:t>DEFINITIONS AND ACCOUNTING TERMS</w:t>
            </w:r>
          </w:p>
        </w:tc>
        <w:tc>
          <w:tcPr>
            <w:tcW w:w="280" w:type="dxa"/>
            <w:vAlign w:val="bottom"/>
          </w:tcPr>
          <w:p>
            <w:pPr>
              <w:spacing w:after="0"/>
              <w:rPr>
                <w:sz w:val="20"/>
                <w:szCs w:val="20"/>
                <w:color w:val="auto"/>
              </w:rPr>
            </w:pP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1.01</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1.02</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Other Interpretive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1.03</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1.04</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Exchange Rates; Currency Equivalents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1.05</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Additional Alternative Currencies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1.06</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Change of Currency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1.07</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Times of Day</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1.08</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Letter of Credit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1.09</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Rounding</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20" w:type="dxa"/>
            <w:vAlign w:val="bottom"/>
          </w:tcPr>
          <w:p>
            <w:pPr>
              <w:jc w:val="center"/>
              <w:ind w:right="850"/>
              <w:spacing w:after="0"/>
              <w:rPr>
                <w:sz w:val="20"/>
                <w:szCs w:val="20"/>
                <w:color w:val="auto"/>
              </w:rPr>
            </w:pPr>
            <w:r>
              <w:rPr>
                <w:rFonts w:ascii="Arial" w:cs="Arial" w:eastAsia="Arial" w:hAnsi="Arial"/>
                <w:sz w:val="18"/>
                <w:szCs w:val="18"/>
                <w:color w:val="auto"/>
                <w:w w:val="99"/>
              </w:rPr>
              <w:t>ARTICLE II.</w:t>
            </w:r>
          </w:p>
        </w:tc>
        <w:tc>
          <w:tcPr>
            <w:tcW w:w="2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tcPr>
          <w:p>
            <w:pPr>
              <w:jc w:val="center"/>
              <w:ind w:right="830"/>
              <w:spacing w:after="0"/>
              <w:rPr>
                <w:sz w:val="20"/>
                <w:szCs w:val="20"/>
                <w:color w:val="auto"/>
              </w:rPr>
            </w:pPr>
            <w:r>
              <w:rPr>
                <w:rFonts w:ascii="Arial" w:cs="Arial" w:eastAsia="Arial" w:hAnsi="Arial"/>
                <w:sz w:val="18"/>
                <w:szCs w:val="18"/>
                <w:color w:val="auto"/>
                <w:w w:val="97"/>
              </w:rPr>
              <w:t>THE COMMITMENTS AND CREDIT EXTENSIONS</w:t>
            </w:r>
          </w:p>
        </w:tc>
        <w:tc>
          <w:tcPr>
            <w:tcW w:w="280" w:type="dxa"/>
            <w:vAlign w:val="bottom"/>
          </w:tcPr>
          <w:p>
            <w:pPr>
              <w:spacing w:after="0"/>
              <w:rPr>
                <w:sz w:val="20"/>
                <w:szCs w:val="20"/>
                <w:color w:val="auto"/>
              </w:rPr>
            </w:pP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2.01</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Loans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2.02</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Borrowings, Conversions and Continuations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2.03</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2.04</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Swing Line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2.05</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2.06</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Termination or Reduction of Revolving Credit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2.07</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2.08</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2.09</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2.10</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2.11</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2.12</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Payments Generally; Administrative Agent’s Clawback</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2.13</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Sharing of Payments by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2.14</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Increase in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2.15</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Cash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2.16</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2.17</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Designated Borrowers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20" w:type="dxa"/>
            <w:vAlign w:val="bottom"/>
          </w:tcPr>
          <w:p>
            <w:pPr>
              <w:jc w:val="center"/>
              <w:ind w:right="83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20" w:type="dxa"/>
            <w:vAlign w:val="bottom"/>
          </w:tcPr>
          <w:p>
            <w:pPr>
              <w:jc w:val="center"/>
              <w:ind w:right="830"/>
              <w:spacing w:after="0"/>
              <w:rPr>
                <w:sz w:val="20"/>
                <w:szCs w:val="20"/>
                <w:color w:val="auto"/>
              </w:rPr>
            </w:pPr>
            <w:r>
              <w:rPr>
                <w:rFonts w:ascii="Arial" w:cs="Arial" w:eastAsia="Arial" w:hAnsi="Arial"/>
                <w:sz w:val="18"/>
                <w:szCs w:val="18"/>
                <w:color w:val="auto"/>
                <w:w w:val="99"/>
              </w:rPr>
              <w:t>TAXES, YIELD PROTECTION AND ILLEGALITY</w:t>
            </w:r>
          </w:p>
        </w:tc>
        <w:tc>
          <w:tcPr>
            <w:tcW w:w="280" w:type="dxa"/>
            <w:vAlign w:val="bottom"/>
          </w:tcPr>
          <w:p>
            <w:pPr>
              <w:spacing w:after="0"/>
              <w:rPr>
                <w:sz w:val="20"/>
                <w:szCs w:val="20"/>
                <w:color w:val="auto"/>
              </w:rPr>
            </w:pP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3.01</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3.02</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3.03</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Inability to Determine Rates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3.04</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Increased Costs; Reserves on Eurocurrency Rate Loans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3.05</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Compensation for Losses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3.06</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Mitigation Obligations; Replacement of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3.07</w:t>
            </w: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8920" w:type="dxa"/>
            <w:vAlign w:val="bottom"/>
          </w:tcPr>
          <w:p>
            <w:pPr>
              <w:jc w:val="center"/>
              <w:ind w:left="1190"/>
              <w:spacing w:after="0"/>
              <w:rPr>
                <w:sz w:val="20"/>
                <w:szCs w:val="20"/>
                <w:color w:val="auto"/>
              </w:rPr>
            </w:pPr>
            <w:r>
              <w:rPr>
                <w:rFonts w:ascii="Arial" w:cs="Arial" w:eastAsia="Arial" w:hAnsi="Arial"/>
                <w:sz w:val="18"/>
                <w:szCs w:val="18"/>
                <w:color w:val="auto"/>
                <w:w w:val="97"/>
              </w:rPr>
              <w:t>ARTICLE IV.</w:t>
            </w:r>
          </w:p>
        </w:tc>
        <w:tc>
          <w:tcPr>
            <w:tcW w:w="18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8920" w:type="dxa"/>
            <w:vAlign w:val="bottom"/>
          </w:tcPr>
          <w:p>
            <w:pPr>
              <w:jc w:val="center"/>
              <w:ind w:left="1190"/>
              <w:spacing w:after="0"/>
              <w:rPr>
                <w:sz w:val="20"/>
                <w:szCs w:val="20"/>
                <w:color w:val="auto"/>
              </w:rPr>
            </w:pPr>
            <w:r>
              <w:rPr>
                <w:rFonts w:ascii="Arial" w:cs="Arial" w:eastAsia="Arial" w:hAnsi="Arial"/>
                <w:sz w:val="18"/>
                <w:szCs w:val="18"/>
                <w:color w:val="auto"/>
                <w:w w:val="95"/>
              </w:rPr>
              <w:t>CONDITIONS PRECEDENT TO CREDIT EXTENSIONS</w:t>
            </w:r>
          </w:p>
        </w:tc>
        <w:tc>
          <w:tcPr>
            <w:tcW w:w="1840" w:type="dxa"/>
            <w:vAlign w:val="bottom"/>
          </w:tcPr>
          <w:p>
            <w:pPr>
              <w:spacing w:after="0"/>
              <w:rPr>
                <w:sz w:val="20"/>
                <w:szCs w:val="20"/>
                <w:color w:val="auto"/>
              </w:rPr>
            </w:pP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4.01</w:t>
            </w:r>
          </w:p>
        </w:tc>
        <w:tc>
          <w:tcPr>
            <w:tcW w:w="8920" w:type="dxa"/>
            <w:vAlign w:val="bottom"/>
          </w:tcPr>
          <w:p>
            <w:pPr>
              <w:ind w:left="220"/>
              <w:spacing w:after="0"/>
              <w:rPr>
                <w:sz w:val="20"/>
                <w:szCs w:val="20"/>
                <w:color w:val="auto"/>
              </w:rPr>
            </w:pPr>
            <w:r>
              <w:rPr>
                <w:rFonts w:ascii="Arial" w:cs="Arial" w:eastAsia="Arial" w:hAnsi="Arial"/>
                <w:sz w:val="18"/>
                <w:szCs w:val="18"/>
                <w:color w:val="auto"/>
              </w:rPr>
              <w:t>Conditions of Initial Credit Extension</w:t>
            </w:r>
          </w:p>
        </w:tc>
        <w:tc>
          <w:tcPr>
            <w:tcW w:w="1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4.02</w:t>
            </w:r>
          </w:p>
        </w:tc>
        <w:tc>
          <w:tcPr>
            <w:tcW w:w="8920" w:type="dxa"/>
            <w:vAlign w:val="bottom"/>
          </w:tcPr>
          <w:p>
            <w:pPr>
              <w:ind w:left="220"/>
              <w:spacing w:after="0"/>
              <w:rPr>
                <w:sz w:val="20"/>
                <w:szCs w:val="20"/>
                <w:color w:val="auto"/>
              </w:rPr>
            </w:pPr>
            <w:r>
              <w:rPr>
                <w:rFonts w:ascii="Arial" w:cs="Arial" w:eastAsia="Arial" w:hAnsi="Arial"/>
                <w:sz w:val="18"/>
                <w:szCs w:val="18"/>
                <w:color w:val="auto"/>
              </w:rPr>
              <w:t>Conditions to all Credit Extensions</w:t>
            </w:r>
          </w:p>
        </w:tc>
        <w:tc>
          <w:tcPr>
            <w:tcW w:w="1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560" w:type="dxa"/>
            <w:vAlign w:val="bottom"/>
          </w:tcPr>
          <w:p>
            <w:pPr>
              <w:spacing w:after="0"/>
              <w:rPr>
                <w:sz w:val="24"/>
                <w:szCs w:val="24"/>
                <w:color w:val="auto"/>
              </w:rPr>
            </w:pPr>
          </w:p>
        </w:tc>
        <w:tc>
          <w:tcPr>
            <w:tcW w:w="8920" w:type="dxa"/>
            <w:vAlign w:val="bottom"/>
          </w:tcPr>
          <w:p>
            <w:pPr>
              <w:jc w:val="center"/>
              <w:ind w:left="1210"/>
              <w:spacing w:after="0"/>
              <w:rPr>
                <w:sz w:val="20"/>
                <w:szCs w:val="20"/>
                <w:color w:val="auto"/>
              </w:rPr>
            </w:pPr>
            <w:r>
              <w:rPr>
                <w:rFonts w:ascii="Arial" w:cs="Arial" w:eastAsia="Arial" w:hAnsi="Arial"/>
                <w:sz w:val="18"/>
                <w:szCs w:val="18"/>
                <w:color w:val="auto"/>
                <w:w w:val="95"/>
              </w:rPr>
              <w:t>ARTICLE V.</w:t>
            </w:r>
          </w:p>
        </w:tc>
        <w:tc>
          <w:tcPr>
            <w:tcW w:w="184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8920" w:type="dxa"/>
            <w:vAlign w:val="bottom"/>
          </w:tcPr>
          <w:p>
            <w:pPr>
              <w:jc w:val="center"/>
              <w:ind w:left="1190"/>
              <w:spacing w:after="0"/>
              <w:rPr>
                <w:sz w:val="20"/>
                <w:szCs w:val="20"/>
                <w:color w:val="auto"/>
              </w:rPr>
            </w:pPr>
            <w:r>
              <w:rPr>
                <w:rFonts w:ascii="Arial" w:cs="Arial" w:eastAsia="Arial" w:hAnsi="Arial"/>
                <w:sz w:val="18"/>
                <w:szCs w:val="18"/>
                <w:color w:val="auto"/>
                <w:w w:val="95"/>
              </w:rPr>
              <w:t>REPRESENTATIONS AND WARRANTIES</w:t>
            </w:r>
          </w:p>
        </w:tc>
        <w:tc>
          <w:tcPr>
            <w:tcW w:w="1840" w:type="dxa"/>
            <w:vAlign w:val="bottom"/>
          </w:tcPr>
          <w:p>
            <w:pPr>
              <w:spacing w:after="0"/>
              <w:rPr>
                <w:sz w:val="20"/>
                <w:szCs w:val="20"/>
                <w:color w:val="auto"/>
              </w:rPr>
            </w:pP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5.01</w:t>
            </w:r>
          </w:p>
        </w:tc>
        <w:tc>
          <w:tcPr>
            <w:tcW w:w="8920" w:type="dxa"/>
            <w:vAlign w:val="bottom"/>
          </w:tcPr>
          <w:p>
            <w:pPr>
              <w:ind w:left="220"/>
              <w:spacing w:after="0"/>
              <w:rPr>
                <w:sz w:val="20"/>
                <w:szCs w:val="20"/>
                <w:color w:val="auto"/>
              </w:rPr>
            </w:pPr>
            <w:r>
              <w:rPr>
                <w:rFonts w:ascii="Arial" w:cs="Arial" w:eastAsia="Arial" w:hAnsi="Arial"/>
                <w:sz w:val="18"/>
                <w:szCs w:val="18"/>
                <w:color w:val="auto"/>
              </w:rPr>
              <w:t>Existence, Qualification and Power</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5.02</w:t>
            </w:r>
          </w:p>
        </w:tc>
        <w:tc>
          <w:tcPr>
            <w:tcW w:w="8920" w:type="dxa"/>
            <w:vAlign w:val="bottom"/>
          </w:tcPr>
          <w:p>
            <w:pPr>
              <w:ind w:left="220"/>
              <w:spacing w:after="0"/>
              <w:rPr>
                <w:sz w:val="20"/>
                <w:szCs w:val="20"/>
                <w:color w:val="auto"/>
              </w:rPr>
            </w:pPr>
            <w:r>
              <w:rPr>
                <w:rFonts w:ascii="Arial" w:cs="Arial" w:eastAsia="Arial" w:hAnsi="Arial"/>
                <w:sz w:val="18"/>
                <w:szCs w:val="18"/>
                <w:color w:val="auto"/>
              </w:rPr>
              <w:t>Authorization; No Contravention</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5.03</w:t>
            </w:r>
          </w:p>
        </w:tc>
        <w:tc>
          <w:tcPr>
            <w:tcW w:w="8920" w:type="dxa"/>
            <w:vAlign w:val="bottom"/>
          </w:tcPr>
          <w:p>
            <w:pPr>
              <w:ind w:left="220"/>
              <w:spacing w:after="0"/>
              <w:rPr>
                <w:sz w:val="20"/>
                <w:szCs w:val="20"/>
                <w:color w:val="auto"/>
              </w:rPr>
            </w:pPr>
            <w:r>
              <w:rPr>
                <w:rFonts w:ascii="Arial" w:cs="Arial" w:eastAsia="Arial" w:hAnsi="Arial"/>
                <w:sz w:val="18"/>
                <w:szCs w:val="18"/>
                <w:color w:val="auto"/>
              </w:rPr>
              <w:t>Governmental Authorization; Other Consents</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5.04</w:t>
            </w:r>
          </w:p>
        </w:tc>
        <w:tc>
          <w:tcPr>
            <w:tcW w:w="8920" w:type="dxa"/>
            <w:vAlign w:val="bottom"/>
          </w:tcPr>
          <w:p>
            <w:pPr>
              <w:ind w:left="220"/>
              <w:spacing w:after="0"/>
              <w:rPr>
                <w:sz w:val="20"/>
                <w:szCs w:val="20"/>
                <w:color w:val="auto"/>
              </w:rPr>
            </w:pPr>
            <w:r>
              <w:rPr>
                <w:rFonts w:ascii="Arial" w:cs="Arial" w:eastAsia="Arial" w:hAnsi="Arial"/>
                <w:sz w:val="18"/>
                <w:szCs w:val="18"/>
                <w:color w:val="auto"/>
              </w:rPr>
              <w:t>Binding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5.05</w:t>
            </w:r>
          </w:p>
        </w:tc>
        <w:tc>
          <w:tcPr>
            <w:tcW w:w="8920" w:type="dxa"/>
            <w:vAlign w:val="bottom"/>
          </w:tcPr>
          <w:p>
            <w:pPr>
              <w:ind w:left="220"/>
              <w:spacing w:after="0"/>
              <w:rPr>
                <w:sz w:val="20"/>
                <w:szCs w:val="20"/>
                <w:color w:val="auto"/>
              </w:rPr>
            </w:pPr>
            <w:r>
              <w:rPr>
                <w:rFonts w:ascii="Arial" w:cs="Arial" w:eastAsia="Arial" w:hAnsi="Arial"/>
                <w:sz w:val="18"/>
                <w:szCs w:val="18"/>
                <w:color w:val="auto"/>
              </w:rPr>
              <w:t>Financial Statements; No Material Adverse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5.06</w:t>
            </w:r>
          </w:p>
        </w:tc>
        <w:tc>
          <w:tcPr>
            <w:tcW w:w="892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5.07</w:t>
            </w:r>
          </w:p>
        </w:tc>
        <w:tc>
          <w:tcPr>
            <w:tcW w:w="8920" w:type="dxa"/>
            <w:vAlign w:val="bottom"/>
          </w:tcPr>
          <w:p>
            <w:pPr>
              <w:ind w:left="220"/>
              <w:spacing w:after="0"/>
              <w:rPr>
                <w:sz w:val="20"/>
                <w:szCs w:val="20"/>
                <w:color w:val="auto"/>
              </w:rPr>
            </w:pPr>
            <w:r>
              <w:rPr>
                <w:rFonts w:ascii="Arial" w:cs="Arial" w:eastAsia="Arial" w:hAnsi="Arial"/>
                <w:sz w:val="18"/>
                <w:szCs w:val="18"/>
                <w:color w:val="auto"/>
              </w:rPr>
              <w:t>No Default</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5.08</w:t>
            </w:r>
          </w:p>
        </w:tc>
        <w:tc>
          <w:tcPr>
            <w:tcW w:w="8920" w:type="dxa"/>
            <w:vAlign w:val="bottom"/>
          </w:tcPr>
          <w:p>
            <w:pPr>
              <w:ind w:left="220"/>
              <w:spacing w:after="0"/>
              <w:rPr>
                <w:sz w:val="20"/>
                <w:szCs w:val="20"/>
                <w:color w:val="auto"/>
              </w:rPr>
            </w:pPr>
            <w:r>
              <w:rPr>
                <w:rFonts w:ascii="Arial" w:cs="Arial" w:eastAsia="Arial" w:hAnsi="Arial"/>
                <w:sz w:val="18"/>
                <w:szCs w:val="18"/>
                <w:color w:val="auto"/>
              </w:rPr>
              <w:t>Ownership of Property; Liens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5.09</w:t>
            </w:r>
          </w:p>
        </w:tc>
        <w:tc>
          <w:tcPr>
            <w:tcW w:w="8920" w:type="dxa"/>
            <w:vAlign w:val="bottom"/>
          </w:tcPr>
          <w:p>
            <w:pPr>
              <w:ind w:left="220"/>
              <w:spacing w:after="0"/>
              <w:rPr>
                <w:sz w:val="20"/>
                <w:szCs w:val="20"/>
                <w:color w:val="auto"/>
              </w:rPr>
            </w:pPr>
            <w:r>
              <w:rPr>
                <w:rFonts w:ascii="Arial" w:cs="Arial" w:eastAsia="Arial" w:hAnsi="Arial"/>
                <w:sz w:val="18"/>
                <w:szCs w:val="18"/>
                <w:color w:val="auto"/>
              </w:rPr>
              <w:t>Environmental Compliance</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5.10</w:t>
            </w:r>
          </w:p>
        </w:tc>
        <w:tc>
          <w:tcPr>
            <w:tcW w:w="892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5.11</w:t>
            </w:r>
          </w:p>
        </w:tc>
        <w:tc>
          <w:tcPr>
            <w:tcW w:w="8920" w:type="dxa"/>
            <w:vAlign w:val="bottom"/>
          </w:tcPr>
          <w:p>
            <w:pPr>
              <w:ind w:left="220"/>
              <w:spacing w:after="0"/>
              <w:rPr>
                <w:sz w:val="20"/>
                <w:szCs w:val="20"/>
                <w:color w:val="auto"/>
              </w:rPr>
            </w:pPr>
            <w:r>
              <w:rPr>
                <w:rFonts w:ascii="Arial" w:cs="Arial" w:eastAsia="Arial" w:hAnsi="Arial"/>
                <w:sz w:val="18"/>
                <w:szCs w:val="18"/>
                <w:color w:val="auto"/>
              </w:rPr>
              <w:t>Taxes</w:t>
            </w:r>
          </w:p>
        </w:tc>
        <w:tc>
          <w:tcPr>
            <w:tcW w:w="1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5.12</w:t>
            </w:r>
          </w:p>
        </w:tc>
        <w:tc>
          <w:tcPr>
            <w:tcW w:w="8920" w:type="dxa"/>
            <w:vAlign w:val="bottom"/>
          </w:tcPr>
          <w:p>
            <w:pPr>
              <w:ind w:left="220"/>
              <w:spacing w:after="0"/>
              <w:rPr>
                <w:sz w:val="20"/>
                <w:szCs w:val="20"/>
                <w:color w:val="auto"/>
              </w:rPr>
            </w:pPr>
            <w:r>
              <w:rPr>
                <w:rFonts w:ascii="Arial" w:cs="Arial" w:eastAsia="Arial" w:hAnsi="Arial"/>
                <w:sz w:val="18"/>
                <w:szCs w:val="18"/>
                <w:color w:val="auto"/>
              </w:rPr>
              <w:t>ERISA Compliance</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5.13</w:t>
            </w:r>
          </w:p>
        </w:tc>
        <w:tc>
          <w:tcPr>
            <w:tcW w:w="8920" w:type="dxa"/>
            <w:vAlign w:val="bottom"/>
          </w:tcPr>
          <w:p>
            <w:pPr>
              <w:ind w:left="220"/>
              <w:spacing w:after="0"/>
              <w:rPr>
                <w:sz w:val="20"/>
                <w:szCs w:val="20"/>
                <w:color w:val="auto"/>
              </w:rPr>
            </w:pPr>
            <w:r>
              <w:rPr>
                <w:rFonts w:ascii="Arial" w:cs="Arial" w:eastAsia="Arial" w:hAnsi="Arial"/>
                <w:sz w:val="18"/>
                <w:szCs w:val="18"/>
                <w:color w:val="auto"/>
              </w:rPr>
              <w:t>Subsidiaries; Equity Interests</w:t>
            </w:r>
          </w:p>
        </w:tc>
        <w:tc>
          <w:tcPr>
            <w:tcW w:w="1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5.14</w:t>
            </w:r>
          </w:p>
        </w:tc>
        <w:tc>
          <w:tcPr>
            <w:tcW w:w="8920" w:type="dxa"/>
            <w:vAlign w:val="bottom"/>
          </w:tcPr>
          <w:p>
            <w:pPr>
              <w:ind w:left="220"/>
              <w:spacing w:after="0"/>
              <w:rPr>
                <w:sz w:val="20"/>
                <w:szCs w:val="20"/>
                <w:color w:val="auto"/>
              </w:rPr>
            </w:pPr>
            <w:r>
              <w:rPr>
                <w:rFonts w:ascii="Arial" w:cs="Arial" w:eastAsia="Arial" w:hAnsi="Arial"/>
                <w:sz w:val="18"/>
                <w:szCs w:val="18"/>
                <w:color w:val="auto"/>
              </w:rPr>
              <w:t>Margin Regulations; Investment Company Act</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5.15</w:t>
            </w:r>
          </w:p>
        </w:tc>
        <w:tc>
          <w:tcPr>
            <w:tcW w:w="8920" w:type="dxa"/>
            <w:vAlign w:val="bottom"/>
          </w:tcPr>
          <w:p>
            <w:pPr>
              <w:ind w:left="220"/>
              <w:spacing w:after="0"/>
              <w:rPr>
                <w:sz w:val="20"/>
                <w:szCs w:val="20"/>
                <w:color w:val="auto"/>
              </w:rPr>
            </w:pPr>
            <w:r>
              <w:rPr>
                <w:rFonts w:ascii="Arial" w:cs="Arial" w:eastAsia="Arial" w:hAnsi="Arial"/>
                <w:sz w:val="18"/>
                <w:szCs w:val="18"/>
                <w:color w:val="auto"/>
              </w:rPr>
              <w:t>Copyrights, Patents, Trademarks and Licenses, Etc.</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5.16</w:t>
            </w:r>
          </w:p>
        </w:tc>
        <w:tc>
          <w:tcPr>
            <w:tcW w:w="892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5.17</w:t>
            </w:r>
          </w:p>
        </w:tc>
        <w:tc>
          <w:tcPr>
            <w:tcW w:w="892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5.18</w:t>
            </w:r>
          </w:p>
        </w:tc>
        <w:tc>
          <w:tcPr>
            <w:tcW w:w="8920" w:type="dxa"/>
            <w:vAlign w:val="bottom"/>
          </w:tcPr>
          <w:p>
            <w:pPr>
              <w:ind w:left="220"/>
              <w:spacing w:after="0"/>
              <w:rPr>
                <w:sz w:val="20"/>
                <w:szCs w:val="20"/>
                <w:color w:val="auto"/>
              </w:rPr>
            </w:pPr>
            <w:r>
              <w:rPr>
                <w:rFonts w:ascii="Arial" w:cs="Arial" w:eastAsia="Arial" w:hAnsi="Arial"/>
                <w:sz w:val="18"/>
                <w:szCs w:val="18"/>
                <w:color w:val="auto"/>
              </w:rPr>
              <w:t>Representations as to Foreign Obligors</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5.19</w:t>
            </w:r>
          </w:p>
        </w:tc>
        <w:tc>
          <w:tcPr>
            <w:tcW w:w="8920" w:type="dxa"/>
            <w:vAlign w:val="bottom"/>
          </w:tcPr>
          <w:p>
            <w:pPr>
              <w:ind w:left="220"/>
              <w:spacing w:after="0"/>
              <w:rPr>
                <w:sz w:val="20"/>
                <w:szCs w:val="20"/>
                <w:color w:val="auto"/>
              </w:rPr>
            </w:pPr>
            <w:r>
              <w:rPr>
                <w:rFonts w:ascii="Arial" w:cs="Arial" w:eastAsia="Arial" w:hAnsi="Arial"/>
                <w:sz w:val="18"/>
                <w:szCs w:val="18"/>
                <w:color w:val="auto"/>
              </w:rPr>
              <w:t>Taxpayer Identification Number; Other Identifying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5.20</w:t>
            </w:r>
          </w:p>
        </w:tc>
        <w:tc>
          <w:tcPr>
            <w:tcW w:w="8920" w:type="dxa"/>
            <w:vAlign w:val="bottom"/>
          </w:tcPr>
          <w:p>
            <w:pPr>
              <w:ind w:left="220"/>
              <w:spacing w:after="0"/>
              <w:rPr>
                <w:sz w:val="20"/>
                <w:szCs w:val="20"/>
                <w:color w:val="auto"/>
              </w:rPr>
            </w:pPr>
            <w:r>
              <w:rPr>
                <w:rFonts w:ascii="Arial" w:cs="Arial" w:eastAsia="Arial" w:hAnsi="Arial"/>
                <w:sz w:val="18"/>
                <w:szCs w:val="18"/>
                <w:color w:val="auto"/>
              </w:rPr>
              <w:t>OFAC</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5.21</w:t>
            </w:r>
          </w:p>
        </w:tc>
        <w:tc>
          <w:tcPr>
            <w:tcW w:w="8920" w:type="dxa"/>
            <w:vAlign w:val="bottom"/>
          </w:tcPr>
          <w:p>
            <w:pPr>
              <w:ind w:left="220"/>
              <w:spacing w:after="0"/>
              <w:rPr>
                <w:sz w:val="20"/>
                <w:szCs w:val="20"/>
                <w:color w:val="auto"/>
              </w:rPr>
            </w:pPr>
            <w:r>
              <w:rPr>
                <w:rFonts w:ascii="Arial" w:cs="Arial" w:eastAsia="Arial" w:hAnsi="Arial"/>
                <w:sz w:val="18"/>
                <w:szCs w:val="18"/>
                <w:color w:val="auto"/>
              </w:rPr>
              <w:t>Anti-Corruption Laws</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560" w:type="dxa"/>
            <w:vAlign w:val="bottom"/>
          </w:tcPr>
          <w:p>
            <w:pPr>
              <w:spacing w:after="0"/>
              <w:rPr>
                <w:sz w:val="24"/>
                <w:szCs w:val="24"/>
                <w:color w:val="auto"/>
              </w:rPr>
            </w:pPr>
          </w:p>
        </w:tc>
        <w:tc>
          <w:tcPr>
            <w:tcW w:w="8920" w:type="dxa"/>
            <w:vAlign w:val="bottom"/>
          </w:tcPr>
          <w:p>
            <w:pPr>
              <w:jc w:val="center"/>
              <w:ind w:left="1210"/>
              <w:spacing w:after="0"/>
              <w:rPr>
                <w:sz w:val="20"/>
                <w:szCs w:val="20"/>
                <w:color w:val="auto"/>
              </w:rPr>
            </w:pPr>
            <w:r>
              <w:rPr>
                <w:rFonts w:ascii="Arial" w:cs="Arial" w:eastAsia="Arial" w:hAnsi="Arial"/>
                <w:sz w:val="18"/>
                <w:szCs w:val="18"/>
                <w:color w:val="auto"/>
                <w:w w:val="98"/>
              </w:rPr>
              <w:t>ARTICLE VI.</w:t>
            </w:r>
          </w:p>
        </w:tc>
        <w:tc>
          <w:tcPr>
            <w:tcW w:w="184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8920" w:type="dxa"/>
            <w:vAlign w:val="bottom"/>
          </w:tcPr>
          <w:p>
            <w:pPr>
              <w:jc w:val="center"/>
              <w:ind w:left="1190"/>
              <w:spacing w:after="0"/>
              <w:rPr>
                <w:sz w:val="20"/>
                <w:szCs w:val="20"/>
                <w:color w:val="auto"/>
              </w:rPr>
            </w:pPr>
            <w:r>
              <w:rPr>
                <w:rFonts w:ascii="Arial" w:cs="Arial" w:eastAsia="Arial" w:hAnsi="Arial"/>
                <w:sz w:val="18"/>
                <w:szCs w:val="18"/>
                <w:color w:val="auto"/>
                <w:w w:val="98"/>
              </w:rPr>
              <w:t>AFFIRMATIVE COVENANTS</w:t>
            </w:r>
          </w:p>
        </w:tc>
        <w:tc>
          <w:tcPr>
            <w:tcW w:w="1840" w:type="dxa"/>
            <w:vAlign w:val="bottom"/>
          </w:tcPr>
          <w:p>
            <w:pPr>
              <w:spacing w:after="0"/>
              <w:rPr>
                <w:sz w:val="20"/>
                <w:szCs w:val="20"/>
                <w:color w:val="auto"/>
              </w:rPr>
            </w:pPr>
          </w:p>
        </w:tc>
      </w:tr>
      <w:tr>
        <w:trPr>
          <w:trHeight w:val="323"/>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6.01</w:t>
            </w:r>
          </w:p>
        </w:tc>
        <w:tc>
          <w:tcPr>
            <w:tcW w:w="892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6.02</w:t>
            </w:r>
          </w:p>
        </w:tc>
        <w:tc>
          <w:tcPr>
            <w:tcW w:w="8920" w:type="dxa"/>
            <w:vAlign w:val="bottom"/>
          </w:tcPr>
          <w:p>
            <w:pPr>
              <w:ind w:left="220"/>
              <w:spacing w:after="0"/>
              <w:rPr>
                <w:sz w:val="20"/>
                <w:szCs w:val="20"/>
                <w:color w:val="auto"/>
              </w:rPr>
            </w:pPr>
            <w:r>
              <w:rPr>
                <w:rFonts w:ascii="Arial" w:cs="Arial" w:eastAsia="Arial" w:hAnsi="Arial"/>
                <w:sz w:val="18"/>
                <w:szCs w:val="18"/>
                <w:color w:val="auto"/>
              </w:rPr>
              <w:t>Certificates; Other Information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6.03</w:t>
            </w:r>
          </w:p>
        </w:tc>
        <w:tc>
          <w:tcPr>
            <w:tcW w:w="8920" w:type="dxa"/>
            <w:vAlign w:val="bottom"/>
          </w:tcPr>
          <w:p>
            <w:pPr>
              <w:ind w:left="220"/>
              <w:spacing w:after="0"/>
              <w:rPr>
                <w:sz w:val="20"/>
                <w:szCs w:val="20"/>
                <w:color w:val="auto"/>
              </w:rPr>
            </w:pPr>
            <w:r>
              <w:rPr>
                <w:rFonts w:ascii="Arial" w:cs="Arial" w:eastAsia="Arial" w:hAnsi="Arial"/>
                <w:sz w:val="18"/>
                <w:szCs w:val="18"/>
                <w:color w:val="auto"/>
              </w:rPr>
              <w:t>Notices</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6.04</w:t>
            </w:r>
          </w:p>
        </w:tc>
        <w:tc>
          <w:tcPr>
            <w:tcW w:w="8920" w:type="dxa"/>
            <w:vAlign w:val="bottom"/>
          </w:tcPr>
          <w:p>
            <w:pPr>
              <w:ind w:left="220"/>
              <w:spacing w:after="0"/>
              <w:rPr>
                <w:sz w:val="20"/>
                <w:szCs w:val="20"/>
                <w:color w:val="auto"/>
              </w:rPr>
            </w:pPr>
            <w:r>
              <w:rPr>
                <w:rFonts w:ascii="Arial" w:cs="Arial" w:eastAsia="Arial" w:hAnsi="Arial"/>
                <w:sz w:val="18"/>
                <w:szCs w:val="18"/>
                <w:color w:val="auto"/>
              </w:rPr>
              <w:t>[Intentionally Deleted.]</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6.05</w:t>
            </w:r>
          </w:p>
        </w:tc>
        <w:tc>
          <w:tcPr>
            <w:tcW w:w="8920" w:type="dxa"/>
            <w:vAlign w:val="bottom"/>
          </w:tcPr>
          <w:p>
            <w:pPr>
              <w:ind w:left="220"/>
              <w:spacing w:after="0"/>
              <w:rPr>
                <w:sz w:val="20"/>
                <w:szCs w:val="20"/>
                <w:color w:val="auto"/>
              </w:rPr>
            </w:pPr>
            <w:r>
              <w:rPr>
                <w:rFonts w:ascii="Arial" w:cs="Arial" w:eastAsia="Arial" w:hAnsi="Arial"/>
                <w:sz w:val="18"/>
                <w:szCs w:val="18"/>
                <w:color w:val="auto"/>
              </w:rPr>
              <w:t>Preservation of Existence, Etc.</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6.06</w:t>
            </w:r>
          </w:p>
        </w:tc>
        <w:tc>
          <w:tcPr>
            <w:tcW w:w="8920" w:type="dxa"/>
            <w:vAlign w:val="bottom"/>
          </w:tcPr>
          <w:p>
            <w:pPr>
              <w:ind w:left="220"/>
              <w:spacing w:after="0"/>
              <w:rPr>
                <w:sz w:val="20"/>
                <w:szCs w:val="20"/>
                <w:color w:val="auto"/>
              </w:rPr>
            </w:pPr>
            <w:r>
              <w:rPr>
                <w:rFonts w:ascii="Arial" w:cs="Arial" w:eastAsia="Arial" w:hAnsi="Arial"/>
                <w:sz w:val="18"/>
                <w:szCs w:val="18"/>
                <w:color w:val="auto"/>
              </w:rPr>
              <w:t>Maintenance of Properties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6.07</w:t>
            </w:r>
          </w:p>
        </w:tc>
        <w:tc>
          <w:tcPr>
            <w:tcW w:w="8920" w:type="dxa"/>
            <w:vAlign w:val="bottom"/>
          </w:tcPr>
          <w:p>
            <w:pPr>
              <w:ind w:left="220"/>
              <w:spacing w:after="0"/>
              <w:rPr>
                <w:sz w:val="20"/>
                <w:szCs w:val="20"/>
                <w:color w:val="auto"/>
              </w:rPr>
            </w:pPr>
            <w:r>
              <w:rPr>
                <w:rFonts w:ascii="Arial" w:cs="Arial" w:eastAsia="Arial" w:hAnsi="Arial"/>
                <w:sz w:val="18"/>
                <w:szCs w:val="18"/>
                <w:color w:val="auto"/>
              </w:rPr>
              <w:t>Maintenance of 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6.08</w:t>
            </w:r>
          </w:p>
        </w:tc>
        <w:tc>
          <w:tcPr>
            <w:tcW w:w="8920" w:type="dxa"/>
            <w:vAlign w:val="bottom"/>
          </w:tcPr>
          <w:p>
            <w:pPr>
              <w:ind w:left="220"/>
              <w:spacing w:after="0"/>
              <w:rPr>
                <w:sz w:val="20"/>
                <w:szCs w:val="20"/>
                <w:color w:val="auto"/>
              </w:rPr>
            </w:pPr>
            <w:r>
              <w:rPr>
                <w:rFonts w:ascii="Arial" w:cs="Arial" w:eastAsia="Arial" w:hAnsi="Arial"/>
                <w:sz w:val="18"/>
                <w:szCs w:val="18"/>
                <w:color w:val="auto"/>
              </w:rPr>
              <w:t>Compliance with Laws and Contractual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6.09</w:t>
            </w:r>
          </w:p>
        </w:tc>
        <w:tc>
          <w:tcPr>
            <w:tcW w:w="8920" w:type="dxa"/>
            <w:vAlign w:val="bottom"/>
          </w:tcPr>
          <w:p>
            <w:pPr>
              <w:ind w:left="220"/>
              <w:spacing w:after="0"/>
              <w:rPr>
                <w:sz w:val="20"/>
                <w:szCs w:val="20"/>
                <w:color w:val="auto"/>
              </w:rPr>
            </w:pPr>
            <w:r>
              <w:rPr>
                <w:rFonts w:ascii="Arial" w:cs="Arial" w:eastAsia="Arial" w:hAnsi="Arial"/>
                <w:sz w:val="18"/>
                <w:szCs w:val="18"/>
                <w:color w:val="auto"/>
              </w:rPr>
              <w:t>Books and Records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6.10</w:t>
            </w:r>
          </w:p>
        </w:tc>
        <w:tc>
          <w:tcPr>
            <w:tcW w:w="8920" w:type="dxa"/>
            <w:vAlign w:val="bottom"/>
          </w:tcPr>
          <w:p>
            <w:pPr>
              <w:ind w:left="220"/>
              <w:spacing w:after="0"/>
              <w:rPr>
                <w:sz w:val="20"/>
                <w:szCs w:val="20"/>
                <w:color w:val="auto"/>
              </w:rPr>
            </w:pPr>
            <w:r>
              <w:rPr>
                <w:rFonts w:ascii="Arial" w:cs="Arial" w:eastAsia="Arial" w:hAnsi="Arial"/>
                <w:sz w:val="18"/>
                <w:szCs w:val="18"/>
                <w:color w:val="auto"/>
              </w:rPr>
              <w:t>Inspection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6.11</w:t>
            </w:r>
          </w:p>
        </w:tc>
        <w:tc>
          <w:tcPr>
            <w:tcW w:w="89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6.12</w:t>
            </w:r>
          </w:p>
        </w:tc>
        <w:tc>
          <w:tcPr>
            <w:tcW w:w="8920" w:type="dxa"/>
            <w:vAlign w:val="bottom"/>
          </w:tcPr>
          <w:p>
            <w:pPr>
              <w:ind w:left="220"/>
              <w:spacing w:after="0"/>
              <w:rPr>
                <w:sz w:val="20"/>
                <w:szCs w:val="20"/>
                <w:color w:val="auto"/>
              </w:rPr>
            </w:pPr>
            <w:r>
              <w:rPr>
                <w:rFonts w:ascii="Arial" w:cs="Arial" w:eastAsia="Arial" w:hAnsi="Arial"/>
                <w:sz w:val="18"/>
                <w:szCs w:val="18"/>
                <w:color w:val="auto"/>
              </w:rPr>
              <w:t>Approvals and Authorizations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6.13</w:t>
            </w:r>
          </w:p>
        </w:tc>
        <w:tc>
          <w:tcPr>
            <w:tcW w:w="8920" w:type="dxa"/>
            <w:vAlign w:val="bottom"/>
          </w:tcPr>
          <w:p>
            <w:pPr>
              <w:ind w:left="220"/>
              <w:spacing w:after="0"/>
              <w:rPr>
                <w:sz w:val="20"/>
                <w:szCs w:val="20"/>
                <w:color w:val="auto"/>
              </w:rPr>
            </w:pPr>
            <w:r>
              <w:rPr>
                <w:rFonts w:ascii="Arial" w:cs="Arial" w:eastAsia="Arial" w:hAnsi="Arial"/>
                <w:sz w:val="18"/>
                <w:szCs w:val="18"/>
                <w:color w:val="auto"/>
              </w:rPr>
              <w:t>Anti-Corruption Laws</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rPr>
              <w:t>ARTICLE VII.</w:t>
            </w:r>
          </w:p>
        </w:tc>
        <w:tc>
          <w:tcPr>
            <w:tcW w:w="21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w w:val="97"/>
              </w:rPr>
              <w:t>NEGATIVE COVENANTS</w:t>
            </w:r>
          </w:p>
        </w:tc>
        <w:tc>
          <w:tcPr>
            <w:tcW w:w="2160" w:type="dxa"/>
            <w:vAlign w:val="bottom"/>
          </w:tcPr>
          <w:p>
            <w:pPr>
              <w:spacing w:after="0"/>
              <w:rPr>
                <w:sz w:val="20"/>
                <w:szCs w:val="20"/>
                <w:color w:val="auto"/>
              </w:rPr>
            </w:pP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7.01</w:t>
            </w:r>
          </w:p>
        </w:tc>
        <w:tc>
          <w:tcPr>
            <w:tcW w:w="8680" w:type="dxa"/>
            <w:vAlign w:val="bottom"/>
          </w:tcPr>
          <w:p>
            <w:pPr>
              <w:ind w:left="60"/>
              <w:spacing w:after="0"/>
              <w:rPr>
                <w:sz w:val="20"/>
                <w:szCs w:val="20"/>
                <w:color w:val="auto"/>
              </w:rPr>
            </w:pPr>
            <w:r>
              <w:rPr>
                <w:rFonts w:ascii="Arial" w:cs="Arial" w:eastAsia="Arial" w:hAnsi="Arial"/>
                <w:sz w:val="18"/>
                <w:szCs w:val="18"/>
                <w:color w:val="auto"/>
              </w:rPr>
              <w:t>Limitation on Liens</w:t>
            </w:r>
          </w:p>
        </w:tc>
        <w:tc>
          <w:tcPr>
            <w:tcW w:w="2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7.02</w:t>
            </w:r>
          </w:p>
        </w:tc>
        <w:tc>
          <w:tcPr>
            <w:tcW w:w="8680" w:type="dxa"/>
            <w:vAlign w:val="bottom"/>
          </w:tcPr>
          <w:p>
            <w:pPr>
              <w:ind w:left="60"/>
              <w:spacing w:after="0"/>
              <w:rPr>
                <w:sz w:val="20"/>
                <w:szCs w:val="20"/>
                <w:color w:val="auto"/>
              </w:rPr>
            </w:pPr>
            <w:r>
              <w:rPr>
                <w:rFonts w:ascii="Arial" w:cs="Arial" w:eastAsia="Arial" w:hAnsi="Arial"/>
                <w:sz w:val="18"/>
                <w:szCs w:val="18"/>
                <w:color w:val="auto"/>
              </w:rPr>
              <w:t>Disposition of Assets</w:t>
            </w:r>
          </w:p>
        </w:tc>
        <w:tc>
          <w:tcPr>
            <w:tcW w:w="21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7.03</w:t>
            </w:r>
          </w:p>
        </w:tc>
        <w:tc>
          <w:tcPr>
            <w:tcW w:w="8680" w:type="dxa"/>
            <w:vAlign w:val="bottom"/>
          </w:tcPr>
          <w:p>
            <w:pPr>
              <w:ind w:left="60"/>
              <w:spacing w:after="0"/>
              <w:rPr>
                <w:sz w:val="20"/>
                <w:szCs w:val="20"/>
                <w:color w:val="auto"/>
              </w:rPr>
            </w:pPr>
            <w:r>
              <w:rPr>
                <w:rFonts w:ascii="Arial" w:cs="Arial" w:eastAsia="Arial" w:hAnsi="Arial"/>
                <w:sz w:val="18"/>
                <w:szCs w:val="18"/>
                <w:color w:val="auto"/>
              </w:rPr>
              <w:t>Consolidations and Mergers</w:t>
            </w:r>
          </w:p>
        </w:tc>
        <w:tc>
          <w:tcPr>
            <w:tcW w:w="2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7.04</w:t>
            </w:r>
          </w:p>
        </w:tc>
        <w:tc>
          <w:tcPr>
            <w:tcW w:w="8680" w:type="dxa"/>
            <w:vAlign w:val="bottom"/>
          </w:tcPr>
          <w:p>
            <w:pPr>
              <w:ind w:left="60"/>
              <w:spacing w:after="0"/>
              <w:rPr>
                <w:sz w:val="20"/>
                <w:szCs w:val="20"/>
                <w:color w:val="auto"/>
              </w:rPr>
            </w:pPr>
            <w:r>
              <w:rPr>
                <w:rFonts w:ascii="Arial" w:cs="Arial" w:eastAsia="Arial" w:hAnsi="Arial"/>
                <w:sz w:val="18"/>
                <w:szCs w:val="18"/>
                <w:color w:val="auto"/>
              </w:rPr>
              <w:t>Loans and Investments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7.05</w:t>
            </w:r>
          </w:p>
        </w:tc>
        <w:tc>
          <w:tcPr>
            <w:tcW w:w="868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2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7.06</w:t>
            </w:r>
          </w:p>
        </w:tc>
        <w:tc>
          <w:tcPr>
            <w:tcW w:w="8680" w:type="dxa"/>
            <w:vAlign w:val="bottom"/>
          </w:tcPr>
          <w:p>
            <w:pPr>
              <w:ind w:left="60"/>
              <w:spacing w:after="0"/>
              <w:rPr>
                <w:sz w:val="20"/>
                <w:szCs w:val="20"/>
                <w:color w:val="auto"/>
              </w:rPr>
            </w:pPr>
            <w:r>
              <w:rPr>
                <w:rFonts w:ascii="Arial" w:cs="Arial" w:eastAsia="Arial" w:hAnsi="Arial"/>
                <w:sz w:val="18"/>
                <w:szCs w:val="18"/>
                <w:color w:val="auto"/>
              </w:rPr>
              <w:t>Contingent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7.07</w:t>
            </w:r>
          </w:p>
        </w:tc>
        <w:tc>
          <w:tcPr>
            <w:tcW w:w="8680" w:type="dxa"/>
            <w:vAlign w:val="bottom"/>
          </w:tcPr>
          <w:p>
            <w:pPr>
              <w:ind w:left="60"/>
              <w:spacing w:after="0"/>
              <w:rPr>
                <w:sz w:val="20"/>
                <w:szCs w:val="20"/>
                <w:color w:val="auto"/>
              </w:rPr>
            </w:pPr>
            <w:r>
              <w:rPr>
                <w:rFonts w:ascii="Arial" w:cs="Arial" w:eastAsia="Arial" w:hAnsi="Arial"/>
                <w:sz w:val="18"/>
                <w:szCs w:val="18"/>
                <w:color w:val="auto"/>
              </w:rPr>
              <w:t>Restricted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7.08</w:t>
            </w:r>
          </w:p>
        </w:tc>
        <w:tc>
          <w:tcPr>
            <w:tcW w:w="8680" w:type="dxa"/>
            <w:vAlign w:val="bottom"/>
          </w:tcPr>
          <w:p>
            <w:pPr>
              <w:ind w:left="60"/>
              <w:spacing w:after="0"/>
              <w:rPr>
                <w:sz w:val="20"/>
                <w:szCs w:val="20"/>
                <w:color w:val="auto"/>
              </w:rPr>
            </w:pPr>
            <w:r>
              <w:rPr>
                <w:rFonts w:ascii="Arial" w:cs="Arial" w:eastAsia="Arial" w:hAnsi="Arial"/>
                <w:sz w:val="18"/>
                <w:szCs w:val="18"/>
                <w:color w:val="auto"/>
              </w:rPr>
              <w:t>Maintenance of Business</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7.09</w:t>
            </w:r>
          </w:p>
        </w:tc>
        <w:tc>
          <w:tcPr>
            <w:tcW w:w="8680" w:type="dxa"/>
            <w:vAlign w:val="bottom"/>
          </w:tcPr>
          <w:p>
            <w:pPr>
              <w:ind w:left="60"/>
              <w:spacing w:after="0"/>
              <w:rPr>
                <w:sz w:val="20"/>
                <w:szCs w:val="20"/>
                <w:color w:val="auto"/>
              </w:rPr>
            </w:pPr>
            <w:r>
              <w:rPr>
                <w:rFonts w:ascii="Arial" w:cs="Arial" w:eastAsia="Arial" w:hAnsi="Arial"/>
                <w:sz w:val="18"/>
                <w:szCs w:val="18"/>
                <w:color w:val="auto"/>
              </w:rPr>
              <w:t>Minimum Interest Coverage</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7.10</w:t>
            </w:r>
          </w:p>
        </w:tc>
        <w:tc>
          <w:tcPr>
            <w:tcW w:w="8680" w:type="dxa"/>
            <w:vAlign w:val="bottom"/>
          </w:tcPr>
          <w:p>
            <w:pPr>
              <w:ind w:left="60"/>
              <w:spacing w:after="0"/>
              <w:rPr>
                <w:sz w:val="20"/>
                <w:szCs w:val="20"/>
                <w:color w:val="auto"/>
              </w:rPr>
            </w:pPr>
            <w:r>
              <w:rPr>
                <w:rFonts w:ascii="Arial" w:cs="Arial" w:eastAsia="Arial" w:hAnsi="Arial"/>
                <w:sz w:val="18"/>
                <w:szCs w:val="18"/>
                <w:color w:val="auto"/>
              </w:rPr>
              <w:t>Maximum Total Indebtedness to Consolidated EBITDA</w:t>
            </w:r>
          </w:p>
        </w:tc>
        <w:tc>
          <w:tcPr>
            <w:tcW w:w="21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7.11</w:t>
            </w:r>
          </w:p>
        </w:tc>
        <w:tc>
          <w:tcPr>
            <w:tcW w:w="8680" w:type="dxa"/>
            <w:vAlign w:val="bottom"/>
          </w:tcPr>
          <w:p>
            <w:pPr>
              <w:ind w:left="60"/>
              <w:spacing w:after="0"/>
              <w:rPr>
                <w:sz w:val="20"/>
                <w:szCs w:val="20"/>
                <w:color w:val="auto"/>
              </w:rPr>
            </w:pPr>
            <w:r>
              <w:rPr>
                <w:rFonts w:ascii="Arial" w:cs="Arial" w:eastAsia="Arial" w:hAnsi="Arial"/>
                <w:sz w:val="18"/>
                <w:szCs w:val="18"/>
                <w:color w:val="auto"/>
              </w:rPr>
              <w:t>Red Iron</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7.12</w:t>
            </w:r>
          </w:p>
        </w:tc>
        <w:tc>
          <w:tcPr>
            <w:tcW w:w="8680" w:type="dxa"/>
            <w:vAlign w:val="bottom"/>
          </w:tcPr>
          <w:p>
            <w:pPr>
              <w:ind w:left="60"/>
              <w:spacing w:after="0"/>
              <w:rPr>
                <w:sz w:val="20"/>
                <w:szCs w:val="20"/>
                <w:color w:val="auto"/>
              </w:rPr>
            </w:pPr>
            <w:r>
              <w:rPr>
                <w:rFonts w:ascii="Arial" w:cs="Arial" w:eastAsia="Arial" w:hAnsi="Arial"/>
                <w:sz w:val="18"/>
                <w:szCs w:val="18"/>
                <w:color w:val="auto"/>
              </w:rPr>
              <w:t>Negative Pledge Clause</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7.13</w:t>
            </w:r>
          </w:p>
        </w:tc>
        <w:tc>
          <w:tcPr>
            <w:tcW w:w="8680" w:type="dxa"/>
            <w:vAlign w:val="bottom"/>
          </w:tcPr>
          <w:p>
            <w:pPr>
              <w:ind w:left="60"/>
              <w:spacing w:after="0"/>
              <w:rPr>
                <w:sz w:val="20"/>
                <w:szCs w:val="20"/>
                <w:color w:val="auto"/>
              </w:rPr>
            </w:pPr>
            <w:r>
              <w:rPr>
                <w:rFonts w:ascii="Arial" w:cs="Arial" w:eastAsia="Arial" w:hAnsi="Arial"/>
                <w:sz w:val="18"/>
                <w:szCs w:val="18"/>
                <w:color w:val="auto"/>
              </w:rPr>
              <w:t>Burdensome Contractual Obligation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7.14</w:t>
            </w:r>
          </w:p>
        </w:tc>
        <w:tc>
          <w:tcPr>
            <w:tcW w:w="8680" w:type="dxa"/>
            <w:vAlign w:val="bottom"/>
          </w:tcPr>
          <w:p>
            <w:pPr>
              <w:ind w:left="60"/>
              <w:spacing w:after="0"/>
              <w:rPr>
                <w:sz w:val="20"/>
                <w:szCs w:val="20"/>
                <w:color w:val="auto"/>
              </w:rPr>
            </w:pPr>
            <w:r>
              <w:rPr>
                <w:rFonts w:ascii="Arial" w:cs="Arial" w:eastAsia="Arial" w:hAnsi="Arial"/>
                <w:sz w:val="18"/>
                <w:szCs w:val="18"/>
                <w:color w:val="auto"/>
              </w:rPr>
              <w:t>Sanctions</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7.15</w:t>
            </w:r>
          </w:p>
        </w:tc>
        <w:tc>
          <w:tcPr>
            <w:tcW w:w="8680" w:type="dxa"/>
            <w:vAlign w:val="bottom"/>
          </w:tcPr>
          <w:p>
            <w:pPr>
              <w:ind w:left="60"/>
              <w:spacing w:after="0"/>
              <w:rPr>
                <w:sz w:val="20"/>
                <w:szCs w:val="20"/>
                <w:color w:val="auto"/>
              </w:rPr>
            </w:pPr>
            <w:r>
              <w:rPr>
                <w:rFonts w:ascii="Arial" w:cs="Arial" w:eastAsia="Arial" w:hAnsi="Arial"/>
                <w:sz w:val="18"/>
                <w:szCs w:val="18"/>
                <w:color w:val="auto"/>
              </w:rPr>
              <w:t>Anti-Corruption Laws</w:t>
            </w:r>
          </w:p>
        </w:tc>
        <w:tc>
          <w:tcPr>
            <w:tcW w:w="2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480" w:type="dxa"/>
            <w:vAlign w:val="bottom"/>
          </w:tcPr>
          <w:p>
            <w:pPr>
              <w:spacing w:after="0"/>
              <w:rPr>
                <w:sz w:val="24"/>
                <w:szCs w:val="24"/>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rPr>
              <w:t>ARTICLE VIII.</w:t>
            </w:r>
          </w:p>
        </w:tc>
        <w:tc>
          <w:tcPr>
            <w:tcW w:w="21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w w:val="96"/>
              </w:rPr>
              <w:t>EVENTS OF DEFAULT AND REMEDIES</w:t>
            </w:r>
          </w:p>
        </w:tc>
        <w:tc>
          <w:tcPr>
            <w:tcW w:w="2160" w:type="dxa"/>
            <w:vAlign w:val="bottom"/>
          </w:tcPr>
          <w:p>
            <w:pPr>
              <w:spacing w:after="0"/>
              <w:rPr>
                <w:sz w:val="20"/>
                <w:szCs w:val="20"/>
                <w:color w:val="auto"/>
              </w:rPr>
            </w:pP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8.01</w:t>
            </w:r>
          </w:p>
        </w:tc>
        <w:tc>
          <w:tcPr>
            <w:tcW w:w="868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2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8.02</w:t>
            </w:r>
          </w:p>
        </w:tc>
        <w:tc>
          <w:tcPr>
            <w:tcW w:w="8680" w:type="dxa"/>
            <w:vAlign w:val="bottom"/>
          </w:tcPr>
          <w:p>
            <w:pPr>
              <w:ind w:left="60"/>
              <w:spacing w:after="0"/>
              <w:rPr>
                <w:sz w:val="20"/>
                <w:szCs w:val="20"/>
                <w:color w:val="auto"/>
              </w:rPr>
            </w:pPr>
            <w:r>
              <w:rPr>
                <w:rFonts w:ascii="Arial" w:cs="Arial" w:eastAsia="Arial" w:hAnsi="Arial"/>
                <w:sz w:val="18"/>
                <w:szCs w:val="18"/>
                <w:color w:val="auto"/>
              </w:rPr>
              <w:t>Remedies Upon Event of Default</w:t>
            </w:r>
          </w:p>
        </w:tc>
        <w:tc>
          <w:tcPr>
            <w:tcW w:w="21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8.03</w:t>
            </w:r>
          </w:p>
        </w:tc>
        <w:tc>
          <w:tcPr>
            <w:tcW w:w="8680" w:type="dxa"/>
            <w:vAlign w:val="bottom"/>
          </w:tcPr>
          <w:p>
            <w:pPr>
              <w:ind w:left="60"/>
              <w:spacing w:after="0"/>
              <w:rPr>
                <w:sz w:val="20"/>
                <w:szCs w:val="20"/>
                <w:color w:val="auto"/>
              </w:rPr>
            </w:pPr>
            <w:r>
              <w:rPr>
                <w:rFonts w:ascii="Arial" w:cs="Arial" w:eastAsia="Arial" w:hAnsi="Arial"/>
                <w:sz w:val="18"/>
                <w:szCs w:val="18"/>
                <w:color w:val="auto"/>
              </w:rPr>
              <w:t>Application of Funds</w:t>
            </w:r>
          </w:p>
        </w:tc>
        <w:tc>
          <w:tcPr>
            <w:tcW w:w="21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0"/>
        </w:trPr>
        <w:tc>
          <w:tcPr>
            <w:tcW w:w="480" w:type="dxa"/>
            <w:vAlign w:val="bottom"/>
          </w:tcPr>
          <w:p>
            <w:pPr>
              <w:spacing w:after="0"/>
              <w:rPr>
                <w:sz w:val="24"/>
                <w:szCs w:val="24"/>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w w:val="98"/>
              </w:rPr>
              <w:t>ARTICLE IX.</w:t>
            </w:r>
          </w:p>
        </w:tc>
        <w:tc>
          <w:tcPr>
            <w:tcW w:w="21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w w:val="99"/>
              </w:rPr>
              <w:t>ADMINISTRATIVE AGENT</w:t>
            </w:r>
          </w:p>
        </w:tc>
        <w:tc>
          <w:tcPr>
            <w:tcW w:w="2160" w:type="dxa"/>
            <w:vAlign w:val="bottom"/>
          </w:tcPr>
          <w:p>
            <w:pPr>
              <w:spacing w:after="0"/>
              <w:rPr>
                <w:sz w:val="20"/>
                <w:szCs w:val="20"/>
                <w:color w:val="auto"/>
              </w:rPr>
            </w:pP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9.01</w:t>
            </w:r>
          </w:p>
        </w:tc>
        <w:tc>
          <w:tcPr>
            <w:tcW w:w="8680" w:type="dxa"/>
            <w:vAlign w:val="bottom"/>
          </w:tcPr>
          <w:p>
            <w:pPr>
              <w:ind w:left="60"/>
              <w:spacing w:after="0"/>
              <w:rPr>
                <w:sz w:val="20"/>
                <w:szCs w:val="20"/>
                <w:color w:val="auto"/>
              </w:rPr>
            </w:pPr>
            <w:r>
              <w:rPr>
                <w:rFonts w:ascii="Arial" w:cs="Arial" w:eastAsia="Arial" w:hAnsi="Arial"/>
                <w:sz w:val="18"/>
                <w:szCs w:val="18"/>
                <w:color w:val="auto"/>
              </w:rPr>
              <w:t>Appointment and Authority</w:t>
            </w:r>
          </w:p>
        </w:tc>
        <w:tc>
          <w:tcPr>
            <w:tcW w:w="2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9.02</w:t>
            </w:r>
          </w:p>
        </w:tc>
        <w:tc>
          <w:tcPr>
            <w:tcW w:w="8680" w:type="dxa"/>
            <w:vAlign w:val="bottom"/>
          </w:tcPr>
          <w:p>
            <w:pPr>
              <w:ind w:left="60"/>
              <w:spacing w:after="0"/>
              <w:rPr>
                <w:sz w:val="20"/>
                <w:szCs w:val="20"/>
                <w:color w:val="auto"/>
              </w:rPr>
            </w:pPr>
            <w:r>
              <w:rPr>
                <w:rFonts w:ascii="Arial" w:cs="Arial" w:eastAsia="Arial" w:hAnsi="Arial"/>
                <w:sz w:val="18"/>
                <w:szCs w:val="18"/>
                <w:color w:val="auto"/>
              </w:rPr>
              <w:t>Rights as a Lender</w:t>
            </w:r>
          </w:p>
        </w:tc>
        <w:tc>
          <w:tcPr>
            <w:tcW w:w="2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9.03</w:t>
            </w:r>
          </w:p>
        </w:tc>
        <w:tc>
          <w:tcPr>
            <w:tcW w:w="8680" w:type="dxa"/>
            <w:vAlign w:val="bottom"/>
          </w:tcPr>
          <w:p>
            <w:pPr>
              <w:ind w:left="60"/>
              <w:spacing w:after="0"/>
              <w:rPr>
                <w:sz w:val="20"/>
                <w:szCs w:val="20"/>
                <w:color w:val="auto"/>
              </w:rPr>
            </w:pPr>
            <w:r>
              <w:rPr>
                <w:rFonts w:ascii="Arial" w:cs="Arial" w:eastAsia="Arial" w:hAnsi="Arial"/>
                <w:sz w:val="18"/>
                <w:szCs w:val="18"/>
                <w:color w:val="auto"/>
              </w:rPr>
              <w:t>Exculpatory Provisions</w:t>
            </w:r>
          </w:p>
        </w:tc>
        <w:tc>
          <w:tcPr>
            <w:tcW w:w="2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9.04</w:t>
            </w:r>
          </w:p>
        </w:tc>
        <w:tc>
          <w:tcPr>
            <w:tcW w:w="8680" w:type="dxa"/>
            <w:vAlign w:val="bottom"/>
          </w:tcPr>
          <w:p>
            <w:pPr>
              <w:ind w:left="60"/>
              <w:spacing w:after="0"/>
              <w:rPr>
                <w:sz w:val="20"/>
                <w:szCs w:val="20"/>
                <w:color w:val="auto"/>
              </w:rPr>
            </w:pPr>
            <w:r>
              <w:rPr>
                <w:rFonts w:ascii="Arial" w:cs="Arial" w:eastAsia="Arial" w:hAnsi="Arial"/>
                <w:sz w:val="18"/>
                <w:szCs w:val="18"/>
                <w:color w:val="auto"/>
              </w:rPr>
              <w:t>Reliance by Administrative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9.05</w:t>
            </w:r>
          </w:p>
        </w:tc>
        <w:tc>
          <w:tcPr>
            <w:tcW w:w="8680" w:type="dxa"/>
            <w:vAlign w:val="bottom"/>
          </w:tcPr>
          <w:p>
            <w:pPr>
              <w:ind w:left="60"/>
              <w:spacing w:after="0"/>
              <w:rPr>
                <w:sz w:val="20"/>
                <w:szCs w:val="20"/>
                <w:color w:val="auto"/>
              </w:rPr>
            </w:pPr>
            <w:r>
              <w:rPr>
                <w:rFonts w:ascii="Arial" w:cs="Arial" w:eastAsia="Arial" w:hAnsi="Arial"/>
                <w:sz w:val="18"/>
                <w:szCs w:val="18"/>
                <w:color w:val="auto"/>
              </w:rPr>
              <w:t>Delegation of Duties</w:t>
            </w:r>
          </w:p>
        </w:tc>
        <w:tc>
          <w:tcPr>
            <w:tcW w:w="2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9.06</w:t>
            </w:r>
          </w:p>
        </w:tc>
        <w:tc>
          <w:tcPr>
            <w:tcW w:w="8680" w:type="dxa"/>
            <w:vAlign w:val="bottom"/>
          </w:tcPr>
          <w:p>
            <w:pPr>
              <w:ind w:left="60"/>
              <w:spacing w:after="0"/>
              <w:rPr>
                <w:sz w:val="20"/>
                <w:szCs w:val="20"/>
                <w:color w:val="auto"/>
              </w:rPr>
            </w:pPr>
            <w:r>
              <w:rPr>
                <w:rFonts w:ascii="Arial" w:cs="Arial" w:eastAsia="Arial" w:hAnsi="Arial"/>
                <w:sz w:val="18"/>
                <w:szCs w:val="18"/>
                <w:color w:val="auto"/>
              </w:rPr>
              <w:t>Resignation of Administrative Agent</w:t>
            </w:r>
          </w:p>
        </w:tc>
        <w:tc>
          <w:tcPr>
            <w:tcW w:w="2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9.07</w:t>
            </w:r>
          </w:p>
        </w:tc>
        <w:tc>
          <w:tcPr>
            <w:tcW w:w="8680" w:type="dxa"/>
            <w:vAlign w:val="bottom"/>
          </w:tcPr>
          <w:p>
            <w:pPr>
              <w:ind w:left="60"/>
              <w:spacing w:after="0"/>
              <w:rPr>
                <w:sz w:val="20"/>
                <w:szCs w:val="20"/>
                <w:color w:val="auto"/>
              </w:rPr>
            </w:pPr>
            <w:r>
              <w:rPr>
                <w:rFonts w:ascii="Arial" w:cs="Arial" w:eastAsia="Arial" w:hAnsi="Arial"/>
                <w:sz w:val="18"/>
                <w:szCs w:val="18"/>
                <w:color w:val="auto"/>
              </w:rPr>
              <w:t>Non-Reliance on Administrative Agent and Other Lenders</w:t>
            </w:r>
          </w:p>
        </w:tc>
        <w:tc>
          <w:tcPr>
            <w:tcW w:w="2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9.08</w:t>
            </w:r>
          </w:p>
        </w:tc>
        <w:tc>
          <w:tcPr>
            <w:tcW w:w="8680" w:type="dxa"/>
            <w:vAlign w:val="bottom"/>
          </w:tcPr>
          <w:p>
            <w:pPr>
              <w:ind w:left="60"/>
              <w:spacing w:after="0"/>
              <w:rPr>
                <w:sz w:val="20"/>
                <w:szCs w:val="20"/>
                <w:color w:val="auto"/>
              </w:rPr>
            </w:pPr>
            <w:r>
              <w:rPr>
                <w:rFonts w:ascii="Arial" w:cs="Arial" w:eastAsia="Arial" w:hAnsi="Arial"/>
                <w:sz w:val="18"/>
                <w:szCs w:val="18"/>
                <w:color w:val="auto"/>
              </w:rPr>
              <w:t>No Other Duties, Etc.</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9.09</w:t>
            </w:r>
          </w:p>
        </w:tc>
        <w:tc>
          <w:tcPr>
            <w:tcW w:w="8680" w:type="dxa"/>
            <w:vAlign w:val="bottom"/>
          </w:tcPr>
          <w:p>
            <w:pPr>
              <w:ind w:left="60"/>
              <w:spacing w:after="0"/>
              <w:rPr>
                <w:sz w:val="20"/>
                <w:szCs w:val="20"/>
                <w:color w:val="auto"/>
              </w:rPr>
            </w:pPr>
            <w:r>
              <w:rPr>
                <w:rFonts w:ascii="Arial" w:cs="Arial" w:eastAsia="Arial" w:hAnsi="Arial"/>
                <w:sz w:val="18"/>
                <w:szCs w:val="18"/>
                <w:color w:val="auto"/>
              </w:rPr>
              <w:t>Administrative Agent May File Proofs of Claim</w:t>
            </w:r>
          </w:p>
        </w:tc>
        <w:tc>
          <w:tcPr>
            <w:tcW w:w="21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10"/>
        </w:trPr>
        <w:tc>
          <w:tcPr>
            <w:tcW w:w="480" w:type="dxa"/>
            <w:vAlign w:val="bottom"/>
          </w:tcPr>
          <w:p>
            <w:pPr>
              <w:spacing w:after="0"/>
              <w:rPr>
                <w:sz w:val="24"/>
                <w:szCs w:val="24"/>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w w:val="99"/>
              </w:rPr>
              <w:t>ARTICLE X.</w:t>
            </w:r>
          </w:p>
        </w:tc>
        <w:tc>
          <w:tcPr>
            <w:tcW w:w="21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8680" w:type="dxa"/>
            <w:vAlign w:val="bottom"/>
          </w:tcPr>
          <w:p>
            <w:pPr>
              <w:jc w:val="center"/>
              <w:ind w:left="1610"/>
              <w:spacing w:after="0"/>
              <w:rPr>
                <w:sz w:val="20"/>
                <w:szCs w:val="20"/>
                <w:color w:val="auto"/>
              </w:rPr>
            </w:pPr>
            <w:r>
              <w:rPr>
                <w:rFonts w:ascii="Arial" w:cs="Arial" w:eastAsia="Arial" w:hAnsi="Arial"/>
                <w:sz w:val="18"/>
                <w:szCs w:val="18"/>
                <w:color w:val="auto"/>
                <w:w w:val="89"/>
              </w:rPr>
              <w:t>Guaranty</w:t>
            </w:r>
          </w:p>
        </w:tc>
        <w:tc>
          <w:tcPr>
            <w:tcW w:w="2160" w:type="dxa"/>
            <w:vAlign w:val="bottom"/>
          </w:tcPr>
          <w:p>
            <w:pPr>
              <w:spacing w:after="0"/>
              <w:rPr>
                <w:sz w:val="20"/>
                <w:szCs w:val="20"/>
                <w:color w:val="auto"/>
              </w:rPr>
            </w:pPr>
          </w:p>
        </w:tc>
      </w:tr>
      <w:tr>
        <w:trPr>
          <w:trHeight w:val="323"/>
        </w:trPr>
        <w:tc>
          <w:tcPr>
            <w:tcW w:w="480" w:type="dxa"/>
            <w:vAlign w:val="bottom"/>
          </w:tcPr>
          <w:p>
            <w:pPr>
              <w:spacing w:after="0"/>
              <w:rPr>
                <w:sz w:val="20"/>
                <w:szCs w:val="20"/>
                <w:color w:val="auto"/>
              </w:rPr>
            </w:pPr>
            <w:r>
              <w:rPr>
                <w:rFonts w:ascii="Arial" w:cs="Arial" w:eastAsia="Arial" w:hAnsi="Arial"/>
                <w:sz w:val="18"/>
                <w:szCs w:val="18"/>
                <w:color w:val="auto"/>
              </w:rPr>
              <w:t>10.01</w:t>
            </w:r>
          </w:p>
        </w:tc>
        <w:tc>
          <w:tcPr>
            <w:tcW w:w="8680" w:type="dxa"/>
            <w:vAlign w:val="bottom"/>
          </w:tcPr>
          <w:p>
            <w:pPr>
              <w:ind w:left="60"/>
              <w:spacing w:after="0"/>
              <w:rPr>
                <w:sz w:val="20"/>
                <w:szCs w:val="20"/>
                <w:color w:val="auto"/>
              </w:rPr>
            </w:pPr>
            <w:r>
              <w:rPr>
                <w:rFonts w:ascii="Arial" w:cs="Arial" w:eastAsia="Arial" w:hAnsi="Arial"/>
                <w:sz w:val="18"/>
                <w:szCs w:val="18"/>
                <w:color w:val="auto"/>
              </w:rPr>
              <w:t>The Guaranty</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10.02</w:t>
            </w:r>
          </w:p>
        </w:tc>
        <w:tc>
          <w:tcPr>
            <w:tcW w:w="8680" w:type="dxa"/>
            <w:vAlign w:val="bottom"/>
          </w:tcPr>
          <w:p>
            <w:pPr>
              <w:ind w:left="60"/>
              <w:spacing w:after="0"/>
              <w:rPr>
                <w:sz w:val="20"/>
                <w:szCs w:val="20"/>
                <w:color w:val="auto"/>
              </w:rPr>
            </w:pPr>
            <w:r>
              <w:rPr>
                <w:rFonts w:ascii="Arial" w:cs="Arial" w:eastAsia="Arial" w:hAnsi="Arial"/>
                <w:sz w:val="18"/>
                <w:szCs w:val="18"/>
                <w:color w:val="auto"/>
              </w:rPr>
              <w:t>Guaranty Unconditional</w:t>
            </w:r>
          </w:p>
        </w:tc>
        <w:tc>
          <w:tcPr>
            <w:tcW w:w="2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10.03</w:t>
            </w:r>
          </w:p>
        </w:tc>
        <w:tc>
          <w:tcPr>
            <w:tcW w:w="8680" w:type="dxa"/>
            <w:vAlign w:val="bottom"/>
          </w:tcPr>
          <w:p>
            <w:pPr>
              <w:ind w:left="60"/>
              <w:spacing w:after="0"/>
              <w:rPr>
                <w:sz w:val="20"/>
                <w:szCs w:val="20"/>
                <w:color w:val="auto"/>
              </w:rPr>
            </w:pPr>
            <w:r>
              <w:rPr>
                <w:rFonts w:ascii="Arial" w:cs="Arial" w:eastAsia="Arial" w:hAnsi="Arial"/>
                <w:sz w:val="18"/>
                <w:szCs w:val="18"/>
                <w:color w:val="auto"/>
              </w:rPr>
              <w:t>Discharge Only Upon Payment In Full; Reinstatement In Certain Circumstances</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10.04</w:t>
            </w:r>
          </w:p>
        </w:tc>
        <w:tc>
          <w:tcPr>
            <w:tcW w:w="8680" w:type="dxa"/>
            <w:vAlign w:val="bottom"/>
          </w:tcPr>
          <w:p>
            <w:pPr>
              <w:ind w:left="60"/>
              <w:spacing w:after="0"/>
              <w:rPr>
                <w:sz w:val="20"/>
                <w:szCs w:val="20"/>
                <w:color w:val="auto"/>
              </w:rPr>
            </w:pPr>
            <w:r>
              <w:rPr>
                <w:rFonts w:ascii="Arial" w:cs="Arial" w:eastAsia="Arial" w:hAnsi="Arial"/>
                <w:sz w:val="18"/>
                <w:szCs w:val="18"/>
                <w:color w:val="auto"/>
              </w:rPr>
              <w:t>Waiver by Toro</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10.05</w:t>
            </w:r>
          </w:p>
        </w:tc>
        <w:tc>
          <w:tcPr>
            <w:tcW w:w="8680" w:type="dxa"/>
            <w:vAlign w:val="bottom"/>
          </w:tcPr>
          <w:p>
            <w:pPr>
              <w:ind w:left="60"/>
              <w:spacing w:after="0"/>
              <w:rPr>
                <w:sz w:val="20"/>
                <w:szCs w:val="20"/>
                <w:color w:val="auto"/>
              </w:rPr>
            </w:pPr>
            <w:r>
              <w:rPr>
                <w:rFonts w:ascii="Arial" w:cs="Arial" w:eastAsia="Arial" w:hAnsi="Arial"/>
                <w:sz w:val="18"/>
                <w:szCs w:val="18"/>
                <w:color w:val="auto"/>
              </w:rPr>
              <w:t>No Subrogation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10.06</w:t>
            </w:r>
          </w:p>
        </w:tc>
        <w:tc>
          <w:tcPr>
            <w:tcW w:w="8680" w:type="dxa"/>
            <w:vAlign w:val="bottom"/>
          </w:tcPr>
          <w:p>
            <w:pPr>
              <w:ind w:left="60"/>
              <w:spacing w:after="0"/>
              <w:rPr>
                <w:sz w:val="20"/>
                <w:szCs w:val="20"/>
                <w:color w:val="auto"/>
              </w:rPr>
            </w:pPr>
            <w:r>
              <w:rPr>
                <w:rFonts w:ascii="Arial" w:cs="Arial" w:eastAsia="Arial" w:hAnsi="Arial"/>
                <w:sz w:val="18"/>
                <w:szCs w:val="18"/>
                <w:color w:val="auto"/>
              </w:rPr>
              <w:t>Stay of Acceleration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8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8140" w:type="dxa"/>
            <w:vAlign w:val="bottom"/>
          </w:tcPr>
          <w:p>
            <w:pPr>
              <w:ind w:left="4560"/>
              <w:spacing w:after="0"/>
              <w:rPr>
                <w:sz w:val="20"/>
                <w:szCs w:val="20"/>
                <w:color w:val="auto"/>
              </w:rPr>
            </w:pPr>
            <w:r>
              <w:rPr>
                <w:rFonts w:ascii="Arial" w:cs="Arial" w:eastAsia="Arial" w:hAnsi="Arial"/>
                <w:sz w:val="18"/>
                <w:szCs w:val="18"/>
                <w:color w:val="auto"/>
              </w:rPr>
              <w:t>ARTICLE XI.</w:t>
            </w:r>
          </w:p>
        </w:tc>
        <w:tc>
          <w:tcPr>
            <w:tcW w:w="258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8140" w:type="dxa"/>
            <w:vAlign w:val="bottom"/>
          </w:tcPr>
          <w:p>
            <w:pPr>
              <w:ind w:left="4320"/>
              <w:spacing w:after="0"/>
              <w:rPr>
                <w:sz w:val="20"/>
                <w:szCs w:val="20"/>
                <w:color w:val="auto"/>
              </w:rPr>
            </w:pPr>
            <w:r>
              <w:rPr>
                <w:rFonts w:ascii="Arial" w:cs="Arial" w:eastAsia="Arial" w:hAnsi="Arial"/>
                <w:sz w:val="18"/>
                <w:szCs w:val="18"/>
                <w:color w:val="auto"/>
              </w:rPr>
              <w:t>MISCELLANEOUS</w:t>
            </w:r>
          </w:p>
        </w:tc>
        <w:tc>
          <w:tcPr>
            <w:tcW w:w="2580" w:type="dxa"/>
            <w:vAlign w:val="bottom"/>
          </w:tcPr>
          <w:p>
            <w:pPr>
              <w:spacing w:after="0"/>
              <w:rPr>
                <w:sz w:val="20"/>
                <w:szCs w:val="20"/>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11.01</w:t>
            </w:r>
          </w:p>
        </w:tc>
        <w:tc>
          <w:tcPr>
            <w:tcW w:w="8140" w:type="dxa"/>
            <w:vAlign w:val="bottom"/>
          </w:tcPr>
          <w:p>
            <w:pPr>
              <w:ind w:left="180"/>
              <w:spacing w:after="0"/>
              <w:rPr>
                <w:sz w:val="20"/>
                <w:szCs w:val="20"/>
                <w:color w:val="auto"/>
              </w:rPr>
            </w:pPr>
            <w:r>
              <w:rPr>
                <w:rFonts w:ascii="Arial" w:cs="Arial" w:eastAsia="Arial" w:hAnsi="Arial"/>
                <w:sz w:val="18"/>
                <w:szCs w:val="18"/>
                <w:color w:val="auto"/>
              </w:rPr>
              <w:t>Amendments, Etc.</w:t>
            </w:r>
          </w:p>
        </w:tc>
        <w:tc>
          <w:tcPr>
            <w:tcW w:w="2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11.02</w:t>
            </w:r>
          </w:p>
        </w:tc>
        <w:tc>
          <w:tcPr>
            <w:tcW w:w="8140" w:type="dxa"/>
            <w:vAlign w:val="bottom"/>
          </w:tcPr>
          <w:p>
            <w:pPr>
              <w:ind w:left="180"/>
              <w:spacing w:after="0"/>
              <w:rPr>
                <w:sz w:val="20"/>
                <w:szCs w:val="20"/>
                <w:color w:val="auto"/>
              </w:rPr>
            </w:pPr>
            <w:r>
              <w:rPr>
                <w:rFonts w:ascii="Arial" w:cs="Arial" w:eastAsia="Arial" w:hAnsi="Arial"/>
                <w:sz w:val="18"/>
                <w:szCs w:val="18"/>
                <w:color w:val="auto"/>
              </w:rPr>
              <w:t>Notices; Effectiveness; Electronic Communication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11.03</w:t>
            </w:r>
          </w:p>
        </w:tc>
        <w:tc>
          <w:tcPr>
            <w:tcW w:w="8140" w:type="dxa"/>
            <w:vAlign w:val="bottom"/>
          </w:tcPr>
          <w:p>
            <w:pPr>
              <w:ind w:left="180"/>
              <w:spacing w:after="0"/>
              <w:rPr>
                <w:sz w:val="20"/>
                <w:szCs w:val="20"/>
                <w:color w:val="auto"/>
              </w:rPr>
            </w:pPr>
            <w:r>
              <w:rPr>
                <w:rFonts w:ascii="Arial" w:cs="Arial" w:eastAsia="Arial" w:hAnsi="Arial"/>
                <w:sz w:val="18"/>
                <w:szCs w:val="18"/>
                <w:color w:val="auto"/>
              </w:rPr>
              <w:t>No Waiver; Cumulative Remedies; Enforcement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11.04</w:t>
            </w:r>
          </w:p>
        </w:tc>
        <w:tc>
          <w:tcPr>
            <w:tcW w:w="8140" w:type="dxa"/>
            <w:vAlign w:val="bottom"/>
          </w:tcPr>
          <w:p>
            <w:pPr>
              <w:ind w:left="180"/>
              <w:spacing w:after="0"/>
              <w:rPr>
                <w:sz w:val="20"/>
                <w:szCs w:val="20"/>
                <w:color w:val="auto"/>
              </w:rPr>
            </w:pPr>
            <w:r>
              <w:rPr>
                <w:rFonts w:ascii="Arial" w:cs="Arial" w:eastAsia="Arial" w:hAnsi="Arial"/>
                <w:sz w:val="18"/>
                <w:szCs w:val="18"/>
                <w:color w:val="auto"/>
              </w:rPr>
              <w:t>Expenses; Indemnity; Damage Waiver</w:t>
            </w:r>
          </w:p>
        </w:tc>
        <w:tc>
          <w:tcPr>
            <w:tcW w:w="2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11.05</w:t>
            </w:r>
          </w:p>
        </w:tc>
        <w:tc>
          <w:tcPr>
            <w:tcW w:w="8140" w:type="dxa"/>
            <w:vAlign w:val="bottom"/>
          </w:tcPr>
          <w:p>
            <w:pPr>
              <w:ind w:left="180"/>
              <w:spacing w:after="0"/>
              <w:rPr>
                <w:sz w:val="20"/>
                <w:szCs w:val="20"/>
                <w:color w:val="auto"/>
              </w:rPr>
            </w:pPr>
            <w:r>
              <w:rPr>
                <w:rFonts w:ascii="Arial" w:cs="Arial" w:eastAsia="Arial" w:hAnsi="Arial"/>
                <w:sz w:val="18"/>
                <w:szCs w:val="18"/>
                <w:color w:val="auto"/>
              </w:rPr>
              <w:t>Payments Set Aside</w:t>
            </w:r>
          </w:p>
        </w:tc>
        <w:tc>
          <w:tcPr>
            <w:tcW w:w="2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11.06</w:t>
            </w:r>
          </w:p>
        </w:tc>
        <w:tc>
          <w:tcPr>
            <w:tcW w:w="814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5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11.07</w:t>
            </w:r>
          </w:p>
        </w:tc>
        <w:tc>
          <w:tcPr>
            <w:tcW w:w="8140" w:type="dxa"/>
            <w:vAlign w:val="bottom"/>
          </w:tcPr>
          <w:p>
            <w:pPr>
              <w:ind w:left="180"/>
              <w:spacing w:after="0"/>
              <w:rPr>
                <w:sz w:val="20"/>
                <w:szCs w:val="20"/>
                <w:color w:val="auto"/>
              </w:rPr>
            </w:pPr>
            <w:r>
              <w:rPr>
                <w:rFonts w:ascii="Arial" w:cs="Arial" w:eastAsia="Arial" w:hAnsi="Arial"/>
                <w:sz w:val="18"/>
                <w:szCs w:val="18"/>
                <w:color w:val="auto"/>
              </w:rPr>
              <w:t>Treatment of Certain Information; Confidentiality</w:t>
            </w:r>
          </w:p>
        </w:tc>
        <w:tc>
          <w:tcPr>
            <w:tcW w:w="25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11.08</w:t>
            </w:r>
          </w:p>
        </w:tc>
        <w:tc>
          <w:tcPr>
            <w:tcW w:w="8140" w:type="dxa"/>
            <w:vAlign w:val="bottom"/>
          </w:tcPr>
          <w:p>
            <w:pPr>
              <w:ind w:left="180"/>
              <w:spacing w:after="0"/>
              <w:rPr>
                <w:sz w:val="20"/>
                <w:szCs w:val="20"/>
                <w:color w:val="auto"/>
              </w:rPr>
            </w:pPr>
            <w:r>
              <w:rPr>
                <w:rFonts w:ascii="Arial" w:cs="Arial" w:eastAsia="Arial" w:hAnsi="Arial"/>
                <w:sz w:val="18"/>
                <w:szCs w:val="18"/>
                <w:color w:val="auto"/>
              </w:rPr>
              <w:t>Right of Setoff</w:t>
            </w:r>
          </w:p>
        </w:tc>
        <w:tc>
          <w:tcPr>
            <w:tcW w:w="25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11.09</w:t>
            </w:r>
          </w:p>
        </w:tc>
        <w:tc>
          <w:tcPr>
            <w:tcW w:w="8140" w:type="dxa"/>
            <w:vAlign w:val="bottom"/>
          </w:tcPr>
          <w:p>
            <w:pPr>
              <w:ind w:left="180"/>
              <w:spacing w:after="0"/>
              <w:rPr>
                <w:sz w:val="20"/>
                <w:szCs w:val="20"/>
                <w:color w:val="auto"/>
              </w:rPr>
            </w:pPr>
            <w:r>
              <w:rPr>
                <w:rFonts w:ascii="Arial" w:cs="Arial" w:eastAsia="Arial" w:hAnsi="Arial"/>
                <w:sz w:val="18"/>
                <w:szCs w:val="18"/>
                <w:color w:val="auto"/>
              </w:rPr>
              <w:t>Interest Rate Limitation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11.10</w:t>
            </w:r>
          </w:p>
        </w:tc>
        <w:tc>
          <w:tcPr>
            <w:tcW w:w="8140" w:type="dxa"/>
            <w:vAlign w:val="bottom"/>
          </w:tcPr>
          <w:p>
            <w:pPr>
              <w:ind w:left="180"/>
              <w:spacing w:after="0"/>
              <w:rPr>
                <w:sz w:val="20"/>
                <w:szCs w:val="20"/>
                <w:color w:val="auto"/>
              </w:rPr>
            </w:pPr>
            <w:r>
              <w:rPr>
                <w:rFonts w:ascii="Arial" w:cs="Arial" w:eastAsia="Arial" w:hAnsi="Arial"/>
                <w:sz w:val="18"/>
                <w:szCs w:val="18"/>
                <w:color w:val="auto"/>
              </w:rPr>
              <w:t>Counterparts; Integration; Effectiveness</w:t>
            </w:r>
          </w:p>
        </w:tc>
        <w:tc>
          <w:tcPr>
            <w:tcW w:w="2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11.11</w:t>
            </w:r>
          </w:p>
        </w:tc>
        <w:tc>
          <w:tcPr>
            <w:tcW w:w="8140" w:type="dxa"/>
            <w:vAlign w:val="bottom"/>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11.12</w:t>
            </w:r>
          </w:p>
        </w:tc>
        <w:tc>
          <w:tcPr>
            <w:tcW w:w="814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11.13</w:t>
            </w:r>
          </w:p>
        </w:tc>
        <w:tc>
          <w:tcPr>
            <w:tcW w:w="8140" w:type="dxa"/>
            <w:vAlign w:val="bottom"/>
          </w:tcPr>
          <w:p>
            <w:pPr>
              <w:ind w:left="180"/>
              <w:spacing w:after="0"/>
              <w:rPr>
                <w:sz w:val="20"/>
                <w:szCs w:val="20"/>
                <w:color w:val="auto"/>
              </w:rPr>
            </w:pPr>
            <w:r>
              <w:rPr>
                <w:rFonts w:ascii="Arial" w:cs="Arial" w:eastAsia="Arial" w:hAnsi="Arial"/>
                <w:sz w:val="18"/>
                <w:szCs w:val="18"/>
                <w:color w:val="auto"/>
              </w:rPr>
              <w:t>Replacement of Lenders</w:t>
            </w:r>
          </w:p>
        </w:tc>
        <w:tc>
          <w:tcPr>
            <w:tcW w:w="25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11.14</w:t>
            </w:r>
          </w:p>
        </w:tc>
        <w:tc>
          <w:tcPr>
            <w:tcW w:w="8140" w:type="dxa"/>
            <w:vAlign w:val="bottom"/>
          </w:tcPr>
          <w:p>
            <w:pPr>
              <w:ind w:left="180"/>
              <w:spacing w:after="0"/>
              <w:rPr>
                <w:sz w:val="20"/>
                <w:szCs w:val="20"/>
                <w:color w:val="auto"/>
              </w:rPr>
            </w:pPr>
            <w:r>
              <w:rPr>
                <w:rFonts w:ascii="Arial" w:cs="Arial" w:eastAsia="Arial" w:hAnsi="Arial"/>
                <w:sz w:val="18"/>
                <w:szCs w:val="18"/>
                <w:color w:val="auto"/>
              </w:rPr>
              <w:t>Governing Law; Jurisdiction; Etc.</w:t>
            </w:r>
          </w:p>
        </w:tc>
        <w:tc>
          <w:tcPr>
            <w:tcW w:w="25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11.15</w:t>
            </w:r>
          </w:p>
        </w:tc>
        <w:tc>
          <w:tcPr>
            <w:tcW w:w="8140" w:type="dxa"/>
            <w:vAlign w:val="bottom"/>
          </w:tcPr>
          <w:p>
            <w:pPr>
              <w:ind w:left="180"/>
              <w:spacing w:after="0"/>
              <w:rPr>
                <w:sz w:val="20"/>
                <w:szCs w:val="20"/>
                <w:color w:val="auto"/>
              </w:rPr>
            </w:pPr>
            <w:r>
              <w:rPr>
                <w:rFonts w:ascii="Arial" w:cs="Arial" w:eastAsia="Arial" w:hAnsi="Arial"/>
                <w:sz w:val="18"/>
                <w:szCs w:val="18"/>
                <w:color w:val="auto"/>
              </w:rPr>
              <w:t>Waiver of Jury Trial</w:t>
            </w:r>
          </w:p>
        </w:tc>
        <w:tc>
          <w:tcPr>
            <w:tcW w:w="25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11.16</w:t>
            </w:r>
          </w:p>
        </w:tc>
        <w:tc>
          <w:tcPr>
            <w:tcW w:w="8140" w:type="dxa"/>
            <w:vAlign w:val="bottom"/>
          </w:tcPr>
          <w:p>
            <w:pPr>
              <w:ind w:left="180"/>
              <w:spacing w:after="0"/>
              <w:rPr>
                <w:sz w:val="20"/>
                <w:szCs w:val="20"/>
                <w:color w:val="auto"/>
              </w:rPr>
            </w:pPr>
            <w:r>
              <w:rPr>
                <w:rFonts w:ascii="Arial" w:cs="Arial" w:eastAsia="Arial" w:hAnsi="Arial"/>
                <w:sz w:val="18"/>
                <w:szCs w:val="18"/>
                <w:color w:val="auto"/>
              </w:rPr>
              <w:t>USA PATRIOT Act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11.17</w:t>
            </w:r>
          </w:p>
        </w:tc>
        <w:tc>
          <w:tcPr>
            <w:tcW w:w="8140" w:type="dxa"/>
            <w:vAlign w:val="bottom"/>
          </w:tcPr>
          <w:p>
            <w:pPr>
              <w:ind w:left="180"/>
              <w:spacing w:after="0"/>
              <w:rPr>
                <w:sz w:val="20"/>
                <w:szCs w:val="20"/>
                <w:color w:val="auto"/>
              </w:rPr>
            </w:pPr>
            <w:r>
              <w:rPr>
                <w:rFonts w:ascii="Arial" w:cs="Arial" w:eastAsia="Arial" w:hAnsi="Arial"/>
                <w:sz w:val="18"/>
                <w:szCs w:val="18"/>
                <w:color w:val="auto"/>
              </w:rPr>
              <w:t>Liability of the Borrowers</w:t>
            </w:r>
          </w:p>
        </w:tc>
        <w:tc>
          <w:tcPr>
            <w:tcW w:w="25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11.18</w:t>
            </w:r>
          </w:p>
        </w:tc>
        <w:tc>
          <w:tcPr>
            <w:tcW w:w="8140" w:type="dxa"/>
            <w:vAlign w:val="bottom"/>
          </w:tcPr>
          <w:p>
            <w:pPr>
              <w:ind w:left="180"/>
              <w:spacing w:after="0"/>
              <w:rPr>
                <w:sz w:val="20"/>
                <w:szCs w:val="20"/>
                <w:color w:val="auto"/>
              </w:rPr>
            </w:pPr>
            <w:r>
              <w:rPr>
                <w:rFonts w:ascii="Arial" w:cs="Arial" w:eastAsia="Arial" w:hAnsi="Arial"/>
                <w:sz w:val="18"/>
                <w:szCs w:val="18"/>
                <w:color w:val="auto"/>
              </w:rPr>
              <w:t>Judgment Currency</w:t>
            </w:r>
          </w:p>
        </w:tc>
        <w:tc>
          <w:tcPr>
            <w:tcW w:w="25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11.19</w:t>
            </w:r>
          </w:p>
        </w:tc>
        <w:tc>
          <w:tcPr>
            <w:tcW w:w="8140" w:type="dxa"/>
            <w:vAlign w:val="bottom"/>
          </w:tcPr>
          <w:p>
            <w:pPr>
              <w:ind w:left="180"/>
              <w:spacing w:after="0"/>
              <w:rPr>
                <w:sz w:val="20"/>
                <w:szCs w:val="20"/>
                <w:color w:val="auto"/>
              </w:rPr>
            </w:pPr>
            <w:r>
              <w:rPr>
                <w:rFonts w:ascii="Arial" w:cs="Arial" w:eastAsia="Arial" w:hAnsi="Arial"/>
                <w:sz w:val="18"/>
                <w:szCs w:val="18"/>
                <w:color w:val="auto"/>
              </w:rPr>
              <w:t>Automatic Debits of Principal, Interest, Fees</w:t>
            </w:r>
          </w:p>
        </w:tc>
        <w:tc>
          <w:tcPr>
            <w:tcW w:w="25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11.20</w:t>
            </w:r>
          </w:p>
        </w:tc>
        <w:tc>
          <w:tcPr>
            <w:tcW w:w="8140" w:type="dxa"/>
            <w:vAlign w:val="bottom"/>
          </w:tcPr>
          <w:p>
            <w:pPr>
              <w:ind w:left="180"/>
              <w:spacing w:after="0"/>
              <w:rPr>
                <w:sz w:val="20"/>
                <w:szCs w:val="20"/>
                <w:color w:val="auto"/>
              </w:rPr>
            </w:pPr>
            <w:r>
              <w:rPr>
                <w:rFonts w:ascii="Arial" w:cs="Arial" w:eastAsia="Arial" w:hAnsi="Arial"/>
                <w:sz w:val="18"/>
                <w:szCs w:val="18"/>
                <w:color w:val="auto"/>
              </w:rPr>
              <w:t>Termination of Existing Credit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11.21</w:t>
            </w:r>
          </w:p>
        </w:tc>
        <w:tc>
          <w:tcPr>
            <w:tcW w:w="8140" w:type="dxa"/>
            <w:vAlign w:val="bottom"/>
          </w:tcPr>
          <w:p>
            <w:pPr>
              <w:ind w:left="180"/>
              <w:spacing w:after="0"/>
              <w:rPr>
                <w:sz w:val="20"/>
                <w:szCs w:val="20"/>
                <w:color w:val="auto"/>
              </w:rPr>
            </w:pPr>
            <w:r>
              <w:rPr>
                <w:rFonts w:ascii="Arial" w:cs="Arial" w:eastAsia="Arial" w:hAnsi="Arial"/>
                <w:sz w:val="18"/>
                <w:szCs w:val="18"/>
                <w:color w:val="auto"/>
              </w:rPr>
              <w:t>No Advisory or Fiduciary Responsibility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11.22</w:t>
            </w:r>
          </w:p>
        </w:tc>
        <w:tc>
          <w:tcPr>
            <w:tcW w:w="8140" w:type="dxa"/>
            <w:vAlign w:val="bottom"/>
          </w:tcPr>
          <w:p>
            <w:pPr>
              <w:ind w:left="180"/>
              <w:spacing w:after="0"/>
              <w:rPr>
                <w:sz w:val="20"/>
                <w:szCs w:val="20"/>
                <w:color w:val="auto"/>
              </w:rPr>
            </w:pPr>
            <w:r>
              <w:rPr>
                <w:rFonts w:ascii="Arial" w:cs="Arial" w:eastAsia="Arial" w:hAnsi="Arial"/>
                <w:sz w:val="18"/>
                <w:szCs w:val="18"/>
                <w:color w:val="auto"/>
              </w:rPr>
              <w:t>Electronic Execution of Assignments and Certain Other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11.23</w:t>
            </w:r>
          </w:p>
        </w:tc>
        <w:tc>
          <w:tcPr>
            <w:tcW w:w="814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25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365"/>
        </w:trPr>
        <w:tc>
          <w:tcPr>
            <w:tcW w:w="600" w:type="dxa"/>
            <w:vAlign w:val="bottom"/>
          </w:tcPr>
          <w:p>
            <w:pPr>
              <w:spacing w:after="0"/>
              <w:rPr>
                <w:sz w:val="24"/>
                <w:szCs w:val="24"/>
                <w:color w:val="auto"/>
              </w:rPr>
            </w:pPr>
          </w:p>
        </w:tc>
        <w:tc>
          <w:tcPr>
            <w:tcW w:w="8140" w:type="dxa"/>
            <w:vAlign w:val="bottom"/>
          </w:tcPr>
          <w:p>
            <w:pPr>
              <w:ind w:left="5040"/>
              <w:spacing w:after="0"/>
              <w:rPr>
                <w:sz w:val="20"/>
                <w:szCs w:val="20"/>
                <w:color w:val="auto"/>
              </w:rPr>
            </w:pPr>
            <w:r>
              <w:rPr>
                <w:rFonts w:ascii="Arial" w:cs="Arial" w:eastAsia="Arial" w:hAnsi="Arial"/>
                <w:sz w:val="18"/>
                <w:szCs w:val="18"/>
                <w:color w:val="auto"/>
              </w:rPr>
              <w:t>iv</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2"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7" w:name="page98"/>
    <w:bookmarkEnd w:id="97"/>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5080" w:type="dxa"/>
            <w:vAlign w:val="bottom"/>
          </w:tcPr>
          <w:p>
            <w:pPr>
              <w:spacing w:after="0"/>
              <w:rPr>
                <w:sz w:val="20"/>
                <w:szCs w:val="20"/>
                <w:color w:val="auto"/>
              </w:rPr>
            </w:pPr>
          </w:p>
        </w:tc>
      </w:tr>
      <w:tr>
        <w:trPr>
          <w:trHeight w:val="310"/>
        </w:trPr>
        <w:tc>
          <w:tcPr>
            <w:tcW w:w="1300" w:type="dxa"/>
            <w:vAlign w:val="bottom"/>
          </w:tcPr>
          <w:p>
            <w:pPr>
              <w:ind w:left="360"/>
              <w:spacing w:after="0"/>
              <w:rPr>
                <w:sz w:val="20"/>
                <w:szCs w:val="20"/>
                <w:color w:val="auto"/>
              </w:rPr>
            </w:pPr>
            <w:r>
              <w:rPr>
                <w:rFonts w:ascii="Arial" w:cs="Arial" w:eastAsia="Arial" w:hAnsi="Arial"/>
                <w:sz w:val="18"/>
                <w:szCs w:val="18"/>
                <w:color w:val="auto"/>
              </w:rPr>
              <w:t>1.01(e)</w:t>
            </w:r>
          </w:p>
        </w:tc>
        <w:tc>
          <w:tcPr>
            <w:tcW w:w="5080" w:type="dxa"/>
            <w:vAlign w:val="bottom"/>
          </w:tcPr>
          <w:p>
            <w:pPr>
              <w:ind w:left="20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1.01(p)</w:t>
            </w:r>
          </w:p>
        </w:tc>
        <w:tc>
          <w:tcPr>
            <w:tcW w:w="5080" w:type="dxa"/>
            <w:vAlign w:val="bottom"/>
          </w:tcPr>
          <w:p>
            <w:pPr>
              <w:ind w:left="200"/>
              <w:spacing w:after="0"/>
              <w:rPr>
                <w:sz w:val="20"/>
                <w:szCs w:val="20"/>
                <w:color w:val="auto"/>
              </w:rPr>
            </w:pPr>
            <w:r>
              <w:rPr>
                <w:rFonts w:ascii="Arial" w:cs="Arial" w:eastAsia="Arial" w:hAnsi="Arial"/>
                <w:sz w:val="18"/>
                <w:szCs w:val="18"/>
                <w:color w:val="auto"/>
              </w:rPr>
              <w:t>Proposed Acquisition</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2.01</w:t>
            </w:r>
          </w:p>
        </w:tc>
        <w:tc>
          <w:tcPr>
            <w:tcW w:w="5080" w:type="dxa"/>
            <w:vAlign w:val="bottom"/>
          </w:tcPr>
          <w:p>
            <w:pPr>
              <w:ind w:left="200"/>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5.06</w:t>
            </w:r>
          </w:p>
        </w:tc>
        <w:tc>
          <w:tcPr>
            <w:tcW w:w="5080" w:type="dxa"/>
            <w:vAlign w:val="bottom"/>
          </w:tcPr>
          <w:p>
            <w:pPr>
              <w:ind w:left="200"/>
              <w:spacing w:after="0"/>
              <w:rPr>
                <w:sz w:val="20"/>
                <w:szCs w:val="20"/>
                <w:color w:val="auto"/>
              </w:rPr>
            </w:pPr>
            <w:r>
              <w:rPr>
                <w:rFonts w:ascii="Arial" w:cs="Arial" w:eastAsia="Arial" w:hAnsi="Arial"/>
                <w:sz w:val="18"/>
                <w:szCs w:val="18"/>
                <w:color w:val="auto"/>
              </w:rPr>
              <w:t>Litigation</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5.09</w:t>
            </w:r>
          </w:p>
        </w:tc>
        <w:tc>
          <w:tcPr>
            <w:tcW w:w="5080" w:type="dxa"/>
            <w:vAlign w:val="bottom"/>
          </w:tcPr>
          <w:p>
            <w:pPr>
              <w:ind w:left="200"/>
              <w:spacing w:after="0"/>
              <w:rPr>
                <w:sz w:val="20"/>
                <w:szCs w:val="20"/>
                <w:color w:val="auto"/>
              </w:rPr>
            </w:pPr>
            <w:r>
              <w:rPr>
                <w:rFonts w:ascii="Arial" w:cs="Arial" w:eastAsia="Arial" w:hAnsi="Arial"/>
                <w:sz w:val="18"/>
                <w:szCs w:val="18"/>
                <w:color w:val="auto"/>
              </w:rPr>
              <w:t>Environmental Matters</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5.10</w:t>
            </w:r>
          </w:p>
        </w:tc>
        <w:tc>
          <w:tcPr>
            <w:tcW w:w="5080" w:type="dxa"/>
            <w:vAlign w:val="bottom"/>
          </w:tcPr>
          <w:p>
            <w:pPr>
              <w:ind w:left="200"/>
              <w:spacing w:after="0"/>
              <w:rPr>
                <w:sz w:val="20"/>
                <w:szCs w:val="20"/>
                <w:color w:val="auto"/>
              </w:rPr>
            </w:pPr>
            <w:r>
              <w:rPr>
                <w:rFonts w:ascii="Arial" w:cs="Arial" w:eastAsia="Arial" w:hAnsi="Arial"/>
                <w:sz w:val="18"/>
                <w:szCs w:val="18"/>
                <w:color w:val="auto"/>
              </w:rPr>
              <w:t>Insurance Matters</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5.13</w:t>
            </w:r>
          </w:p>
        </w:tc>
        <w:tc>
          <w:tcPr>
            <w:tcW w:w="5080" w:type="dxa"/>
            <w:vAlign w:val="bottom"/>
          </w:tcPr>
          <w:p>
            <w:pPr>
              <w:ind w:left="200"/>
              <w:spacing w:after="0"/>
              <w:rPr>
                <w:sz w:val="20"/>
                <w:szCs w:val="20"/>
                <w:color w:val="auto"/>
              </w:rPr>
            </w:pPr>
            <w:r>
              <w:rPr>
                <w:rFonts w:ascii="Arial" w:cs="Arial" w:eastAsia="Arial" w:hAnsi="Arial"/>
                <w:sz w:val="18"/>
                <w:szCs w:val="18"/>
                <w:color w:val="auto"/>
                <w:w w:val="90"/>
              </w:rPr>
              <w:t>Subsidiaries and Other Equity Investments; Equity Interests in Toro</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5.19</w:t>
            </w:r>
          </w:p>
        </w:tc>
        <w:tc>
          <w:tcPr>
            <w:tcW w:w="5080" w:type="dxa"/>
            <w:vAlign w:val="bottom"/>
          </w:tcPr>
          <w:p>
            <w:pPr>
              <w:ind w:left="200"/>
              <w:spacing w:after="0"/>
              <w:rPr>
                <w:sz w:val="20"/>
                <w:szCs w:val="20"/>
                <w:color w:val="auto"/>
              </w:rPr>
            </w:pPr>
            <w:r>
              <w:rPr>
                <w:rFonts w:ascii="Arial" w:cs="Arial" w:eastAsia="Arial" w:hAnsi="Arial"/>
                <w:sz w:val="18"/>
                <w:szCs w:val="18"/>
                <w:color w:val="auto"/>
              </w:rPr>
              <w:t>Identification Numbers for Foreign Obligors</w:t>
            </w:r>
          </w:p>
        </w:tc>
      </w:tr>
      <w:tr>
        <w:trPr>
          <w:trHeight w:val="216"/>
        </w:trPr>
        <w:tc>
          <w:tcPr>
            <w:tcW w:w="1300" w:type="dxa"/>
            <w:vAlign w:val="bottom"/>
          </w:tcPr>
          <w:p>
            <w:pPr>
              <w:ind w:left="360"/>
              <w:spacing w:after="0"/>
              <w:rPr>
                <w:sz w:val="20"/>
                <w:szCs w:val="20"/>
                <w:color w:val="auto"/>
              </w:rPr>
            </w:pPr>
            <w:r>
              <w:rPr>
                <w:rFonts w:ascii="Arial" w:cs="Arial" w:eastAsia="Arial" w:hAnsi="Arial"/>
                <w:sz w:val="18"/>
                <w:szCs w:val="18"/>
                <w:color w:val="auto"/>
              </w:rPr>
              <w:t>7.01</w:t>
            </w:r>
          </w:p>
        </w:tc>
        <w:tc>
          <w:tcPr>
            <w:tcW w:w="5080" w:type="dxa"/>
            <w:vAlign w:val="bottom"/>
          </w:tcPr>
          <w:p>
            <w:pPr>
              <w:ind w:left="200"/>
              <w:spacing w:after="0"/>
              <w:rPr>
                <w:sz w:val="20"/>
                <w:szCs w:val="20"/>
                <w:color w:val="auto"/>
              </w:rPr>
            </w:pPr>
            <w:r>
              <w:rPr>
                <w:rFonts w:ascii="Arial" w:cs="Arial" w:eastAsia="Arial" w:hAnsi="Arial"/>
                <w:sz w:val="18"/>
                <w:szCs w:val="18"/>
                <w:color w:val="auto"/>
              </w:rPr>
              <w:t>Existing Liens</w:t>
            </w:r>
          </w:p>
        </w:tc>
      </w:tr>
      <w:tr>
        <w:trPr>
          <w:trHeight w:val="230"/>
        </w:trPr>
        <w:tc>
          <w:tcPr>
            <w:tcW w:w="1300" w:type="dxa"/>
            <w:vAlign w:val="bottom"/>
          </w:tcPr>
          <w:p>
            <w:pPr>
              <w:ind w:left="360"/>
              <w:spacing w:after="0"/>
              <w:rPr>
                <w:sz w:val="20"/>
                <w:szCs w:val="20"/>
                <w:color w:val="auto"/>
              </w:rPr>
            </w:pPr>
            <w:r>
              <w:rPr>
                <w:rFonts w:ascii="Arial" w:cs="Arial" w:eastAsia="Arial" w:hAnsi="Arial"/>
                <w:sz w:val="18"/>
                <w:szCs w:val="18"/>
                <w:color w:val="auto"/>
              </w:rPr>
              <w:t>11.02</w:t>
            </w:r>
          </w:p>
        </w:tc>
        <w:tc>
          <w:tcPr>
            <w:tcW w:w="5080" w:type="dxa"/>
            <w:vAlign w:val="bottom"/>
          </w:tcPr>
          <w:p>
            <w:pPr>
              <w:ind w:left="200"/>
              <w:spacing w:after="0"/>
              <w:rPr>
                <w:sz w:val="20"/>
                <w:szCs w:val="20"/>
                <w:color w:val="auto"/>
              </w:rPr>
            </w:pPr>
            <w:r>
              <w:rPr>
                <w:rFonts w:ascii="Arial" w:cs="Arial" w:eastAsia="Arial" w:hAnsi="Arial"/>
                <w:sz w:val="18"/>
                <w:szCs w:val="18"/>
                <w:color w:val="auto"/>
              </w:rPr>
              <w:t>Administrative Agent’s Office; Certain Addresses for Notices</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Form of</w:t>
      </w:r>
    </w:p>
    <w:p>
      <w:pPr>
        <w:spacing w:after="0" w:line="117" w:lineRule="exact"/>
        <w:rPr>
          <w:sz w:val="20"/>
          <w:szCs w:val="20"/>
          <w:color w:val="auto"/>
        </w:rPr>
      </w:pPr>
    </w:p>
    <w:p>
      <w:pPr>
        <w:ind w:left="1500" w:hanging="1132"/>
        <w:spacing w:after="0"/>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Loan Notice</w:t>
      </w:r>
    </w:p>
    <w:p>
      <w:pPr>
        <w:spacing w:after="0" w:line="23" w:lineRule="exact"/>
        <w:rPr>
          <w:sz w:val="20"/>
          <w:szCs w:val="20"/>
          <w:color w:val="auto"/>
        </w:rPr>
      </w:pPr>
    </w:p>
    <w:p>
      <w:pPr>
        <w:ind w:left="1500" w:hanging="1132"/>
        <w:spacing w:after="0"/>
        <w:tabs>
          <w:tab w:leader="none" w:pos="1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C-1</w:t>
            </w:r>
          </w:p>
        </w:tc>
        <w:tc>
          <w:tcPr>
            <w:tcW w:w="2080" w:type="dxa"/>
            <w:vAlign w:val="bottom"/>
          </w:tcPr>
          <w:p>
            <w:pPr>
              <w:ind w:left="440"/>
              <w:spacing w:after="0"/>
              <w:rPr>
                <w:sz w:val="20"/>
                <w:szCs w:val="20"/>
                <w:color w:val="auto"/>
              </w:rPr>
            </w:pPr>
            <w:r>
              <w:rPr>
                <w:rFonts w:ascii="Arial" w:cs="Arial" w:eastAsia="Arial" w:hAnsi="Arial"/>
                <w:sz w:val="18"/>
                <w:szCs w:val="18"/>
                <w:color w:val="auto"/>
                <w:w w:val="92"/>
              </w:rPr>
              <w:t>Revolving Credit Note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C-2</w:t>
            </w:r>
          </w:p>
        </w:tc>
        <w:tc>
          <w:tcPr>
            <w:tcW w:w="2080" w:type="dxa"/>
            <w:vAlign w:val="bottom"/>
          </w:tcPr>
          <w:p>
            <w:pPr>
              <w:ind w:left="440"/>
              <w:spacing w:after="0"/>
              <w:rPr>
                <w:sz w:val="20"/>
                <w:szCs w:val="20"/>
                <w:color w:val="auto"/>
              </w:rPr>
            </w:pPr>
            <w:r>
              <w:rPr>
                <w:rFonts w:ascii="Arial" w:cs="Arial" w:eastAsia="Arial" w:hAnsi="Arial"/>
                <w:sz w:val="18"/>
                <w:szCs w:val="18"/>
                <w:color w:val="auto"/>
              </w:rPr>
              <w:t>Term Loan Note</w:t>
            </w:r>
          </w:p>
        </w:tc>
      </w:tr>
    </w:tbl>
    <w:p>
      <w:pPr>
        <w:ind w:left="1500" w:hanging="1132"/>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E-1</w:t>
            </w:r>
          </w:p>
        </w:tc>
        <w:tc>
          <w:tcPr>
            <w:tcW w:w="2560" w:type="dxa"/>
            <w:vAlign w:val="bottom"/>
          </w:tcPr>
          <w:p>
            <w:pPr>
              <w:ind w:left="440"/>
              <w:spacing w:after="0"/>
              <w:rPr>
                <w:sz w:val="20"/>
                <w:szCs w:val="20"/>
                <w:color w:val="auto"/>
              </w:rPr>
            </w:pPr>
            <w:r>
              <w:rPr>
                <w:rFonts w:ascii="Arial" w:cs="Arial" w:eastAsia="Arial" w:hAnsi="Arial"/>
                <w:sz w:val="18"/>
                <w:szCs w:val="18"/>
                <w:color w:val="auto"/>
                <w:w w:val="92"/>
              </w:rPr>
              <w:t>Assignment and Assumption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E-2</w:t>
            </w:r>
          </w:p>
        </w:tc>
        <w:tc>
          <w:tcPr>
            <w:tcW w:w="2560" w:type="dxa"/>
            <w:vAlign w:val="bottom"/>
          </w:tcPr>
          <w:p>
            <w:pPr>
              <w:ind w:left="440"/>
              <w:spacing w:after="0"/>
              <w:rPr>
                <w:sz w:val="20"/>
                <w:szCs w:val="20"/>
                <w:color w:val="auto"/>
              </w:rPr>
            </w:pPr>
            <w:r>
              <w:rPr>
                <w:rFonts w:ascii="Arial" w:cs="Arial" w:eastAsia="Arial" w:hAnsi="Arial"/>
                <w:sz w:val="18"/>
                <w:szCs w:val="18"/>
                <w:color w:val="auto"/>
                <w:w w:val="91"/>
              </w:rPr>
              <w:t>Administrative Questionnaire</w:t>
            </w:r>
          </w:p>
        </w:tc>
      </w:tr>
    </w:tbl>
    <w:p>
      <w:pPr>
        <w:ind w:left="1500" w:hanging="1132"/>
        <w:spacing w:after="0"/>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Opinion Matters</w:t>
      </w:r>
    </w:p>
    <w:p>
      <w:pPr>
        <w:spacing w:after="0" w:line="9" w:lineRule="exact"/>
        <w:rPr>
          <w:sz w:val="20"/>
          <w:szCs w:val="20"/>
          <w:color w:val="auto"/>
        </w:rPr>
      </w:pPr>
    </w:p>
    <w:p>
      <w:pPr>
        <w:ind w:left="1500" w:hanging="1132"/>
        <w:spacing w:after="0"/>
        <w:tabs>
          <w:tab w:leader="none" w:pos="1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Designated Borrower Request and Assumption Agreement</w:t>
      </w:r>
    </w:p>
    <w:p>
      <w:pPr>
        <w:spacing w:after="0" w:line="9" w:lineRule="exact"/>
        <w:rPr>
          <w:sz w:val="20"/>
          <w:szCs w:val="20"/>
          <w:color w:val="auto"/>
        </w:rPr>
      </w:pPr>
    </w:p>
    <w:p>
      <w:pPr>
        <w:ind w:left="1500" w:hanging="1132"/>
        <w:spacing w:after="0"/>
        <w:tabs>
          <w:tab w:leader="none" w:pos="1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Designated Borrower Notice</w:t>
      </w:r>
    </w:p>
    <w:p>
      <w:pPr>
        <w:spacing w:after="0" w:line="9" w:lineRule="exact"/>
        <w:rPr>
          <w:sz w:val="20"/>
          <w:szCs w:val="20"/>
          <w:color w:val="auto"/>
        </w:rPr>
      </w:pPr>
    </w:p>
    <w:p>
      <w:pPr>
        <w:ind w:left="1500" w:hanging="1132"/>
        <w:spacing w:after="0"/>
        <w:tabs>
          <w:tab w:leader="none" w:pos="1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 Tax Compliance Certificates</w:t>
      </w:r>
    </w:p>
    <w:p>
      <w:pPr>
        <w:spacing w:after="0" w:line="9" w:lineRule="exact"/>
        <w:rPr>
          <w:sz w:val="20"/>
          <w:szCs w:val="20"/>
          <w:color w:val="auto"/>
        </w:rPr>
      </w:pPr>
    </w:p>
    <w:p>
      <w:pPr>
        <w:ind w:left="1500" w:hanging="1132"/>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Funding Indemnity Letter</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378" w:right="1440"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CREDIT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October 27, 2014, among </w:t>
      </w:r>
      <w:r>
        <w:rPr>
          <w:rFonts w:ascii="Arial" w:cs="Arial" w:eastAsia="Arial" w:hAnsi="Arial"/>
          <w:sz w:val="17"/>
          <w:szCs w:val="17"/>
          <w:b w:val="1"/>
          <w:bCs w:val="1"/>
          <w:color w:val="auto"/>
        </w:rPr>
        <w:t>THE TORO COMPANY</w:t>
      </w:r>
      <w:r>
        <w:rPr>
          <w:rFonts w:ascii="Arial" w:cs="Arial" w:eastAsia="Arial" w:hAnsi="Arial"/>
          <w:sz w:val="17"/>
          <w:szCs w:val="17"/>
          <w:color w:val="auto"/>
        </w:rPr>
        <w:t>, a Delaware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w:t>
      </w:r>
      <w:r>
        <w:rPr>
          <w:rFonts w:ascii="Arial" w:cs="Arial" w:eastAsia="Arial" w:hAnsi="Arial"/>
          <w:sz w:val="18"/>
          <w:szCs w:val="18"/>
          <w:color w:val="auto"/>
        </w:rPr>
        <w:t xml:space="preserve">”), </w:t>
      </w:r>
      <w:r>
        <w:rPr>
          <w:rFonts w:ascii="Arial" w:cs="Arial" w:eastAsia="Arial" w:hAnsi="Arial"/>
          <w:sz w:val="18"/>
          <w:szCs w:val="18"/>
          <w:b w:val="1"/>
          <w:bCs w:val="1"/>
          <w:color w:val="auto"/>
        </w:rPr>
        <w:t>TORO MANUFACTURING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Manufacturing</w:t>
      </w:r>
      <w:r>
        <w:rPr>
          <w:rFonts w:ascii="Arial" w:cs="Arial" w:eastAsia="Arial" w:hAnsi="Arial"/>
          <w:sz w:val="18"/>
          <w:szCs w:val="18"/>
          <w:color w:val="auto"/>
        </w:rPr>
        <w:t xml:space="preserve">”), </w:t>
      </w:r>
      <w:r>
        <w:rPr>
          <w:rFonts w:ascii="Arial" w:cs="Arial" w:eastAsia="Arial" w:hAnsi="Arial"/>
          <w:sz w:val="18"/>
          <w:szCs w:val="18"/>
          <w:b w:val="1"/>
          <w:bCs w:val="1"/>
          <w:color w:val="auto"/>
        </w:rPr>
        <w:t>EXMARK MANUFACTURING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INCORPORATED</w:t>
      </w:r>
      <w:r>
        <w:rPr>
          <w:rFonts w:ascii="Arial" w:cs="Arial" w:eastAsia="Arial" w:hAnsi="Arial"/>
          <w:sz w:val="18"/>
          <w:szCs w:val="18"/>
          <w:color w:val="auto"/>
        </w:rPr>
        <w:t>, a Nebraska corporation (“</w:t>
      </w:r>
      <w:r>
        <w:rPr>
          <w:rFonts w:ascii="Arial" w:cs="Arial" w:eastAsia="Arial" w:hAnsi="Arial"/>
          <w:sz w:val="18"/>
          <w:szCs w:val="18"/>
          <w:u w:val="single" w:color="auto"/>
          <w:color w:val="auto"/>
        </w:rPr>
        <w:t>Exmark</w:t>
      </w:r>
      <w:r>
        <w:rPr>
          <w:rFonts w:ascii="Arial" w:cs="Arial" w:eastAsia="Arial" w:hAnsi="Arial"/>
          <w:sz w:val="18"/>
          <w:szCs w:val="18"/>
          <w:color w:val="auto"/>
        </w:rPr>
        <w:t>”),</w:t>
      </w:r>
      <w:r>
        <w:rPr>
          <w:rFonts w:ascii="Arial" w:cs="Arial" w:eastAsia="Arial" w:hAnsi="Arial"/>
          <w:sz w:val="18"/>
          <w:szCs w:val="18"/>
          <w:b w:val="1"/>
          <w:bCs w:val="1"/>
          <w:color w:val="auto"/>
        </w:rPr>
        <w:t xml:space="preserve"> TORO INTERNATIONAL COMPANY</w:t>
      </w:r>
      <w:r>
        <w:rPr>
          <w:rFonts w:ascii="Arial" w:cs="Arial" w:eastAsia="Arial" w:hAnsi="Arial"/>
          <w:sz w:val="18"/>
          <w:szCs w:val="18"/>
          <w:color w:val="auto"/>
        </w:rPr>
        <w:t>, a Minnesota corporation (“</w:t>
      </w:r>
      <w:r>
        <w:rPr>
          <w:rFonts w:ascii="Arial" w:cs="Arial" w:eastAsia="Arial" w:hAnsi="Arial"/>
          <w:sz w:val="18"/>
          <w:szCs w:val="18"/>
          <w:u w:val="single" w:color="auto"/>
          <w:color w:val="auto"/>
        </w:rPr>
        <w:t>TIC</w:t>
      </w:r>
      <w:r>
        <w:rPr>
          <w:rFonts w:ascii="Arial" w:cs="Arial" w:eastAsia="Arial" w:hAnsi="Arial"/>
          <w:sz w:val="18"/>
          <w:szCs w:val="18"/>
          <w:color w:val="auto"/>
        </w:rPr>
        <w:t>”), certain other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Subsidiaries of Toro party hereto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Designated Borrower</w:t>
      </w:r>
      <w:r>
        <w:rPr>
          <w:rFonts w:ascii="Arial" w:cs="Arial" w:eastAsia="Arial" w:hAnsi="Arial"/>
          <w:sz w:val="17"/>
          <w:szCs w:val="17"/>
          <w:color w:val="auto"/>
        </w:rPr>
        <w:t>” and, together with Manufacturing, Exmark and TIC,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and, together with Toro, the “</w:t>
      </w:r>
      <w:r>
        <w:rPr>
          <w:rFonts w:ascii="Arial" w:cs="Arial" w:eastAsia="Arial" w:hAnsi="Arial"/>
          <w:sz w:val="17"/>
          <w:szCs w:val="17"/>
          <w:u w:val="single" w:color="auto"/>
          <w:color w:val="auto"/>
        </w:rPr>
        <w:t>Borrowers</w:t>
      </w:r>
      <w:r>
        <w:rPr>
          <w:rFonts w:ascii="Arial" w:cs="Arial" w:eastAsia="Arial" w:hAnsi="Arial"/>
          <w:sz w:val="17"/>
          <w:szCs w:val="17"/>
          <w:color w:val="auto"/>
        </w:rPr>
        <w:t>” and each a “</w:t>
      </w:r>
      <w:r>
        <w:rPr>
          <w:rFonts w:ascii="Arial" w:cs="Arial" w:eastAsia="Arial" w:hAnsi="Arial"/>
          <w:sz w:val="17"/>
          <w:szCs w:val="17"/>
          <w:u w:val="single" w:color="auto"/>
          <w:color w:val="auto"/>
        </w:rPr>
        <w:t>Borrower</w:t>
      </w:r>
      <w:r>
        <w:rPr>
          <w:rFonts w:ascii="Arial" w:cs="Arial" w:eastAsia="Arial" w:hAnsi="Arial"/>
          <w:sz w:val="17"/>
          <w:szCs w:val="17"/>
          <w:color w:val="auto"/>
        </w:rPr>
        <w:t>”), each lender from time to time party hereto (collectively,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BANK OF AMERICA, N.A.,</w:t>
      </w:r>
      <w:r>
        <w:rPr>
          <w:rFonts w:ascii="Arial" w:cs="Arial" w:eastAsia="Arial" w:hAnsi="Arial"/>
          <w:sz w:val="18"/>
          <w:szCs w:val="18"/>
          <w:color w:val="auto"/>
        </w:rPr>
        <w:t xml:space="preserve"> as Administrative Agent, Swing Line Lender and L/C Issuer.</w:t>
      </w:r>
    </w:p>
    <w:p>
      <w:pPr>
        <w:spacing w:after="0" w:line="21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Borrowers have requested that the Lenders provide a $150,000,000 revolving credit facility, with a letter of credit subfacility and a swing line subfacility, to the Borrowers and a $130,000,000 term loan facility to Toro, and the Lenders are willing to do so on the terms and conditions set forth herein.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ACCOUNTING TERMS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1.01 Defined Terms. </w:t>
      </w:r>
      <w:r>
        <w:rPr>
          <w:rFonts w:ascii="Arial" w:cs="Arial" w:eastAsia="Arial" w:hAnsi="Arial"/>
          <w:sz w:val="18"/>
          <w:szCs w:val="18"/>
          <w:color w:val="auto"/>
        </w:rPr>
        <w:t>As used in this Agreement, the following terms shall have the meanings set forth below:</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w:t>
      </w:r>
    </w:p>
    <w:p>
      <w:pPr>
        <w:spacing w:after="0" w:line="17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 as permitted by this Agreement.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with respect to such currency, or such other address or account with respect to such currency as the Administrative Agent may from time to time notify Toro and the Lenders.</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any other form approved by the Administrative Agent.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0" w:right="299" w:bottom="1440" w:gutter="0" w:footer="0" w:header="0"/>
        </w:sectPr>
      </w:pPr>
    </w:p>
    <w:bookmarkStart w:id="99" w:name="page100"/>
    <w:bookmarkEnd w:id="99"/>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Credit Commitments</w:t>
      </w:r>
      <w:r>
        <w:rPr>
          <w:rFonts w:ascii="Arial" w:cs="Arial" w:eastAsia="Arial" w:hAnsi="Arial"/>
          <w:sz w:val="18"/>
          <w:szCs w:val="18"/>
          <w:color w:val="auto"/>
        </w:rPr>
        <w:t>” means the Revolving Credit Commitments of all the Revolving Credit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each of Euro, Sterling, Australian Dollars, Canadian Dollars and each other currency (other than Dollars) that is approved in accordance with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respect of the Term Loan Facility, with respect to any Term Loan Lender at any time, the percentage (carried out to the ninth decimal place) of such Term Loan Facility represented by (i) on the Closing Date, such Term Loan Lender’s Term Loan Commitment at such time and (ii) thereafter, the principal amount of such Term Loan Lender’s Term Loans outstanding at such time, and (b) in respect of the Revolving Credit Facility, with respect to any Revolving Credit Lender at any time, the percentage (carried out to the ninth decimal place) of the Aggregate Revolving Credit Commitments represented by such Revolving Credit Lender’s Revolving Credit Commitment at such time, in each case, subject to adjustment as provided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If the commitment of each Revolving Credit Lender to make Revolving Credit Loans and the obligation of the L/C Issuer to make L/C Credit Extensions have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Aggregate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from time to time, the following percentages per annum, based upon (i) the ratio of (A) total Indebtedness to (B) the sum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and (ii) the Debt Rating as set forth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Rate</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3"/>
          <w:szCs w:val="13"/>
          <w:b w:val="1"/>
          <w:bCs w:val="1"/>
          <w:color w:val="auto"/>
        </w:rPr>
        <w:t>Pricing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32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Term Loan Facility</w:t>
            </w:r>
          </w:p>
        </w:tc>
        <w:tc>
          <w:tcPr>
            <w:tcW w:w="140" w:type="dxa"/>
            <w:vAlign w:val="bottom"/>
          </w:tcPr>
          <w:p>
            <w:pPr>
              <w:spacing w:after="0"/>
              <w:rPr>
                <w:sz w:val="14"/>
                <w:szCs w:val="14"/>
                <w:color w:val="auto"/>
              </w:rPr>
            </w:pPr>
          </w:p>
        </w:tc>
        <w:tc>
          <w:tcPr>
            <w:tcW w:w="19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Revolving Credit Facility</w:t>
            </w: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6"/>
              </w:rPr>
              <w:t>Eurocurrency</w:t>
            </w: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 Indebtedness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Rate Margin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1" w:lineRule="exact"/>
              <w:rPr>
                <w:sz w:val="20"/>
                <w:szCs w:val="20"/>
                <w:color w:val="auto"/>
              </w:rPr>
            </w:pPr>
            <w:r>
              <w:rPr>
                <w:rFonts w:ascii="Arial" w:cs="Arial" w:eastAsia="Arial" w:hAnsi="Arial"/>
                <w:sz w:val="14"/>
                <w:szCs w:val="14"/>
                <w:color w:val="auto"/>
                <w:w w:val="91"/>
              </w:rPr>
              <w:t>and Letters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Consolidated EBITDA</w:t>
            </w:r>
          </w:p>
        </w:tc>
        <w:tc>
          <w:tcPr>
            <w:tcW w:w="20" w:type="dxa"/>
            <w:vAlign w:val="bottom"/>
          </w:tcPr>
          <w:p>
            <w:pPr>
              <w:spacing w:after="0"/>
              <w:rPr>
                <w:sz w:val="12"/>
                <w:szCs w:val="12"/>
                <w:color w:val="auto"/>
              </w:rPr>
            </w:pPr>
          </w:p>
        </w:tc>
        <w:tc>
          <w:tcPr>
            <w:tcW w:w="9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Debt Rating</w:t>
            </w:r>
          </w:p>
        </w:tc>
        <w:tc>
          <w:tcPr>
            <w:tcW w:w="260" w:type="dxa"/>
            <w:vAlign w:val="bottom"/>
            <w:vMerge w:val="restart"/>
          </w:tcPr>
          <w:p>
            <w:pPr>
              <w:spacing w:after="0"/>
              <w:rPr>
                <w:sz w:val="12"/>
                <w:szCs w:val="12"/>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Facility Fee</w:t>
            </w: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1"/>
              </w:rPr>
              <w:t>Eurocurrency</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Base Rate</w:t>
            </w: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8"/>
              </w:rPr>
              <w:t>of Credit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5"/>
              </w:rPr>
              <w:t>Base Rate</w:t>
            </w:r>
          </w:p>
        </w:tc>
        <w:tc>
          <w:tcPr>
            <w:tcW w:w="0" w:type="dxa"/>
            <w:vAlign w:val="bottom"/>
          </w:tcPr>
          <w:p>
            <w:pPr>
              <w:spacing w:after="0"/>
              <w:rPr>
                <w:sz w:val="1"/>
                <w:szCs w:val="1"/>
                <w:color w:val="auto"/>
              </w:rPr>
            </w:pPr>
          </w:p>
        </w:tc>
      </w:tr>
      <w:tr>
        <w:trPr>
          <w:trHeight w:val="176"/>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Rate Margin</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Margin</w:t>
            </w:r>
          </w:p>
        </w:tc>
        <w:tc>
          <w:tcPr>
            <w:tcW w:w="14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Rate</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Margin</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tcPr>
          <w:p>
            <w:pPr>
              <w:spacing w:after="0" w:line="170" w:lineRule="exact"/>
              <w:rPr>
                <w:sz w:val="20"/>
                <w:szCs w:val="20"/>
                <w:color w:val="auto"/>
              </w:rPr>
            </w:pPr>
            <w:r>
              <w:rPr>
                <w:rFonts w:ascii="Arial" w:cs="Arial" w:eastAsia="Arial" w:hAnsi="Arial"/>
                <w:sz w:val="18"/>
                <w:szCs w:val="18"/>
                <w:color w:val="auto"/>
              </w:rPr>
              <w:t>Less than or equal to 0.25x</w:t>
            </w:r>
          </w:p>
        </w:tc>
        <w:tc>
          <w:tcPr>
            <w:tcW w:w="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line="170" w:lineRule="exact"/>
              <w:rPr>
                <w:sz w:val="20"/>
                <w:szCs w:val="20"/>
                <w:color w:val="auto"/>
              </w:rPr>
            </w:pPr>
            <w:r>
              <w:rPr>
                <w:rFonts w:ascii="Arial" w:cs="Arial" w:eastAsia="Arial" w:hAnsi="Arial"/>
                <w:sz w:val="18"/>
                <w:szCs w:val="18"/>
                <w:color w:val="auto"/>
                <w:w w:val="96"/>
              </w:rPr>
              <w:t>&gt; A- / A3</w:t>
            </w:r>
          </w:p>
        </w:tc>
        <w:tc>
          <w:tcPr>
            <w:tcW w:w="260" w:type="dxa"/>
            <w:vAlign w:val="bottom"/>
            <w:vMerge w:val="continue"/>
          </w:tcPr>
          <w:p>
            <w:pPr>
              <w:spacing w:after="0"/>
              <w:rPr>
                <w:sz w:val="14"/>
                <w:szCs w:val="14"/>
                <w:color w:val="auto"/>
              </w:rPr>
            </w:pPr>
          </w:p>
        </w:tc>
        <w:tc>
          <w:tcPr>
            <w:tcW w:w="1160" w:type="dxa"/>
            <w:vAlign w:val="bottom"/>
            <w:gridSpan w:val="2"/>
          </w:tcPr>
          <w:p>
            <w:pPr>
              <w:jc w:val="right"/>
              <w:ind w:right="300"/>
              <w:spacing w:after="0" w:line="170" w:lineRule="exact"/>
              <w:rPr>
                <w:sz w:val="20"/>
                <w:szCs w:val="20"/>
                <w:color w:val="auto"/>
              </w:rPr>
            </w:pPr>
            <w:r>
              <w:rPr>
                <w:rFonts w:ascii="Arial" w:cs="Arial" w:eastAsia="Arial" w:hAnsi="Arial"/>
                <w:sz w:val="18"/>
                <w:szCs w:val="18"/>
                <w:color w:val="auto"/>
              </w:rPr>
              <w:t>0.100%</w:t>
            </w:r>
          </w:p>
        </w:tc>
        <w:tc>
          <w:tcPr>
            <w:tcW w:w="1220" w:type="dxa"/>
            <w:vAlign w:val="bottom"/>
            <w:gridSpan w:val="2"/>
          </w:tcPr>
          <w:p>
            <w:pPr>
              <w:jc w:val="right"/>
              <w:ind w:right="300"/>
              <w:spacing w:after="0" w:line="170" w:lineRule="exact"/>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140"/>
              <w:spacing w:after="0" w:line="170" w:lineRule="exact"/>
              <w:rPr>
                <w:sz w:val="20"/>
                <w:szCs w:val="20"/>
                <w:color w:val="auto"/>
              </w:rPr>
            </w:pPr>
            <w:r>
              <w:rPr>
                <w:rFonts w:ascii="Arial" w:cs="Arial" w:eastAsia="Arial" w:hAnsi="Arial"/>
                <w:sz w:val="18"/>
                <w:szCs w:val="18"/>
                <w:color w:val="auto"/>
              </w:rPr>
              <w:t>0.000%</w:t>
            </w:r>
          </w:p>
        </w:tc>
        <w:tc>
          <w:tcPr>
            <w:tcW w:w="140" w:type="dxa"/>
            <w:vAlign w:val="bottom"/>
            <w:vMerge w:val="continue"/>
          </w:tcPr>
          <w:p>
            <w:pPr>
              <w:spacing w:after="0"/>
              <w:rPr>
                <w:sz w:val="14"/>
                <w:szCs w:val="14"/>
                <w:color w:val="auto"/>
              </w:rPr>
            </w:pPr>
          </w:p>
        </w:tc>
        <w:tc>
          <w:tcPr>
            <w:tcW w:w="1240" w:type="dxa"/>
            <w:vAlign w:val="bottom"/>
            <w:gridSpan w:val="2"/>
          </w:tcPr>
          <w:p>
            <w:pPr>
              <w:jc w:val="right"/>
              <w:ind w:right="300"/>
              <w:spacing w:after="0" w:line="170" w:lineRule="exact"/>
              <w:rPr>
                <w:sz w:val="20"/>
                <w:szCs w:val="20"/>
                <w:color w:val="auto"/>
              </w:rPr>
            </w:pPr>
            <w:r>
              <w:rPr>
                <w:rFonts w:ascii="Arial" w:cs="Arial" w:eastAsia="Arial" w:hAnsi="Arial"/>
                <w:sz w:val="18"/>
                <w:szCs w:val="18"/>
                <w:color w:val="auto"/>
              </w:rPr>
              <w:t>0.900%</w:t>
            </w:r>
          </w:p>
        </w:tc>
        <w:tc>
          <w:tcPr>
            <w:tcW w:w="72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0"/>
        </w:trPr>
        <w:tc>
          <w:tcPr>
            <w:tcW w:w="4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Less than or equal to 0.50x but greater than 0.25x</w:t>
            </w:r>
          </w:p>
        </w:tc>
        <w:tc>
          <w:tcPr>
            <w:tcW w:w="124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BBB+ / Baa1</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0.125%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1.125%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0.125%</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Less than or equal to 1.50x but greater than 0.50x</w:t>
            </w:r>
          </w:p>
        </w:tc>
        <w:tc>
          <w:tcPr>
            <w:tcW w:w="20" w:type="dxa"/>
            <w:vAlign w:val="bottom"/>
          </w:tcPr>
          <w:p>
            <w:pPr>
              <w:spacing w:after="0"/>
              <w:rPr>
                <w:sz w:val="18"/>
                <w:szCs w:val="18"/>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8"/>
                <w:szCs w:val="18"/>
                <w:color w:val="auto"/>
                <w:w w:val="92"/>
              </w:rPr>
              <w:t>BBB / Baa2</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0.150%</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1.250%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0.250%</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1.100%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Less than or equal to 2.00x but greater than 1.50x</w:t>
            </w:r>
          </w:p>
        </w:tc>
        <w:tc>
          <w:tcPr>
            <w:tcW w:w="124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BBB- / Baa3</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0.200%</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1.500%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0.500%</w:t>
            </w: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1.300%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r>
        <w:trPr>
          <w:trHeight w:val="190"/>
        </w:trPr>
        <w:tc>
          <w:tcPr>
            <w:tcW w:w="4040" w:type="dxa"/>
            <w:vAlign w:val="bottom"/>
            <w:gridSpan w:val="2"/>
          </w:tcPr>
          <w:p>
            <w:pPr>
              <w:spacing w:after="0" w:line="190" w:lineRule="exact"/>
              <w:rPr>
                <w:sz w:val="20"/>
                <w:szCs w:val="20"/>
                <w:color w:val="auto"/>
              </w:rPr>
            </w:pPr>
            <w:r>
              <w:rPr>
                <w:rFonts w:ascii="Arial" w:cs="Arial" w:eastAsia="Arial" w:hAnsi="Arial"/>
                <w:sz w:val="18"/>
                <w:szCs w:val="18"/>
                <w:color w:val="auto"/>
              </w:rPr>
              <w:t>Greater than 2.00x</w:t>
            </w:r>
          </w:p>
        </w:tc>
        <w:tc>
          <w:tcPr>
            <w:tcW w:w="20" w:type="dxa"/>
            <w:vAlign w:val="bottom"/>
          </w:tcPr>
          <w:p>
            <w:pPr>
              <w:spacing w:after="0"/>
              <w:rPr>
                <w:sz w:val="16"/>
                <w:szCs w:val="16"/>
                <w:color w:val="auto"/>
              </w:rPr>
            </w:pPr>
          </w:p>
        </w:tc>
        <w:tc>
          <w:tcPr>
            <w:tcW w:w="1220" w:type="dxa"/>
            <w:vAlign w:val="bottom"/>
            <w:gridSpan w:val="4"/>
          </w:tcPr>
          <w:p>
            <w:pPr>
              <w:jc w:val="center"/>
              <w:ind w:right="300"/>
              <w:spacing w:after="0" w:line="190" w:lineRule="exact"/>
              <w:rPr>
                <w:sz w:val="20"/>
                <w:szCs w:val="20"/>
                <w:color w:val="auto"/>
              </w:rPr>
            </w:pPr>
            <w:r>
              <w:rPr>
                <w:rFonts w:ascii="Arial" w:cs="Arial" w:eastAsia="Arial" w:hAnsi="Arial"/>
                <w:sz w:val="18"/>
                <w:szCs w:val="18"/>
                <w:color w:val="auto"/>
                <w:w w:val="94"/>
              </w:rPr>
              <w:t>&lt; BB+ / Ba1</w:t>
            </w:r>
          </w:p>
        </w:tc>
        <w:tc>
          <w:tcPr>
            <w:tcW w:w="116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rPr>
              <w:t>0.250%</w:t>
            </w:r>
          </w:p>
        </w:tc>
        <w:tc>
          <w:tcPr>
            <w:tcW w:w="1220" w:type="dxa"/>
            <w:vAlign w:val="bottom"/>
            <w:gridSpan w:val="2"/>
          </w:tcPr>
          <w:p>
            <w:pPr>
              <w:jc w:val="right"/>
              <w:ind w:right="300"/>
              <w:spacing w:after="0" w:line="190" w:lineRule="exact"/>
              <w:rPr>
                <w:sz w:val="20"/>
                <w:szCs w:val="20"/>
                <w:color w:val="auto"/>
              </w:rPr>
            </w:pPr>
            <w:r>
              <w:rPr>
                <w:rFonts w:ascii="Arial" w:cs="Arial" w:eastAsia="Arial" w:hAnsi="Arial"/>
                <w:sz w:val="18"/>
                <w:szCs w:val="18"/>
                <w:color w:val="auto"/>
              </w:rPr>
              <w:t>1.750%</w:t>
            </w:r>
          </w:p>
        </w:tc>
        <w:tc>
          <w:tcPr>
            <w:tcW w:w="880" w:type="dxa"/>
            <w:vAlign w:val="bottom"/>
            <w:gridSpan w:val="2"/>
          </w:tcPr>
          <w:p>
            <w:pPr>
              <w:jc w:val="right"/>
              <w:ind w:right="140"/>
              <w:spacing w:after="0" w:line="190" w:lineRule="exact"/>
              <w:rPr>
                <w:sz w:val="20"/>
                <w:szCs w:val="20"/>
                <w:color w:val="auto"/>
              </w:rPr>
            </w:pPr>
            <w:r>
              <w:rPr>
                <w:rFonts w:ascii="Arial" w:cs="Arial" w:eastAsia="Arial" w:hAnsi="Arial"/>
                <w:sz w:val="18"/>
                <w:szCs w:val="18"/>
                <w:color w:val="auto"/>
              </w:rPr>
              <w:t>0.750%</w:t>
            </w:r>
          </w:p>
        </w:tc>
        <w:tc>
          <w:tcPr>
            <w:tcW w:w="1380" w:type="dxa"/>
            <w:vAlign w:val="bottom"/>
            <w:gridSpan w:val="3"/>
          </w:tcPr>
          <w:p>
            <w:pPr>
              <w:jc w:val="right"/>
              <w:ind w:right="300"/>
              <w:spacing w:after="0" w:line="190" w:lineRule="exact"/>
              <w:rPr>
                <w:sz w:val="20"/>
                <w:szCs w:val="20"/>
                <w:color w:val="auto"/>
              </w:rPr>
            </w:pPr>
            <w:r>
              <w:rPr>
                <w:rFonts w:ascii="Arial" w:cs="Arial" w:eastAsia="Arial" w:hAnsi="Arial"/>
                <w:sz w:val="18"/>
                <w:szCs w:val="18"/>
                <w:color w:val="auto"/>
              </w:rPr>
              <w:t>1.500%</w:t>
            </w:r>
          </w:p>
        </w:tc>
        <w:tc>
          <w:tcPr>
            <w:tcW w:w="7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0.500%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-676910</wp:posOffset>
            </wp:positionV>
            <wp:extent cx="72466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-393700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-119380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460" w:space="260"/>
            <w:col w:w="10700"/>
          </w:cols>
          <w:pgMar w:left="240" w:top="270" w:right="239" w:bottom="1440" w:gutter="0" w:footer="0" w:header="0"/>
          <w:type w:val="continuous"/>
        </w:sectPr>
      </w:pPr>
    </w:p>
    <w:p>
      <w:pPr>
        <w:spacing w:after="0" w:line="11" w:lineRule="exact"/>
        <w:rPr>
          <w:sz w:val="20"/>
          <w:szCs w:val="20"/>
          <w:color w:val="auto"/>
        </w:rPr>
      </w:pPr>
    </w:p>
    <w:p>
      <w:pPr>
        <w:ind w:left="460" w:right="40" w:firstLine="43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Toro’s non-credit-enhanced,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Initially, the Applicable Rate will be determined based upon the Debt Rating as specified in the certificate delivered pursuant to </w:t>
      </w:r>
      <w:r>
        <w:rPr>
          <w:rFonts w:ascii="Arial" w:cs="Arial" w:eastAsia="Arial" w:hAnsi="Arial"/>
          <w:sz w:val="16"/>
          <w:szCs w:val="16"/>
          <w:u w:val="single" w:color="auto"/>
          <w:color w:val="auto"/>
        </w:rPr>
        <w:t>Section 4.01(a)(viii)</w:t>
      </w:r>
      <w:r>
        <w:rPr>
          <w:rFonts w:ascii="Arial" w:cs="Arial" w:eastAsia="Arial" w:hAnsi="Arial"/>
          <w:sz w:val="16"/>
          <w:szCs w:val="16"/>
          <w:color w:val="auto"/>
        </w:rPr>
        <w:t xml:space="preserve">. If, as of any date of determination, the ratio of (A) total Indebtedness to (B) the sum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corresponds to a Pricing Level different than that Pricing Level corresponding to the Debt Rating issued at the time of calculation of such ratio, then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type w:val="continuous"/>
        </w:sectPr>
      </w:pPr>
    </w:p>
    <w:bookmarkStart w:id="101" w:name="page102"/>
    <w:bookmarkEnd w:id="101"/>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the public announcement thereof and ending on the date immediately preceding the effective date of the next such change, and any change in the Applicable Rate resulting from a change in the ratio of (A) total Indebtedness to (B) the sum Consolidated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depreciation and amortization expense for such period will become effective as of the first Business Day after the date on which such Compliance Certificate is delivered pursuant to</w:t>
      </w:r>
    </w:p>
    <w:p>
      <w:pPr>
        <w:ind w:right="100"/>
        <w:spacing w:after="0" w:line="252" w:lineRule="auto"/>
        <w:rPr>
          <w:sz w:val="20"/>
          <w:szCs w:val="20"/>
          <w:color w:val="auto"/>
        </w:rPr>
      </w:pP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 on which such Compliance Certificate was required to have been delivered. In the event that a Debt Rating has not been issued as of any date of determination, the Pricing Level corresponding to the ratio of (A) total Indebtedness to (B) the sum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as of such date of determination shall apply. In the event that only one Debt Rating has been issued as of any date of determination, that Debt Rating shall apply.</w:t>
      </w:r>
    </w:p>
    <w:p>
      <w:pPr>
        <w:spacing w:after="0" w:line="19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the Revolving Credit Lenders and (c) with respect to the Swing Line Sublimit,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Credit Lenders.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MLPFS and WFS, in their capacities as joint lead arrangers and joint bookrunners.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fees and disbursements of any law firm or other external counsel.</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Toro and its Subsidiaries for the fiscal year ended October 31, 2013, and the related consolidated statements of income or operations, shareholders’ equity and cash flows for such fiscal year of Toro and its Subsidiaries, including the notes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w:t>
      </w:r>
      <w:r>
        <w:rPr>
          <w:rFonts w:ascii="Arial" w:cs="Arial" w:eastAsia="Arial" w:hAnsi="Arial"/>
          <w:sz w:val="18"/>
          <w:szCs w:val="18"/>
          <w:color w:val="auto"/>
        </w:rPr>
        <w:t>” or “</w:t>
      </w:r>
      <w:r>
        <w:rPr>
          <w:rFonts w:ascii="Arial" w:cs="Arial" w:eastAsia="Arial" w:hAnsi="Arial"/>
          <w:sz w:val="18"/>
          <w:szCs w:val="18"/>
          <w:u w:val="single" w:color="auto"/>
          <w:color w:val="auto"/>
        </w:rPr>
        <w:t>Aus $</w:t>
      </w:r>
      <w:r>
        <w:rPr>
          <w:rFonts w:ascii="Arial" w:cs="Arial" w:eastAsia="Arial" w:hAnsi="Arial"/>
          <w:sz w:val="18"/>
          <w:szCs w:val="18"/>
          <w:color w:val="auto"/>
        </w:rPr>
        <w:t>” means the lawful currency of Australia.</w:t>
      </w:r>
    </w:p>
    <w:p>
      <w:pPr>
        <w:spacing w:after="0" w:line="225"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in respect of the Revolving Credit Facility, the period from and including the Closing Date to the earliest of (a) the Maturity Date for the Revolving Credit Facility, (b) the date of termination of the Aggregate Revolving Credit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and</w:t>
      </w:r>
    </w:p>
    <w:p>
      <w:pPr>
        <w:ind w:right="320" w:firstLine="8"/>
        <w:spacing w:after="0" w:line="261" w:lineRule="auto"/>
        <w:tabs>
          <w:tab w:leader="none" w:pos="2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date of termination of the commitment of each Revolving Credit Lender to make Revolving Credit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 (b) the rate of interest in effect for such day as publicly announced from time to time by Bank of America as its “prime rate,” and (c) the Eurocurrency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8"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or a Term Loan that bears interest based on the Base Rate. All Base Rate Loans shall be denominated in Dollars.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Fee Letter</w:t>
      </w:r>
      <w:r>
        <w:rPr>
          <w:rFonts w:ascii="Arial" w:cs="Arial" w:eastAsia="Arial" w:hAnsi="Arial"/>
          <w:sz w:val="18"/>
          <w:szCs w:val="18"/>
          <w:color w:val="auto"/>
        </w:rPr>
        <w:t>” means that certain letter agreement, dated September 26, 2014 among Toro, TIC, Manufacturing, Exmark, the Administrative Agent and MLPFS.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Loan Borrowing, as the context may require.</w:t>
      </w:r>
    </w:p>
    <w:p>
      <w:pPr>
        <w:spacing w:after="0" w:line="225"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38" w:lineRule="exact"/>
        <w:rPr>
          <w:sz w:val="20"/>
          <w:szCs w:val="20"/>
          <w:color w:val="auto"/>
        </w:rPr>
      </w:pPr>
    </w:p>
    <w:p>
      <w:pPr>
        <w:ind w:left="460" w:right="120" w:firstLine="443"/>
        <w:spacing w:after="0" w:line="264" w:lineRule="auto"/>
        <w:tabs>
          <w:tab w:leader="none" w:pos="114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London Banking Day;</w:t>
      </w:r>
    </w:p>
    <w:p>
      <w:pPr>
        <w:spacing w:after="0" w:line="73"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73" w:lineRule="exact"/>
        <w:rPr>
          <w:rFonts w:ascii="Arial" w:cs="Arial" w:eastAsia="Arial" w:hAnsi="Arial"/>
          <w:sz w:val="18"/>
          <w:szCs w:val="18"/>
          <w:color w:val="auto"/>
        </w:rPr>
      </w:pPr>
    </w:p>
    <w:p>
      <w:pPr>
        <w:ind w:left="460" w:right="180" w:firstLine="443"/>
        <w:spacing w:after="0" w:line="264" w:lineRule="auto"/>
        <w:tabs>
          <w:tab w:leader="none" w:pos="114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73" w:lineRule="exact"/>
        <w:rPr>
          <w:rFonts w:ascii="Arial" w:cs="Arial" w:eastAsia="Arial" w:hAnsi="Arial"/>
          <w:sz w:val="18"/>
          <w:szCs w:val="18"/>
          <w:color w:val="auto"/>
        </w:rPr>
      </w:pPr>
    </w:p>
    <w:p>
      <w:pPr>
        <w:ind w:left="460" w:right="120" w:firstLine="443"/>
        <w:spacing w:after="0" w:line="279" w:lineRule="auto"/>
        <w:tabs>
          <w:tab w:leader="none" w:pos="115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or “</w:t>
      </w:r>
      <w:r>
        <w:rPr>
          <w:rFonts w:ascii="Arial" w:cs="Arial" w:eastAsia="Arial" w:hAnsi="Arial"/>
          <w:sz w:val="18"/>
          <w:szCs w:val="18"/>
          <w:u w:val="single" w:color="auto"/>
          <w:color w:val="auto"/>
        </w:rPr>
        <w:t>Can $</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deposit or to pledge and deposit with or deliver to the Administrative Agent, for the benefit of one or more of the L/C Issuer or the Revolving Credit Lenders, as collateral for L/C Obligations or obligations of the Revolving Credit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04" w:name="page105"/>
    <w:bookmarkEnd w:id="104"/>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means an event or series of events by which (i) any Person or group within the meaning of Section 13(d)(3) of the Exchange Act and the rules and regulations promulgated thereunder, shall, after the Closing Date, acquire beneficial ownership (within the meaning of Rule 13d-3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“Controlling Person”); or (ii) Toro shall cease to own, directly or indirectly, 100% of all of each other Borrower’s issued and outstanding shares of common stock (except for any outstanding qualifying director shares); or (iii) a majority of the Board of Directors of Toro shall cease for any reason to consist of (A) individuals who on the Closing Date were serving as directors of Toro and (B) individuals who subsequently become members of the Board if such individuals’ nomination for election or election to the Board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a Person or group shall not be a Controlling Person if such Person or group holds voting power in good faith and not for the purpose of circumventing </w:t>
      </w:r>
      <w:r>
        <w:rPr>
          <w:rFonts w:ascii="Arial" w:cs="Arial" w:eastAsia="Arial" w:hAnsi="Arial"/>
          <w:sz w:val="17"/>
          <w:szCs w:val="17"/>
          <w:u w:val="single" w:color="auto"/>
          <w:color w:val="auto"/>
        </w:rPr>
        <w:t>Section 8.01(l)</w:t>
      </w:r>
      <w:r>
        <w:rPr>
          <w:rFonts w:ascii="Arial" w:cs="Arial" w:eastAsia="Arial" w:hAnsi="Arial"/>
          <w:sz w:val="17"/>
          <w:szCs w:val="17"/>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w:t>
      </w:r>
      <w:r>
        <w:rPr>
          <w:rFonts w:ascii="Arial" w:cs="Arial" w:eastAsia="Arial" w:hAnsi="Arial"/>
          <w:sz w:val="17"/>
          <w:szCs w:val="17"/>
          <w:u w:val="single" w:color="auto"/>
          <w:color w:val="auto"/>
        </w:rPr>
        <w:t>clause (i)</w:t>
      </w:r>
      <w:r>
        <w:rPr>
          <w:rFonts w:ascii="Arial" w:cs="Arial" w:eastAsia="Arial" w:hAnsi="Arial"/>
          <w:sz w:val="17"/>
          <w:szCs w:val="17"/>
          <w:color w:val="auto"/>
        </w:rPr>
        <w: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Loan Commitment or a Revolving Credit Commitment,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5" w:name="page106"/>
    <w:bookmarkEnd w:id="105"/>
    <w:p>
      <w:pPr>
        <w:ind w:right="6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w:t>
      </w:r>
      <w:r>
        <w:rPr>
          <w:rFonts w:ascii="Arial" w:cs="Arial" w:eastAsia="Arial" w:hAnsi="Arial"/>
          <w:sz w:val="17"/>
          <w:szCs w:val="17"/>
          <w:color w:val="auto"/>
        </w:rPr>
        <w:t xml:space="preserve">” means, for any period, for Toro and its Subsidiaries on a consolidated basis, an amount equal to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following to the extent deducted in calculating such Consolidated Net Income: (i) Consolidated Interest Charges for such period and (ii) the provision for Federal, state, local and foreign income taxes payable by Toro and its Subsidiaries for such period.</w:t>
      </w:r>
    </w:p>
    <w:p>
      <w:pPr>
        <w:spacing w:after="0" w:line="166"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Charges</w:t>
      </w:r>
      <w:r>
        <w:rPr>
          <w:rFonts w:ascii="Arial" w:cs="Arial" w:eastAsia="Arial" w:hAnsi="Arial"/>
          <w:sz w:val="16"/>
          <w:szCs w:val="16"/>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means, as of any date of determination, the ratio of (a) Consolidated EBIT for the period of the four prior fiscal quarters ending on such date to (b) Consolidated Interest Charges for such period.</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Toro and its Subsidiaries on a consolidated basis, the net income of Toro and its Subsidiaries for that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means, as to any Person, any direct or indirect liability of that Person, whether or not contingent, with or without recourse,</w:t>
      </w:r>
    </w:p>
    <w:p>
      <w:pPr>
        <w:spacing w:after="0" w:line="35" w:lineRule="exact"/>
        <w:rPr>
          <w:sz w:val="20"/>
          <w:szCs w:val="20"/>
          <w:color w:val="auto"/>
        </w:rPr>
      </w:pPr>
    </w:p>
    <w:p>
      <w:pPr>
        <w:ind w:firstLine="8"/>
        <w:spacing w:after="0" w:line="281" w:lineRule="auto"/>
        <w:tabs>
          <w:tab w:leader="none" w:pos="24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6"/>
          <w:szCs w:val="16"/>
          <w:u w:val="single" w:color="auto"/>
          <w:color w:val="auto"/>
        </w:rPr>
        <w:t>Guaranty Obligation</w:t>
      </w:r>
      <w:r>
        <w:rPr>
          <w:rFonts w:ascii="Arial" w:cs="Arial" w:eastAsia="Arial" w:hAnsi="Arial"/>
          <w:sz w:val="16"/>
          <w:szCs w:val="16"/>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w:t>
      </w:r>
    </w:p>
    <w:p>
      <w:pPr>
        <w:spacing w:after="0" w:line="6" w:lineRule="exact"/>
        <w:rPr>
          <w:rFonts w:ascii="Arial" w:cs="Arial" w:eastAsia="Arial" w:hAnsi="Arial"/>
          <w:sz w:val="16"/>
          <w:szCs w:val="16"/>
          <w:color w:val="auto"/>
        </w:rPr>
      </w:pPr>
    </w:p>
    <w:p>
      <w:pPr>
        <w:ind w:right="540" w:firstLine="8"/>
        <w:spacing w:after="0" w:line="290" w:lineRule="auto"/>
        <w:tabs>
          <w:tab w:leader="none" w:pos="2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respect of any Swap Contract which is not a Permitted Swap Obligation. The amount of any Contingent Obligation shall, in the case of Guaranty Obligations, be deemed equal to the stated or determinable amount of the primary obligation in respect of which such Guaranty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6" w:name="page107"/>
    <w:bookmarkEnd w:id="10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8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7"/>
          <w:szCs w:val="17"/>
          <w:u w:val="single" w:color="auto"/>
          <w:color w:val="auto"/>
        </w:rPr>
        <w:t>Controlling</w:t>
      </w:r>
      <w:r>
        <w:rPr>
          <w:rFonts w:ascii="Arial" w:cs="Arial" w:eastAsia="Arial" w:hAnsi="Arial"/>
          <w:sz w:val="17"/>
          <w:szCs w:val="17"/>
          <w:color w:val="auto"/>
        </w:rPr>
        <w:t>” and “</w:t>
      </w:r>
      <w:r>
        <w:rPr>
          <w:rFonts w:ascii="Arial" w:cs="Arial" w:eastAsia="Arial" w:hAnsi="Arial"/>
          <w:sz w:val="17"/>
          <w:szCs w:val="17"/>
          <w:u w:val="single" w:color="auto"/>
          <w:color w:val="auto"/>
        </w:rPr>
        <w:t>Controlled</w:t>
      </w:r>
      <w:r>
        <w:rPr>
          <w:rFonts w:ascii="Arial" w:cs="Arial" w:eastAsia="Arial" w:hAnsi="Arial"/>
          <w:sz w:val="17"/>
          <w:szCs w:val="17"/>
          <w:color w:val="auto"/>
        </w:rPr>
        <w:t>” have meanings correlative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Person</w:t>
      </w:r>
      <w:r>
        <w:rPr>
          <w:rFonts w:ascii="Arial" w:cs="Arial" w:eastAsia="Arial" w:hAnsi="Arial"/>
          <w:sz w:val="18"/>
          <w:szCs w:val="18"/>
          <w:color w:val="auto"/>
        </w:rPr>
        <w:t>” has the meaning set forth in the definition of Change of Control.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has the meaning specified in the definition of “Applicable Rate.”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Letter of Credit Fees, an interest rate equal to (i) the Base Rate under the Term Loan Facility or the Revolving Credit Facility, as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the Default Rate shall be an interest rate equal to the interest rate (including any Applicable Rate applicable to Eurocurrency Rate Loans) otherwise applicable to such Loan under the Term Loan Facility or the Revolving Credit Facility, as applicable, plus 2% per annum, and (b) when used with respect to Letter of Credit Fees under the Revolving Credit Facility, a rate equal to the Applicable Rate applicable to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Toro in writing that such failure is the result of such Lender’s determination that one or more conditions precedent to funding (each of which conditions precedent, together with any applicable default, shall be specifically identified in such writing) has not been satisfied,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7" w:name="page108"/>
    <w:bookmarkEnd w:id="107"/>
    <w:p>
      <w:pPr>
        <w:ind w:right="20" w:firstLine="8"/>
        <w:spacing w:after="0" w:line="284" w:lineRule="auto"/>
        <w:tabs>
          <w:tab w:leader="none" w:pos="2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to the Administrative Agent, the L/C Issuer, the Swing Line Lender or any other Lender any other amount required to be paid by it hereunder (including, in the case of any Revolving Credit Lender, in respect of its participation in Letters of Credit or Swing Line Loans) within two (2) Business Days of the date when due, (b) has notified Toro,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Toro, to confirm in writing to the Administrative Agent and Toro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30"/>
        </w:numPr>
        <w:rPr>
          <w:rFonts w:ascii="Arial" w:cs="Arial" w:eastAsia="Arial" w:hAnsi="Arial"/>
          <w:sz w:val="17"/>
          <w:szCs w:val="17"/>
          <w:u w:val="single" w:color="auto"/>
          <w:color w:val="auto"/>
        </w:rPr>
      </w:pPr>
      <w:r>
        <w:rPr>
          <w:rFonts w:ascii="Arial" w:cs="Arial" w:eastAsia="Arial" w:hAnsi="Arial"/>
          <w:sz w:val="17"/>
          <w:szCs w:val="17"/>
          <w:color w:val="auto"/>
        </w:rPr>
        <w:t>upon receipt of such written confirmation by the Administrative Agent and Toro), or (d) has, or has a direct or indirect parent company that has,</w:t>
      </w:r>
    </w:p>
    <w:p>
      <w:pPr>
        <w:spacing w:after="0" w:line="20" w:lineRule="exact"/>
        <w:rPr>
          <w:rFonts w:ascii="Arial" w:cs="Arial" w:eastAsia="Arial" w:hAnsi="Arial"/>
          <w:sz w:val="17"/>
          <w:szCs w:val="17"/>
          <w:u w:val="single" w:color="auto"/>
          <w:color w:val="auto"/>
        </w:rPr>
      </w:pPr>
    </w:p>
    <w:p>
      <w:pPr>
        <w:ind w:right="40" w:firstLine="8"/>
        <w:spacing w:after="0" w:line="267" w:lineRule="auto"/>
        <w:tabs>
          <w:tab w:leader="none" w:pos="21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7"/>
          <w:szCs w:val="17"/>
          <w:u w:val="single" w:color="auto"/>
          <w:color w:val="auto"/>
        </w:rPr>
        <w:t>Section 2.16(b)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Toro, the L/C Issuer, the Swing Line Lender and each other Lender promptly following such determination.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2.17</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08" w:name="page109"/>
    <w:bookmarkEnd w:id="108"/>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Distributor Subsidiary</w:t>
      </w:r>
      <w:r>
        <w:rPr>
          <w:rFonts w:ascii="Arial" w:cs="Arial" w:eastAsia="Arial" w:hAnsi="Arial"/>
          <w:sz w:val="18"/>
          <w:szCs w:val="18"/>
          <w:color w:val="auto"/>
        </w:rPr>
        <w:t>” means a Subsidiary of Toro which is a distributor of products manufactured by Toro or one of its Subsidiaries which has been acquired by Toro or one of its Subsidiaries under extraordinary circumstances, not in the ordinary course of business, with a view toward divestiture at some future time and to facilitate the orderly distribution of such products. Such definition shall not apply to Subsidiaries organized or acquired with a view toward discontinuing or modifying Toro’s historical system of independent distributors.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End-User Financing Arrangements</w:t>
      </w:r>
      <w:r>
        <w:rPr>
          <w:rFonts w:ascii="Arial" w:cs="Arial" w:eastAsia="Arial" w:hAnsi="Arial"/>
          <w:sz w:val="18"/>
          <w:szCs w:val="18"/>
          <w:color w:val="auto"/>
        </w:rPr>
        <w:t>” has the meaning specified in the definition of “Indebtedness”.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firstLine="8"/>
        <w:spacing w:after="0" w:line="261" w:lineRule="auto"/>
        <w:tabs>
          <w:tab w:leader="none" w:pos="2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09" w:name="page110"/>
    <w:bookmarkEnd w:id="109"/>
    <w:p>
      <w:pPr>
        <w:ind w:right="24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any Borrower or any ERISA Affiliate.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with respect to any Credit Extension:</w:t>
      </w:r>
    </w:p>
    <w:p>
      <w:pPr>
        <w:spacing w:after="0" w:line="117" w:lineRule="exact"/>
        <w:rPr>
          <w:sz w:val="20"/>
          <w:szCs w:val="20"/>
          <w:color w:val="auto"/>
        </w:rPr>
      </w:pPr>
    </w:p>
    <w:p>
      <w:pPr>
        <w:ind w:firstLine="464"/>
        <w:spacing w:after="0" w:line="257" w:lineRule="auto"/>
        <w:tabs>
          <w:tab w:leader="none" w:pos="67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denominated in a LIBOR Quoted Currency,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(2) Business Days prior to the commencement of such Interest Period, for deposits in the relevant currency (for delivery on the first day of such Interest Period) with a term equivalent to such Interest Period;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10" w:name="page111"/>
    <w:bookmarkEnd w:id="110"/>
    <w:p>
      <w:pPr>
        <w:jc w:val="both"/>
        <w:ind w:right="200" w:firstLine="464"/>
        <w:spacing w:after="0" w:line="259" w:lineRule="auto"/>
        <w:tabs>
          <w:tab w:leader="none" w:pos="721"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denominated in Canadian Dollars, the rate per annum equal to the Canadian Dealer Offered Rate (“</w:t>
      </w:r>
      <w:r>
        <w:rPr>
          <w:rFonts w:ascii="Arial" w:cs="Arial" w:eastAsia="Arial" w:hAnsi="Arial"/>
          <w:sz w:val="18"/>
          <w:szCs w:val="18"/>
          <w:u w:val="single" w:color="auto"/>
          <w:color w:val="auto"/>
        </w:rPr>
        <w:t>CDOR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78" w:lineRule="exact"/>
        <w:rPr>
          <w:rFonts w:ascii="Arial" w:cs="Arial" w:eastAsia="Arial" w:hAnsi="Arial"/>
          <w:sz w:val="18"/>
          <w:szCs w:val="18"/>
          <w:color w:val="auto"/>
        </w:rPr>
      </w:pPr>
    </w:p>
    <w:p>
      <w:pPr>
        <w:jc w:val="both"/>
        <w:ind w:firstLine="464"/>
        <w:spacing w:after="0" w:line="259" w:lineRule="auto"/>
        <w:tabs>
          <w:tab w:leader="none" w:pos="77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Australian Dollars, the rate per annum equal to the Bank Bill Swap Reference Bid Rate (“</w:t>
      </w:r>
      <w:r>
        <w:rPr>
          <w:rFonts w:ascii="Arial" w:cs="Arial" w:eastAsia="Arial" w:hAnsi="Arial"/>
          <w:sz w:val="18"/>
          <w:szCs w:val="18"/>
          <w:u w:val="single" w:color="auto"/>
          <w:color w:val="auto"/>
        </w:rPr>
        <w:t>BBSY</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78" w:lineRule="exact"/>
        <w:rPr>
          <w:rFonts w:ascii="Arial" w:cs="Arial" w:eastAsia="Arial" w:hAnsi="Arial"/>
          <w:sz w:val="18"/>
          <w:szCs w:val="18"/>
          <w:color w:val="auto"/>
        </w:rPr>
      </w:pPr>
    </w:p>
    <w:p>
      <w:pPr>
        <w:ind w:right="120" w:firstLine="464"/>
        <w:spacing w:after="0" w:line="342" w:lineRule="auto"/>
        <w:tabs>
          <w:tab w:leader="none" w:pos="76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with respect to a Credit Extension denominated in any other Non-LIBOR Quoted Currency, the rate per annum as designated with respect to such Alternative Currency at the time such Alternative Currency is approved by the Administrative Agent and the Lenders pursuant to </w:t>
      </w:r>
      <w:r>
        <w:rPr>
          <w:rFonts w:ascii="Arial" w:cs="Arial" w:eastAsia="Arial" w:hAnsi="Arial"/>
          <w:sz w:val="16"/>
          <w:szCs w:val="16"/>
          <w:u w:val="single" w:color="auto"/>
          <w:color w:val="auto"/>
        </w:rPr>
        <w:t>Section 1.05(a)</w:t>
      </w:r>
      <w:r>
        <w:rPr>
          <w:rFonts w:ascii="Arial" w:cs="Arial" w:eastAsia="Arial" w:hAnsi="Arial"/>
          <w:sz w:val="16"/>
          <w:szCs w:val="16"/>
          <w:color w:val="auto"/>
        </w:rPr>
        <w:t>; and</w:t>
      </w:r>
    </w:p>
    <w:p>
      <w:pPr>
        <w:spacing w:after="0" w:line="16" w:lineRule="exact"/>
        <w:rPr>
          <w:sz w:val="20"/>
          <w:szCs w:val="20"/>
          <w:color w:val="auto"/>
        </w:rPr>
      </w:pPr>
    </w:p>
    <w:p>
      <w:pPr>
        <w:ind w:right="380" w:firstLine="464"/>
        <w:spacing w:after="0" w:line="308" w:lineRule="auto"/>
        <w:tabs>
          <w:tab w:leader="none" w:pos="71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any rate calculation with respect to a Base Rate Loan on any date, the rate per annum equal to LIBOR, at or about 11:00 a.m., London time determined two (2) Business Days prior to such date for U.S. Dollar deposits with a term of one (1) month commencing that day;</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to the extent a comparable or successor rate is approved by the Administrative Agent in connection with any rate set forth in this definition, the approved rate shall be applied in a manner consistent with market practice and (ii) if the Eurocurrency Rate shall be less than zero, such rate shall be deemed zero for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such market practice is not administratively feasible for the Administrative Agent, such approved rate shall be applied in a manner as otherwise reasonably determined by the Administrative Agent.</w:t>
      </w:r>
    </w:p>
    <w:p>
      <w:pPr>
        <w:spacing w:after="0" w:line="154"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means a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“Eurocurrency Rate”. Eurocurrency Rate Loans may be denominated in Dollars or in an Alternative Currency. All Revolving Credit Loans denominated in an Alternative Currency must be Eurocurrency Rate Loans.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regulations promulgated thereunder.</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111" w:name="page112"/>
    <w:bookmarkEnd w:id="1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Toro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(d) any U.S. federal withholding Taxes imposed pursuant to FATCA.</w:t>
      </w:r>
    </w:p>
    <w:p>
      <w:pPr>
        <w:spacing w:after="0" w:line="16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means that certain Credit Agreement dated as of July 28, 2011, as heretofore amended, among Toro, Manufacturing, Exmark, TIC, the other borrowers party thereto, Bank of America, N.A., as administrative agent, and a syndicate of lenders.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set forth on </w:t>
      </w:r>
      <w:r>
        <w:rPr>
          <w:rFonts w:ascii="Arial" w:cs="Arial" w:eastAsia="Arial" w:hAnsi="Arial"/>
          <w:sz w:val="18"/>
          <w:szCs w:val="18"/>
          <w:u w:val="single" w:color="auto"/>
          <w:color w:val="auto"/>
        </w:rPr>
        <w:t>Schedule 1.01(e)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Exmark</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Loan Facility or the Revolving Credit Facility, as the context may require.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collectively, the BofA Fee Letter and the Wells Fargo Fee Letter.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12" w:name="page113"/>
    <w:bookmarkEnd w:id="112"/>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 jurisdiction other than the United States, a State thereof or the District of Columbia.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that is a Revolving Credit Lender, (a) with respect to the L/C Issuer, such Defaulting Lender’s Applicable Percentage of the outstanding L/C Obligations other than L/C Obligations as to which such Defaulting Lender’s participation obligation has been reallocated to other 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or Cash Collateralized in accordance with the terms hereof.</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Indemnity Letter</w:t>
      </w:r>
      <w:r>
        <w:rPr>
          <w:rFonts w:ascii="Arial" w:cs="Arial" w:eastAsia="Arial" w:hAnsi="Arial"/>
          <w:sz w:val="18"/>
          <w:szCs w:val="18"/>
          <w:color w:val="auto"/>
        </w:rPr>
        <w:t xml:space="preserve">” means a funding indemnity letter,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13" w:name="page114"/>
    <w:bookmarkEnd w:id="113"/>
    <w:p>
      <w:pPr>
        <w:ind w:right="120"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Toro in favor of the Administrative Agent and the Lenders,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Obligation</w:t>
      </w:r>
      <w:r>
        <w:rPr>
          <w:rFonts w:ascii="Arial" w:cs="Arial" w:eastAsia="Arial" w:hAnsi="Arial"/>
          <w:sz w:val="18"/>
          <w:szCs w:val="18"/>
          <w:color w:val="auto"/>
        </w:rPr>
        <w:t>” has the meaning specified in the definition of “Contingent Obligation.”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Debt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1.03(d)</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60" w:right="60" w:firstLine="443"/>
        <w:spacing w:after="0" w:line="277" w:lineRule="auto"/>
        <w:tabs>
          <w:tab w:leader="none" w:pos="114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60" w:right="120" w:firstLine="443"/>
        <w:spacing w:after="0" w:line="259"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$35,000,000;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14" w:name="page115"/>
    <w:bookmarkEnd w:id="114"/>
    <w:p>
      <w:pPr>
        <w:ind w:left="460" w:right="340" w:firstLine="443"/>
        <w:spacing w:after="0" w:line="277" w:lineRule="auto"/>
        <w:tabs>
          <w:tab w:leader="none" w:pos="11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obligations of such Person to pay the deferred purchase price of property or services (other than trade accounts payable in the ordinary course of business);</w:t>
      </w:r>
    </w:p>
    <w:p>
      <w:pPr>
        <w:spacing w:after="0" w:line="62" w:lineRule="exact"/>
        <w:rPr>
          <w:rFonts w:ascii="Arial" w:cs="Arial" w:eastAsia="Arial" w:hAnsi="Arial"/>
          <w:sz w:val="18"/>
          <w:szCs w:val="18"/>
          <w:color w:val="auto"/>
        </w:rPr>
      </w:pPr>
    </w:p>
    <w:p>
      <w:pPr>
        <w:ind w:left="460" w:right="320" w:firstLine="443"/>
        <w:spacing w:after="0" w:line="264" w:lineRule="auto"/>
        <w:tabs>
          <w:tab w:leader="none" w:pos="115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117" w:lineRule="exact"/>
        <w:rPr>
          <w:rFonts w:ascii="Arial" w:cs="Arial" w:eastAsia="Arial" w:hAnsi="Arial"/>
          <w:sz w:val="18"/>
          <w:szCs w:val="18"/>
          <w:color w:val="auto"/>
        </w:rPr>
      </w:pPr>
    </w:p>
    <w:p>
      <w:pPr>
        <w:ind w:left="460" w:right="160" w:firstLine="443"/>
        <w:spacing w:after="0" w:line="259" w:lineRule="auto"/>
        <w:tabs>
          <w:tab w:leader="none" w:pos="112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(other than obligations of Toro or a Subsidiary of Toro to Red Iron under the terms of the Red Iron LLC Agreement (as in effect on the Closing Date)),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78" w:lineRule="exact"/>
        <w:rPr>
          <w:rFonts w:ascii="Arial" w:cs="Arial" w:eastAsia="Arial" w:hAnsi="Arial"/>
          <w:sz w:val="18"/>
          <w:szCs w:val="18"/>
          <w:color w:val="auto"/>
        </w:rPr>
      </w:pPr>
    </w:p>
    <w:p>
      <w:pPr>
        <w:ind w:left="460" w:firstLine="443"/>
        <w:spacing w:after="0" w:line="312" w:lineRule="auto"/>
        <w:tabs>
          <w:tab w:leader="none" w:pos="115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w:t>
      </w:r>
      <w:r>
        <w:rPr>
          <w:rFonts w:ascii="Arial" w:cs="Arial" w:eastAsia="Arial" w:hAnsi="Arial"/>
          <w:sz w:val="16"/>
          <w:szCs w:val="16"/>
          <w:u w:val="single" w:color="auto"/>
          <w:color w:val="auto"/>
        </w:rPr>
        <w:t>clause (h)</w:t>
      </w:r>
      <w:r>
        <w:rPr>
          <w:rFonts w:ascii="Arial" w:cs="Arial" w:eastAsia="Arial" w:hAnsi="Arial"/>
          <w:sz w:val="16"/>
          <w:szCs w:val="16"/>
          <w:color w:val="auto"/>
        </w:rPr>
        <w:t>, at any time outstanding not to exceed $35,000,000; and</w:t>
      </w:r>
    </w:p>
    <w:p>
      <w:pPr>
        <w:spacing w:after="0" w:line="38" w:lineRule="exact"/>
        <w:rPr>
          <w:rFonts w:ascii="Arial" w:cs="Arial" w:eastAsia="Arial" w:hAnsi="Arial"/>
          <w:sz w:val="16"/>
          <w:szCs w:val="16"/>
          <w:color w:val="auto"/>
        </w:rPr>
      </w:pPr>
    </w:p>
    <w:p>
      <w:pPr>
        <w:ind w:left="460" w:right="80" w:firstLine="443"/>
        <w:spacing w:after="0" w:line="272" w:lineRule="auto"/>
        <w:tabs>
          <w:tab w:leader="none" w:pos="115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Arial" w:cs="Arial" w:eastAsia="Arial" w:hAnsi="Arial"/>
          <w:sz w:val="17"/>
          <w:szCs w:val="17"/>
          <w:u w:val="single" w:color="auto"/>
          <w:color w:val="auto"/>
        </w:rPr>
        <w:t>End-User Financing Arrangements</w:t>
      </w:r>
      <w:r>
        <w:rPr>
          <w:rFonts w:ascii="Arial" w:cs="Arial" w:eastAsia="Arial" w:hAnsi="Arial"/>
          <w:sz w:val="17"/>
          <w:szCs w:val="17"/>
          <w:color w:val="auto"/>
        </w:rPr>
        <w:t>”);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w:t>
      </w:r>
      <w:r>
        <w:rPr>
          <w:rFonts w:ascii="Arial" w:cs="Arial" w:eastAsia="Arial" w:hAnsi="Arial"/>
          <w:sz w:val="17"/>
          <w:szCs w:val="17"/>
          <w:u w:val="single" w:color="auto"/>
          <w:color w:val="auto"/>
        </w:rPr>
        <w:t>Red Iron/TCF</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Repurchase Obligations</w:t>
      </w:r>
      <w:r>
        <w:rPr>
          <w:rFonts w:ascii="Arial" w:cs="Arial" w:eastAsia="Arial" w:hAnsi="Arial"/>
          <w:sz w:val="17"/>
          <w:szCs w:val="17"/>
          <w:color w:val="auto"/>
        </w:rPr>
        <w:t xml:space="preserve">”), in an aggregate stated or principal amount, when taken together with amounts subject to the exception set forth in the preceding </w:t>
      </w:r>
      <w:r>
        <w:rPr>
          <w:rFonts w:ascii="Arial" w:cs="Arial" w:eastAsia="Arial" w:hAnsi="Arial"/>
          <w:sz w:val="17"/>
          <w:szCs w:val="17"/>
          <w:u w:val="single" w:color="auto"/>
          <w:color w:val="auto"/>
        </w:rPr>
        <w:t>clause (g)</w:t>
      </w:r>
      <w:r>
        <w:rPr>
          <w:rFonts w:ascii="Arial" w:cs="Arial" w:eastAsia="Arial" w:hAnsi="Arial"/>
          <w:sz w:val="17"/>
          <w:szCs w:val="17"/>
          <w:color w:val="auto"/>
        </w:rPr>
        <w:t>, at any time outstanding not to exceed $35,000,000;</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15" w:name="page116"/>
    <w:bookmarkEnd w:id="115"/>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154"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Loan other than a Base Rate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Eurocurrency Rate Loan exceeds three</w:t>
      </w:r>
    </w:p>
    <w:p>
      <w:pPr>
        <w:ind w:right="120" w:firstLine="8"/>
        <w:spacing w:after="0" w:line="255" w:lineRule="auto"/>
        <w:tabs>
          <w:tab w:leader="none" w:pos="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months, the respective dates that fall every three (3)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w:t>
      </w:r>
    </w:p>
    <w:p>
      <w:pPr>
        <w:spacing w:after="0" w:line="19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such Eurocurrency Rate Loan is disbursed or converted to or continued as a Eurocurrency Rate Loan and ending on the date one (1) week or one (1) , two (2) , three (3) or six (6) months thereafter, as selected by Toro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0" w:firstLine="443"/>
        <w:spacing w:after="0" w:line="342" w:lineRule="auto"/>
        <w:tabs>
          <w:tab w:leader="none" w:pos="111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jc w:val="both"/>
        <w:ind w:left="460" w:firstLine="443"/>
        <w:spacing w:after="0" w:line="342" w:lineRule="auto"/>
        <w:tabs>
          <w:tab w:leader="none" w:pos="116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 w:lineRule="exact"/>
        <w:rPr>
          <w:rFonts w:ascii="Arial" w:cs="Arial" w:eastAsia="Arial" w:hAnsi="Arial"/>
          <w:sz w:val="16"/>
          <w:szCs w:val="16"/>
          <w:color w:val="auto"/>
        </w:rPr>
      </w:pPr>
    </w:p>
    <w:p>
      <w:pPr>
        <w:ind w:left="1220" w:hanging="317"/>
        <w:spacing w:after="0"/>
        <w:tabs>
          <w:tab w:leader="none" w:pos="12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 of the Facility under which such Loan was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16" w:name="page117"/>
    <w:bookmarkEnd w:id="116"/>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L/C Issuer and the L/C Parties or in favor of the L/C Issuer and relating to any such Letter of Credit.</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 Subsidiaries with another Person or in which the Borrowers or any of their Subsidiaries may invest in order to conduct or further a common venture or enterprise with such Person, the investment in which does not constitute an Acquisition.</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Advance</w:t>
      </w:r>
      <w:r>
        <w:rPr>
          <w:rFonts w:ascii="Arial" w:cs="Arial" w:eastAsia="Arial" w:hAnsi="Arial"/>
          <w:sz w:val="17"/>
          <w:szCs w:val="17"/>
          <w:color w:val="auto"/>
        </w:rPr>
        <w:t>” means, with respect to each Revolving Credit Lender, such Revolving Credit Lender’s funding of its participation in any L/C Borrowing in accordance with its Applicable Revolving Credit Percentage. All L/C Advances shall be denominated in Dollars.</w:t>
      </w:r>
    </w:p>
    <w:p>
      <w:pPr>
        <w:spacing w:after="0" w:line="14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 All L/C Borrowings shall be denominated in Dollars, and in regards to Letters of Credit issued in an Alternative Currency, shall be the Dollar Equivalent thereof.</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Bank of America in its capacity as issuer of Letters of Credit hereunder, or any successor issuer of Letters of Credit hereunder.</w:t>
      </w:r>
    </w:p>
    <w:p>
      <w:pPr>
        <w:spacing w:after="0" w:line="24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1.08</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Parties</w:t>
      </w:r>
      <w:r>
        <w:rPr>
          <w:rFonts w:ascii="Arial" w:cs="Arial" w:eastAsia="Arial" w:hAnsi="Arial"/>
          <w:sz w:val="18"/>
          <w:szCs w:val="18"/>
          <w:color w:val="auto"/>
        </w:rPr>
        <w:t>” means, collectively, Toro and its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Toro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and shall include the Existing Letters of Credit. Letters of Credit may be issued in Dollars or in an Alternative Currency.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for the Revolving Credit Facility (or, if such day is not a Business Day, the next preceding Business Day).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$20,000,000 and (b) the Aggregate Revolving Credit Commitments. The Letter of Credit Sublimit is part of, and not in addition to, the Revolving Credit Facility.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each of the following currencies: Dollars; Euro; and Sterling; in each case as long as there is a published LIBOR rate with respect thereto.</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by a Lender to a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Term Loan, Revolving Credit Loan or a Swing Line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each Designated Borrower Request and Assumption Agreement, each Note, each Issuer Document, any agreement creating or perfecting rights in Cash Collateral pursuant to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of this Agreement and the Fee Letters.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118" w:name="page119"/>
    <w:bookmarkEnd w:id="118"/>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a Term Loan Borrowing, (b) a Revolving Credit Borrowing, (c) a conversion of Loans from one Type to the other, or (d) a continuation of Eurocurrecy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Toro.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Toro and each Subsidiary Borrower.</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such term is defined in Regulation T, U or X of the FRB.</w:t>
      </w:r>
    </w:p>
    <w:p>
      <w:pPr>
        <w:spacing w:after="0" w:line="225"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a material impairment of the ability of any Loan Party to perform its obligations under any Loan Document to which it is a party, (b) a material adverse effect upon the legality, validity, binding effect or enforceability against any Loan Party of any Loan Document to which it is a party, or (c) solely with respect to the provisions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and the representations and warranties to be made on the Closing Date, a material adverse change in, or a material adverse effect on, the operations, business, assets, or condition (financial or otherwise) of Toro or Toro and its Subsidiaries, taken as a whole.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1.03(e)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at any time of determination, (a) any Subsidiary (other than a Distributor Subsidiary) having at such time either (i) total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revenues for the preceding four fiscal quarter period in excess $35,000,000 or (ii) total assets, as of the last day of the preceding fiscal quarter,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net book value in excess of $35,000,000, in each case, based upon Toro’s most recent annual or quarterly financial statements delivered to the Lenders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(b) any Distributor Subsidiary having total assets, as of the last day of the preceding quarter, having a net book value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$35,000,000 based upon Toro’s most recent annual or quarterly financial statements delivered to the Administrative Agent under </w:t>
      </w:r>
      <w:r>
        <w:rPr>
          <w:rFonts w:ascii="Arial" w:cs="Arial" w:eastAsia="Arial" w:hAnsi="Arial"/>
          <w:sz w:val="17"/>
          <w:szCs w:val="17"/>
          <w:u w:val="single" w:color="auto"/>
          <w:color w:val="auto"/>
        </w:rPr>
        <w:t>Section 6.01</w:t>
      </w:r>
      <w:r>
        <w:rPr>
          <w:rFonts w:ascii="Arial" w:cs="Arial" w:eastAsia="Arial" w:hAnsi="Arial"/>
          <w:sz w:val="17"/>
          <w:szCs w:val="17"/>
          <w:color w:val="auto"/>
        </w:rPr>
        <w:t>.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avoidance of doubt, the foregoing calculations exclude intercompany transactions.</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means (a) with respect to the Term Loan Facility, October 25, 2019, and (b) with respect to the Revolving Credit Facility, October 25,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each case, if such date is not a Business Day, the Maturity Date shall be the next preceding Business Day.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(i) with respect to Cash Collateral consisting of cash or deposit account balances provided to reduce or eliminate Fronting Exposure during the existence of a Defaulting Lender that is a Revolving Credit Lender, an amount equal to 105% of the Fronting Exposure of the L/C Issuer with respect to Letters of Credit issued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19" w:name="page120"/>
    <w:bookmarkEnd w:id="11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at such time, (ii) with respect to Cash Collateral consisting of cash or deposit account balances provided in accordance with the provisions of </w:t>
      </w:r>
      <w:r>
        <w:rPr>
          <w:rFonts w:ascii="Arial" w:cs="Arial" w:eastAsia="Arial" w:hAnsi="Arial"/>
          <w:sz w:val="18"/>
          <w:szCs w:val="18"/>
          <w:u w:val="single" w:color="auto"/>
          <w:color w:val="auto"/>
        </w:rPr>
        <w:t>Section 2.15(a)(i)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105% of the Outstanding Amount of all LC Obligations, and (iii) otherwise, an amount determined by the Administrative Agent and the L/C Issuer in their sole discretion.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 and its successors.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Borrower or any ERISA Affiliate) at least two of whom are not under common control, as such a plan is described in Section 4064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Loan Note or a Revolving Credit Note, as the context may require.</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120" w:name="page121"/>
    <w:bookmarkEnd w:id="120"/>
    <w:p>
      <w:pPr>
        <w:ind w:right="2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Originators</w:t>
      </w:r>
      <w:r>
        <w:rPr>
          <w:rFonts w:ascii="Arial" w:cs="Arial" w:eastAsia="Arial" w:hAnsi="Arial"/>
          <w:sz w:val="18"/>
          <w:szCs w:val="18"/>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(i) with respect to Term Loans on any date, the amount of the aggregate outstanding principal amount thereof after giving effect to any borrowings and prepayments or repayments of such Term Loans occurring on such date; (ii) with respect to Revolving Credit Loans on any date, the Dollar Equivalent amount of the aggregate outstanding principal amount thereof after giving effect to any borrowings and prepayments or repayments of such Revolving Credit Loans occurring on such date; (iii) with respect to Swing Line Loans on any date, the aggregate outstanding principal amount thereof after giving effect to any borrowings and prepayments or repayments of such Swing Line Loans occurring on such date; and (iv)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each state so described in any EMU Legislation.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Borrower or any ERISA Affiliate and is either covered by Title IV of ERISA or is subject to the minimum funding standards under Section 412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Transfer</w:t>
      </w:r>
      <w:r>
        <w:rPr>
          <w:rFonts w:ascii="Arial" w:cs="Arial" w:eastAsia="Arial" w:hAnsi="Arial"/>
          <w:sz w:val="18"/>
          <w:szCs w:val="18"/>
          <w:color w:val="auto"/>
        </w:rPr>
        <w:t xml:space="preserve">” means (i) a sale or other transfer by an Originator to an SPV of Receivables for fair market value and without recourse (except for limited recourse typical of such structured finance transactions), and/or (ii)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pursuant to and in accordance with the terms of the documents related to any Receivables Purchase Facility.</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Swap Obligation</w:t>
      </w:r>
      <w:r>
        <w:rPr>
          <w:rFonts w:ascii="Arial" w:cs="Arial" w:eastAsia="Arial" w:hAnsi="Arial"/>
          <w:sz w:val="17"/>
          <w:szCs w:val="17"/>
          <w:color w:val="auto"/>
        </w:rPr>
        <w:t>” means all obligations (contingent or otherwise) of any Borrower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any provision (“walk-away” provision) exonerating the non-defaulting party from its obligation to make payments on outstanding transactions to the defaulting party.</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Acquisition</w:t>
      </w:r>
      <w:r>
        <w:rPr>
          <w:rFonts w:ascii="Arial" w:cs="Arial" w:eastAsia="Arial" w:hAnsi="Arial"/>
          <w:sz w:val="18"/>
          <w:szCs w:val="18"/>
          <w:color w:val="auto"/>
        </w:rPr>
        <w:t xml:space="preserve">” means that certain Acquisition described on </w:t>
      </w:r>
      <w:r>
        <w:rPr>
          <w:rFonts w:ascii="Arial" w:cs="Arial" w:eastAsia="Arial" w:hAnsi="Arial"/>
          <w:sz w:val="18"/>
          <w:szCs w:val="18"/>
          <w:u w:val="single" w:color="auto"/>
          <w:color w:val="auto"/>
        </w:rPr>
        <w:t>Schedule 1.01(p)</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Rate Determination Date</w:t>
      </w:r>
      <w:r>
        <w:rPr>
          <w:rFonts w:ascii="Arial" w:cs="Arial" w:eastAsia="Arial" w:hAnsi="Arial"/>
          <w:sz w:val="16"/>
          <w:szCs w:val="16"/>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market practice is not administratively feasible for the Administrative Agent, such other day as otherwise reasonably determined by the Administrative Agent).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w:t>
      </w:r>
      <w:r>
        <w:rPr>
          <w:rFonts w:ascii="Arial" w:cs="Arial" w:eastAsia="Arial" w:hAnsi="Arial"/>
          <w:sz w:val="16"/>
          <w:szCs w:val="16"/>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w:t>
      </w:r>
    </w:p>
    <w:p>
      <w:pPr>
        <w:spacing w:after="0" w:line="2" w:lineRule="exact"/>
        <w:rPr>
          <w:sz w:val="20"/>
          <w:szCs w:val="20"/>
          <w:color w:val="auto"/>
        </w:rPr>
      </w:pPr>
    </w:p>
    <w:p>
      <w:pPr>
        <w:ind w:right="620" w:firstLine="8"/>
        <w:spacing w:after="0" w:line="255" w:lineRule="auto"/>
        <w:tabs>
          <w:tab w:leader="none" w:pos="2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Facility</w:t>
      </w:r>
      <w:r>
        <w:rPr>
          <w:rFonts w:ascii="Arial" w:cs="Arial" w:eastAsia="Arial" w:hAnsi="Arial"/>
          <w:sz w:val="18"/>
          <w:szCs w:val="18"/>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w:t>
      </w:r>
      <w:r>
        <w:rPr>
          <w:rFonts w:ascii="Arial" w:cs="Arial" w:eastAsia="Arial" w:hAnsi="Arial"/>
          <w:sz w:val="18"/>
          <w:szCs w:val="18"/>
          <w:color w:val="auto"/>
        </w:rPr>
        <w:t>” means Red Iron Acceptance, LLC, a Delaware limited liability company.</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 Iron LLC Agreement</w:t>
      </w:r>
      <w:r>
        <w:rPr>
          <w:rFonts w:ascii="Arial" w:cs="Arial" w:eastAsia="Arial" w:hAnsi="Arial"/>
          <w:sz w:val="18"/>
          <w:szCs w:val="18"/>
          <w:color w:val="auto"/>
        </w:rPr>
        <w:t>” means that certain limited liability company agreement of Red Iron Acceptance, LLC, dated as of August 12, 2009 and as amended as of May 31, 2011 and as of June 6, 2012, by and among Red Iron Holding Corporation, a Delaware corporation and a Subsidiary of Toro, and TCFIF Joint Venture I, LLC, a Minnesota limited liability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Red Iron/TCF Repurchase Obligations</w:t>
      </w:r>
      <w:r>
        <w:rPr>
          <w:rFonts w:ascii="Arial" w:cs="Arial" w:eastAsia="Arial" w:hAnsi="Arial"/>
          <w:sz w:val="18"/>
          <w:szCs w:val="18"/>
          <w:color w:val="auto"/>
        </w:rPr>
        <w:t>” has the meaning specified in the definition of “Indebtedness”.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 for Credit Extension</w:t>
      </w:r>
      <w:r>
        <w:rPr>
          <w:rFonts w:ascii="Arial" w:cs="Arial" w:eastAsia="Arial" w:hAnsi="Arial"/>
          <w:sz w:val="16"/>
          <w:szCs w:val="16"/>
          <w:color w:val="auto"/>
        </w:rPr>
        <w:t>” means (a) with respect to a Borrowing, conversion or continuation of Term Loans or Revolving Credit Loans, a Loan Notice, (b) with respect to an L/C Credit Extension, a Letter of Credit Application, and (c) with respect to a Swing Line Loan, a Swing Line Loan Notice.</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as of any date of determination,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any Defaulting Lender which is a Revolving Credit Lender has failed to fund that have not been reallocated to and funded by another Revolving Credit Lender shall be deemed to be held by the Lender that is the Swing Line Lender or L/C Issuer, as the case may be, in making such determination.</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Facility Lenders</w:t>
      </w:r>
      <w:r>
        <w:rPr>
          <w:rFonts w:ascii="Arial" w:cs="Arial" w:eastAsia="Arial" w:hAnsi="Arial"/>
          <w:sz w:val="18"/>
          <w:szCs w:val="18"/>
          <w:color w:val="auto"/>
        </w:rPr>
        <w:t>” means (a) for the Revolving Credit Facility, the Required Revolving Lenders, and (b) for the Term Loan Facility, the Required Term Loan Lenders.</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as of any date of determination, Revolving Credit Lenders having Total Revolving Credit Exposures representing more than 50% of the Total Revolving Credit Exposures of all Revolving Credit Lenders. The Total Revolving Credit Exposure of any Defaulting Lender which is a Revolving Credit Lender shall be disregarded in determining Required Revolving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Revolving Credit Lender shall be deemed to be held by the Lender that is the Swing Line Lender or L/C Issuer, as the case may be, in making such determination.</w:t>
      </w:r>
    </w:p>
    <w:p>
      <w:pPr>
        <w:spacing w:after="0" w:line="193"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Loan Lenders</w:t>
      </w:r>
      <w:r>
        <w:rPr>
          <w:rFonts w:ascii="Arial" w:cs="Arial" w:eastAsia="Arial" w:hAnsi="Arial"/>
          <w:sz w:val="18"/>
          <w:szCs w:val="18"/>
          <w:color w:val="auto"/>
        </w:rPr>
        <w:t>” means, as of any date of determination, Term Loan Lenders having Total Term Loan Exposures representing more than 50% of the Total Term Loan Exposures of all Lenders. The Total Term Loan Exposure of any Defaulting Lender shall be disregarded in determining Required Term Loan Lenders at any time.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 the secretary or treasurer of a Loan Party, or any other officer having substantially the same authority and responsibility; (b) with respect to compliance with financial covenants, the chief financial officer, corporate controller or the treasurer of a Loan Party, or any other officer having substantially the same authority and responsibility; or (c)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24" w:name="page125"/>
    <w:bookmarkEnd w:id="124"/>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the director of treasury operations or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(iv) in the case of all Existing Letters of Credit denominated in Alternative Currencies, the Closing Date, and (v) such additional dates as the Administrative Agent or the L/C Issuer shall determine or the Required Revolving Lenders shall require.</w:t>
      </w:r>
    </w:p>
    <w:p>
      <w:pPr>
        <w:spacing w:after="0" w:line="192" w:lineRule="exact"/>
        <w:rPr>
          <w:sz w:val="20"/>
          <w:szCs w:val="20"/>
          <w:color w:val="auto"/>
        </w:rPr>
      </w:pPr>
    </w:p>
    <w:p>
      <w:pPr>
        <w:ind w:right="9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Borrowing</w:t>
      </w:r>
      <w:r>
        <w:rPr>
          <w:rFonts w:ascii="Arial" w:cs="Arial" w:eastAsia="Arial" w:hAnsi="Arial"/>
          <w:sz w:val="16"/>
          <w:szCs w:val="16"/>
          <w:color w:val="auto"/>
        </w:rPr>
        <w:t xml:space="preserve">” means a borrowing consisting of simultaneous Revolving Credit Loans of the same Type and, in the case of Eurocurrency Rate Loans, having the same Interest Period made by each of the Revolving Credit Lenders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12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means, as to each Revolving Credit Lender, its obligation to (a) make Revolving Credit Loans to the Borrowers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 The aggregate Revolving Credit Commitments of the Lenders on the Closing Date is $150,000,000.</w:t>
      </w:r>
    </w:p>
    <w:p>
      <w:pPr>
        <w:spacing w:after="0" w:line="193"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Exposure</w:t>
      </w:r>
      <w:r>
        <w:rPr>
          <w:rFonts w:ascii="Arial" w:cs="Arial" w:eastAsia="Arial" w:hAnsi="Arial"/>
          <w:sz w:val="17"/>
          <w:szCs w:val="17"/>
          <w:color w:val="auto"/>
        </w:rPr>
        <w:t>” means, as to any Revolving Credit Lender at any time, the aggregate principal amount at such time of its outstanding Revolving Credit Loans and such Revolving Credit Lender’s participation in L/C Obligations and Swing Line Loans at such time.</w:t>
      </w:r>
    </w:p>
    <w:p>
      <w:pPr>
        <w:spacing w:after="0" w:line="14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revolving credit facility provided in this Agreement in the amount of the Aggregate Revolving Credit Commitments at such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25" w:name="page126"/>
    <w:bookmarkEnd w:id="125"/>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 so long as any Revolving Credit Commitment is in effect, any Lender that has a Revolving Credit Commitment at such time or (b) if the Revolving Credit Commitments have terminated or expired, any Lender that has a Revolving Credit Loan or a participation in L/C Obligations or Swing Line Loans at such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a Borrower in favor of a Revolving Credit Lender evidencing Revolving Credit Loans or Swing Line Loans, as the case may be, made by such Revolving Credit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SPV</w:t>
      </w:r>
      <w:r>
        <w:rPr>
          <w:rFonts w:ascii="Arial" w:cs="Arial" w:eastAsia="Arial" w:hAnsi="Arial"/>
          <w:sz w:val="16"/>
          <w:szCs w:val="16"/>
          <w:color w:val="auto"/>
        </w:rPr>
        <w:t>” means any special purpose entity established for the purpose of purchasing receivables in connection with a Receivables Purchase Facility.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126" w:name="page127"/>
    <w:bookmarkEnd w:id="126"/>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Surety Instruments</w:t>
      </w:r>
      <w:r>
        <w:rPr>
          <w:rFonts w:ascii="Arial" w:cs="Arial" w:eastAsia="Arial" w:hAnsi="Arial"/>
          <w:sz w:val="18"/>
          <w:szCs w:val="18"/>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w:t>
      </w:r>
      <w:r>
        <w:rPr>
          <w:rFonts w:ascii="Arial" w:cs="Arial" w:eastAsia="Arial" w:hAnsi="Arial"/>
          <w:sz w:val="18"/>
          <w:szCs w:val="18"/>
          <w:color w:val="auto"/>
        </w:rPr>
        <w:t xml:space="preserve">” means the swing line facility made available by the Swing Line Lender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127" w:name="page128"/>
    <w:bookmarkEnd w:id="12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Notice</w:t>
      </w:r>
      <w:r>
        <w:rPr>
          <w:rFonts w:ascii="Arial" w:cs="Arial" w:eastAsia="Arial" w:hAnsi="Arial"/>
          <w:sz w:val="17"/>
          <w:szCs w:val="17"/>
          <w:color w:val="auto"/>
        </w:rPr>
        <w:t xml:space="preserve">” means a notice of a Swing Line Borrowing pursuant to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which, if in writing, shall be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Toro.</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$20,000,000 and (b) the Aggregate Revolving Credit Commitments. The Swing Line Sublimit is part of, and not in addition to, the Aggregate Revolving Credit Commitments.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620" w:firstLine="8"/>
        <w:spacing w:after="0" w:line="323" w:lineRule="auto"/>
        <w:tabs>
          <w:tab w:leader="none" w:pos="25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TCC</w:t>
      </w:r>
      <w:r>
        <w:rPr>
          <w:rFonts w:ascii="Arial" w:cs="Arial" w:eastAsia="Arial" w:hAnsi="Arial"/>
          <w:sz w:val="18"/>
          <w:szCs w:val="18"/>
          <w:color w:val="auto"/>
        </w:rPr>
        <w:t>” means Toro Credit Company, a Minnesota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 Canada</w:t>
      </w:r>
      <w:r>
        <w:rPr>
          <w:rFonts w:ascii="Arial" w:cs="Arial" w:eastAsia="Arial" w:hAnsi="Arial"/>
          <w:sz w:val="18"/>
          <w:szCs w:val="18"/>
          <w:color w:val="auto"/>
        </w:rPr>
        <w:t>” means TCF Commercial Finance Canada, Inc., a Canada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an advance made by any Term Loan Lender under the Term Loan Facility.</w:t>
      </w:r>
    </w:p>
    <w:p>
      <w:pPr>
        <w:spacing w:after="0" w:line="225"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Borrowing</w:t>
      </w:r>
      <w:r>
        <w:rPr>
          <w:rFonts w:ascii="Arial" w:cs="Arial" w:eastAsia="Arial" w:hAnsi="Arial"/>
          <w:sz w:val="16"/>
          <w:szCs w:val="16"/>
          <w:color w:val="auto"/>
        </w:rPr>
        <w:t xml:space="preserve">” means a borrowing consisting of simultaneous Term Loans of the same Type and, in the case of Eurocurrency Rate Loans, having the same Interest Period made by each of the Term Loan Lenders on the Business Day following the Closing Date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Term Loan Lender, its obligation to make Term Loans to Toro on the Business Day following the Closing Date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an aggregate principal amount at any one time outstanding not to exceed the amount set forth opposite such Term Loan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Loan Commitment”, and at all times after such funding on the Business Day after the Closing Date there shall no longer be any Term Loan Commitment in effect for any Term Loan Lender.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28" w:name="page129"/>
    <w:bookmarkEnd w:id="128"/>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Term Loan Credit Exposure</w:t>
      </w:r>
      <w:r>
        <w:rPr>
          <w:rFonts w:ascii="Arial" w:cs="Arial" w:eastAsia="Arial" w:hAnsi="Arial"/>
          <w:sz w:val="18"/>
          <w:szCs w:val="18"/>
          <w:color w:val="auto"/>
        </w:rPr>
        <w:t>” means, as to any Term Loan Lender at any time, the aggregate principal amount at such time of its outstanding Term Loans.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means, at any time, the term loan facility provided in this Agreement in the aggregate principal amount of the Term Loans of all Term Loan Lenders outstanding at such time. The aggregate principal amount of the Term Loan Facility to be funded on the Business Day following the Closing Date is $130,000,000.</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 on the Closing Date, any Lender that has a Term Loan Commitment at such time and (b) at any time after the funding of the Term Loans on the Business Day following the Closing Date, any Lender that holds Term Loans at such time.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made by Toro in favor of a Term Loan Lender evidencing Term Loans made by such Term Loan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TIC</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Toro Note Indentures</w:t>
      </w:r>
      <w:r>
        <w:rPr>
          <w:rFonts w:ascii="Arial" w:cs="Arial" w:eastAsia="Arial" w:hAnsi="Arial"/>
          <w:sz w:val="17"/>
          <w:szCs w:val="17"/>
          <w:color w:val="auto"/>
        </w:rPr>
        <w:t>” means (i) that certain Indenture dated as of January 31, 1997, between Toro and First Trust National Association, as Trustee, and (ii) that certain Indenture dated as of April 20, 2007, between Toro and The Bank of New York Trust Company N. A., as Trustee, including, in each case, all amendments thereto, supplements thereto and any amendments and restatements and refinancings thereof.</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Total Revolving Credit Exposure and Total Term Loan Exposure of such Lender at such time.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Exposure</w:t>
      </w:r>
      <w:r>
        <w:rPr>
          <w:rFonts w:ascii="Arial" w:cs="Arial" w:eastAsia="Arial" w:hAnsi="Arial"/>
          <w:sz w:val="18"/>
          <w:szCs w:val="18"/>
          <w:color w:val="auto"/>
        </w:rPr>
        <w:t>” means, as to any Revolving Credit Lender at any time, the unused Revolving Credit Commitments and Revolving Credit Exposure of such Revolving Credit Lender at such time.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Exposure</w:t>
      </w:r>
      <w:r>
        <w:rPr>
          <w:rFonts w:ascii="Arial" w:cs="Arial" w:eastAsia="Arial" w:hAnsi="Arial"/>
          <w:sz w:val="18"/>
          <w:szCs w:val="18"/>
          <w:color w:val="auto"/>
        </w:rPr>
        <w:t>” means, as to any Term Loan Lender at any time, the unused Term Loan Commitments and Term Loan Credit Exposure of such Term Loan Lender at such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Swing Line Loans and L/C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Eurocurrency Rate Loan.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74" w:right="319" w:bottom="1440" w:gutter="0" w:footer="0" w:header="0"/>
        </w:sectPr>
      </w:pPr>
    </w:p>
    <w:bookmarkStart w:id="129" w:name="page130"/>
    <w:bookmarkEnd w:id="129"/>
    <w:p>
      <w:pPr>
        <w:ind w:right="2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Unfunded Pension Liability</w:t>
      </w:r>
      <w:r>
        <w:rPr>
          <w:rFonts w:ascii="Arial" w:cs="Arial" w:eastAsia="Arial" w:hAnsi="Arial"/>
          <w:sz w:val="18"/>
          <w:szCs w:val="18"/>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Wells Fargo</w:t>
      </w:r>
      <w:r>
        <w:rPr>
          <w:rFonts w:ascii="Arial" w:cs="Arial" w:eastAsia="Arial" w:hAnsi="Arial"/>
          <w:sz w:val="18"/>
          <w:szCs w:val="18"/>
          <w:color w:val="auto"/>
        </w:rPr>
        <w:t>” means Wells Fargo Bank, National Association.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Wells Fargo Fee Letter</w:t>
      </w:r>
      <w:r>
        <w:rPr>
          <w:rFonts w:ascii="Arial" w:cs="Arial" w:eastAsia="Arial" w:hAnsi="Arial"/>
          <w:sz w:val="16"/>
          <w:szCs w:val="16"/>
          <w:color w:val="auto"/>
        </w:rPr>
        <w:t>” means that certain letter agreement, dated September 26, 2014 among Toro, TIC, Manufacturing, Exmark, Wells Fargo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WFS.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w:t>
      </w:r>
      <w:r>
        <w:rPr>
          <w:rFonts w:ascii="Arial" w:cs="Arial" w:eastAsia="Arial" w:hAnsi="Arial"/>
          <w:sz w:val="18"/>
          <w:szCs w:val="18"/>
          <w:color w:val="auto"/>
        </w:rPr>
        <w:t>” means Wells Fargo Securities, LLC and its successors.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any corporation, limited liability company, partnership or other business association or entity organized under the laws of the United States or other country in which Toro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one of the Borrowers, or by one or more of the Borrowers or other Wholly-Owned Subsidiaries, or both, and (ii) directly or indirectly by Toro.</w:t>
      </w:r>
    </w:p>
    <w:p>
      <w:pPr>
        <w:spacing w:after="0" w:line="174"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1.02 Other Interpretive Provisions. </w:t>
      </w:r>
      <w:r>
        <w:rPr>
          <w:rFonts w:ascii="Arial" w:cs="Arial" w:eastAsia="Arial" w:hAnsi="Arial"/>
          <w:sz w:val="18"/>
          <w:szCs w:val="18"/>
          <w:color w:val="auto"/>
        </w:rPr>
        <w:t>With reference to this Agreement and each other Loan Document, unless otherwise specified herein or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w:t>
      </w:r>
    </w:p>
    <w:p>
      <w:pPr>
        <w:spacing w:after="0" w:line="58" w:lineRule="exact"/>
        <w:rPr>
          <w:sz w:val="20"/>
          <w:szCs w:val="20"/>
          <w:color w:val="auto"/>
        </w:rPr>
      </w:pPr>
    </w:p>
    <w:p>
      <w:pPr>
        <w:ind w:left="460" w:right="100" w:firstLine="443"/>
        <w:spacing w:after="0" w:line="291" w:lineRule="auto"/>
        <w:tabs>
          <w:tab w:leader="none" w:pos="114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30" w:name="page131"/>
    <w:bookmarkEnd w:id="130"/>
    <w:p>
      <w:pPr>
        <w:ind w:left="460"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70" w:lineRule="exact"/>
        <w:rPr>
          <w:sz w:val="20"/>
          <w:szCs w:val="20"/>
          <w:color w:val="auto"/>
        </w:rPr>
      </w:pPr>
    </w:p>
    <w:p>
      <w:pPr>
        <w:ind w:left="460" w:right="140" w:firstLine="443"/>
        <w:spacing w:after="0" w:line="277" w:lineRule="auto"/>
        <w:tabs>
          <w:tab w:leader="none" w:pos="11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43"/>
        <w:spacing w:after="0" w:line="277" w:lineRule="auto"/>
        <w:tabs>
          <w:tab w:leader="none" w:pos="11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66" w:lineRule="exact"/>
        <w:rPr>
          <w:sz w:val="20"/>
          <w:szCs w:val="20"/>
          <w:color w:val="auto"/>
        </w:rPr>
      </w:pPr>
    </w:p>
    <w:p>
      <w:pPr>
        <w:ind w:right="180" w:firstLine="456"/>
        <w:spacing w:after="0" w:line="295" w:lineRule="auto"/>
        <w:rPr>
          <w:sz w:val="20"/>
          <w:szCs w:val="20"/>
          <w:color w:val="auto"/>
        </w:rPr>
      </w:pPr>
      <w:r>
        <w:rPr>
          <w:rFonts w:ascii="Arial" w:cs="Arial" w:eastAsia="Arial" w:hAnsi="Arial"/>
          <w:sz w:val="16"/>
          <w:szCs w:val="16"/>
          <w:b w:val="1"/>
          <w:bCs w:val="1"/>
          <w:color w:val="auto"/>
        </w:rPr>
        <w:t xml:space="preserve">1.03 Accounting Terms.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Generally</w:t>
      </w:r>
      <w:r>
        <w:rPr>
          <w:rFonts w:ascii="Arial" w:cs="Arial" w:eastAsia="Arial" w:hAnsi="Arial"/>
          <w:sz w:val="16"/>
          <w:szCs w:val="16"/>
          <w:color w:val="auto"/>
        </w:rPr>
        <w:t>. All accounting terms not specifically or completely defined herein shall be construed in conformity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Toro and its Subsidiaries shall be deemed to be carried at 100% of the outstanding principal amount thereof, and the effects of FASB ASC 825 on financial liabilities shall be disregarded.</w:t>
      </w:r>
    </w:p>
    <w:p>
      <w:pPr>
        <w:spacing w:after="0" w:line="52" w:lineRule="exact"/>
        <w:rPr>
          <w:sz w:val="20"/>
          <w:szCs w:val="20"/>
          <w:color w:val="auto"/>
        </w:rPr>
      </w:pPr>
    </w:p>
    <w:p>
      <w:pPr>
        <w:ind w:right="140" w:firstLine="464"/>
        <w:spacing w:after="0" w:line="289" w:lineRule="auto"/>
        <w:tabs>
          <w:tab w:leader="none" w:pos="711"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until so amended, (i) such ratio or requirement shall continue to be computed in accordance with GAAP prior to such change therein and (ii) Toro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31" w:name="page132"/>
    <w:bookmarkEnd w:id="131"/>
    <w:p>
      <w:pPr>
        <w:ind w:left="240" w:hanging="236"/>
        <w:spacing w:after="0"/>
        <w:tabs>
          <w:tab w:leader="none" w:pos="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herein to “fiscal year” and “fiscal quarter” refer to such fiscal periods of the Borrowers.</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any Acquisition consummated on or after the Closing Date, the following shall apply:</w:t>
      </w:r>
    </w:p>
    <w:p>
      <w:pPr>
        <w:spacing w:after="0" w:line="117" w:lineRule="exact"/>
        <w:rPr>
          <w:rFonts w:ascii="Arial" w:cs="Arial" w:eastAsia="Arial" w:hAnsi="Arial"/>
          <w:sz w:val="18"/>
          <w:szCs w:val="18"/>
          <w:color w:val="auto"/>
        </w:rPr>
      </w:pPr>
    </w:p>
    <w:p>
      <w:pPr>
        <w:jc w:val="both"/>
        <w:ind w:firstLine="443"/>
        <w:spacing w:after="0" w:line="259" w:lineRule="auto"/>
        <w:tabs>
          <w:tab w:leader="none" w:pos="65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78" w:lineRule="exact"/>
        <w:rPr>
          <w:rFonts w:ascii="Arial" w:cs="Arial" w:eastAsia="Arial" w:hAnsi="Arial"/>
          <w:sz w:val="18"/>
          <w:szCs w:val="18"/>
          <w:color w:val="auto"/>
        </w:rPr>
      </w:pPr>
    </w:p>
    <w:p>
      <w:pPr>
        <w:ind w:right="140" w:firstLine="443"/>
        <w:spacing w:after="0" w:line="270" w:lineRule="auto"/>
        <w:tabs>
          <w:tab w:leader="none" w:pos="70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Arial" w:cs="Arial" w:eastAsia="Arial" w:hAnsi="Arial"/>
          <w:sz w:val="17"/>
          <w:szCs w:val="17"/>
          <w:u w:val="single" w:color="auto"/>
          <w:color w:val="auto"/>
        </w:rPr>
        <w:t>Incremental Debt</w:t>
      </w:r>
      <w:r>
        <w:rPr>
          <w:rFonts w:ascii="Arial" w:cs="Arial" w:eastAsia="Arial" w:hAnsi="Arial"/>
          <w:sz w:val="17"/>
          <w:szCs w:val="17"/>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69" w:lineRule="exact"/>
        <w:rPr>
          <w:rFonts w:ascii="Arial" w:cs="Arial" w:eastAsia="Arial" w:hAnsi="Arial"/>
          <w:sz w:val="17"/>
          <w:szCs w:val="17"/>
          <w:color w:val="auto"/>
        </w:rPr>
      </w:pPr>
    </w:p>
    <w:p>
      <w:pPr>
        <w:ind w:left="240" w:hanging="236"/>
        <w:spacing w:after="0"/>
        <w:tabs>
          <w:tab w:leader="none" w:pos="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any Material Disposition consummated on or after the Closing Date:</w:t>
      </w:r>
    </w:p>
    <w:p>
      <w:pPr>
        <w:spacing w:after="0" w:line="117" w:lineRule="exact"/>
        <w:rPr>
          <w:rFonts w:ascii="Arial" w:cs="Arial" w:eastAsia="Arial" w:hAnsi="Arial"/>
          <w:sz w:val="18"/>
          <w:szCs w:val="18"/>
          <w:color w:val="auto"/>
        </w:rPr>
      </w:pPr>
    </w:p>
    <w:p>
      <w:pPr>
        <w:ind w:right="160" w:firstLine="443"/>
        <w:spacing w:after="0" w:line="259" w:lineRule="auto"/>
        <w:tabs>
          <w:tab w:leader="none" w:pos="65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78" w:lineRule="exact"/>
        <w:rPr>
          <w:rFonts w:ascii="Arial" w:cs="Arial" w:eastAsia="Arial" w:hAnsi="Arial"/>
          <w:sz w:val="18"/>
          <w:szCs w:val="18"/>
          <w:color w:val="auto"/>
        </w:rPr>
      </w:pPr>
    </w:p>
    <w:p>
      <w:pPr>
        <w:ind w:right="120" w:firstLine="443"/>
        <w:spacing w:after="0" w:line="257" w:lineRule="auto"/>
        <w:tabs>
          <w:tab w:leader="none" w:pos="70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 Disposition or (y) assigned or transferred to, and assumed by, the Person to whom the Material Disposition is made by the applicable Borrower or Subsidiary.</w:t>
      </w:r>
    </w:p>
    <w:p>
      <w:pPr>
        <w:spacing w:after="0" w:line="1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700" w:top="274" w:right="239" w:bottom="1440" w:gutter="0" w:footer="0" w:header="0"/>
        </w:sectPr>
      </w:pPr>
    </w:p>
    <w:bookmarkStart w:id="132" w:name="page133"/>
    <w:bookmarkEnd w:id="13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this paragraph, “</w:t>
      </w:r>
      <w:r>
        <w:rPr>
          <w:rFonts w:ascii="Arial" w:cs="Arial" w:eastAsia="Arial" w:hAnsi="Arial"/>
          <w:sz w:val="18"/>
          <w:szCs w:val="18"/>
          <w:u w:val="single" w:color="auto"/>
          <w:color w:val="auto"/>
        </w:rPr>
        <w:t>Material Disposition</w:t>
      </w:r>
      <w:r>
        <w:rPr>
          <w:rFonts w:ascii="Arial" w:cs="Arial" w:eastAsia="Arial" w:hAnsi="Arial"/>
          <w:sz w:val="18"/>
          <w:szCs w:val="18"/>
          <w:color w:val="auto"/>
        </w:rPr>
        <w:t>” means any Disposition, or series of related Dispositions, by Toro and its Subsidiaries of real or personal property that has a gross book value, as determined in accordance with GAAP, equal to or greater than 5%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80" w:lineRule="exact"/>
        <w:rPr>
          <w:sz w:val="20"/>
          <w:szCs w:val="20"/>
          <w:color w:val="auto"/>
        </w:rPr>
      </w:pPr>
    </w:p>
    <w:p>
      <w:pPr>
        <w:ind w:right="160" w:firstLine="464"/>
        <w:spacing w:after="0" w:line="259" w:lineRule="auto"/>
        <w:tabs>
          <w:tab w:leader="none" w:pos="68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Toro and its Subsidiaries or to the determination of any amount for Toro and its Subsidiaries on a consolidated basis or any similar reference shall, in each case, be deemed to include each variable interest entity that Toro or a Subsidiary is required to consolidate pursuant to FASB ASC 810 as if such variable interest entity were a Subsidiary as defined herein.</w:t>
      </w:r>
    </w:p>
    <w:p>
      <w:pPr>
        <w:spacing w:after="0" w:line="183" w:lineRule="exact"/>
        <w:rPr>
          <w:sz w:val="20"/>
          <w:szCs w:val="20"/>
          <w:color w:val="auto"/>
        </w:rPr>
      </w:pPr>
    </w:p>
    <w:p>
      <w:pPr>
        <w:ind w:right="20" w:firstLine="456"/>
        <w:spacing w:after="0" w:line="295" w:lineRule="auto"/>
        <w:rPr>
          <w:sz w:val="20"/>
          <w:szCs w:val="20"/>
          <w:color w:val="auto"/>
        </w:rPr>
      </w:pPr>
      <w:r>
        <w:rPr>
          <w:rFonts w:ascii="Arial" w:cs="Arial" w:eastAsia="Arial" w:hAnsi="Arial"/>
          <w:sz w:val="16"/>
          <w:szCs w:val="16"/>
          <w:b w:val="1"/>
          <w:bCs w:val="1"/>
          <w:color w:val="auto"/>
        </w:rPr>
        <w:t xml:space="preserve">1.04 Exchange Rates; Currency Equivalents. </w:t>
      </w:r>
      <w:r>
        <w:rPr>
          <w:rFonts w:ascii="Arial" w:cs="Arial" w:eastAsia="Arial" w:hAnsi="Arial"/>
          <w:sz w:val="16"/>
          <w:szCs w:val="16"/>
          <w:color w:val="auto"/>
        </w:rPr>
        <w:t>(a) The Administrative Agent or the L/C Issuer, as applicable, shall determine the Spot Rates as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52" w:lineRule="exact"/>
        <w:rPr>
          <w:sz w:val="20"/>
          <w:szCs w:val="20"/>
          <w:color w:val="auto"/>
        </w:rPr>
      </w:pPr>
    </w:p>
    <w:p>
      <w:pPr>
        <w:ind w:right="60" w:firstLine="464"/>
        <w:spacing w:after="0" w:line="257"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80" w:lineRule="exact"/>
        <w:rPr>
          <w:rFonts w:ascii="Arial" w:cs="Arial" w:eastAsia="Arial" w:hAnsi="Arial"/>
          <w:sz w:val="18"/>
          <w:szCs w:val="18"/>
          <w:color w:val="auto"/>
        </w:rPr>
      </w:pPr>
    </w:p>
    <w:p>
      <w:pPr>
        <w:ind w:firstLine="464"/>
        <w:spacing w:after="0" w:line="264"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“Eurocurrency Rate” or with respect to any comparable or successor rate thereto.</w:t>
      </w:r>
    </w:p>
    <w:p>
      <w:pPr>
        <w:spacing w:after="0" w:line="17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1.05 Additional Alternative Currencies. </w:t>
      </w:r>
      <w:r>
        <w:rPr>
          <w:rFonts w:ascii="Arial" w:cs="Arial" w:eastAsia="Arial" w:hAnsi="Arial"/>
          <w:sz w:val="18"/>
          <w:szCs w:val="18"/>
          <w:color w:val="auto"/>
        </w:rPr>
        <w:t>(a) Toro may from time to time request that, with respect to the Revolving Credit Facility, Eurocurrency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Loans be made and/or Letters of Credit be issued in a currency other than those specifically listed in the definition of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(other than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33" w:name="page134"/>
    <w:bookmarkEnd w:id="133"/>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Dollars) that is readily available and freely transferable and convertible into Dollars. In the case of any such request with respect to the making of Eurocurrency Rate Loans, such request shall be subject to the approval of the Administrative Agent and the Revolving Credit Lenders; and in the case of any such request with respect to the issuance of Letters of Credit, such request shall be subject to the approval of the Administrative Agent and the L/C Issuer.</w:t>
      </w:r>
    </w:p>
    <w:p>
      <w:pPr>
        <w:spacing w:after="0" w:line="39" w:lineRule="exact"/>
        <w:rPr>
          <w:sz w:val="20"/>
          <w:szCs w:val="20"/>
          <w:color w:val="auto"/>
        </w:rPr>
      </w:pPr>
    </w:p>
    <w:p>
      <w:pPr>
        <w:ind w:right="100" w:firstLine="464"/>
        <w:spacing w:after="0" w:line="254" w:lineRule="auto"/>
        <w:tabs>
          <w:tab w:leader="none" w:pos="7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Revolving Credit Lender thereof; and in the case of any such request pertaining to Letters of Credit, the Administrative Agent shall promptly notify the L/C Issuer thereof. Each Revolving Credit Lender (in the case of any such request pertaining to Eurocurrency Rate Loans) or the L/C Issuer (in the case of a request pertaining to Letters of Credit) shall notify the Administrative Agent, not later than 11:00 a.m., ten Business Days after receipt of such request whether it consents, in its sole discretion, to the making of Eurocurrency Rate Loans or the issuance of Letters of Credit, as the case may be, in such requested currency.</w:t>
      </w:r>
    </w:p>
    <w:p>
      <w:pPr>
        <w:spacing w:after="0" w:line="84" w:lineRule="exact"/>
        <w:rPr>
          <w:rFonts w:ascii="Arial" w:cs="Arial" w:eastAsia="Arial" w:hAnsi="Arial"/>
          <w:sz w:val="18"/>
          <w:szCs w:val="18"/>
          <w:color w:val="auto"/>
        </w:rPr>
      </w:pPr>
    </w:p>
    <w:p>
      <w:pPr>
        <w:ind w:firstLine="464"/>
        <w:spacing w:after="0" w:line="253" w:lineRule="auto"/>
        <w:tabs>
          <w:tab w:leader="none" w:pos="70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Any failure by a Revolving Credit Lender or the L/C Issuer, as the case may be, to respond to such request within the time period specified in the last sentence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shall be deemed to be a refusal by such Revolving Credit Lender or the L/C Issuer, as the case may be, to permit Eurocurrency Rate Loans to be made or Letters of Credit to be issued in such requested currency. If the Administrative Agent and all the Revolving Credit Lenders consent to making Eurocurrency Rate Loans in such requested currency, the Administrative Agent shall so notify Toro and such currency shall thereupon be deemed for all purposes to be an Alternative Currency hereunder for purposes of any Revolving Credit Borrowings of Eurocurrency Rate Loans; and if the Administrative Agent and the L/C Issuer consent to the issuance of Letters of Credit in such requested currency, the Administrative Agent shall so notify Toro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8"/>
          <w:szCs w:val="18"/>
          <w:u w:val="single" w:color="auto"/>
          <w:color w:val="auto"/>
        </w:rPr>
        <w:t>Section 1.05</w:t>
      </w:r>
      <w:r>
        <w:rPr>
          <w:rFonts w:ascii="Arial" w:cs="Arial" w:eastAsia="Arial" w:hAnsi="Arial"/>
          <w:sz w:val="18"/>
          <w:szCs w:val="18"/>
          <w:color w:val="auto"/>
        </w:rPr>
        <w:t>, the Administrative Agent shall promptly so notify Toro.</w:t>
      </w:r>
    </w:p>
    <w:p>
      <w:pPr>
        <w:spacing w:after="0" w:line="193"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b w:val="1"/>
          <w:bCs w:val="1"/>
          <w:color w:val="auto"/>
        </w:rPr>
        <w:t xml:space="preserve">1.06 Change of Currency. </w:t>
      </w:r>
      <w:r>
        <w:rPr>
          <w:rFonts w:ascii="Arial" w:cs="Arial" w:eastAsia="Arial" w:hAnsi="Arial"/>
          <w:sz w:val="16"/>
          <w:szCs w:val="16"/>
          <w:color w:val="auto"/>
        </w:rPr>
        <w:t>(a) Each obligation of the Borrowers to make a payment denominated in the national currency unit of any member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134" w:name="page135"/>
    <w:bookmarkEnd w:id="134"/>
    <w:p>
      <w:pPr>
        <w:ind w:right="240" w:firstLine="464"/>
        <w:spacing w:after="0" w:line="264" w:lineRule="auto"/>
        <w:tabs>
          <w:tab w:leader="none" w:pos="711"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73" w:lineRule="exact"/>
        <w:rPr>
          <w:rFonts w:ascii="Arial" w:cs="Arial" w:eastAsia="Arial" w:hAnsi="Arial"/>
          <w:sz w:val="18"/>
          <w:szCs w:val="18"/>
          <w:color w:val="auto"/>
        </w:rPr>
      </w:pPr>
    </w:p>
    <w:p>
      <w:pPr>
        <w:ind w:right="140" w:firstLine="464"/>
        <w:spacing w:after="0" w:line="264" w:lineRule="auto"/>
        <w:tabs>
          <w:tab w:leader="none" w:pos="70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7"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1.07 Times of Day. </w:t>
      </w:r>
      <w:r>
        <w:rPr>
          <w:rFonts w:ascii="Arial" w:cs="Arial" w:eastAsia="Arial" w:hAnsi="Arial"/>
          <w:sz w:val="18"/>
          <w:szCs w:val="18"/>
          <w:color w:val="auto"/>
        </w:rPr>
        <w:t>Unless otherwise specified, all references herein to times of day shall be references to Central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1.08 Letter of Credit Amounts. </w:t>
      </w:r>
      <w:r>
        <w:rPr>
          <w:rFonts w:ascii="Arial" w:cs="Arial" w:eastAsia="Arial" w:hAnsi="Arial"/>
          <w:sz w:val="18"/>
          <w:szCs w:val="18"/>
          <w:color w:val="auto"/>
        </w:rPr>
        <w:t>Unless otherwise specified herein, the amount of a Letter of Credit at any time shall be deemed to be the Dollar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1.09 Rounding. </w:t>
      </w:r>
      <w:r>
        <w:rPr>
          <w:rFonts w:ascii="Arial" w:cs="Arial" w:eastAsia="Arial" w:hAnsi="Arial"/>
          <w:sz w:val="18"/>
          <w:szCs w:val="18"/>
          <w:color w:val="auto"/>
        </w:rPr>
        <w:t>Any financial ratios required to be maintained by the Borrowers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 Loans.</w:t>
      </w:r>
    </w:p>
    <w:p>
      <w:pPr>
        <w:spacing w:after="0" w:line="121" w:lineRule="exact"/>
        <w:rPr>
          <w:sz w:val="20"/>
          <w:szCs w:val="20"/>
          <w:color w:val="auto"/>
        </w:rPr>
      </w:pPr>
    </w:p>
    <w:p>
      <w:pPr>
        <w:ind w:right="100" w:firstLine="464"/>
        <w:spacing w:after="0" w:line="293" w:lineRule="auto"/>
        <w:tabs>
          <w:tab w:leader="none" w:pos="701"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Term Loan Borrowing</w:t>
      </w:r>
      <w:r>
        <w:rPr>
          <w:rFonts w:ascii="Arial" w:cs="Arial" w:eastAsia="Arial" w:hAnsi="Arial"/>
          <w:sz w:val="16"/>
          <w:szCs w:val="16"/>
          <w:color w:val="auto"/>
        </w:rPr>
        <w:t xml:space="preserve">. Subject to the terms and conditions set forth herein, each Term Loan Lender severally agrees to make a single loan in Dollars to Toro on the Business Day following the Closing Date in an amount not to exceed such Term Loan Lender’s Term Loan Commitment. The Term Loan Borrowing shall consist of Term Loans made simultaneously by the Term Loan Lenders in accordance with their respective Term Loan Commitments. Amounts borrowed under this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and repaid or prepaid may not be reborrowed. Term Loans may be Base Rate Loans or Eurodollar Rate Loans, as further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Term Loan Borrowing made on the Business Day following the Closing Date shall be made as Base Rate Loans unless Toro delivers a Funding Indemnity Letter not less than three (3) Business Days prior to the date of such Term Loan Borrowing.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135" w:name="page136"/>
    <w:bookmarkEnd w:id="135"/>
    <w:p>
      <w:pPr>
        <w:ind w:left="-8" w:right="20" w:firstLine="464"/>
        <w:spacing w:after="0" w:line="270" w:lineRule="auto"/>
        <w:tabs>
          <w:tab w:leader="none" w:pos="703"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Credit Borrowings</w:t>
      </w:r>
      <w:r>
        <w:rPr>
          <w:rFonts w:ascii="Arial" w:cs="Arial" w:eastAsia="Arial" w:hAnsi="Arial"/>
          <w:sz w:val="17"/>
          <w:szCs w:val="17"/>
          <w:color w:val="auto"/>
        </w:rPr>
        <w:t>. Subject to the terms and conditions set forth herein, each Revolving Credit Lender severally agrees to make loans (each such loan, a “</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to any of the Borrowers in Dollars or in one or more Alternative Currencies from time to time, on any Business Day during the Availability Period, the Dollar Equivalent of which does not exceed at any time outstanding the amount of such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Revolving Credit Borrowing, (i) the Total Revolving Credit Outstandings shall not exceed the Aggregate Revolving Credit Commitments, and (ii) the Revolving Credit Exposure of any Revolving Credit Lender shall not exceed such Lender’s Revolving Credit Commitment. Within the limits of each Revolving Credit Lender’s Revolving Credit Commitment, and subject to the other terms and conditions hereof, the Borrowers may borrow under this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Revolving Credit Loans may be Base Rate Loans or Eurocurrency Rate Loans, as further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Revolving Credit Borrowings made on the Closing Date or any of the three (3) Business Days following the Closing Date shall be made as Base Rate Loans unless Toro delivers a Funding Indemnity Letter not less than three (3) Business Days prior to the date of such Revolving Credit Borrowing.</w:t>
      </w:r>
    </w:p>
    <w:p>
      <w:pPr>
        <w:spacing w:after="0" w:line="174"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2.02 Borrowings, Conversions and Continuations of Loans.</w:t>
      </w:r>
    </w:p>
    <w:p>
      <w:pPr>
        <w:spacing w:after="0" w:line="121" w:lineRule="exact"/>
        <w:rPr>
          <w:sz w:val="20"/>
          <w:szCs w:val="20"/>
          <w:color w:val="auto"/>
        </w:rPr>
      </w:pPr>
    </w:p>
    <w:p>
      <w:pPr>
        <w:ind w:left="-8" w:right="200" w:firstLine="464"/>
        <w:spacing w:after="0" w:line="291" w:lineRule="auto"/>
        <w:tabs>
          <w:tab w:leader="none" w:pos="693"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Each Term Loan Borrowing, each Revolving Credit Borrowing, each conversion of Term Loans or Revolving Credit Loans from one Type to the other, and each continuation of Eurocurrency Rate Loans shall be made upon Toro’s irrevocable notice to the Administrative Agent, which may be given by</w:t>
      </w:r>
    </w:p>
    <w:p>
      <w:pPr>
        <w:ind w:left="-8" w:firstLine="8"/>
        <w:spacing w:after="0" w:line="266" w:lineRule="auto"/>
        <w:tabs>
          <w:tab w:leader="none" w:pos="28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telephone or (B) a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Loan Notice. Each such Loan Notice must be received by the Administrative Agent not later than 11:00 a.m. (i) three (3) Business Days prior to the requested date of any Borrowing of, conversion to or continuation of Eurocurrency Rate Loans denominated in Dollars or of any conversion of Eurocurrency Rate Loans denominated in Dollars to Base Rate Loans, (ii) four (4) Business Days (or five (5) Business Days in the case of a Special Notice Currency) prior to the requested date of any Borrowing or continuation of Eurocurrency Rate Loans denominated in Alternative Currencies, and (iii) on the requested date of any Borrowing of Base Rate Loans. Each Borrowing of, conversion to or continuation of Eurocurrency Rate Loans shall be in a principal amount of $5,000,000 or a whole multiple of $1,000,000 in excess thereof. Except as provided in </w:t>
      </w:r>
      <w:r>
        <w:rPr>
          <w:rFonts w:ascii="Arial" w:cs="Arial" w:eastAsia="Arial" w:hAnsi="Arial"/>
          <w:sz w:val="17"/>
          <w:szCs w:val="17"/>
          <w:u w:val="single" w:color="auto"/>
          <w:color w:val="auto"/>
        </w:rPr>
        <w:t>Sections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2.04(c)</w:t>
      </w:r>
      <w:r>
        <w:rPr>
          <w:rFonts w:ascii="Arial" w:cs="Arial" w:eastAsia="Arial" w:hAnsi="Arial"/>
          <w:sz w:val="17"/>
          <w:szCs w:val="17"/>
          <w:color w:val="auto"/>
        </w:rPr>
        <w:t xml:space="preserve">, each Borrowing of or conversion to Base Rate Loans shall be in a principal amount of $500,000 or a whole multiple of $100,000 in excess thereof. Each Loan Notice shall specify (i) whether Toro (for itself or on behalf of a Subsidiary Borrower) is requesting a Term Loan Borrowing, a Revolving Credit Borrowing, a conversion of Term Loans or Revolving Credit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(v) if applicable, the duration of the Interest Period with respect thereto, (vi) in the case of Revolving Credit Loans, the currency of the Loans to be borrowed, and (vii) the applicable Borrower for which the Loan is being requested. If Toro fails to specify a currency in a Loan Notice requesting a Borrowing, then the Revolving Credit Loans so requested shall be made in Dollars. If Toro fails to specify a Type of Loan in a Loan Notice or if Toro fails to give a timely notice requesting a conversion or continuation, then the applicable Term Loans or Revolving Credit Loans shall be made as, or converted to, Base Rate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failure to timely request a continuation of</w:t>
      </w:r>
    </w:p>
    <w:p>
      <w:pPr>
        <w:spacing w:after="0" w:line="1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12"/>
          </w:cols>
          <w:pgMar w:left="248" w:top="274" w:right="239" w:bottom="1440" w:gutter="0" w:footer="0" w:header="0"/>
        </w:sectPr>
      </w:pPr>
    </w:p>
    <w:bookmarkStart w:id="136" w:name="page137"/>
    <w:bookmarkEnd w:id="136"/>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Credit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Toro requests a Borrowing of, conversion to, or continuation of Eurocurrency Rate Loans in any such Loan Notice, but fails to specify an Interest Period, it will be deemed to have specified an Interest Period of one month. No Revolving Credit Loan may be converted into or continued as a Revolving Credit Loan denominated in a different currency, but instead must be prepaid in the original currency of such Revolving Credit Loan and reborrowed in the other currency.</w:t>
      </w:r>
    </w:p>
    <w:p>
      <w:pPr>
        <w:spacing w:after="0" w:line="85" w:lineRule="exact"/>
        <w:rPr>
          <w:sz w:val="20"/>
          <w:szCs w:val="20"/>
          <w:color w:val="auto"/>
        </w:rPr>
      </w:pPr>
    </w:p>
    <w:p>
      <w:pPr>
        <w:ind w:firstLine="464"/>
        <w:spacing w:after="0" w:line="268" w:lineRule="auto"/>
        <w:tabs>
          <w:tab w:leader="none" w:pos="71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for a Facility, the Administrative Agent shall promptly notify each Appropriate Lender of the amount (and currency) of its Applicable Percentage under such Facility of the applicable Loans, and if no timely notice of a conversion or continuation is provided by Toro, the Administrative Agent shall notify each Appropriate Lender of the details of any automatic conversion to Base Rate Loans or, in the case of Revolving Credit Loans, continuation of such Loans denominated in a currency other than Dollars, in each case as described in the preceding subsection. In the case of a Term Loan Borrowing or Revolving Credit Borrowing,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Revolving Credit Loan denominated in an Alternative Currency, in each case on the Business Day specified in the applicable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applicable Borrower identified in the Loan Notice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such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a Loan Notice with respect to a Revolving Credit Borrowing denominated in Dollars is given to the Administrative Agent, there are L/C Borrowings outstanding owing by the same such applicable Borrower, then the proceeds of such Revolving Credit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applicable Borrower as provided above.</w:t>
      </w:r>
    </w:p>
    <w:p>
      <w:pPr>
        <w:spacing w:after="0" w:line="75" w:lineRule="exact"/>
        <w:rPr>
          <w:rFonts w:ascii="Arial" w:cs="Arial" w:eastAsia="Arial" w:hAnsi="Arial"/>
          <w:sz w:val="17"/>
          <w:szCs w:val="17"/>
          <w:color w:val="auto"/>
        </w:rPr>
      </w:pPr>
    </w:p>
    <w:p>
      <w:pPr>
        <w:ind w:right="20" w:firstLine="464"/>
        <w:spacing w:after="0" w:line="276" w:lineRule="auto"/>
        <w:tabs>
          <w:tab w:leader="none" w:pos="70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Facility Lenders, and the Required Revolving Credit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64" w:lineRule="exact"/>
        <w:rPr>
          <w:rFonts w:ascii="Arial" w:cs="Arial" w:eastAsia="Arial" w:hAnsi="Arial"/>
          <w:sz w:val="17"/>
          <w:szCs w:val="17"/>
          <w:color w:val="auto"/>
        </w:rPr>
      </w:pPr>
    </w:p>
    <w:p>
      <w:pPr>
        <w:ind w:right="40" w:firstLine="464"/>
        <w:spacing w:after="0" w:line="312" w:lineRule="auto"/>
        <w:tabs>
          <w:tab w:leader="none" w:pos="71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Administrative Agent shall promptly notify Toro and the Lenders of the interest rate applicable to any Interest Period for Eurocurrency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37" w:name="page138"/>
    <w:bookmarkEnd w:id="137"/>
    <w:p>
      <w:pPr>
        <w:jc w:val="both"/>
        <w:ind w:left="-80" w:right="40" w:firstLine="464"/>
        <w:spacing w:after="0" w:line="279" w:lineRule="auto"/>
        <w:tabs>
          <w:tab w:leader="none" w:pos="621"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giving effect to all Term Loan Borrowings, all conversions of Term Loans from one Type to the other, and all continuations of Term Loans as the same Type, there shall not be more than eight Interest Periods in effect with respect to the Term Loan Facility. After giving effect to all Revolving Credit Borrowings, all conversions of Revolving Credit Loans from one Type to the other, and all continuations of Revolving Credit Loans as the same Type, there shall not be more than eight Interest Periods in effect with respect to the Revolving Credit Facility.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2.03 Letters of Credit.</w:t>
      </w:r>
    </w:p>
    <w:p>
      <w:pPr>
        <w:spacing w:after="0" w:line="121" w:lineRule="exact"/>
        <w:rPr>
          <w:sz w:val="20"/>
          <w:szCs w:val="20"/>
          <w:color w:val="auto"/>
        </w:rPr>
      </w:pPr>
    </w:p>
    <w:p>
      <w:pPr>
        <w:ind w:left="620" w:hanging="236"/>
        <w:spacing w:after="0"/>
        <w:tabs>
          <w:tab w:leader="none" w:pos="6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80" w:firstLine="443"/>
        <w:spacing w:after="0" w:line="268" w:lineRule="auto"/>
        <w:tabs>
          <w:tab w:leader="none" w:pos="1033" w:val="left"/>
        </w:tabs>
        <w:numPr>
          <w:ilvl w:val="1"/>
          <w:numId w:val="156"/>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the L/C Issuer agrees, in reliance upon the agreements of the Revolving Credit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Letter of Credit Expiration Date, to issue Letters of Credit denominated in Dollars or in one or more Alternative Currencies for the account of an L/C Party, and to amend or extend Letters of Credit previously issued by it, in accordance with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and (2) to honor drawings under the Letters of Credit; and (B) the Revolving Credit Lenders severally agree to participate in Letters of Credit issued for the account of any L/C Party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(x) the Total Revolving Credit Outstandings shall not exceed the Aggregate Revolving Credit Commitments, (y) the Revolving Credit Exposure of any Revolving Credit Lender shall not exceed such Lender’s Revolving Credit Commitment, and (z) the Outstanding Amount of the L/C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 revolving, and accordingly each L/C Party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77" w:lineRule="exact"/>
        <w:rPr>
          <w:rFonts w:ascii="Arial" w:cs="Arial" w:eastAsia="Arial" w:hAnsi="Arial"/>
          <w:sz w:val="17"/>
          <w:szCs w:val="17"/>
          <w:color w:val="auto"/>
        </w:rPr>
      </w:pPr>
    </w:p>
    <w:p>
      <w:pPr>
        <w:ind w:left="1080" w:hanging="257"/>
        <w:spacing w:after="0"/>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left="840" w:right="80" w:firstLine="421"/>
        <w:spacing w:after="0" w:line="277" w:lineRule="auto"/>
        <w:tabs>
          <w:tab w:leader="none" w:pos="1555" w:val="left"/>
        </w:tabs>
        <w:numPr>
          <w:ilvl w:val="2"/>
          <w:numId w:val="15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such requested Letter of Credit would occur more than thirty months after the date of issuance or last extension, unless the Required Revolving Lenders have approved such expiry date;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320" w:top="274" w:right="299" w:bottom="1440" w:gutter="0" w:footer="0" w:header="0"/>
        </w:sectPr>
      </w:pPr>
    </w:p>
    <w:bookmarkStart w:id="138" w:name="page139"/>
    <w:bookmarkEnd w:id="138"/>
    <w:p>
      <w:pPr>
        <w:ind w:left="17" w:firstLine="421"/>
        <w:spacing w:after="0" w:line="277" w:lineRule="auto"/>
        <w:tabs>
          <w:tab w:leader="none" w:pos="722" w:val="left"/>
        </w:tabs>
        <w:numPr>
          <w:ilvl w:val="1"/>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expiry date of such requested Letter of Credit would occur after the Letter of Credit Expiration Date, unless all the Revolving Credit Lenders have approved such expiry date.</w:t>
      </w:r>
    </w:p>
    <w:p>
      <w:pPr>
        <w:spacing w:after="0" w:line="62" w:lineRule="exact"/>
        <w:rPr>
          <w:rFonts w:ascii="Arial" w:cs="Arial" w:eastAsia="Arial" w:hAnsi="Arial"/>
          <w:sz w:val="18"/>
          <w:szCs w:val="18"/>
          <w:color w:val="auto"/>
        </w:rPr>
      </w:pPr>
    </w:p>
    <w:p>
      <w:pPr>
        <w:ind w:left="317" w:hanging="317"/>
        <w:spacing w:after="0"/>
        <w:tabs>
          <w:tab w:leader="none" w:pos="31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117" w:lineRule="exact"/>
        <w:rPr>
          <w:rFonts w:ascii="Arial" w:cs="Arial" w:eastAsia="Arial" w:hAnsi="Arial"/>
          <w:sz w:val="18"/>
          <w:szCs w:val="18"/>
          <w:color w:val="auto"/>
        </w:rPr>
      </w:pPr>
    </w:p>
    <w:p>
      <w:pPr>
        <w:ind w:left="17" w:right="20" w:firstLine="421"/>
        <w:spacing w:after="0" w:line="255" w:lineRule="auto"/>
        <w:tabs>
          <w:tab w:leader="none" w:pos="73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81" w:lineRule="exact"/>
        <w:rPr>
          <w:rFonts w:ascii="Arial" w:cs="Arial" w:eastAsia="Arial" w:hAnsi="Arial"/>
          <w:sz w:val="18"/>
          <w:szCs w:val="18"/>
          <w:color w:val="auto"/>
        </w:rPr>
      </w:pPr>
    </w:p>
    <w:p>
      <w:pPr>
        <w:ind w:left="717" w:hanging="279"/>
        <w:spacing w:after="0"/>
        <w:tabs>
          <w:tab w:leader="none" w:pos="71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the L/C Issuer applicable to letters of credit generally;</w:t>
      </w:r>
    </w:p>
    <w:p>
      <w:pPr>
        <w:spacing w:after="0" w:line="128" w:lineRule="exact"/>
        <w:rPr>
          <w:rFonts w:ascii="Arial" w:cs="Arial" w:eastAsia="Arial" w:hAnsi="Arial"/>
          <w:sz w:val="17"/>
          <w:szCs w:val="17"/>
          <w:color w:val="auto"/>
        </w:rPr>
      </w:pPr>
    </w:p>
    <w:p>
      <w:pPr>
        <w:ind w:left="17" w:right="60" w:firstLine="421"/>
        <w:spacing w:after="0" w:line="277" w:lineRule="auto"/>
        <w:tabs>
          <w:tab w:leader="none" w:pos="72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than the Dollar Equivalent of $1,000,000;</w:t>
      </w:r>
    </w:p>
    <w:p>
      <w:pPr>
        <w:spacing w:after="0" w:line="62" w:lineRule="exact"/>
        <w:rPr>
          <w:rFonts w:ascii="Arial" w:cs="Arial" w:eastAsia="Arial" w:hAnsi="Arial"/>
          <w:sz w:val="18"/>
          <w:szCs w:val="18"/>
          <w:color w:val="auto"/>
        </w:rPr>
      </w:pPr>
    </w:p>
    <w:p>
      <w:pPr>
        <w:ind w:left="17" w:right="280" w:firstLine="421"/>
        <w:spacing w:after="0" w:line="277" w:lineRule="auto"/>
        <w:tabs>
          <w:tab w:leader="none" w:pos="73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to be denominated in a currency other than Dollars or an Alternative Currency;</w:t>
      </w:r>
    </w:p>
    <w:p>
      <w:pPr>
        <w:spacing w:after="0" w:line="62" w:lineRule="exact"/>
        <w:rPr>
          <w:rFonts w:ascii="Arial" w:cs="Arial" w:eastAsia="Arial" w:hAnsi="Arial"/>
          <w:sz w:val="18"/>
          <w:szCs w:val="18"/>
          <w:color w:val="auto"/>
        </w:rPr>
      </w:pPr>
    </w:p>
    <w:p>
      <w:pPr>
        <w:ind w:left="717" w:hanging="279"/>
        <w:spacing w:after="0"/>
        <w:tabs>
          <w:tab w:leader="none" w:pos="71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L/C Issuer does not as of the issuance date of such requested Letter of Credit issue Letters of Credit in the requested currency; or</w:t>
      </w:r>
    </w:p>
    <w:p>
      <w:pPr>
        <w:spacing w:after="0" w:line="140" w:lineRule="exact"/>
        <w:rPr>
          <w:rFonts w:ascii="Arial" w:cs="Arial" w:eastAsia="Arial" w:hAnsi="Arial"/>
          <w:sz w:val="16"/>
          <w:szCs w:val="16"/>
          <w:color w:val="auto"/>
        </w:rPr>
      </w:pPr>
    </w:p>
    <w:p>
      <w:pPr>
        <w:ind w:left="17" w:right="60" w:firstLine="421"/>
        <w:spacing w:after="0" w:line="257" w:lineRule="auto"/>
        <w:tabs>
          <w:tab w:leader="none" w:pos="70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the L/C Issuer has entered into arrangements, including the delivery of Cash Collateral, satisfactory to the L/C Issuer (in its sole discretion) with the L/C Parties or such Defaulting Lender to eliminate the L/C Issuer’s actual or potential Fronting Exposure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with respect to such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80" w:lineRule="exact"/>
        <w:rPr>
          <w:rFonts w:ascii="Arial" w:cs="Arial" w:eastAsia="Arial" w:hAnsi="Arial"/>
          <w:sz w:val="18"/>
          <w:szCs w:val="18"/>
          <w:color w:val="auto"/>
        </w:rPr>
      </w:pPr>
    </w:p>
    <w:p>
      <w:pPr>
        <w:ind w:left="737" w:hanging="299"/>
        <w:spacing w:after="0"/>
        <w:tabs>
          <w:tab w:leader="none" w:pos="73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w:t>
      </w:r>
    </w:p>
    <w:p>
      <w:pPr>
        <w:spacing w:after="0" w:line="169"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17"/>
          </w:cols>
          <w:pgMar w:left="1143" w:top="274" w:right="239" w:bottom="1440" w:gutter="0" w:footer="0" w:header="0"/>
        </w:sectPr>
      </w:pPr>
    </w:p>
    <w:bookmarkStart w:id="139" w:name="page140"/>
    <w:bookmarkEnd w:id="139"/>
    <w:p>
      <w:pPr>
        <w:ind w:right="60" w:firstLine="443"/>
        <w:spacing w:after="0" w:line="277" w:lineRule="auto"/>
        <w:tabs>
          <w:tab w:leader="none" w:pos="743"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L/C Issuer shall not amend any Letter of Credit if the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firstLine="443"/>
        <w:spacing w:after="0" w:line="264" w:lineRule="auto"/>
        <w:tabs>
          <w:tab w:leader="none" w:pos="69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right="80" w:firstLine="443"/>
        <w:spacing w:after="0" w:line="276" w:lineRule="auto"/>
        <w:tabs>
          <w:tab w:leader="none" w:pos="743"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the L/C Issuer with respect to such acts or omissions, and (B) as additionally provided herein with respect to the L/C Issuer.</w:t>
      </w:r>
    </w:p>
    <w:p>
      <w:pPr>
        <w:spacing w:after="0" w:line="64" w:lineRule="exact"/>
        <w:rPr>
          <w:rFonts w:ascii="Arial" w:cs="Arial" w:eastAsia="Arial" w:hAnsi="Arial"/>
          <w:sz w:val="17"/>
          <w:szCs w:val="17"/>
          <w:color w:val="auto"/>
        </w:rPr>
      </w:pPr>
    </w:p>
    <w:p>
      <w:pPr>
        <w:ind w:left="260" w:hanging="256"/>
        <w:spacing w:after="0"/>
        <w:tabs>
          <w:tab w:leader="none" w:pos="26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43"/>
        <w:spacing w:after="0" w:line="284" w:lineRule="auto"/>
        <w:tabs>
          <w:tab w:leader="none" w:pos="653"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w:t>
      </w:r>
    </w:p>
    <w:p>
      <w:pPr>
        <w:spacing w:after="0" w:line="1"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(C) the expiry date thereof; (D) the name and address of the beneficiary thereof; (E) the documents to be presented by such beneficiary in case of any drawing thereunder; (F) the full text of any certificate to be presented by such beneficiary in case of any drawing thereunder; (G) the applicable L/C Party for which such Letter of Credit is requested to be issued; (H) the purpose and nature of the requested Letter of Credit; and (I)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700" w:top="274" w:right="279" w:bottom="1440" w:gutter="0" w:footer="0" w:header="0"/>
        </w:sectPr>
      </w:pPr>
    </w:p>
    <w:bookmarkStart w:id="140" w:name="page141"/>
    <w:bookmarkEnd w:id="140"/>
    <w:p>
      <w:pPr>
        <w:ind w:firstLine="443"/>
        <w:spacing w:after="0" w:line="253" w:lineRule="auto"/>
        <w:tabs>
          <w:tab w:leader="none" w:pos="703" w:val="left"/>
        </w:tabs>
        <w:numPr>
          <w:ilvl w:val="1"/>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86" w:lineRule="exact"/>
        <w:rPr>
          <w:rFonts w:ascii="Arial" w:cs="Arial" w:eastAsia="Arial" w:hAnsi="Arial"/>
          <w:sz w:val="18"/>
          <w:szCs w:val="18"/>
          <w:color w:val="auto"/>
        </w:rPr>
      </w:pPr>
    </w:p>
    <w:p>
      <w:pPr>
        <w:ind w:right="20" w:firstLine="443"/>
        <w:spacing w:after="0" w:line="283" w:lineRule="auto"/>
        <w:tabs>
          <w:tab w:leader="none" w:pos="753"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If Toro so requests in any applicable Letter of Credit Application, the L/C Issuer may, in its sole and absolute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five Business Days before the Non-Extension Notice Date</w:t>
      </w:r>
    </w:p>
    <w:p>
      <w:pPr>
        <w:spacing w:after="0" w:line="4" w:lineRule="exact"/>
        <w:rPr>
          <w:rFonts w:ascii="Arial" w:cs="Arial" w:eastAsia="Arial" w:hAnsi="Arial"/>
          <w:sz w:val="16"/>
          <w:szCs w:val="16"/>
          <w:color w:val="auto"/>
        </w:rPr>
      </w:pPr>
    </w:p>
    <w:p>
      <w:pPr>
        <w:ind w:right="80" w:firstLine="4"/>
        <w:spacing w:after="0" w:line="255"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from the Administrative Agent that the Required Revolving Lenders have elected not to permit such extension or (2) from the Administrative Agent, any Revolving Credit Lender or any Loan Party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the L/C Issuer not to permit such extension.</w:t>
      </w:r>
    </w:p>
    <w:p>
      <w:pPr>
        <w:spacing w:after="0" w:line="1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74" w:right="259" w:bottom="1440" w:gutter="0" w:footer="0" w:header="0"/>
        </w:sectPr>
      </w:pPr>
    </w:p>
    <w:bookmarkStart w:id="141" w:name="page142"/>
    <w:bookmarkEnd w:id="141"/>
    <w:p>
      <w:pPr>
        <w:ind w:firstLine="443"/>
        <w:spacing w:after="0" w:line="264" w:lineRule="auto"/>
        <w:tabs>
          <w:tab w:leader="none" w:pos="743" w:val="left"/>
        </w:tabs>
        <w:numPr>
          <w:ilvl w:val="1"/>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73" w:lineRule="exact"/>
        <w:rPr>
          <w:rFonts w:ascii="Arial" w:cs="Arial" w:eastAsia="Arial" w:hAnsi="Arial"/>
          <w:sz w:val="18"/>
          <w:szCs w:val="18"/>
          <w:color w:val="auto"/>
        </w:rPr>
      </w:pPr>
    </w:p>
    <w:p>
      <w:pPr>
        <w:ind w:left="240" w:hanging="236"/>
        <w:spacing w:after="0"/>
        <w:tabs>
          <w:tab w:leader="none" w:pos="2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84" w:lineRule="auto"/>
        <w:tabs>
          <w:tab w:leader="none" w:pos="65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L/C Issuer shall notify the applicable L/C Party and the Administrative Agent thereof. In the case of a Letter of Credit denominated in an Alternative Currency, such L/C Party shall reimburse the L/C Issuer in such Alternative Currency, unless (A) the L/C Issuer (at its option) shall have specified in such notice that it will require reimbursement in Dollars, or (B) in the absence of any such requirement for reimbursement in Dollars, such L/C Party shall have notified the L/C Issuer promptly following receipt of the notice of drawing that the L/C Party will reimburse the L/C Issuer in Dollars. In the case of any such reimbursement in Dollars of a drawing under a Letter of Credit denominated in an Alternative Currency, the L/C Issuer shall notify the applicable L/C Party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xml:space="preserve">”), the applicable L/C Party shall reimburse the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and (B) the Dollar amount paid by applicable L/C Party, whether on or after the Honor Date, shall not be adequate on the date of that payment to purchase in accordance with normal banking procedures a sum denominated in the Alternative Currency equal to the drawing, each L/C Party agrees, as a separate and independent obligation, to indemnify the L/C Issuer for the loss resulting from its inability on that date to purchase the Alternative Currency in the full amount of the drawing. If the applicable L/C Party fails to so reimburse the L/C Issuer by such time, the Administrative Agent or the L/C Issuer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Credit Lender’s Applicable Revolving Credit Percentage thereof. In such event, the applicable L/C Party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700" w:top="274" w:right="259" w:bottom="1440" w:gutter="0" w:footer="0" w:header="0"/>
        </w:sectPr>
      </w:pPr>
    </w:p>
    <w:bookmarkStart w:id="142" w:name="page143"/>
    <w:bookmarkEnd w:id="142"/>
    <w:p>
      <w:pPr>
        <w:ind w:right="80" w:firstLine="443"/>
        <w:spacing w:after="0" w:line="255" w:lineRule="auto"/>
        <w:tabs>
          <w:tab w:leader="none" w:pos="703"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Loan to the applicable L/C Party in such amount. The Administrative Agent shall remit the funds so received to the L/C Issuer in Dollars.</w:t>
      </w:r>
    </w:p>
    <w:p>
      <w:pPr>
        <w:spacing w:after="0" w:line="85" w:lineRule="exact"/>
        <w:rPr>
          <w:rFonts w:ascii="Arial" w:cs="Arial" w:eastAsia="Arial" w:hAnsi="Arial"/>
          <w:sz w:val="18"/>
          <w:szCs w:val="18"/>
          <w:color w:val="auto"/>
        </w:rPr>
      </w:pPr>
    </w:p>
    <w:p>
      <w:pPr>
        <w:ind w:firstLine="443"/>
        <w:spacing w:after="0" w:line="293" w:lineRule="auto"/>
        <w:tabs>
          <w:tab w:leader="none" w:pos="75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Revolving Credit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100" w:firstLine="443"/>
        <w:spacing w:after="0" w:line="264" w:lineRule="auto"/>
        <w:tabs>
          <w:tab w:leader="none" w:pos="74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Revolving Credit Lender’s Applicable Revolving Credit Percentage of such amount shall be solely for the account of the L/C Issuer.</w:t>
      </w:r>
    </w:p>
    <w:p>
      <w:pPr>
        <w:spacing w:after="0" w:line="73" w:lineRule="exact"/>
        <w:rPr>
          <w:rFonts w:ascii="Arial" w:cs="Arial" w:eastAsia="Arial" w:hAnsi="Arial"/>
          <w:sz w:val="18"/>
          <w:szCs w:val="18"/>
          <w:color w:val="auto"/>
        </w:rPr>
      </w:pPr>
    </w:p>
    <w:p>
      <w:pPr>
        <w:ind w:right="60" w:firstLine="443"/>
        <w:spacing w:after="0" w:line="290" w:lineRule="auto"/>
        <w:tabs>
          <w:tab w:leader="none" w:pos="693"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Revolving Credit Lender may have against the L/C Issuer, either L/C Party, any Subsidiary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Revolving Credit Lender’s obligation to make Revolving Credit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delivery by an L/C Party of a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74" w:right="239" w:bottom="1440" w:gutter="0" w:footer="0" w:header="0"/>
        </w:sectPr>
      </w:pPr>
    </w:p>
    <w:bookmarkStart w:id="143" w:name="page144"/>
    <w:bookmarkEnd w:id="143"/>
    <w:p>
      <w:pPr>
        <w:ind w:left="440" w:firstLine="443"/>
        <w:spacing w:after="0" w:line="270" w:lineRule="auto"/>
        <w:tabs>
          <w:tab w:leader="none" w:pos="1183" w:val="left"/>
        </w:tabs>
        <w:numPr>
          <w:ilvl w:val="1"/>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Revolving Credit Lender fails to make available to the Administrative Agent for the account of the L/C Issuer any amount required to be paid by such Revolving Credit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then, without limiting the other provisions of this Agreement, the L/C Issuer shall be entitled to recover from such Revolving Credit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shall be conclusive absent manifest error.</w:t>
      </w:r>
    </w:p>
    <w:p>
      <w:pPr>
        <w:spacing w:after="0" w:line="69" w:lineRule="exact"/>
        <w:rPr>
          <w:rFonts w:ascii="Arial" w:cs="Arial" w:eastAsia="Arial" w:hAnsi="Arial"/>
          <w:sz w:val="17"/>
          <w:szCs w:val="17"/>
          <w:color w:val="auto"/>
        </w:rPr>
      </w:pPr>
    </w:p>
    <w:p>
      <w:pPr>
        <w:ind w:left="700" w:hanging="256"/>
        <w:spacing w:after="0"/>
        <w:tabs>
          <w:tab w:leader="none" w:pos="7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43"/>
        <w:spacing w:after="0" w:line="255" w:lineRule="auto"/>
        <w:tabs>
          <w:tab w:leader="none" w:pos="109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Revolving Credit Lender such Revolving Credit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 Revolving Credit Lender its Applicable Revolving Credit Percentage thereof in Dollars and in the same funds as those received by the Administrative Agent.</w:t>
      </w:r>
    </w:p>
    <w:p>
      <w:pPr>
        <w:spacing w:after="0" w:line="85" w:lineRule="exact"/>
        <w:rPr>
          <w:rFonts w:ascii="Arial" w:cs="Arial" w:eastAsia="Arial" w:hAnsi="Arial"/>
          <w:sz w:val="18"/>
          <w:szCs w:val="18"/>
          <w:color w:val="auto"/>
        </w:rPr>
      </w:pPr>
    </w:p>
    <w:p>
      <w:pPr>
        <w:ind w:left="440" w:firstLine="443"/>
        <w:spacing w:after="0" w:line="273" w:lineRule="auto"/>
        <w:tabs>
          <w:tab w:leader="none" w:pos="1143" w:val="left"/>
        </w:tabs>
        <w:numPr>
          <w:ilvl w:val="1"/>
          <w:numId w:val="167"/>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plus interest thereon from the date of such demand to the date such amount is returned by such Revolving Credit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70" w:lineRule="exact"/>
        <w:rPr>
          <w:rFonts w:ascii="Arial" w:cs="Arial" w:eastAsia="Arial" w:hAnsi="Arial"/>
          <w:sz w:val="17"/>
          <w:szCs w:val="17"/>
          <w:color w:val="auto"/>
        </w:rPr>
      </w:pPr>
    </w:p>
    <w:p>
      <w:pPr>
        <w:ind w:left="-20" w:right="220" w:firstLine="464"/>
        <w:spacing w:after="0" w:line="264" w:lineRule="auto"/>
        <w:tabs>
          <w:tab w:leader="none" w:pos="68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100" w:hanging="217"/>
        <w:spacing w:after="0"/>
        <w:tabs>
          <w:tab w:leader="none" w:pos="11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60" w:top="274" w:right="239" w:bottom="1440" w:gutter="0" w:footer="0" w:header="0"/>
        </w:sectPr>
      </w:pPr>
    </w:p>
    <w:bookmarkStart w:id="144" w:name="page145"/>
    <w:bookmarkEnd w:id="144"/>
    <w:p>
      <w:pPr>
        <w:ind w:left="460" w:right="80" w:firstLine="443"/>
        <w:spacing w:after="0" w:line="259" w:lineRule="auto"/>
        <w:tabs>
          <w:tab w:leader="none" w:pos="1163"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existence of any claim, counterclaim, setoff, defense or other right that any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60" w:firstLine="443"/>
        <w:spacing w:after="0" w:line="264" w:lineRule="auto"/>
        <w:tabs>
          <w:tab w:leader="none" w:pos="121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60" w:right="120" w:firstLine="443"/>
        <w:spacing w:after="0" w:line="277" w:lineRule="auto"/>
        <w:tabs>
          <w:tab w:leader="none" w:pos="120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any L/C Party or any waiver by the L/C Issuer which does not in fact materially prejudice any L/C Party;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ind w:left="460" w:right="60" w:firstLine="443"/>
        <w:spacing w:after="0" w:line="264" w:lineRule="auto"/>
        <w:tabs>
          <w:tab w:leader="none" w:pos="120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73" w:lineRule="exact"/>
        <w:rPr>
          <w:rFonts w:ascii="Arial" w:cs="Arial" w:eastAsia="Arial" w:hAnsi="Arial"/>
          <w:sz w:val="18"/>
          <w:szCs w:val="18"/>
          <w:color w:val="auto"/>
        </w:rPr>
      </w:pPr>
    </w:p>
    <w:p>
      <w:pPr>
        <w:ind w:left="460" w:right="80" w:firstLine="443"/>
        <w:spacing w:after="0" w:line="279" w:lineRule="auto"/>
        <w:tabs>
          <w:tab w:leader="none" w:pos="1253"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63" w:lineRule="exact"/>
        <w:rPr>
          <w:rFonts w:ascii="Arial" w:cs="Arial" w:eastAsia="Arial" w:hAnsi="Arial"/>
          <w:sz w:val="17"/>
          <w:szCs w:val="17"/>
          <w:color w:val="auto"/>
        </w:rPr>
      </w:pPr>
    </w:p>
    <w:p>
      <w:pPr>
        <w:ind w:left="460" w:right="200" w:firstLine="443"/>
        <w:spacing w:after="0" w:line="277" w:lineRule="auto"/>
        <w:tabs>
          <w:tab w:leader="none" w:pos="130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applicable L/C Party or any Subsidiary or in the relevant currency markets generally; or</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20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170"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applicable L/C Party shall promptly examine a copy of each Letter of Credit and each amendment thereto that is delivered to it and, in the event of any claim of noncompliance with 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45" w:name="page146"/>
    <w:bookmarkEnd w:id="145"/>
    <w:p>
      <w:pPr>
        <w:ind w:right="120" w:firstLine="464"/>
        <w:spacing w:after="0" w:line="283" w:lineRule="auto"/>
        <w:tabs>
          <w:tab w:leader="none" w:pos="681"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Role of L/C Issuer</w:t>
      </w:r>
      <w:r>
        <w:rPr>
          <w:rFonts w:ascii="Arial" w:cs="Arial" w:eastAsia="Arial" w:hAnsi="Arial"/>
          <w:sz w:val="16"/>
          <w:szCs w:val="16"/>
          <w:color w:val="auto"/>
        </w:rPr>
        <w:t xml:space="preserve">. Each Revolving Credit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w:t>
      </w:r>
    </w:p>
    <w:p>
      <w:pPr>
        <w:spacing w:after="0" w:line="4"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7"/>
          <w:szCs w:val="17"/>
          <w:b w:val="1"/>
          <w:bCs w:val="1"/>
          <w:color w:val="auto"/>
        </w:rPr>
        <w:t>SWIFT</w:t>
      </w:r>
      <w:r>
        <w:rPr>
          <w:rFonts w:ascii="Arial" w:cs="Arial" w:eastAsia="Arial" w:hAnsi="Arial"/>
          <w:sz w:val="17"/>
          <w:szCs w:val="17"/>
          <w:color w:val="auto"/>
        </w:rPr>
        <w:t>”) message or overnight courier, or any other commercially reasonable means of communicating with a beneficiary.</w:t>
      </w:r>
    </w:p>
    <w:p>
      <w:pPr>
        <w:spacing w:after="0" w:line="78" w:lineRule="exact"/>
        <w:rPr>
          <w:rFonts w:ascii="Arial" w:cs="Arial" w:eastAsia="Arial" w:hAnsi="Arial"/>
          <w:sz w:val="16"/>
          <w:szCs w:val="16"/>
          <w:color w:val="auto"/>
        </w:rPr>
      </w:pPr>
    </w:p>
    <w:p>
      <w:pPr>
        <w:ind w:firstLine="464"/>
        <w:spacing w:after="0" w:line="254" w:lineRule="auto"/>
        <w:tabs>
          <w:tab w:leader="none" w:pos="711"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 Notwithstanding the foregoing, the L/C Issuer shall not be responsible to any L/C Party for, and the L/C Issuer’s rights and remedies against such L/C Party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146" w:name="page147"/>
    <w:bookmarkEnd w:id="146"/>
    <w:p>
      <w:pPr>
        <w:ind w:right="80" w:firstLine="464"/>
        <w:spacing w:after="0" w:line="253" w:lineRule="auto"/>
        <w:tabs>
          <w:tab w:leader="none" w:pos="711"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Fees</w:t>
      </w:r>
      <w:r>
        <w:rPr>
          <w:rFonts w:ascii="Arial" w:cs="Arial" w:eastAsia="Arial" w:hAnsi="Arial"/>
          <w:sz w:val="18"/>
          <w:szCs w:val="18"/>
          <w:color w:val="auto"/>
        </w:rPr>
        <w:t xml:space="preserve">. The L/C Parties shall pay to the Administrative Agent for the account of each Revolving Credit Lender, subject to adjustment as provided in </w:t>
      </w:r>
      <w:r>
        <w:rPr>
          <w:rFonts w:ascii="Arial" w:cs="Arial" w:eastAsia="Arial" w:hAnsi="Arial"/>
          <w:sz w:val="18"/>
          <w:szCs w:val="18"/>
          <w:u w:val="single" w:color="auto"/>
          <w:color w:val="auto"/>
        </w:rPr>
        <w:t>Section 2.16</w:t>
      </w:r>
      <w:r>
        <w:rPr>
          <w:rFonts w:ascii="Arial" w:cs="Arial" w:eastAsia="Arial" w:hAnsi="Arial"/>
          <w:sz w:val="18"/>
          <w:szCs w:val="18"/>
          <w:color w:val="auto"/>
        </w:rPr>
        <w:t>, in accordance with its Applicable Revolving Credit Percentage, in Dollars, 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each Letter of Credit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86" w:lineRule="exact"/>
        <w:rPr>
          <w:rFonts w:ascii="Arial" w:cs="Arial" w:eastAsia="Arial" w:hAnsi="Arial"/>
          <w:sz w:val="18"/>
          <w:szCs w:val="18"/>
          <w:color w:val="auto"/>
        </w:rPr>
      </w:pPr>
    </w:p>
    <w:p>
      <w:pPr>
        <w:ind w:right="40" w:firstLine="464"/>
        <w:spacing w:after="0" w:line="289" w:lineRule="auto"/>
        <w:tabs>
          <w:tab w:leader="none" w:pos="671"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L/C Parties shall pay directly to the L/C Issuer for its own account, in Dollars, a fronting fee with respect to each Letter of Credit, at the rate per annum specified in the BofA Fee Letter,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In addition, the L/C Parties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58" w:lineRule="exact"/>
        <w:rPr>
          <w:rFonts w:ascii="Arial" w:cs="Arial" w:eastAsia="Arial" w:hAnsi="Arial"/>
          <w:sz w:val="16"/>
          <w:szCs w:val="16"/>
          <w:color w:val="auto"/>
        </w:rPr>
      </w:pPr>
    </w:p>
    <w:p>
      <w:pPr>
        <w:ind w:left="680" w:hanging="216"/>
        <w:spacing w:after="0"/>
        <w:tabs>
          <w:tab w:leader="none" w:pos="680"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2.04 Swing Line Loans.</w:t>
      </w:r>
    </w:p>
    <w:p>
      <w:pPr>
        <w:spacing w:after="0" w:line="121" w:lineRule="exact"/>
        <w:rPr>
          <w:sz w:val="20"/>
          <w:szCs w:val="20"/>
          <w:color w:val="auto"/>
        </w:rPr>
      </w:pPr>
    </w:p>
    <w:p>
      <w:pPr>
        <w:ind w:firstLine="464"/>
        <w:spacing w:after="0" w:line="255" w:lineRule="auto"/>
        <w:tabs>
          <w:tab w:leader="none" w:pos="70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in reliance upon the agreements of the other Revolving Credit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may in its sole discretion, make loans in Dollars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to Toro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 after giving effect to any Swing Line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47" w:name="page148"/>
    <w:bookmarkEnd w:id="14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Loan, (i) the Total Revolving Credit Outstandings shall not exceed the Aggregate Revolving Credit Commitments, and (ii) the Revolving Credit Exposure of any Revolving Credit Lender shall not exceed such Lender’s Revolving Credit Commitment and (y) the Swing Line Lender shall not be under any obligation to make any Swing Line Loan if it shall determine (which determination shall be conclusive and binding absent manifest error) that is has, or by such Credit Extension may have, Fronting Exposure. Within the foregoing limits, and subject to the other terms and conditions hereof, Toro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bear interest at (x)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for Base Rate Loans or (y) such other rate quoted to Toro by the Swing Line Lender on the date any Swing Line Loan shall be requested.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74" w:lineRule="exact"/>
        <w:rPr>
          <w:sz w:val="20"/>
          <w:szCs w:val="20"/>
          <w:color w:val="auto"/>
        </w:rPr>
      </w:pPr>
    </w:p>
    <w:p>
      <w:pPr>
        <w:ind w:right="40" w:firstLine="464"/>
        <w:spacing w:after="0" w:line="268" w:lineRule="auto"/>
        <w:tabs>
          <w:tab w:leader="none" w:pos="711"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Each Swing Line Borrowing shall be made upon the irrevocable notice by Toro to the Swing Line Lender and the Administrative Agent, which may be given by (A) telephone or (B) by a Swing Line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1:00 p.m. on the requested borrowing date, and shall specify (i) the amount to be borrowed, which shall be a minimum of $500,000,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Toro at its office by crediting the account of Toro on the books of the Swing Line Lender in Same Day Funds.</w:t>
      </w:r>
    </w:p>
    <w:p>
      <w:pPr>
        <w:spacing w:after="0" w:line="79" w:lineRule="exact"/>
        <w:rPr>
          <w:rFonts w:ascii="Arial" w:cs="Arial" w:eastAsia="Arial" w:hAnsi="Arial"/>
          <w:sz w:val="17"/>
          <w:szCs w:val="17"/>
          <w:color w:val="auto"/>
        </w:rPr>
      </w:pPr>
    </w:p>
    <w:p>
      <w:pPr>
        <w:ind w:left="700" w:hanging="236"/>
        <w:spacing w:after="0"/>
        <w:tabs>
          <w:tab w:leader="none" w:pos="70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302" w:lineRule="auto"/>
        <w:tabs>
          <w:tab w:leader="none" w:pos="111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Toro (which hereby irrevocably authorizes the Swing Line Lender to so request on its behalf), that each Revolving Credit Lender make a Base Rate Loan in an amount equal to such Revolving Credit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without regard to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48" w:name="page149"/>
    <w:bookmarkEnd w:id="14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minimum and multiples specified therein for the principal amount of Base Rate Loans, but subject to the unutilized portion of the Aggregate Revolving Credit Commitments and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Swing Line Lender shall furnish Toro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Revolving Credit Lender that so makes funds available shall be deemed to have made a Base Rate Loan to Toro in such amount. The Administrative Agent shall remit the funds so received to the Swing Line Lender.</w:t>
      </w:r>
    </w:p>
    <w:p>
      <w:pPr>
        <w:spacing w:after="0" w:line="71" w:lineRule="exact"/>
        <w:rPr>
          <w:sz w:val="20"/>
          <w:szCs w:val="20"/>
          <w:color w:val="auto"/>
        </w:rPr>
      </w:pPr>
    </w:p>
    <w:p>
      <w:pPr>
        <w:ind w:firstLine="443"/>
        <w:spacing w:after="0" w:line="302" w:lineRule="auto"/>
        <w:tabs>
          <w:tab w:leader="none" w:pos="70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Revolving Credit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46" w:lineRule="exact"/>
        <w:rPr>
          <w:rFonts w:ascii="Arial" w:cs="Arial" w:eastAsia="Arial" w:hAnsi="Arial"/>
          <w:sz w:val="16"/>
          <w:szCs w:val="16"/>
          <w:color w:val="auto"/>
        </w:rPr>
      </w:pPr>
    </w:p>
    <w:p>
      <w:pPr>
        <w:ind w:right="300" w:firstLine="443"/>
        <w:spacing w:after="0" w:line="291" w:lineRule="auto"/>
        <w:tabs>
          <w:tab w:leader="none" w:pos="75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Swing Line Lender any amount required to be paid by such Revolving Credit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w:t>
      </w:r>
    </w:p>
    <w:p>
      <w:pPr>
        <w:ind w:right="2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Credit Lender pays such amount (with interest and fees as aforesaid), the amount so paid shall constitute such Revolving Credit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be conclusive absent manifest error.</w:t>
      </w:r>
    </w:p>
    <w:p>
      <w:pPr>
        <w:spacing w:after="0" w:line="83" w:lineRule="exact"/>
        <w:rPr>
          <w:rFonts w:ascii="Arial" w:cs="Arial" w:eastAsia="Arial" w:hAnsi="Arial"/>
          <w:sz w:val="16"/>
          <w:szCs w:val="16"/>
          <w:color w:val="auto"/>
        </w:rPr>
      </w:pPr>
    </w:p>
    <w:p>
      <w:pPr>
        <w:ind w:right="60" w:firstLine="443"/>
        <w:spacing w:after="0" w:line="285" w:lineRule="auto"/>
        <w:tabs>
          <w:tab w:leader="none" w:pos="74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Revolving Credit Lender may have against the Swing Line Lender, Toro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Revolving Credit Lender’s obligation to make Revolving Credit Loans pursuant to this</w:t>
      </w:r>
    </w:p>
    <w:p>
      <w:pPr>
        <w:spacing w:after="0" w:line="2"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No such funding of risk participations shall relieve or otherwise impair the obligation of Toro to repay Swing Line Loans, together with interest as provided herein.</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700" w:top="274" w:right="239" w:bottom="1440" w:gutter="0" w:footer="0" w:header="0"/>
        </w:sectPr>
      </w:pPr>
    </w:p>
    <w:bookmarkStart w:id="149" w:name="page150"/>
    <w:bookmarkEnd w:id="149"/>
    <w:p>
      <w:pPr>
        <w:ind w:left="720" w:hanging="256"/>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00" w:firstLine="443"/>
        <w:spacing w:after="0" w:line="264" w:lineRule="auto"/>
        <w:tabs>
          <w:tab w:leader="none" w:pos="111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73" w:lineRule="exact"/>
        <w:rPr>
          <w:rFonts w:ascii="Arial" w:cs="Arial" w:eastAsia="Arial" w:hAnsi="Arial"/>
          <w:sz w:val="18"/>
          <w:szCs w:val="18"/>
          <w:color w:val="auto"/>
        </w:rPr>
      </w:pPr>
    </w:p>
    <w:p>
      <w:pPr>
        <w:ind w:left="460" w:firstLine="443"/>
        <w:spacing w:after="0" w:line="293" w:lineRule="auto"/>
        <w:tabs>
          <w:tab w:leader="none" w:pos="1163"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56" w:lineRule="exact"/>
        <w:rPr>
          <w:rFonts w:ascii="Arial" w:cs="Arial" w:eastAsia="Arial" w:hAnsi="Arial"/>
          <w:sz w:val="16"/>
          <w:szCs w:val="16"/>
          <w:color w:val="auto"/>
        </w:rPr>
      </w:pPr>
    </w:p>
    <w:p>
      <w:pPr>
        <w:ind w:right="140" w:firstLine="464"/>
        <w:spacing w:after="0" w:line="259" w:lineRule="auto"/>
        <w:tabs>
          <w:tab w:leader="none" w:pos="70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Toro for interest on the Swing Line Loans.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78" w:lineRule="exact"/>
        <w:rPr>
          <w:rFonts w:ascii="Arial" w:cs="Arial" w:eastAsia="Arial" w:hAnsi="Arial"/>
          <w:sz w:val="18"/>
          <w:szCs w:val="18"/>
          <w:color w:val="auto"/>
        </w:rPr>
      </w:pPr>
    </w:p>
    <w:p>
      <w:pPr>
        <w:ind w:right="180" w:firstLine="464"/>
        <w:spacing w:after="0" w:line="277" w:lineRule="auto"/>
        <w:tabs>
          <w:tab w:leader="none" w:pos="68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Toro shall make all payments of principal and interest in respect of the Swing Line Loans directly to the Swing Line Lender.</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2.05 Prepayments.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Optional</w:t>
      </w:r>
      <w:r>
        <w:rPr>
          <w:rFonts w:ascii="Arial" w:cs="Arial" w:eastAsia="Arial" w:hAnsi="Arial"/>
          <w:sz w:val="18"/>
          <w:szCs w:val="18"/>
          <w:color w:val="auto"/>
        </w:rPr>
        <w:t>. (i) Each Borrower may, upon notice from Toro to the Administrative Agent, at any time or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voluntarily prepay Term Loans or Revolving Credit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in a form acceptable to the Administrative Agent and be received by the Administrative Agent not later than 11:00 a.m. (A) three (3) Business Days prior to any date of prepayment of Eurocurrency Rate Loans denominated in Dollars, (B) four (4) Business Days (or five (5), in the case of prepayment of Loans denominated in Special Notice Currencies) prior to any date of prepayment of Eurocurrency Rate Loans denominated in Alternative Currencies, and (C) on the date of prepayment of Base Rate Loans; (ii) any prepayment of Eurocurrency Rate Loans denominated in Dollars shall be in a principal amount of $5,000,000 or a whole multiple of $1,000,000 in excess thereof; (iii) any prepayment of Eurocurrency Rate Loans denominated in Alternative Currencies shall be in a minimum principal Dollar Equivalent amount 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150" w:name="page151"/>
    <w:bookmarkEnd w:id="150"/>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$5,000,000 or a whole multiple of $1,000,000 in excess thereof; and (iv)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ratable portion of such prepayment (based on such Lender’s Applicable Percentage in respect of the relevant Facility). Once such notice is given by Toro,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Each prepayment of the outstanding Term Loans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shall be applied to the principal repayment installments at the direction of Toro.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each such prepayment shall be applied to the Loans of the Lenders in accordance with their respective Applicable Percentages.</w:t>
      </w:r>
    </w:p>
    <w:p>
      <w:pPr>
        <w:spacing w:after="0" w:line="70" w:lineRule="exact"/>
        <w:rPr>
          <w:sz w:val="20"/>
          <w:szCs w:val="20"/>
          <w:color w:val="auto"/>
        </w:rPr>
      </w:pPr>
    </w:p>
    <w:p>
      <w:pPr>
        <w:ind w:left="460" w:right="40" w:firstLine="443"/>
        <w:spacing w:after="0" w:line="276" w:lineRule="auto"/>
        <w:tabs>
          <w:tab w:leader="none" w:pos="1163"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Toro may, upon notice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Once such notice is given by Toro, Toro shall make such prepayment and the payment amount specified in such notice shall be due and payable on the date specified therein.</w:t>
      </w:r>
    </w:p>
    <w:p>
      <w:pPr>
        <w:spacing w:after="0" w:line="64" w:lineRule="exact"/>
        <w:rPr>
          <w:rFonts w:ascii="Arial" w:cs="Arial" w:eastAsia="Arial" w:hAnsi="Arial"/>
          <w:sz w:val="17"/>
          <w:szCs w:val="17"/>
          <w:color w:val="auto"/>
        </w:rPr>
      </w:pPr>
    </w:p>
    <w:p>
      <w:pPr>
        <w:ind w:right="20" w:firstLine="464"/>
        <w:spacing w:after="0" w:line="264" w:lineRule="auto"/>
        <w:tabs>
          <w:tab w:leader="none" w:pos="71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xml:space="preserve">. (i) If Toro (or one of its Subsidiaries) has not consummated the Proposed Acquisition within 90 days following the Closing Date, Toro shall prepay the aggregate principal amount of the Term Loans outstanding on such date; such prepayment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firstLine="443"/>
        <w:spacing w:after="0" w:line="290" w:lineRule="auto"/>
        <w:tabs>
          <w:tab w:leader="none" w:pos="1163"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If the Administrative Agent notifies Toro at any time that the Total Revolving Credit Outstandings at such time exceed an amount equal to the Aggregate Revolving Credit Commitments then in effect, then, within two (2) Business Days after receipt of such notice, the Borrowers shall prepay Revolving Credit Loans and/or Toro shall Cash Collateralize the L/C Obligations in an aggregate amount sufficient to reduce such Outstanding Amount as of such date of payment to an amount not to exceed the Aggregate Revolving Credit Commitments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subject to the provisions of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Toro shall not be required to Cash Collateralize the L/C Obligations pursuant to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unless after the prepayment in full of the Revolving Credit Loans the Total Revolving Credit Outstandings exceed the Aggregate Revolving Credit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151" w:name="page152"/>
    <w:bookmarkEnd w:id="151"/>
    <w:p>
      <w:pPr>
        <w:jc w:val="both"/>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2.06 Termination or Reduction of Revolving Credit Commitments. </w:t>
      </w:r>
      <w:r>
        <w:rPr>
          <w:rFonts w:ascii="Arial" w:cs="Arial" w:eastAsia="Arial" w:hAnsi="Arial"/>
          <w:sz w:val="16"/>
          <w:szCs w:val="16"/>
          <w:color w:val="auto"/>
        </w:rPr>
        <w:t>The Borrowers may, upon notice by Toro to the Administrative Agent,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Aggregate Revolving Credit Commitments, or from time to time permanently reduce the Aggregate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five (5) Business Days prior to the date of termination or reduction,</w:t>
      </w:r>
    </w:p>
    <w:p>
      <w:pPr>
        <w:spacing w:after="0" w:line="2" w:lineRule="exact"/>
        <w:rPr>
          <w:sz w:val="20"/>
          <w:szCs w:val="20"/>
          <w:color w:val="auto"/>
        </w:rPr>
      </w:pPr>
    </w:p>
    <w:p>
      <w:pPr>
        <w:ind w:right="40" w:firstLine="8"/>
        <w:spacing w:after="0" w:line="251" w:lineRule="auto"/>
        <w:tabs>
          <w:tab w:leader="none" w:pos="26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such partial reduction shall be in an aggregate amount of $10,000,000 or any whole multiple of $1,000,000 in excess thereof, (iii) the Borrowers shall not terminate or reduce the Aggregate Revolving Credit Commitments if, after giving effect thereto and to any concurrent prepayments hereunder, the Total Revolving Credit Outstandings would exceed the Aggregate Revolving Credit Commitments, and (iv) if, after giving effect to any reduction of the Aggregate Revolving Credit Commitments, the Letter of Credit Sublimit or the Swing Line Sublimit exceeds the amount of the Aggregate Revolving Credit Commitments, such Sublimit shall be automatically reduced by the amount of such excess. The Administrative Agent will promptly notify the Revolving Credit Lenders of any such notice of termination or reduction of the Aggregate Revolving Credit Commitments. The amount of any such Aggregate Revolving Credit Commitment reduction shall not be applied to the Letter of Credit Sublimit unless otherwise specified by Toro. Any reduction of the Aggregate Revolving Credit Commitments shall be applied to the Revolving Credit Commitment of each Revolving Credit Lender according to its Applicable Revolving Credit Percentage. All fees accrued until the effective date of any termination of the Aggregate Revolving Credit Commitments shall be paid on the effective date of such termination.</w:t>
      </w:r>
    </w:p>
    <w:p>
      <w:pPr>
        <w:spacing w:after="0" w:line="8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2.07 Repayment of Loans.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Term Loans</w:t>
      </w:r>
      <w:r>
        <w:rPr>
          <w:rFonts w:ascii="Arial" w:cs="Arial" w:eastAsia="Arial" w:hAnsi="Arial"/>
          <w:sz w:val="16"/>
          <w:szCs w:val="16"/>
          <w:color w:val="auto"/>
        </w:rPr>
        <w:t>. Toro shall repay to the Term Loan Lenders the aggregate principal amount of all Term Loans in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installments as set forth below on the last Business Day of each fiscal quarter ended closest to the corresponding dates set forth below (which principal amounts shall be reduced as a result of the application of prepayments in accordance with the order of priority set forth in </w:t>
      </w:r>
      <w:r>
        <w:rPr>
          <w:rFonts w:ascii="Arial" w:cs="Arial" w:eastAsia="Arial" w:hAnsi="Arial"/>
          <w:sz w:val="16"/>
          <w:szCs w:val="16"/>
          <w:u w:val="single" w:color="auto"/>
          <w:color w:val="auto"/>
        </w:rPr>
        <w:t>Section 2.05</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0" w:right="259" w:bottom="1440" w:gutter="0" w:footer="0" w:header="0"/>
        </w:sectPr>
      </w:pPr>
    </w:p>
    <w:bookmarkStart w:id="152" w:name="page153"/>
    <w:bookmarkEnd w:id="152"/>
    <w:tbl>
      <w:tblPr>
        <w:tblLayout w:type="fixed"/>
        <w:tblInd w:w="18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Payment Date</w:t>
            </w:r>
          </w:p>
        </w:tc>
        <w:tc>
          <w:tcPr>
            <w:tcW w:w="328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 Loan</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31, 2015</w:t>
            </w:r>
          </w:p>
        </w:tc>
        <w:tc>
          <w:tcPr>
            <w:tcW w:w="2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October 31, 2015</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2016</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April 30, 2016</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2016</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October 31, 2016</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2017</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April 30, 2017</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2017</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October 31, 2017</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2018</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April 30, 2018</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2018</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October 31, 2018</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31, 2019</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April 30, 2019</w:t>
            </w:r>
          </w:p>
        </w:tc>
        <w:tc>
          <w:tcPr>
            <w:tcW w:w="3660" w:type="dxa"/>
            <w:vAlign w:val="bottom"/>
            <w:gridSpan w:val="2"/>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2019</w:t>
            </w:r>
          </w:p>
        </w:tc>
        <w:tc>
          <w:tcPr>
            <w:tcW w:w="3660" w:type="dxa"/>
            <w:vAlign w:val="bottom"/>
            <w:gridSpan w:val="2"/>
            <w:shd w:val="clear" w:color="auto" w:fill="CCEEFF"/>
          </w:tcPr>
          <w:p>
            <w:pPr>
              <w:jc w:val="center"/>
              <w:ind w:left="2750"/>
              <w:spacing w:after="0"/>
              <w:rPr>
                <w:sz w:val="20"/>
                <w:szCs w:val="20"/>
                <w:color w:val="auto"/>
              </w:rPr>
            </w:pPr>
            <w:r>
              <w:rPr>
                <w:rFonts w:ascii="Arial" w:cs="Arial" w:eastAsia="Arial" w:hAnsi="Arial"/>
                <w:sz w:val="18"/>
                <w:szCs w:val="18"/>
                <w:color w:val="auto"/>
                <w:w w:val="90"/>
              </w:rPr>
              <w:t>$3,250,000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00"/>
        <w:spacing w:after="0" w:line="277" w:lineRule="auto"/>
        <w:rPr>
          <w:sz w:val="20"/>
          <w:szCs w:val="20"/>
          <w:color w:val="auto"/>
        </w:rPr>
      </w:pPr>
      <w:r>
        <w:rPr>
          <w:rFonts w:ascii="Arial" w:cs="Arial" w:eastAsia="Arial" w:hAnsi="Arial"/>
          <w:sz w:val="18"/>
          <w:szCs w:val="18"/>
          <w:color w:val="auto"/>
        </w:rPr>
        <w:t>Notwithstanding the foregoing, the final principal repayment installment of the Term Loans shall be repaid on the Maturity Date for the Term Loan Facility and in any event shall be in an amount equal to the aggregate principal amount of all Term Loans outstanding on such date.</w:t>
      </w:r>
    </w:p>
    <w:p>
      <w:pPr>
        <w:spacing w:after="0" w:line="62" w:lineRule="exact"/>
        <w:rPr>
          <w:sz w:val="20"/>
          <w:szCs w:val="20"/>
          <w:color w:val="auto"/>
        </w:rPr>
      </w:pPr>
    </w:p>
    <w:p>
      <w:pPr>
        <w:ind w:right="100" w:firstLine="464"/>
        <w:spacing w:after="0" w:line="277" w:lineRule="auto"/>
        <w:tabs>
          <w:tab w:leader="none" w:pos="711"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Each Borrower shall repay to the Revolving Credit Lenders on the Maturity Date for the Revolving Credit Facility the aggregate principal amount of all Revolving Credit Loans outstanding on such date.</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Swing Line Loans. Toro shall repay each Swing Line Loan on the earlier to occur of (i) the Maturity Date for the Revolving Credit Facility and</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date of demand by the Swing Line Lender.</w:t>
      </w:r>
    </w:p>
    <w:p>
      <w:pPr>
        <w:spacing w:after="0" w:line="207"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2.08 Interest. </w:t>
      </w:r>
      <w:r>
        <w:rPr>
          <w:rFonts w:ascii="Arial" w:cs="Arial" w:eastAsia="Arial" w:hAnsi="Arial"/>
          <w:sz w:val="16"/>
          <w:szCs w:val="16"/>
          <w:color w:val="auto"/>
        </w:rPr>
        <w:t>(a) Subject to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(b)</w:t>
      </w:r>
      <w:r>
        <w:rPr>
          <w:rFonts w:ascii="Arial" w:cs="Arial" w:eastAsia="Arial" w:hAnsi="Arial"/>
          <w:sz w:val="16"/>
          <w:szCs w:val="16"/>
          <w:b w:val="1"/>
          <w:bCs w:val="1"/>
          <w:color w:val="auto"/>
        </w:rPr>
        <w:t xml:space="preserve"> </w:t>
      </w:r>
      <w:r>
        <w:rPr>
          <w:rFonts w:ascii="Arial" w:cs="Arial" w:eastAsia="Arial" w:hAnsi="Arial"/>
          <w:sz w:val="16"/>
          <w:szCs w:val="16"/>
          <w:color w:val="auto"/>
        </w:rPr>
        <w:t>below, (i) each Eurocurrency Rate Loan shall bear interest on the outstanding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applicable Facility; (ii) each Base Rate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the applicable Facility; and (iii) each Swing Line Loan shall bear interest on the outstanding principal amount thereof from the applicable borrowing date at a rate per annum equal to (x)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for Base Rate Loans under the Revolving Credit Facility or (y) the rate quoted to Toro by the Swing Line Lender on the date any Swing Line Loan shall be requested.</w:t>
      </w:r>
    </w:p>
    <w:p>
      <w:pPr>
        <w:spacing w:after="0" w:line="52" w:lineRule="exact"/>
        <w:rPr>
          <w:sz w:val="20"/>
          <w:szCs w:val="20"/>
          <w:color w:val="auto"/>
        </w:rPr>
      </w:pPr>
    </w:p>
    <w:p>
      <w:pPr>
        <w:jc w:val="both"/>
        <w:ind w:left="460" w:right="160" w:firstLine="443"/>
        <w:spacing w:after="0" w:line="264" w:lineRule="auto"/>
        <w:tabs>
          <w:tab w:leader="none" w:pos="115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53" w:right="259" w:bottom="1440" w:gutter="0" w:footer="0" w:header="0"/>
        </w:sectPr>
      </w:pPr>
    </w:p>
    <w:bookmarkStart w:id="153" w:name="page154"/>
    <w:bookmarkEnd w:id="153"/>
    <w:p>
      <w:pPr>
        <w:ind w:left="440" w:right="40" w:firstLine="443"/>
        <w:spacing w:after="0" w:line="302" w:lineRule="auto"/>
        <w:tabs>
          <w:tab w:leader="none" w:pos="1143" w:val="left"/>
        </w:tabs>
        <w:numPr>
          <w:ilvl w:val="1"/>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amount (other than principal of any Loan) payable by any Borrower under any Loan Document is not paid when due (without regard to any applicable grace periods), whether at stated maturity, by acceleration or otherwise, then upon the request of the Required Term Loan Lenders (in the case of the Term Loan Facility) and the Required Revolving Lenders (in the case of the Revolving Credit Facility), such amount shall thereafter bear interest at a fluctuating interest rate per annum at all times equal to the Default Rate to the fullest extent permitted by applicable Laws.</w:t>
      </w:r>
    </w:p>
    <w:p>
      <w:pPr>
        <w:spacing w:after="0" w:line="46" w:lineRule="exact"/>
        <w:rPr>
          <w:rFonts w:ascii="Arial" w:cs="Arial" w:eastAsia="Arial" w:hAnsi="Arial"/>
          <w:sz w:val="16"/>
          <w:szCs w:val="16"/>
          <w:color w:val="auto"/>
        </w:rPr>
      </w:pPr>
    </w:p>
    <w:p>
      <w:pPr>
        <w:ind w:left="440" w:right="80" w:firstLine="443"/>
        <w:spacing w:after="0" w:line="259" w:lineRule="auto"/>
        <w:tabs>
          <w:tab w:leader="none" w:pos="119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Upon the request of the Required Term Loan Lenders (in the case of the Term Loan Facility) or the Required Revolving Lenders (in the case of the Revolving Credit Facility), while any Event of Default exists, the Borrowers shall pay interest on the principal amount of all outstanding Obligations under the applicable Facility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ind w:left="1180" w:hanging="297"/>
        <w:spacing w:after="0"/>
        <w:tabs>
          <w:tab w:leader="none" w:pos="11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128" w:lineRule="exact"/>
        <w:rPr>
          <w:rFonts w:ascii="Arial" w:cs="Arial" w:eastAsia="Arial" w:hAnsi="Arial"/>
          <w:sz w:val="17"/>
          <w:szCs w:val="17"/>
          <w:color w:val="auto"/>
        </w:rPr>
      </w:pPr>
    </w:p>
    <w:p>
      <w:pPr>
        <w:ind w:left="-20" w:right="580" w:firstLine="464"/>
        <w:spacing w:after="0" w:line="264" w:lineRule="auto"/>
        <w:tabs>
          <w:tab w:leader="none" w:pos="68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73" w:lineRule="exact"/>
        <w:rPr>
          <w:rFonts w:ascii="Arial" w:cs="Arial" w:eastAsia="Arial" w:hAnsi="Arial"/>
          <w:sz w:val="18"/>
          <w:szCs w:val="18"/>
          <w:color w:val="auto"/>
        </w:rPr>
      </w:pPr>
    </w:p>
    <w:p>
      <w:pPr>
        <w:ind w:left="-20" w:right="100" w:firstLine="464"/>
        <w:spacing w:after="0" w:line="297" w:lineRule="auto"/>
        <w:tabs>
          <w:tab w:leader="none" w:pos="691"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For the purposes of the Interest Act (Canada) with respect to any credit extension denominated in Canadian Dollars,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2.09 Fees. </w:t>
      </w:r>
      <w:r>
        <w:rPr>
          <w:rFonts w:ascii="Arial" w:cs="Arial" w:eastAsia="Arial" w:hAnsi="Arial"/>
          <w:sz w:val="18"/>
          <w:szCs w:val="18"/>
          <w:color w:val="auto"/>
        </w:rPr>
        <w:t>In addition to certain fees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subsections (h)</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21" w:lineRule="exact"/>
        <w:rPr>
          <w:sz w:val="20"/>
          <w:szCs w:val="20"/>
          <w:color w:val="auto"/>
        </w:rPr>
      </w:pPr>
    </w:p>
    <w:p>
      <w:pPr>
        <w:ind w:left="-20" w:firstLine="464"/>
        <w:spacing w:after="0" w:line="259" w:lineRule="auto"/>
        <w:tabs>
          <w:tab w:leader="none" w:pos="681"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xml:space="preserve">. The Borrowers shall pay to the Administrative Agent for the account of each Revolving Credit Lender in accordance with its Applicable Revolving Credit Percentage, a facility fee in Dollars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amount of the Aggregate Revolving Credit Commitments (or, if the Aggregate Revolving Credit Commitments have terminated, on the Outstanding Amount of all Revolving Credit Loans, Swing Line Loans and L/C Obligations), regardless of usage, subject to adjustment as provided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60" w:top="274" w:right="239" w:bottom="1440" w:gutter="0" w:footer="0" w:header="0"/>
        </w:sectPr>
      </w:pPr>
    </w:p>
    <w:bookmarkStart w:id="154" w:name="page155"/>
    <w:bookmarkEnd w:id="15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facility fee shall accrue at all times during the Availability Period (and thereafter so long as any Revolving Credit Loans, Swing Line Loans or L/C Obligations remain outstanding),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70" w:lineRule="exact"/>
        <w:rPr>
          <w:sz w:val="20"/>
          <w:szCs w:val="20"/>
          <w:color w:val="auto"/>
        </w:rPr>
      </w:pPr>
    </w:p>
    <w:p>
      <w:pPr>
        <w:ind w:right="140" w:firstLine="464"/>
        <w:spacing w:after="0" w:line="342" w:lineRule="auto"/>
        <w:tabs>
          <w:tab w:leader="none" w:pos="711"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Other Fees</w:t>
      </w:r>
      <w:r>
        <w:rPr>
          <w:rFonts w:ascii="Arial" w:cs="Arial" w:eastAsia="Arial" w:hAnsi="Arial"/>
          <w:sz w:val="16"/>
          <w:szCs w:val="16"/>
          <w:color w:val="auto"/>
        </w:rPr>
        <w:t>. (i) Toro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6" w:lineRule="exact"/>
        <w:rPr>
          <w:sz w:val="20"/>
          <w:szCs w:val="20"/>
          <w:color w:val="auto"/>
        </w:rPr>
      </w:pPr>
    </w:p>
    <w:p>
      <w:pPr>
        <w:ind w:right="720" w:firstLine="464"/>
        <w:spacing w:after="0" w:line="277" w:lineRule="auto"/>
        <w:tabs>
          <w:tab w:leader="none" w:pos="72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66"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b w:val="1"/>
          <w:bCs w:val="1"/>
          <w:color w:val="auto"/>
        </w:rPr>
        <w:t xml:space="preserve">2.10 Computation of Interest and Fees; Retroactive Adjustments of Applicable Rate. </w:t>
      </w:r>
      <w:r>
        <w:rPr>
          <w:rFonts w:ascii="Arial" w:cs="Arial" w:eastAsia="Arial" w:hAnsi="Arial"/>
          <w:sz w:val="17"/>
          <w:szCs w:val="17"/>
          <w:color w:val="auto"/>
        </w:rPr>
        <w:t>(a) All computations of interest for Base Rate Loans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Revolving Credit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2.12(a)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 With respect to all Non-LIBOR Quoted Currencies, Australian Dollars and Canadian Dollars, the calculation of the applicable interest rate shall be determined in accordance with market practice.</w:t>
      </w:r>
    </w:p>
    <w:p>
      <w:pPr>
        <w:spacing w:after="0" w:line="74" w:lineRule="exact"/>
        <w:rPr>
          <w:sz w:val="20"/>
          <w:szCs w:val="20"/>
          <w:color w:val="auto"/>
        </w:rPr>
      </w:pPr>
    </w:p>
    <w:p>
      <w:pPr>
        <w:ind w:right="80" w:firstLine="464"/>
        <w:spacing w:after="0" w:line="255" w:lineRule="auto"/>
        <w:tabs>
          <w:tab w:leader="none" w:pos="71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as a result of any restatement of or other adjustment to the financial statements of the Borrowers or for any other reason, the Borrowers or the Lenders determine that (i) the Consolidated Leverage Ratio as calculated by the Borrowers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155" w:name="page156"/>
    <w:bookmarkEnd w:id="155"/>
    <w:p>
      <w:pPr>
        <w:jc w:val="both"/>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6"/>
          <w:szCs w:val="16"/>
          <w:u w:val="single" w:color="auto"/>
          <w:color w:val="auto"/>
        </w:rPr>
        <w:t>Section 2.03(c)(iii)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The Borrower’s obligations under this paragraph shall survive the termination of the Aggregate Commitments and the repayment of all other Obligations hereunder.</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2.11 Evidence of Debt. </w:t>
      </w:r>
      <w:r>
        <w:rPr>
          <w:rFonts w:ascii="Arial" w:cs="Arial" w:eastAsia="Arial" w:hAnsi="Arial"/>
          <w:sz w:val="16"/>
          <w:szCs w:val="16"/>
          <w:color w:val="auto"/>
        </w:rPr>
        <w:t>(a) The Credit Extensions made by each Lender shall be evidenced by one or more accounts or records maintained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56" w:lineRule="exact"/>
        <w:rPr>
          <w:sz w:val="20"/>
          <w:szCs w:val="20"/>
          <w:color w:val="auto"/>
        </w:rPr>
      </w:pPr>
    </w:p>
    <w:p>
      <w:pPr>
        <w:jc w:val="both"/>
        <w:ind w:firstLine="464"/>
        <w:spacing w:after="0" w:line="279" w:lineRule="auto"/>
        <w:tabs>
          <w:tab w:leader="none" w:pos="71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In addition to the accounts and records referred to in </w:t>
      </w:r>
      <w:r>
        <w:rPr>
          <w:rFonts w:ascii="Arial" w:cs="Arial" w:eastAsia="Arial" w:hAnsi="Arial"/>
          <w:sz w:val="17"/>
          <w:szCs w:val="17"/>
          <w:u w:val="single" w:color="auto"/>
          <w:color w:val="auto"/>
        </w:rPr>
        <w:t>subsection (a)</w:t>
      </w:r>
      <w:r>
        <w:rPr>
          <w:rFonts w:ascii="Arial" w:cs="Arial" w:eastAsia="Arial" w:hAnsi="Arial"/>
          <w:sz w:val="17"/>
          <w:szCs w:val="17"/>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 xml:space="preserve">2.12 Payments Generally; Administrative Agent’s Clawback.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Borrowers shall be made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(as determined by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56" w:name="page157"/>
    <w:bookmarkEnd w:id="15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81" w:lineRule="exact"/>
        <w:rPr>
          <w:sz w:val="20"/>
          <w:szCs w:val="20"/>
          <w:color w:val="auto"/>
        </w:rPr>
      </w:pPr>
    </w:p>
    <w:p>
      <w:pPr>
        <w:ind w:firstLine="464"/>
        <w:spacing w:after="0" w:line="286" w:lineRule="auto"/>
        <w:tabs>
          <w:tab w:leader="none" w:pos="71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61" w:lineRule="exact"/>
        <w:rPr>
          <w:sz w:val="20"/>
          <w:szCs w:val="20"/>
          <w:color w:val="auto"/>
        </w:rPr>
      </w:pPr>
    </w:p>
    <w:p>
      <w:pPr>
        <w:ind w:firstLine="464"/>
        <w:spacing w:after="0" w:line="291" w:lineRule="auto"/>
        <w:tabs>
          <w:tab w:leader="none" w:pos="721"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Appropriate Lenders or the L/C Issuer, as the case may be, the amount due. In such event, if such Borrower has not in fact made such payment, then each of the Appropriate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157" w:name="page158"/>
    <w:bookmarkEnd w:id="157"/>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notice of the Administrative Agent to any Lender or any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62" w:lineRule="exact"/>
        <w:rPr>
          <w:sz w:val="20"/>
          <w:szCs w:val="20"/>
          <w:color w:val="auto"/>
        </w:rPr>
      </w:pPr>
    </w:p>
    <w:p>
      <w:pPr>
        <w:ind w:right="80" w:firstLine="464"/>
        <w:spacing w:after="0" w:line="279" w:lineRule="auto"/>
        <w:tabs>
          <w:tab w:leader="none" w:pos="701"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such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63" w:lineRule="exact"/>
        <w:rPr>
          <w:rFonts w:ascii="Arial" w:cs="Arial" w:eastAsia="Arial" w:hAnsi="Arial"/>
          <w:sz w:val="17"/>
          <w:szCs w:val="17"/>
          <w:color w:val="auto"/>
        </w:rPr>
      </w:pPr>
    </w:p>
    <w:p>
      <w:pPr>
        <w:ind w:right="20" w:firstLine="464"/>
        <w:spacing w:after="0" w:line="257" w:lineRule="auto"/>
        <w:tabs>
          <w:tab w:leader="none" w:pos="711"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Term Loans and Revolving Credit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280" w:firstLine="464"/>
        <w:spacing w:after="0" w:line="308" w:lineRule="auto"/>
        <w:tabs>
          <w:tab w:leader="none" w:pos="701"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2.13 Sharing of Payments by Lenders. </w:t>
      </w:r>
      <w:r>
        <w:rPr>
          <w:rFonts w:ascii="Arial" w:cs="Arial" w:eastAsia="Arial" w:hAnsi="Arial"/>
          <w:sz w:val="16"/>
          <w:szCs w:val="16"/>
          <w:color w:val="auto"/>
        </w:rPr>
        <w:t>If any Lender shall, by exercising any right of setoff or counterclaim or otherwise, obtain payment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4" w:right="299" w:bottom="1440" w:gutter="0" w:footer="0" w:header="0"/>
        </w:sectPr>
      </w:pPr>
    </w:p>
    <w:bookmarkStart w:id="158" w:name="page159"/>
    <w:bookmarkEnd w:id="158"/>
    <w:p>
      <w:pPr>
        <w:ind w:left="460" w:right="540" w:firstLine="443"/>
        <w:spacing w:after="0" w:line="342" w:lineRule="auto"/>
        <w:tabs>
          <w:tab w:leader="none" w:pos="1113"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60" w:firstLine="443"/>
        <w:spacing w:after="0" w:line="257" w:lineRule="auto"/>
        <w:tabs>
          <w:tab w:leader="none" w:pos="116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u w:val="single" w:color="auto"/>
          <w:color w:val="auto"/>
        </w:rPr>
        <w:t>Section 2.15</w:t>
      </w:r>
      <w:r>
        <w:rPr>
          <w:rFonts w:ascii="Arial" w:cs="Arial" w:eastAsia="Arial" w:hAnsi="Arial"/>
          <w:sz w:val="18"/>
          <w:szCs w:val="18"/>
          <w:color w:val="auto"/>
        </w:rPr>
        <w:t>, or (z) any payment obtained by a Lender as consideration for the assignment of or sale of a participation in any of its Loans or subparticipations in L/C Obligations or Swing Line Loans to any assignee or participant, other than to Toro or any Subsidiary thereof (as to which the provisions of this Section shall apply).</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Increase in Commitments.</w:t>
      </w:r>
    </w:p>
    <w:p>
      <w:pPr>
        <w:spacing w:after="0" w:line="121" w:lineRule="exact"/>
        <w:rPr>
          <w:sz w:val="20"/>
          <w:szCs w:val="20"/>
          <w:color w:val="auto"/>
        </w:rPr>
      </w:pPr>
    </w:p>
    <w:p>
      <w:pPr>
        <w:ind w:right="80" w:firstLine="464"/>
        <w:spacing w:after="0" w:line="276" w:lineRule="auto"/>
        <w:tabs>
          <w:tab w:leader="none" w:pos="701"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Request for Increase</w:t>
      </w:r>
      <w:r>
        <w:rPr>
          <w:rFonts w:ascii="Arial" w:cs="Arial" w:eastAsia="Arial" w:hAnsi="Arial"/>
          <w:sz w:val="17"/>
          <w:szCs w:val="17"/>
          <w:color w:val="auto"/>
        </w:rPr>
        <w:t xml:space="preserve">. Provided there exists no Default, upon notice to the Administrative Agent (which shall promptly notify the Revolving Credit Lenders), Toro may from time to time, request an increase in the Aggregate Revolving Credit Commitments by an amount up to $100,000,000;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request for an increase shall be in a minimum amount of $25,000,000. At the time of sending such notice, Toro (in consultation with the Administrative Agent) shall specify the time period within which each Revolving Credit Lender is requested to respond (which shall in no event be less than ten (10) Business Days from the date of delivery of such notice to the Revolving Credit Lenders).</w:t>
      </w:r>
    </w:p>
    <w:p>
      <w:pPr>
        <w:spacing w:after="0" w:line="64" w:lineRule="exact"/>
        <w:rPr>
          <w:rFonts w:ascii="Arial" w:cs="Arial" w:eastAsia="Arial" w:hAnsi="Arial"/>
          <w:sz w:val="17"/>
          <w:szCs w:val="17"/>
          <w:color w:val="auto"/>
        </w:rPr>
      </w:pPr>
    </w:p>
    <w:p>
      <w:pPr>
        <w:jc w:val="both"/>
        <w:ind w:right="80" w:firstLine="464"/>
        <w:spacing w:after="0" w:line="259" w:lineRule="auto"/>
        <w:tabs>
          <w:tab w:leader="none" w:pos="711"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Revolving Credit Lender shall notify the Administrative Agent within such time period whether or not it agrees to increase its Revolving Credit Commitment and, if so, whether by an amount equal to, greater than, or less than its Applicable Revolving Credit Percentage of such requested increase. Any Revolving Credit Lender not responding within such time period shall be deemed to have declined to increase its Revolving Credit Commitment.</w:t>
      </w:r>
    </w:p>
    <w:p>
      <w:pPr>
        <w:spacing w:after="0" w:line="78" w:lineRule="exact"/>
        <w:rPr>
          <w:rFonts w:ascii="Arial" w:cs="Arial" w:eastAsia="Arial" w:hAnsi="Arial"/>
          <w:sz w:val="18"/>
          <w:szCs w:val="18"/>
          <w:color w:val="auto"/>
        </w:rPr>
      </w:pPr>
    </w:p>
    <w:p>
      <w:pPr>
        <w:ind w:right="140" w:firstLine="464"/>
        <w:spacing w:after="0" w:line="257" w:lineRule="auto"/>
        <w:tabs>
          <w:tab w:leader="none" w:pos="701"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Lenders</w:t>
      </w:r>
      <w:r>
        <w:rPr>
          <w:rFonts w:ascii="Arial" w:cs="Arial" w:eastAsia="Arial" w:hAnsi="Arial"/>
          <w:sz w:val="18"/>
          <w:szCs w:val="18"/>
          <w:color w:val="auto"/>
        </w:rPr>
        <w:t>. The Administrative Agent shall notify Toro and each Revolving Credit Lender of the Revolving Credit Lenders’ responses to each request made hereunder. To achieve the full amount of a requested increase and subject to the approval of the Administrative Agent, the Swing Line Lender and the L/C Issuer (which approvals shall not be unreasonably withheld), Toro may also invite additional Eligible Assignees to become Revolving Credit Lenders pursuant to a joinder agreement in form and substance satisfactory to the Administrative Agent and its counsel.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159" w:name="page160"/>
    <w:bookmarkEnd w:id="159"/>
    <w:p>
      <w:pPr>
        <w:ind w:left="-8" w:right="120" w:firstLine="464"/>
        <w:spacing w:after="0" w:line="312" w:lineRule="auto"/>
        <w:tabs>
          <w:tab w:leader="none" w:pos="70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 and Allocations</w:t>
      </w:r>
      <w:r>
        <w:rPr>
          <w:rFonts w:ascii="Arial" w:cs="Arial" w:eastAsia="Arial" w:hAnsi="Arial"/>
          <w:sz w:val="16"/>
          <w:szCs w:val="16"/>
          <w:color w:val="auto"/>
        </w:rPr>
        <w:t>. If the Aggregate Revolving Credit Commitments are increased in accordance with this Section, the Administrative Agent and Toro shall determine the effective date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and the final allocation of such increase. The Administrative Agent shall promptly notify Toro and the Revolving Credit Lenders of the final allocation of such increase and the Increase Effective Date.</w:t>
      </w:r>
    </w:p>
    <w:p>
      <w:pPr>
        <w:spacing w:after="0" w:line="38" w:lineRule="exact"/>
        <w:rPr>
          <w:rFonts w:ascii="Arial" w:cs="Arial" w:eastAsia="Arial" w:hAnsi="Arial"/>
          <w:sz w:val="16"/>
          <w:szCs w:val="16"/>
          <w:color w:val="auto"/>
        </w:rPr>
      </w:pPr>
    </w:p>
    <w:p>
      <w:pPr>
        <w:ind w:left="-8" w:firstLine="464"/>
        <w:spacing w:after="0" w:line="287" w:lineRule="auto"/>
        <w:tabs>
          <w:tab w:leader="none" w:pos="693"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xml:space="preserve">. As a condition precedent to such increase, Toro shall deliver to the Administrative Agent a certificate of each Loan Party dated as of the Increase Effective Date (in sufficient copies for each Revolving Credit Lender) signed by a Responsible Officer of such Loan Party (i) certifying and attaching the resolutions adopted by such Loan Party approving or consenting to such increase, and (ii) certifying that, before and after giving effect to such increase,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the other Loan Documents are true and correct in all material respects on and as of the Increase Effective Date,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are true and correct as of such earlier date, and (y)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(B) no Default exists. The Borrowers shall prepay any Revolving Credit Loans outstanding on the Increase Effective Date (and pay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to the extent necessary to keep the outstanding Revolving Credit Loans ratable with any revised Applicable Revolving Credit Percentages arising from any nonratable increase in the Revolving Credit Commitments under this Section.</w:t>
      </w:r>
    </w:p>
    <w:p>
      <w:pPr>
        <w:spacing w:after="0" w:line="64" w:lineRule="exact"/>
        <w:rPr>
          <w:rFonts w:ascii="Arial" w:cs="Arial" w:eastAsia="Arial" w:hAnsi="Arial"/>
          <w:sz w:val="16"/>
          <w:szCs w:val="16"/>
          <w:color w:val="auto"/>
        </w:rPr>
      </w:pPr>
    </w:p>
    <w:p>
      <w:pPr>
        <w:ind w:left="672" w:hanging="216"/>
        <w:spacing w:after="0"/>
        <w:tabs>
          <w:tab w:leader="none" w:pos="67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Sections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2.15 Cash Collateral.</w:t>
      </w:r>
    </w:p>
    <w:p>
      <w:pPr>
        <w:spacing w:after="0" w:line="121" w:lineRule="exact"/>
        <w:rPr>
          <w:sz w:val="20"/>
          <w:szCs w:val="20"/>
          <w:color w:val="auto"/>
        </w:rPr>
      </w:pPr>
    </w:p>
    <w:p>
      <w:pPr>
        <w:ind w:left="-8" w:right="80" w:firstLine="464"/>
        <w:spacing w:after="0" w:line="285" w:lineRule="auto"/>
        <w:tabs>
          <w:tab w:leader="none" w:pos="69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Borrowers shall be required to provide Cash Collateral pursuant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or (iv) there shall exist a Defaulting Lender, the Borrowers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8" w:right="260" w:firstLine="8"/>
        <w:spacing w:after="0" w:line="295" w:lineRule="auto"/>
        <w:tabs>
          <w:tab w:leader="none" w:pos="297" w:val="left"/>
        </w:tabs>
        <w:numPr>
          <w:ilvl w:val="0"/>
          <w:numId w:val="195"/>
        </w:numPr>
        <w:rPr>
          <w:rFonts w:ascii="Arial" w:cs="Arial" w:eastAsia="Arial" w:hAnsi="Arial"/>
          <w:sz w:val="16"/>
          <w:szCs w:val="16"/>
          <w:u w:val="single" w:color="auto"/>
          <w:color w:val="auto"/>
        </w:rPr>
      </w:pPr>
      <w:r>
        <w:rPr>
          <w:rFonts w:ascii="Arial" w:cs="Arial" w:eastAsia="Arial" w:hAnsi="Arial"/>
          <w:sz w:val="16"/>
          <w:szCs w:val="16"/>
          <w:color w:val="auto"/>
        </w:rPr>
        <w:t xml:space="preserve">above, after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and any Cash Collateral provided by the Defaulting Lender). Additionally, if the Administrative Agent notifies the Borrowers at any time that the Outstanding Amount of all L/C Obligations at such time exceeds 105% of the Letter of Credit Sublimit then in effect, then, within two (2) Business Days after receipt of such notice, the Borrowers shall provide Cash Collateral for the Outstanding Amount of the L/C Obligations in an amount not less than the amount by which the Outstanding Amount of all L/C Obligations exceeds the Letter of Credit Sublimit.</w:t>
      </w:r>
    </w:p>
    <w:p>
      <w:pPr>
        <w:spacing w:after="0" w:line="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92"/>
          </w:cols>
          <w:pgMar w:left="248" w:top="274" w:right="259" w:bottom="1440" w:gutter="0" w:footer="0" w:header="0"/>
        </w:sectPr>
      </w:pPr>
    </w:p>
    <w:bookmarkStart w:id="160" w:name="page161"/>
    <w:bookmarkEnd w:id="160"/>
    <w:p>
      <w:pPr>
        <w:ind w:left="-40" w:right="20" w:firstLine="464"/>
        <w:spacing w:after="0" w:line="288" w:lineRule="auto"/>
        <w:tabs>
          <w:tab w:leader="none" w:pos="671"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of Security Interest</w:t>
      </w:r>
      <w:r>
        <w:rPr>
          <w:rFonts w:ascii="Arial" w:cs="Arial" w:eastAsia="Arial" w:hAnsi="Arial"/>
          <w:sz w:val="16"/>
          <w:szCs w:val="16"/>
          <w:color w:val="auto"/>
        </w:rPr>
        <w:t xml:space="preserve">. Each Borrower, and to the extent provided by any Defaulting Lender, such Defaulting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Borrowers shall pay on demand therefor from time to time all customary account opening, activity and other administrative fees and charges in connection with the maintenance and disbursement of Cash Collateral.</w:t>
      </w:r>
    </w:p>
    <w:p>
      <w:pPr>
        <w:spacing w:after="0" w:line="61" w:lineRule="exact"/>
        <w:rPr>
          <w:rFonts w:ascii="Arial" w:cs="Arial" w:eastAsia="Arial" w:hAnsi="Arial"/>
          <w:sz w:val="16"/>
          <w:szCs w:val="16"/>
          <w:color w:val="auto"/>
        </w:rPr>
      </w:pPr>
    </w:p>
    <w:p>
      <w:pPr>
        <w:ind w:left="-40" w:firstLine="464"/>
        <w:spacing w:after="0" w:line="257" w:lineRule="auto"/>
        <w:tabs>
          <w:tab w:leader="none" w:pos="661"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Cash Collateral as may be provided for herein.</w:t>
      </w:r>
    </w:p>
    <w:p>
      <w:pPr>
        <w:spacing w:after="0" w:line="80" w:lineRule="exact"/>
        <w:rPr>
          <w:rFonts w:ascii="Arial" w:cs="Arial" w:eastAsia="Arial" w:hAnsi="Arial"/>
          <w:sz w:val="18"/>
          <w:szCs w:val="18"/>
          <w:color w:val="auto"/>
        </w:rPr>
      </w:pPr>
    </w:p>
    <w:p>
      <w:pPr>
        <w:ind w:left="-40" w:right="20" w:firstLine="464"/>
        <w:spacing w:after="0" w:line="272" w:lineRule="auto"/>
        <w:tabs>
          <w:tab w:leader="none" w:pos="671"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11.06(b)(vi)</w:t>
      </w:r>
      <w:r>
        <w:rPr>
          <w:rFonts w:ascii="Arial" w:cs="Arial" w:eastAsia="Arial" w:hAnsi="Arial"/>
          <w:sz w:val="17"/>
          <w:szCs w:val="17"/>
          <w:color w:val="auto"/>
        </w:rPr>
        <w:t xml:space="preserve">)) or (ii) the determination by the Administrative Agent and the L/C Issuer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2.16 Defaulting Lenders.</w:t>
      </w:r>
    </w:p>
    <w:p>
      <w:pPr>
        <w:spacing w:after="0" w:line="121" w:lineRule="exact"/>
        <w:rPr>
          <w:sz w:val="20"/>
          <w:szCs w:val="20"/>
          <w:color w:val="auto"/>
        </w:rPr>
      </w:pPr>
    </w:p>
    <w:p>
      <w:pPr>
        <w:ind w:left="-40" w:right="200" w:firstLine="464"/>
        <w:spacing w:after="0" w:line="277" w:lineRule="auto"/>
        <w:tabs>
          <w:tab w:leader="none" w:pos="661"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80" w:top="274" w:right="279" w:bottom="1440" w:gutter="0" w:footer="0" w:header="0"/>
        </w:sectPr>
      </w:pPr>
    </w:p>
    <w:bookmarkStart w:id="161" w:name="page162"/>
    <w:bookmarkEnd w:id="161"/>
    <w:p>
      <w:pPr>
        <w:ind w:right="140" w:firstLine="443"/>
        <w:spacing w:after="0" w:line="264" w:lineRule="auto"/>
        <w:tabs>
          <w:tab w:leader="none" w:pos="653"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in the definition of “Required Lenders”, “Required Term Loan Lenders” and “Required Revolving Lenders”.</w:t>
      </w:r>
    </w:p>
    <w:p>
      <w:pPr>
        <w:spacing w:after="0" w:line="73" w:lineRule="exact"/>
        <w:rPr>
          <w:rFonts w:ascii="Arial" w:cs="Arial" w:eastAsia="Arial" w:hAnsi="Arial"/>
          <w:sz w:val="18"/>
          <w:szCs w:val="18"/>
          <w:color w:val="auto"/>
        </w:rPr>
      </w:pPr>
    </w:p>
    <w:p>
      <w:pPr>
        <w:ind w:firstLine="443"/>
        <w:spacing w:after="0" w:line="283" w:lineRule="auto"/>
        <w:tabs>
          <w:tab w:leader="none" w:pos="703"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if such Defaulting Lender is a Revolving Credit Lender, to the payment on a pro rata basis of any amounts owing by such Defaulting Lender to the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such Defaulting Lender is a Revolving Credit Lender, to Cash Collateralize the L/C Issuer’s Fronting Exposure with respect to such Defaulting Lender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Toro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Toro, to be held in a deposit account and released pro rata in order to</w:t>
      </w:r>
    </w:p>
    <w:p>
      <w:pPr>
        <w:spacing w:after="0" w:line="6" w:lineRule="exact"/>
        <w:rPr>
          <w:rFonts w:ascii="Arial" w:cs="Arial" w:eastAsia="Arial" w:hAnsi="Arial"/>
          <w:sz w:val="16"/>
          <w:szCs w:val="16"/>
          <w:color w:val="auto"/>
        </w:rPr>
      </w:pPr>
    </w:p>
    <w:p>
      <w:pPr>
        <w:ind w:firstLine="4"/>
        <w:spacing w:after="0" w:line="266" w:lineRule="auto"/>
        <w:tabs>
          <w:tab w:leader="none" w:pos="25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satisfy such Defaulting Lender’s potential future funding obligations with respect to Loans under this Agreement and (y) if such Defaulting Lender is a Revolving Credit Lender, Cash Collateralize the L/C Issuer’s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in the case of a Defaulting Lender under any Facility, to the payment of any amounts owing to the other Lenders under such Facility and, solely in the case of the Revolving Credit Facility, the L/C Issuer or Swing Line Lender, in each case,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700" w:top="274" w:right="239" w:bottom="1440" w:gutter="0" w:footer="0" w:header="0"/>
        </w:sectPr>
      </w:pPr>
    </w:p>
    <w:bookmarkStart w:id="162" w:name="page163"/>
    <w:bookmarkEnd w:id="162"/>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73" w:lineRule="exact"/>
        <w:rPr>
          <w:sz w:val="20"/>
          <w:szCs w:val="20"/>
          <w:color w:val="auto"/>
        </w:rPr>
      </w:pPr>
    </w:p>
    <w:p>
      <w:pPr>
        <w:ind w:left="760" w:hanging="317"/>
        <w:spacing w:after="0"/>
        <w:tabs>
          <w:tab w:leader="none" w:pos="76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59" w:lineRule="auto"/>
        <w:tabs>
          <w:tab w:leader="none" w:pos="117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That Defaulting Lender (x) shall be entitled to receive any facility fee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Revolving Credit Lender is a Defaulting Lender only to extent allocable to the sum of (1) the Outstanding Amount of the Revolving Credit Loans funded by it and (2) its Applicable Revolving Credit Percentage of the stated amount of Letters of Credit for which it has provided Cash Collateral pursuant to </w:t>
      </w:r>
      <w:r>
        <w:rPr>
          <w:rFonts w:ascii="Arial" w:cs="Arial" w:eastAsia="Arial" w:hAnsi="Arial"/>
          <w:sz w:val="18"/>
          <w:szCs w:val="18"/>
          <w:u w:val="single" w:color="auto"/>
          <w:color w:val="auto"/>
        </w:rPr>
        <w:t>Section 2.16(a)(ii)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400" w:firstLine="421"/>
        <w:spacing w:after="0" w:line="264" w:lineRule="auto"/>
        <w:tabs>
          <w:tab w:leader="none" w:pos="116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Each Defaulting Lender which is a Revolving Credit Lender shall be entitled to receive Letter of Credit Fees for any period during which that Lender is a Defaulting Lender only to the extent allocable to its Applicable Revolving Credit Percentage of the stated amount of Letters of Credit for which it has provided Cash Collateral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60" w:right="100" w:firstLine="421"/>
        <w:spacing w:after="0" w:line="293" w:lineRule="auto"/>
        <w:tabs>
          <w:tab w:leader="none" w:pos="116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With respect to any fee payable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or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Borrowers shall (x) pay to each Non-Defaulting Lender which is a Revolving Credit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(y) pay to the L/C Issuer and Swing Line Lender, as applicable</w:t>
      </w:r>
      <w:r>
        <w:rPr>
          <w:rFonts w:ascii="Arial" w:cs="Arial" w:eastAsia="Arial" w:hAnsi="Arial"/>
          <w:sz w:val="16"/>
          <w:szCs w:val="16"/>
          <w:b w:val="1"/>
          <w:bCs w:val="1"/>
          <w:color w:val="auto"/>
        </w:rPr>
        <w:t>,</w:t>
      </w:r>
      <w:r>
        <w:rPr>
          <w:rFonts w:ascii="Arial" w:cs="Arial" w:eastAsia="Arial" w:hAnsi="Arial"/>
          <w:sz w:val="16"/>
          <w:szCs w:val="16"/>
          <w:color w:val="auto"/>
        </w:rPr>
        <w:t xml:space="preserv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56" w:lineRule="exact"/>
        <w:rPr>
          <w:rFonts w:ascii="Arial" w:cs="Arial" w:eastAsia="Arial" w:hAnsi="Arial"/>
          <w:sz w:val="16"/>
          <w:szCs w:val="16"/>
          <w:color w:val="auto"/>
        </w:rPr>
      </w:pPr>
    </w:p>
    <w:p>
      <w:pPr>
        <w:ind w:right="40" w:firstLine="443"/>
        <w:spacing w:after="0" w:line="270" w:lineRule="auto"/>
        <w:tabs>
          <w:tab w:leader="none" w:pos="743"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Revolving Credit Percentages to Reduce Fronting Exposure</w:t>
      </w:r>
      <w:r>
        <w:rPr>
          <w:rFonts w:ascii="Arial" w:cs="Arial" w:eastAsia="Arial" w:hAnsi="Arial"/>
          <w:sz w:val="17"/>
          <w:szCs w:val="17"/>
          <w:color w:val="auto"/>
        </w:rPr>
        <w:t xml:space="preserve">. All or any part of such Defaulting Lender’s participation in L/C Obligations and Swing Line Loans shall be reallocated among the Non-Defaulting Lenders which are Revolving Credit Lenders in accordance with their respective Applicable Revolving Credit Percentages (calculated without regard to such Defaulting Lender’s Revolving Credit Commitment) but only to the extent that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the time of such reallocation (and, unless Toro shall have otherwise notified the Administrative Agent at such time, Toro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74" w:right="239" w:bottom="1440" w:gutter="0" w:footer="0" w:header="0"/>
        </w:sectPr>
      </w:pPr>
    </w:p>
    <w:bookmarkStart w:id="163" w:name="page164"/>
    <w:bookmarkEnd w:id="163"/>
    <w:p>
      <w:pPr>
        <w:ind w:left="460" w:right="200" w:firstLine="443"/>
        <w:spacing w:after="0" w:line="259" w:lineRule="auto"/>
        <w:tabs>
          <w:tab w:leader="none" w:pos="115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100" w:firstLine="464"/>
        <w:spacing w:after="0" w:line="269" w:lineRule="auto"/>
        <w:tabs>
          <w:tab w:leader="none" w:pos="711"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Toro, the Administrative Agent, and, in the case that a Defaulting Lender is a Revolving Credit Lender, the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Revolving Credit Loans of the other Revolving Credit Lenders or take such other actions as the Administrative Agent may determine to be necessary to cause the Revolving Credit Loans and funded and unfunded participations in Letters of Credit and Swing Line Loans to be held on a pro rata basis by the Revolving Credit Lenders in accordance with their Applicable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whereupon that Lender will cease to be a Defaulting Lender; provided that no adjustments will be made retroactively with respect to fees accrued or payments made by or on behalf of any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2.17 Designated Borrowers. </w:t>
      </w:r>
      <w:r>
        <w:rPr>
          <w:rFonts w:ascii="Arial" w:cs="Arial" w:eastAsia="Arial" w:hAnsi="Arial"/>
          <w:sz w:val="17"/>
          <w:szCs w:val="17"/>
          <w:color w:val="auto"/>
        </w:rPr>
        <w:t>(a) Toro may at any time, upon not less than 15 Business Days’ notice from Toro to the Administrative Agent (or such</w:t>
      </w:r>
      <w:r>
        <w:rPr>
          <w:rFonts w:ascii="Arial" w:cs="Arial" w:eastAsia="Arial" w:hAnsi="Arial"/>
          <w:sz w:val="17"/>
          <w:szCs w:val="17"/>
          <w:b w:val="1"/>
          <w:bCs w:val="1"/>
          <w:color w:val="auto"/>
        </w:rPr>
        <w:t xml:space="preserve"> </w:t>
      </w:r>
      <w:r>
        <w:rPr>
          <w:rFonts w:ascii="Arial" w:cs="Arial" w:eastAsia="Arial" w:hAnsi="Arial"/>
          <w:sz w:val="17"/>
          <w:szCs w:val="17"/>
          <w:color w:val="auto"/>
        </w:rPr>
        <w:t>shorter period as may be agreed by the Administrative Agent in its sole discretion), designate any additional Subsidiary of Toro (an “</w:t>
      </w:r>
      <w:r>
        <w:rPr>
          <w:rFonts w:ascii="Arial" w:cs="Arial" w:eastAsia="Arial" w:hAnsi="Arial"/>
          <w:sz w:val="17"/>
          <w:szCs w:val="17"/>
          <w:u w:val="single" w:color="auto"/>
          <w:color w:val="auto"/>
        </w:rPr>
        <w:t>Applicant Borrower</w:t>
      </w:r>
      <w:r>
        <w:rPr>
          <w:rFonts w:ascii="Arial" w:cs="Arial" w:eastAsia="Arial" w:hAnsi="Arial"/>
          <w:sz w:val="17"/>
          <w:szCs w:val="17"/>
          <w:color w:val="auto"/>
        </w:rPr>
        <w:t xml:space="preserve">”) as a Designated Borrower to receive Revolving Credit Loans hereunder by delivering to the Administrative Agent (which shall promptly deliver counterparts thereof to each Revolving Credit Lender) a duly executed notice and agreement in substantially the form of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Designated Borrower Request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Assumption Agreement</w:t>
      </w:r>
      <w:r>
        <w:rPr>
          <w:rFonts w:ascii="Arial" w:cs="Arial" w:eastAsia="Arial" w:hAnsi="Arial"/>
          <w:sz w:val="17"/>
          <w:szCs w:val="17"/>
          <w:color w:val="auto"/>
        </w:rPr>
        <w:t xml:space="preserve">”). The parties hereto acknowledge and agree that prior to any Applicant Borrower becoming entitled to utilize the credit facilities provided for herein the Administrative Agent and the Revolving Credit Lenders shall have received such supporting resolutions, incumbency certificates, opinions of counsel and other documents or information, in form, content and scope reasonably satisfactory to the Administrative Agent, as may be required by the Administrative Agent or the Required Revolving Lenders in their sole discretion, and Notes signed by such new Subsidiary Borrowers to the extent any Revolving Credit Lenders so require. If the Administrative Agent and the Revolving Credit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Designated Borrower Notice</w:t>
      </w:r>
      <w:r>
        <w:rPr>
          <w:rFonts w:ascii="Arial" w:cs="Arial" w:eastAsia="Arial" w:hAnsi="Arial"/>
          <w:sz w:val="17"/>
          <w:szCs w:val="17"/>
          <w:color w:val="auto"/>
        </w:rPr>
        <w:t>”) to Toro and the Revolving Credit Lenders specifying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64" w:name="page165"/>
    <w:bookmarkEnd w:id="164"/>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effective date upon which the Applicant Borrower shall constitute a Designated Borrower for purposes hereof, whereupon each of the Revolving Credit Lenders agrees to permit such Designated Borrower to receive Revolving Credit Loans hereunder, on the terms and conditions set forth herein, and each of the parties agrees that such Designated Borrower otherwise shall be a Subsidiary Borrower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Loan Notice or Letter of Credit Application may be submitted by or on behalf of such Designated Borrower until the date five (5) Business Days after such effective date.</w:t>
      </w:r>
    </w:p>
    <w:p>
      <w:pPr>
        <w:spacing w:after="0" w:line="46" w:lineRule="exact"/>
        <w:rPr>
          <w:sz w:val="20"/>
          <w:szCs w:val="20"/>
          <w:color w:val="auto"/>
        </w:rPr>
      </w:pPr>
    </w:p>
    <w:p>
      <w:pPr>
        <w:ind w:left="720" w:hanging="256"/>
        <w:spacing w:after="0"/>
        <w:tabs>
          <w:tab w:leader="none" w:pos="7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Obligations of all Designated Borrowers shall be several in nature and shall be guaranteed by Toro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firstLine="464"/>
        <w:spacing w:after="0" w:line="257" w:lineRule="auto"/>
        <w:tabs>
          <w:tab w:leader="none" w:pos="70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Toro may from time to time, upon not less than 15 Business Days’ notice from Toro to the 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Revolving Credit Loans payable by such Designated Borrower, or other amounts payable by such Designated Borrower on account of any Revolving Credit Loans made to it, as of the effective date of such termination. The Administrative Agent will promptly notify the Revolving Credit Lenders of any such termination of a Designated Borrower’s status.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3.01 Taxes.</w:t>
      </w:r>
    </w:p>
    <w:p>
      <w:pPr>
        <w:spacing w:after="0" w:line="121" w:lineRule="exact"/>
        <w:rPr>
          <w:sz w:val="20"/>
          <w:szCs w:val="20"/>
          <w:color w:val="auto"/>
        </w:rPr>
      </w:pPr>
    </w:p>
    <w:p>
      <w:pPr>
        <w:ind w:left="700" w:hanging="236"/>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60" w:firstLine="443"/>
        <w:spacing w:after="0" w:line="257" w:lineRule="auto"/>
        <w:tabs>
          <w:tab w:leader="none" w:pos="111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respective Borrowers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Borrower, then the Administrative Agent or such Borrower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80" w:lineRule="exact"/>
        <w:rPr>
          <w:rFonts w:ascii="Arial" w:cs="Arial" w:eastAsia="Arial" w:hAnsi="Arial"/>
          <w:sz w:val="18"/>
          <w:szCs w:val="18"/>
          <w:color w:val="auto"/>
        </w:rPr>
      </w:pPr>
    </w:p>
    <w:p>
      <w:pPr>
        <w:ind w:left="460" w:right="200" w:firstLine="443"/>
        <w:spacing w:after="0" w:line="288" w:lineRule="auto"/>
        <w:tabs>
          <w:tab w:leader="none" w:pos="1163"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If any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w:t>
      </w:r>
    </w:p>
    <w:p>
      <w:pPr>
        <w:ind w:left="460" w:right="20" w:firstLine="4"/>
        <w:spacing w:after="0" w:line="253" w:lineRule="auto"/>
        <w:tabs>
          <w:tab w:leader="none" w:pos="705" w:val="left"/>
        </w:tabs>
        <w:numPr>
          <w:ilvl w:val="0"/>
          <w:numId w:val="205"/>
        </w:numPr>
        <w:rPr>
          <w:rFonts w:ascii="Arial" w:cs="Arial" w:eastAsia="Arial" w:hAnsi="Arial"/>
          <w:sz w:val="18"/>
          <w:szCs w:val="18"/>
          <w:u w:val="single" w:color="auto"/>
          <w:color w:val="auto"/>
        </w:rPr>
      </w:pPr>
      <w:r>
        <w:rPr>
          <w:rFonts w:ascii="Arial" w:cs="Arial" w:eastAsia="Arial" w:hAnsi="Arial"/>
          <w:sz w:val="18"/>
          <w:szCs w:val="18"/>
          <w:color w:val="auto"/>
        </w:rPr>
        <w:t>below, (B) the Administrative Agent shall timely pay the full amount so withheld or deducted by it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3.01) the applicable Recipient receives an amount equal to the sum it would have received had no such withholding or deduction been made.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165" w:name="page166"/>
    <w:bookmarkEnd w:id="165"/>
    <w:p>
      <w:pPr>
        <w:ind w:left="300" w:right="20" w:firstLine="443"/>
        <w:spacing w:after="0" w:line="290" w:lineRule="auto"/>
        <w:tabs>
          <w:tab w:leader="none" w:pos="1053"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such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58" w:lineRule="exact"/>
        <w:rPr>
          <w:rFonts w:ascii="Arial" w:cs="Arial" w:eastAsia="Arial" w:hAnsi="Arial"/>
          <w:sz w:val="16"/>
          <w:szCs w:val="16"/>
          <w:color w:val="auto"/>
        </w:rPr>
      </w:pPr>
    </w:p>
    <w:p>
      <w:pPr>
        <w:jc w:val="both"/>
        <w:ind w:left="-160" w:right="20" w:firstLine="464"/>
        <w:spacing w:after="0" w:line="264" w:lineRule="auto"/>
        <w:tabs>
          <w:tab w:leader="none" w:pos="55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each Borrower shall timely pay to the relevant Governmental Authority in accordance with applicable Laws, or at the option of the Administrative Agent timely reimburse it for the payment of, any Other Taxes.</w:t>
      </w:r>
    </w:p>
    <w:p>
      <w:pPr>
        <w:spacing w:after="0" w:line="73" w:lineRule="exact"/>
        <w:rPr>
          <w:rFonts w:ascii="Arial" w:cs="Arial" w:eastAsia="Arial" w:hAnsi="Arial"/>
          <w:sz w:val="18"/>
          <w:szCs w:val="18"/>
          <w:color w:val="auto"/>
        </w:rPr>
      </w:pPr>
    </w:p>
    <w:p>
      <w:pPr>
        <w:ind w:left="540" w:hanging="236"/>
        <w:spacing w:after="0"/>
        <w:tabs>
          <w:tab w:leader="none" w:pos="54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firstLine="443"/>
        <w:spacing w:after="0" w:line="289" w:lineRule="auto"/>
        <w:tabs>
          <w:tab w:leader="none" w:pos="95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Each Borrower shall, and does hereby, indemnify the Administrative Agent, and shall make payment in respect thereof within 30 days after demand therefor, for any amount which a Lender or the L/C Issuer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 A certificate as to the amount of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59" w:lineRule="exact"/>
        <w:rPr>
          <w:sz w:val="20"/>
          <w:szCs w:val="20"/>
          <w:color w:val="auto"/>
        </w:rPr>
      </w:pPr>
    </w:p>
    <w:p>
      <w:pPr>
        <w:ind w:left="300" w:right="160" w:firstLine="443"/>
        <w:spacing w:after="0" w:line="312" w:lineRule="auto"/>
        <w:tabs>
          <w:tab w:leader="none" w:pos="1003"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Lender and the L/C Issuer shall, and does hereby, severally indemnify, and shall make payment in respect thereof within 30 days after demand therefor, (x) the Administrative Agent against any Indemnified Taxes attributable to such Lender or the L/C Issuer (but only to the extent that any Borrower has not already indemnified the Administrative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400" w:top="274" w:right="379" w:bottom="1440" w:gutter="0" w:footer="0" w:header="0"/>
        </w:sectPr>
      </w:pPr>
    </w:p>
    <w:bookmarkStart w:id="166" w:name="page167"/>
    <w:bookmarkEnd w:id="166"/>
    <w:p>
      <w:pPr>
        <w:ind w:left="34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for such Indemnified Taxes and without limiting the obligation of the Borrowers to do so), (y) the Administrative Agent and the Borrowers, as applicable,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(z) the Administrative Agent and the Borrowers,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74" w:lineRule="exact"/>
        <w:rPr>
          <w:sz w:val="20"/>
          <w:szCs w:val="20"/>
          <w:color w:val="auto"/>
        </w:rPr>
      </w:pPr>
    </w:p>
    <w:p>
      <w:pPr>
        <w:ind w:left="-120" w:right="40" w:firstLine="464"/>
        <w:spacing w:after="0" w:line="257" w:lineRule="auto"/>
        <w:tabs>
          <w:tab w:leader="none" w:pos="591"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such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80" w:lineRule="exact"/>
        <w:rPr>
          <w:rFonts w:ascii="Arial" w:cs="Arial" w:eastAsia="Arial" w:hAnsi="Arial"/>
          <w:sz w:val="18"/>
          <w:szCs w:val="18"/>
          <w:color w:val="auto"/>
        </w:rPr>
      </w:pPr>
    </w:p>
    <w:p>
      <w:pPr>
        <w:ind w:left="580" w:hanging="236"/>
        <w:spacing w:after="0"/>
        <w:tabs>
          <w:tab w:leader="none" w:pos="58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40" w:firstLine="443"/>
        <w:spacing w:after="0" w:line="270" w:lineRule="auto"/>
        <w:tabs>
          <w:tab w:leader="none" w:pos="993" w:val="left"/>
        </w:tabs>
        <w:numPr>
          <w:ilvl w:val="1"/>
          <w:numId w:val="209"/>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Toro and to the Administrative Agent, at the time or times reasonably requested by Toro or the Administrative Agent, such properly completed and executed documentation reasonably requested by Toro or the Administrative Agent as will permit such payments to be made without withholding or at a reduced rate of withholding. In addition, any Lender, if reasonably requested by Toro or the Administrative Agent, shall deliver such other documentation prescribed by applicable law or reasonably requested by Toro or the Administrative Agent as will enable Toro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9" w:lineRule="exact"/>
        <w:rPr>
          <w:rFonts w:ascii="Arial" w:cs="Arial" w:eastAsia="Arial" w:hAnsi="Arial"/>
          <w:sz w:val="17"/>
          <w:szCs w:val="17"/>
          <w:color w:val="auto"/>
        </w:rPr>
      </w:pPr>
    </w:p>
    <w:p>
      <w:pPr>
        <w:ind w:left="1040" w:hanging="257"/>
        <w:spacing w:after="0"/>
        <w:tabs>
          <w:tab w:leader="none" w:pos="10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is a U.S. Person,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360" w:top="274" w:right="339" w:bottom="1440" w:gutter="0" w:footer="0" w:header="0"/>
        </w:sectPr>
      </w:pPr>
    </w:p>
    <w:bookmarkStart w:id="167" w:name="page168"/>
    <w:bookmarkEnd w:id="167"/>
    <w:p>
      <w:pPr>
        <w:ind w:left="-280" w:right="360" w:firstLine="421"/>
        <w:spacing w:after="0" w:line="312" w:lineRule="auto"/>
        <w:tabs>
          <w:tab w:leader="none" w:pos="435"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Lender that is a U.S. Person shall deliver to Toro and the Administrative Agent on or prior to the date on which such Lender becomes a Lender under this Agreement (and from time to time thereafter upon the reasonable request of Toro or the Administrative Agent), executed originals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280" w:right="80" w:firstLine="421"/>
        <w:spacing w:after="0" w:line="259" w:lineRule="auto"/>
        <w:tabs>
          <w:tab w:leader="none" w:pos="42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on behalf of such Borrower or the Administrative Agent), whichever of the following is applicable:</w:t>
      </w:r>
    </w:p>
    <w:p>
      <w:pPr>
        <w:spacing w:after="0" w:line="78" w:lineRule="exact"/>
        <w:rPr>
          <w:rFonts w:ascii="Arial" w:cs="Arial" w:eastAsia="Arial" w:hAnsi="Arial"/>
          <w:sz w:val="18"/>
          <w:szCs w:val="18"/>
          <w:color w:val="auto"/>
        </w:rPr>
      </w:pPr>
    </w:p>
    <w:p>
      <w:pPr>
        <w:jc w:val="both"/>
        <w:ind w:left="300" w:right="360" w:firstLine="389"/>
        <w:spacing w:after="0" w:line="288" w:lineRule="auto"/>
        <w:tabs>
          <w:tab w:leader="none" w:pos="922" w:val="left"/>
        </w:tabs>
        <w:numPr>
          <w:ilvl w:val="2"/>
          <w:numId w:val="21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w:t>
      </w:r>
    </w:p>
    <w:p>
      <w:pPr>
        <w:ind w:left="300" w:right="20" w:hanging="8"/>
        <w:spacing w:after="0" w:line="255" w:lineRule="auto"/>
        <w:tabs>
          <w:tab w:leader="none" w:pos="555"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color w:val="auto"/>
        </w:rPr>
      </w:pPr>
    </w:p>
    <w:p>
      <w:pPr>
        <w:ind w:left="980" w:hanging="291"/>
        <w:spacing w:after="0"/>
        <w:tabs>
          <w:tab w:leader="none" w:pos="98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(III) executed originals of IRS Form W-8IMY and all required supporting documentation,</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(IV) in the case of a Foreign Lender claiming the benefits of the exemption for portfolio interest under Section 881(c) of the Code,</w:t>
      </w:r>
    </w:p>
    <w:p>
      <w:pPr>
        <w:spacing w:after="0" w:line="46" w:lineRule="exact"/>
        <w:rPr>
          <w:sz w:val="20"/>
          <w:szCs w:val="20"/>
          <w:color w:val="auto"/>
        </w:rPr>
      </w:pPr>
    </w:p>
    <w:p>
      <w:pPr>
        <w:ind w:left="300" w:right="80" w:hanging="8"/>
        <w:spacing w:after="0" w:line="265" w:lineRule="auto"/>
        <w:tabs>
          <w:tab w:leader="none" w:pos="55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a certificate substantially in the form of </w:t>
      </w:r>
      <w:r>
        <w:rPr>
          <w:rFonts w:ascii="Arial" w:cs="Arial" w:eastAsia="Arial" w:hAnsi="Arial"/>
          <w:sz w:val="17"/>
          <w:szCs w:val="17"/>
          <w:u w:val="single" w:color="auto"/>
          <w:color w:val="auto"/>
        </w:rPr>
        <w:t>Exhibit I-1</w:t>
      </w:r>
      <w:r>
        <w:rPr>
          <w:rFonts w:ascii="Arial" w:cs="Arial" w:eastAsia="Arial" w:hAnsi="Arial"/>
          <w:sz w:val="17"/>
          <w:szCs w:val="17"/>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 Compliance Certificate</w:t>
      </w:r>
      <w:r>
        <w:rPr>
          <w:rFonts w:ascii="Arial" w:cs="Arial" w:eastAsia="Arial" w:hAnsi="Arial"/>
          <w:sz w:val="17"/>
          <w:szCs w:val="17"/>
          <w:color w:val="auto"/>
        </w:rPr>
        <w:t>”) and</w:t>
      </w:r>
    </w:p>
    <w:p>
      <w:pPr>
        <w:ind w:left="540" w:hanging="248"/>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executed originals of IRS Form W-8BEN or W-8BEN-E, as applicable, or</w:t>
      </w:r>
    </w:p>
    <w:p>
      <w:pPr>
        <w:spacing w:after="0" w:line="102" w:lineRule="exact"/>
        <w:rPr>
          <w:rFonts w:ascii="Arial" w:cs="Arial" w:eastAsia="Arial" w:hAnsi="Arial"/>
          <w:sz w:val="18"/>
          <w:szCs w:val="18"/>
          <w:color w:val="auto"/>
        </w:rPr>
      </w:pPr>
    </w:p>
    <w:p>
      <w:pPr>
        <w:ind w:left="300" w:firstLine="389"/>
        <w:spacing w:after="0" w:line="255" w:lineRule="auto"/>
        <w:tabs>
          <w:tab w:leader="none" w:pos="99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8"/>
          <w:szCs w:val="18"/>
          <w:u w:val="single" w:color="auto"/>
          <w:color w:val="auto"/>
        </w:rPr>
        <w:t>Exhibit I-2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I-3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I-4</w:t>
      </w:r>
      <w:r>
        <w:rPr>
          <w:rFonts w:ascii="Arial" w:cs="Arial" w:eastAsia="Arial" w:hAnsi="Arial"/>
          <w:sz w:val="18"/>
          <w:szCs w:val="18"/>
          <w:color w:val="auto"/>
        </w:rPr>
        <w:t xml:space="preserve"> on behalf of each such direct and indirect partner.</w:t>
      </w:r>
    </w:p>
    <w:p>
      <w:pPr>
        <w:spacing w:after="0" w:line="1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00"/>
          </w:cols>
          <w:pgMar w:left="1440" w:top="274" w:right="259" w:bottom="1440" w:gutter="0" w:footer="0" w:header="0"/>
        </w:sectPr>
      </w:pPr>
    </w:p>
    <w:bookmarkStart w:id="168" w:name="page169"/>
    <w:bookmarkEnd w:id="168"/>
    <w:p>
      <w:pPr>
        <w:ind w:left="900" w:right="80" w:firstLine="421"/>
        <w:spacing w:after="0" w:line="255" w:lineRule="auto"/>
        <w:tabs>
          <w:tab w:leader="none" w:pos="1605" w:val="left"/>
        </w:tabs>
        <w:numPr>
          <w:ilvl w:val="2"/>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85" w:lineRule="exact"/>
        <w:rPr>
          <w:rFonts w:ascii="Arial" w:cs="Arial" w:eastAsia="Arial" w:hAnsi="Arial"/>
          <w:sz w:val="18"/>
          <w:szCs w:val="18"/>
          <w:color w:val="auto"/>
        </w:rPr>
      </w:pPr>
    </w:p>
    <w:p>
      <w:pPr>
        <w:ind w:left="900" w:firstLine="421"/>
        <w:spacing w:after="0" w:line="290" w:lineRule="auto"/>
        <w:tabs>
          <w:tab w:leader="none" w:pos="1615" w:val="left"/>
        </w:tabs>
        <w:numPr>
          <w:ilvl w:val="2"/>
          <w:numId w:val="213"/>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Toro and the Administrative Agent at the time or times prescribed by law and at such time or times reasonably requested by Toro or the Administrative Agent such documentation prescribed by applicable law (including as prescribed by Section 1471(b)(3)(C)(i) of the Code) and such additional documentation reasonably requested by Toro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clause (D)</w:t>
      </w:r>
      <w:r>
        <w:rPr>
          <w:rFonts w:ascii="Arial" w:cs="Arial" w:eastAsia="Arial" w:hAnsi="Arial"/>
          <w:sz w:val="16"/>
          <w:szCs w:val="16"/>
          <w:color w:val="auto"/>
        </w:rPr>
        <w:t>, “FATCA” shall include any amendments made to FATCA after the date of this Agreement.</w:t>
      </w:r>
    </w:p>
    <w:p>
      <w:pPr>
        <w:spacing w:after="0" w:line="58" w:lineRule="exact"/>
        <w:rPr>
          <w:rFonts w:ascii="Arial" w:cs="Arial" w:eastAsia="Arial" w:hAnsi="Arial"/>
          <w:sz w:val="16"/>
          <w:szCs w:val="16"/>
          <w:color w:val="auto"/>
        </w:rPr>
      </w:pPr>
    </w:p>
    <w:p>
      <w:pPr>
        <w:ind w:left="440" w:right="40" w:firstLine="443"/>
        <w:spacing w:after="0" w:line="264" w:lineRule="auto"/>
        <w:tabs>
          <w:tab w:leader="none" w:pos="119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Toro and the Administrative Agent in writing of its legal inability to do so.</w:t>
      </w:r>
    </w:p>
    <w:p>
      <w:pPr>
        <w:spacing w:after="0" w:line="73" w:lineRule="exact"/>
        <w:rPr>
          <w:rFonts w:ascii="Arial" w:cs="Arial" w:eastAsia="Arial" w:hAnsi="Arial"/>
          <w:sz w:val="18"/>
          <w:szCs w:val="18"/>
          <w:color w:val="auto"/>
        </w:rPr>
      </w:pPr>
    </w:p>
    <w:p>
      <w:pPr>
        <w:ind w:left="-20" w:right="20" w:firstLine="464"/>
        <w:spacing w:after="0" w:line="272" w:lineRule="auto"/>
        <w:tabs>
          <w:tab w:leader="none" w:pos="66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(including by the payment of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(plus any penalties, interest or other charges imposed by the relevant Governmental Authority) in the event that such indemnified party is required to repay such refund to such Governmental Authority. Notwithstanding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60" w:top="274" w:right="259" w:bottom="1440" w:gutter="0" w:footer="0" w:header="0"/>
        </w:sectPr>
      </w:pPr>
    </w:p>
    <w:bookmarkStart w:id="169" w:name="page170"/>
    <w:bookmarkEnd w:id="169"/>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anything to the contrary in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in no event will the indemnified party be required to pay any amount to an indemnifying party pursuant to this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50" w:lineRule="exact"/>
        <w:rPr>
          <w:sz w:val="20"/>
          <w:szCs w:val="20"/>
          <w:color w:val="auto"/>
        </w:rPr>
      </w:pPr>
    </w:p>
    <w:p>
      <w:pPr>
        <w:ind w:right="20" w:firstLine="464"/>
        <w:spacing w:after="0" w:line="264" w:lineRule="auto"/>
        <w:tabs>
          <w:tab w:leader="none" w:pos="71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77"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 xml:space="preserve">3.02 Illegality. </w:t>
      </w:r>
      <w:r>
        <w:rPr>
          <w:rFonts w:ascii="Arial" w:cs="Arial" w:eastAsia="Arial" w:hAnsi="Arial"/>
          <w:sz w:val="17"/>
          <w:szCs w:val="17"/>
          <w:color w:val="auto"/>
        </w:rPr>
        <w:t>If any Lender determines that any Law has made it unlawful, or that any Governmental Authority has asserted that it is unlawful,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Lender or its applicable Lending Office to make, maintain or fund Loans whose interest is determined by reference to the Eurocurrency Rate (whether such Loans are denominated in Dollars or an Alternative Currency), or to determine or charge interest rates based upon the Eurocurrency Rate (including in regards to the Base Rate), or any Governmental Authority has imposed material restrictions on the authority of such Lender to purchase or sell, or to take deposits of, Dollars or any Alternative Currency in the applicable interbank market, then, on notice thereof by such Lender to Toro through the Administrative Agent, (i) any obligation of such Lender to 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Toro that the circumstances giving rise to such determination no longer exist. Upon receipt of such notice, (x) the Borrowers shall, upon demand from such Lender (with a copy to the Administrative Agent), prepay or, if applicable and such Loans are denominated in Dollars, convert all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70" w:name="page171"/>
    <w:bookmarkEnd w:id="170"/>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3.03 Inability to Determine Rates. </w:t>
      </w:r>
      <w:r>
        <w:rPr>
          <w:rFonts w:ascii="Arial" w:cs="Arial" w:eastAsia="Arial" w:hAnsi="Arial"/>
          <w:sz w:val="17"/>
          <w:szCs w:val="17"/>
          <w:color w:val="auto"/>
        </w:rPr>
        <w:t>If in connection with any request for a Eurocurrency Rate Loan or a conversion to or continuation thereof,</w:t>
      </w:r>
    </w:p>
    <w:p>
      <w:pPr>
        <w:spacing w:after="0" w:line="39" w:lineRule="exact"/>
        <w:rPr>
          <w:sz w:val="20"/>
          <w:szCs w:val="20"/>
          <w:color w:val="auto"/>
        </w:rPr>
      </w:pPr>
    </w:p>
    <w:p>
      <w:pPr>
        <w:ind w:right="260" w:firstLine="8"/>
        <w:spacing w:after="0" w:line="281" w:lineRule="auto"/>
        <w:tabs>
          <w:tab w:leader="none" w:pos="24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(i) the Administrative Agent determines that deposits (whether in Dollars or an Alternative Currency) are not being offered to banks in the applicable offshore interbank market for such currency for the applicable amount and Interest Period of such Eurocurrency Rate Loan, or (ii)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(in each case with respect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firstLine="8"/>
        <w:spacing w:after="0" w:line="267" w:lineRule="auto"/>
        <w:tabs>
          <w:tab w:leader="none" w:pos="245" w:val="left"/>
        </w:tabs>
        <w:numPr>
          <w:ilvl w:val="0"/>
          <w:numId w:val="218"/>
        </w:numPr>
        <w:rPr>
          <w:rFonts w:ascii="Arial" w:cs="Arial" w:eastAsia="Arial" w:hAnsi="Arial"/>
          <w:sz w:val="17"/>
          <w:szCs w:val="17"/>
          <w:u w:val="single" w:color="auto"/>
          <w:color w:val="auto"/>
        </w:rPr>
      </w:pPr>
      <w:r>
        <w:rPr>
          <w:rFonts w:ascii="Arial" w:cs="Arial" w:eastAsia="Arial" w:hAnsi="Arial"/>
          <w:sz w:val="17"/>
          <w:szCs w:val="17"/>
          <w:color w:val="auto"/>
        </w:rPr>
        <w:t>above, “</w:t>
      </w:r>
      <w:r>
        <w:rPr>
          <w:rFonts w:ascii="Arial" w:cs="Arial" w:eastAsia="Arial" w:hAnsi="Arial"/>
          <w:sz w:val="17"/>
          <w:szCs w:val="17"/>
          <w:u w:val="single" w:color="auto"/>
          <w:color w:val="auto"/>
        </w:rPr>
        <w:t>Impacted Loans</w:t>
      </w:r>
      <w:r>
        <w:rPr>
          <w:rFonts w:ascii="Arial" w:cs="Arial" w:eastAsia="Arial" w:hAnsi="Arial"/>
          <w:sz w:val="17"/>
          <w:szCs w:val="17"/>
          <w:color w:val="auto"/>
        </w:rPr>
        <w:t>”), or (b) the Administrative Agent or the Required Lenders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Toro and each Lender. Thereafter, (x) the obligation of the Lenders under the appropriate Facility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Revolving Lenders (in the case of the Revolving Credit Facility) or the Required Term Loan Lenders (in the case of the Term Loan Facility) revokes such notice. Upon receipt of such notice, Toro may revoke any pending request for a Borrowing of, conversion to or continuation of Eurocurrency Rate Loans in the affected currency or currencies (to the extent of the affected Eurocurrency Rate Loans or Interest Periods) under the appropriate Facility or, failing that, will be deemed to have converted such request into a request for a Borrowing of Base Rate Loans under the appropriate Facility in the amount specified therein.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3.04 Increased Costs; Reserves on Eurocurrency Rate Loans.</w:t>
      </w:r>
    </w:p>
    <w:p>
      <w:pPr>
        <w:spacing w:after="0" w:line="121" w:lineRule="exact"/>
        <w:rPr>
          <w:sz w:val="20"/>
          <w:szCs w:val="20"/>
          <w:color w:val="auto"/>
        </w:rPr>
      </w:pPr>
    </w:p>
    <w:p>
      <w:pPr>
        <w:ind w:left="700" w:hanging="236"/>
        <w:spacing w:after="0"/>
        <w:tabs>
          <w:tab w:leader="none" w:pos="7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60" w:right="220" w:firstLine="443"/>
        <w:spacing w:after="0" w:line="291" w:lineRule="auto"/>
        <w:tabs>
          <w:tab w:leader="none" w:pos="111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102" w:lineRule="exact"/>
        <w:rPr>
          <w:rFonts w:ascii="Arial" w:cs="Arial" w:eastAsia="Arial" w:hAnsi="Arial"/>
          <w:sz w:val="16"/>
          <w:szCs w:val="16"/>
          <w:color w:val="auto"/>
        </w:rPr>
      </w:pPr>
    </w:p>
    <w:p>
      <w:pPr>
        <w:jc w:val="both"/>
        <w:ind w:left="460" w:right="400" w:firstLine="443"/>
        <w:spacing w:after="0" w:line="264" w:lineRule="auto"/>
        <w:tabs>
          <w:tab w:leader="none" w:pos="116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right="340" w:firstLine="443"/>
        <w:spacing w:after="0" w:line="277" w:lineRule="auto"/>
        <w:tabs>
          <w:tab w:leader="none" w:pos="121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0" w:right="239" w:bottom="1440" w:gutter="0" w:footer="0" w:header="0"/>
        </w:sectPr>
      </w:pPr>
    </w:p>
    <w:bookmarkStart w:id="171" w:name="page172"/>
    <w:bookmarkEnd w:id="17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result of any of the foregoing shall be to increase the cost to such Lender of making, converting to, continuing or maintaining any Loan the interest on which is determined by reference to the Eurocurrency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(or cause the applicable Subsidiary Borrower to pay) to such Lender or the L/C Issuer, as the case may be, such additional amount or amounts as will compensate such Lender or the L/C Issuer, as the case may be, for such additional costs incurred or reduction suffered.</w:t>
      </w:r>
    </w:p>
    <w:p>
      <w:pPr>
        <w:spacing w:after="0" w:line="81" w:lineRule="exact"/>
        <w:rPr>
          <w:sz w:val="20"/>
          <w:szCs w:val="20"/>
          <w:color w:val="auto"/>
        </w:rPr>
      </w:pPr>
    </w:p>
    <w:p>
      <w:pPr>
        <w:ind w:firstLine="464"/>
        <w:spacing w:after="0" w:line="270" w:lineRule="auto"/>
        <w:tabs>
          <w:tab w:leader="none" w:pos="711"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Toro will pay (or cause the applicable Subsidiary Borrower to pay) to such Lender or the L/C Issuer, as the case may be, such additional amount or amounts as will compensate such Lender or the L/C Issuer or such Lender’s or the L/C Issuer’s holding company for any such reduction suffered.</w:t>
      </w:r>
    </w:p>
    <w:p>
      <w:pPr>
        <w:spacing w:after="0" w:line="73" w:lineRule="exact"/>
        <w:rPr>
          <w:rFonts w:ascii="Arial" w:cs="Arial" w:eastAsia="Arial" w:hAnsi="Arial"/>
          <w:sz w:val="17"/>
          <w:szCs w:val="17"/>
          <w:color w:val="auto"/>
        </w:rPr>
      </w:pPr>
    </w:p>
    <w:p>
      <w:pPr>
        <w:ind w:right="200" w:firstLine="464"/>
        <w:spacing w:after="0" w:line="259"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the L/C Issuer setting forth the amount or amounts necessary to compensate such Lender or the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Toro shall be conclusive absent manifest error. Toro shall pay (or cause the applicable Subsidiary Borrower to pay) such Lender or the L/C Issuer, as the case may be, the amount shown as due on any such certificate within 10 days after receipt thereof.</w:t>
      </w:r>
    </w:p>
    <w:p>
      <w:pPr>
        <w:spacing w:after="0" w:line="78" w:lineRule="exact"/>
        <w:rPr>
          <w:rFonts w:ascii="Arial" w:cs="Arial" w:eastAsia="Arial" w:hAnsi="Arial"/>
          <w:sz w:val="18"/>
          <w:szCs w:val="18"/>
          <w:color w:val="auto"/>
        </w:rPr>
      </w:pPr>
    </w:p>
    <w:p>
      <w:pPr>
        <w:ind w:right="40" w:firstLine="464"/>
        <w:spacing w:after="0" w:line="255" w:lineRule="auto"/>
        <w:tabs>
          <w:tab w:leader="none" w:pos="71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the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172" w:name="page173"/>
    <w:bookmarkEnd w:id="172"/>
    <w:p>
      <w:pPr>
        <w:ind w:firstLine="464"/>
        <w:spacing w:after="0" w:line="269" w:lineRule="auto"/>
        <w:tabs>
          <w:tab w:leader="none" w:pos="701"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Reserve Requirements</w:t>
      </w:r>
      <w:r>
        <w:rPr>
          <w:rFonts w:ascii="Arial" w:cs="Arial" w:eastAsia="Arial" w:hAnsi="Arial"/>
          <w:sz w:val="17"/>
          <w:szCs w:val="17"/>
          <w:color w:val="auto"/>
        </w:rPr>
        <w:t xml:space="preserve">. Toro shall pay (or cause the applicable Subsidiary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Toro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79"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3.05 Compensation for Losses. </w:t>
      </w:r>
      <w:r>
        <w:rPr>
          <w:rFonts w:ascii="Arial" w:cs="Arial" w:eastAsia="Arial" w:hAnsi="Arial"/>
          <w:sz w:val="18"/>
          <w:szCs w:val="18"/>
          <w:color w:val="auto"/>
        </w:rPr>
        <w:t>Upon demand of any Lender (with a copy to the Administrative Agent) from time to time, Toro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(or cause the applicable Subsidiary Borrower to compensate) such Lender for and hold such Lender harmless from any loss, cost or expense incurred by it as a result of:</w:t>
      </w:r>
    </w:p>
    <w:p>
      <w:pPr>
        <w:spacing w:after="0" w:line="72" w:lineRule="exact"/>
        <w:rPr>
          <w:sz w:val="20"/>
          <w:szCs w:val="20"/>
          <w:color w:val="auto"/>
        </w:rPr>
      </w:pPr>
    </w:p>
    <w:p>
      <w:pPr>
        <w:ind w:right="440" w:firstLine="464"/>
        <w:spacing w:after="0" w:line="277" w:lineRule="auto"/>
        <w:tabs>
          <w:tab w:leader="none" w:pos="7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failure by any Borrower (for a reason other than the failure of such Lender to make a Loan) to prepay, borrow, continue or convert any Loan other than a Base Rate Loan on the date or in the amount notified by Toro;</w:t>
      </w:r>
    </w:p>
    <w:p>
      <w:pPr>
        <w:spacing w:after="0" w:line="62" w:lineRule="exact"/>
        <w:rPr>
          <w:rFonts w:ascii="Arial" w:cs="Arial" w:eastAsia="Arial" w:hAnsi="Arial"/>
          <w:sz w:val="18"/>
          <w:szCs w:val="18"/>
          <w:color w:val="auto"/>
        </w:rPr>
      </w:pPr>
    </w:p>
    <w:p>
      <w:pPr>
        <w:ind w:right="500" w:firstLine="464"/>
        <w:spacing w:after="0" w:line="277" w:lineRule="auto"/>
        <w:tabs>
          <w:tab w:leader="none" w:pos="7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62" w:lineRule="exact"/>
        <w:rPr>
          <w:rFonts w:ascii="Arial" w:cs="Arial" w:eastAsia="Arial" w:hAnsi="Arial"/>
          <w:sz w:val="18"/>
          <w:szCs w:val="18"/>
          <w:color w:val="auto"/>
        </w:rPr>
      </w:pPr>
    </w:p>
    <w:p>
      <w:pPr>
        <w:ind w:firstLine="464"/>
        <w:spacing w:after="0" w:line="277" w:lineRule="auto"/>
        <w:tabs>
          <w:tab w:leader="none" w:pos="71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Toro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Toro shall also pay (or cause the applicable Subsidiary Borrower to pay) any customary administrative fees charged by such Lender in connection with the foregoing.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74" w:right="299" w:bottom="1440" w:gutter="0" w:footer="0" w:header="0"/>
        </w:sectPr>
      </w:pPr>
    </w:p>
    <w:bookmarkStart w:id="173" w:name="page174"/>
    <w:bookmarkEnd w:id="173"/>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purposes of calculating amounts payable by the Borrowers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3.06 Mitigation Obligations; Replacement of Lenders.</w:t>
      </w:r>
    </w:p>
    <w:p>
      <w:pPr>
        <w:spacing w:after="0" w:line="121" w:lineRule="exact"/>
        <w:rPr>
          <w:sz w:val="20"/>
          <w:szCs w:val="20"/>
          <w:color w:val="auto"/>
        </w:rPr>
      </w:pPr>
    </w:p>
    <w:p>
      <w:pPr>
        <w:ind w:firstLine="464"/>
        <w:spacing w:after="0" w:line="269" w:lineRule="auto"/>
        <w:tabs>
          <w:tab w:leader="none" w:pos="701"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make any Credit Extension to a Borrower through any Lending Office, provided that the exercise of this option shall not affect the obligation of such Borrower to repay the Credit Extension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any Borrower is required to pay any Indemnified Taxes or additional amount to any Lender, the L/C Issuer or any Governmental Authority for the account of any Lender or the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Toro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the L/C Issuer, as the case may be, to any unreimbursed cost or expense and would not otherwise be disadvantageous to such Lender or the L/C Issuer, as the case may be. Toro hereby agrees to pay (or cause the applicable Borrower to pay) all reasonable costs and expenses incurred by any Lender or the L/C Issuer in connection with any such designation or assignment.</w:t>
      </w:r>
    </w:p>
    <w:p>
      <w:pPr>
        <w:spacing w:after="0" w:line="74" w:lineRule="exact"/>
        <w:rPr>
          <w:rFonts w:ascii="Arial" w:cs="Arial" w:eastAsia="Arial" w:hAnsi="Arial"/>
          <w:sz w:val="17"/>
          <w:szCs w:val="17"/>
          <w:color w:val="auto"/>
        </w:rPr>
      </w:pPr>
    </w:p>
    <w:p>
      <w:pPr>
        <w:ind w:right="160" w:firstLine="464"/>
        <w:spacing w:after="0" w:line="259" w:lineRule="auto"/>
        <w:tabs>
          <w:tab w:leader="none" w:pos="711"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any Borrower is required to pay any Indemnified Taxes or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Toro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83"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hereunder and resignation of the Administrative Agent.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0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4.01 Conditions of Initial Credit Extension. </w:t>
      </w:r>
      <w:r>
        <w:rPr>
          <w:rFonts w:ascii="Arial" w:cs="Arial" w:eastAsia="Arial" w:hAnsi="Arial"/>
          <w:sz w:val="18"/>
          <w:szCs w:val="18"/>
          <w:color w:val="auto"/>
        </w:rPr>
        <w:t>The obligation of the L/C Issuer and each Lender to make its initial Credit Extension hereunder 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satisfaction of the following conditions precedent:</w:t>
      </w:r>
    </w:p>
    <w:p>
      <w:pPr>
        <w:spacing w:after="0" w:line="58" w:lineRule="exact"/>
        <w:rPr>
          <w:sz w:val="20"/>
          <w:szCs w:val="20"/>
          <w:color w:val="auto"/>
        </w:rPr>
      </w:pPr>
    </w:p>
    <w:p>
      <w:pPr>
        <w:ind w:right="20" w:firstLine="464"/>
        <w:spacing w:after="0" w:line="259" w:lineRule="auto"/>
        <w:tabs>
          <w:tab w:leader="none" w:pos="70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telecopies or .pdf 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executed counterparts of this Agreement, sufficient in number for distribution to the Administrative Agent, each Lender and Toro;</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Notes executed by the Borrowers in favor of each Lender requesting Notes;</w:t>
      </w:r>
    </w:p>
    <w:p>
      <w:pPr>
        <w:spacing w:after="0" w:line="117" w:lineRule="exact"/>
        <w:rPr>
          <w:rFonts w:ascii="Arial" w:cs="Arial" w:eastAsia="Arial" w:hAnsi="Arial"/>
          <w:sz w:val="18"/>
          <w:szCs w:val="18"/>
          <w:color w:val="auto"/>
        </w:rPr>
      </w:pPr>
    </w:p>
    <w:p>
      <w:pPr>
        <w:ind w:left="460" w:firstLine="443"/>
        <w:spacing w:after="0" w:line="286" w:lineRule="auto"/>
        <w:tabs>
          <w:tab w:leader="none" w:pos="1213" w:val="left"/>
        </w:tabs>
        <w:numPr>
          <w:ilvl w:val="1"/>
          <w:numId w:val="224"/>
        </w:numPr>
        <w:rPr>
          <w:rFonts w:ascii="Arial" w:cs="Arial" w:eastAsia="Arial" w:hAnsi="Arial"/>
          <w:sz w:val="17"/>
          <w:szCs w:val="17"/>
          <w:color w:val="auto"/>
        </w:rPr>
      </w:pPr>
      <w:r>
        <w:rPr>
          <w:rFonts w:ascii="Arial" w:cs="Arial" w:eastAsia="Arial" w:hAnsi="Arial"/>
          <w:sz w:val="17"/>
          <w:szCs w:val="17"/>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57" w:lineRule="exact"/>
        <w:rPr>
          <w:rFonts w:ascii="Arial" w:cs="Arial" w:eastAsia="Arial" w:hAnsi="Arial"/>
          <w:sz w:val="17"/>
          <w:szCs w:val="17"/>
          <w:color w:val="auto"/>
        </w:rPr>
      </w:pPr>
    </w:p>
    <w:p>
      <w:pPr>
        <w:ind w:left="460" w:right="80" w:firstLine="443"/>
        <w:spacing w:after="0" w:line="259" w:lineRule="auto"/>
        <w:tabs>
          <w:tab w:leader="none" w:pos="120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each of the Borrowers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78"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such financial information relating to the Borrowers and their Subsidiaries and the target of the Proposed Acquisition as the Administrative Agent may request;</w:t>
      </w:r>
    </w:p>
    <w:p>
      <w:pPr>
        <w:spacing w:after="0" w:line="62" w:lineRule="exact"/>
        <w:rPr>
          <w:rFonts w:ascii="Arial" w:cs="Arial" w:eastAsia="Arial" w:hAnsi="Arial"/>
          <w:sz w:val="18"/>
          <w:szCs w:val="18"/>
          <w:color w:val="auto"/>
        </w:rPr>
      </w:pPr>
    </w:p>
    <w:p>
      <w:pPr>
        <w:jc w:val="both"/>
        <w:ind w:left="460" w:right="280" w:firstLine="443"/>
        <w:spacing w:after="0" w:line="264" w:lineRule="auto"/>
        <w:tabs>
          <w:tab w:leader="none" w:pos="120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a favorable opinion of Oppenheimer Wolff &amp; Donnelly LLP, counsel to the Loan Parties, addressed to the Administrative Agent and each Lender, as to the matters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and such other matters concerning the Loan Parties and the Loan Documents as the Required Lenders may reasonably request;</w:t>
      </w:r>
    </w:p>
    <w:p>
      <w:pPr>
        <w:spacing w:after="0" w:line="73" w:lineRule="exact"/>
        <w:rPr>
          <w:rFonts w:ascii="Arial" w:cs="Arial" w:eastAsia="Arial" w:hAnsi="Arial"/>
          <w:sz w:val="18"/>
          <w:szCs w:val="18"/>
          <w:color w:val="auto"/>
        </w:rPr>
      </w:pPr>
    </w:p>
    <w:p>
      <w:pPr>
        <w:ind w:left="460" w:right="60" w:firstLine="443"/>
        <w:spacing w:after="0" w:line="259" w:lineRule="auto"/>
        <w:tabs>
          <w:tab w:leader="none" w:pos="125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78" w:lineRule="exact"/>
        <w:rPr>
          <w:rFonts w:ascii="Arial" w:cs="Arial" w:eastAsia="Arial" w:hAnsi="Arial"/>
          <w:sz w:val="18"/>
          <w:szCs w:val="18"/>
          <w:color w:val="auto"/>
        </w:rPr>
      </w:pPr>
    </w:p>
    <w:p>
      <w:pPr>
        <w:ind w:left="460" w:right="140" w:firstLine="443"/>
        <w:spacing w:after="0" w:line="259" w:lineRule="auto"/>
        <w:tabs>
          <w:tab w:leader="none" w:pos="1303"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a certificate signed by a Responsible Officer of Toro certifying (A)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and (B) that there has been no event or circumstance since the date of the Audited Financial Statements that has resulted or could reasonably be expected to result in, either individually or in the aggregate, a Material Adverse Effect; (C) there does not exist any pending or threatened action, suit, investigation or proceeding in any court or before any arbitrator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0" w:right="239" w:bottom="1440" w:gutter="0" w:footer="0" w:header="0"/>
        </w:sectPr>
      </w:pPr>
    </w:p>
    <w:bookmarkStart w:id="175" w:name="page176"/>
    <w:bookmarkEnd w:id="175"/>
    <w:p>
      <w:pPr>
        <w:ind w:left="460"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Governmental Authority that purports (x) to materially and adversely affect Toro or Toro and its Subsidiaries, taken as a whole, or (y) to affect any transaction contemplated under this Agreement or any Loan Document or the ability of any Borrower to perform its respective obligations under this Agreement or any Loan Document; and (D) the current Debt Ratings;</w:t>
      </w:r>
    </w:p>
    <w:p>
      <w:pPr>
        <w:spacing w:after="0" w:line="73" w:lineRule="exact"/>
        <w:rPr>
          <w:sz w:val="20"/>
          <w:szCs w:val="20"/>
          <w:color w:val="auto"/>
        </w:rPr>
      </w:pPr>
    </w:p>
    <w:p>
      <w:pPr>
        <w:ind w:left="460" w:firstLine="443"/>
        <w:spacing w:after="0" w:line="277" w:lineRule="auto"/>
        <w:tabs>
          <w:tab w:leader="none" w:pos="120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duly completed Compliance Certificate as of the last day of the fiscal quarter of Toro most recently ended prior to the Closing Date, signed by a Responsible Officer of Toro;</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5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evidence that the Existing Credit Agreement has been or concurrently with the Closing Date is being terminated, all indebtedness thereunder has been paid and satisfied in full and all Liens if any securing obligations under the Existing Credit Agreement have been or concurrently with the Closing Date are being released; and</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203"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L/C Issuer, the Swing Line Lender or the Required Lenders reasonably may require.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shall have been paid.</w:t>
      </w:r>
    </w:p>
    <w:p>
      <w:pPr>
        <w:spacing w:after="0" w:line="117" w:lineRule="exact"/>
        <w:rPr>
          <w:rFonts w:ascii="Arial" w:cs="Arial" w:eastAsia="Arial" w:hAnsi="Arial"/>
          <w:sz w:val="18"/>
          <w:szCs w:val="18"/>
          <w:color w:val="auto"/>
        </w:rPr>
      </w:pPr>
    </w:p>
    <w:p>
      <w:pPr>
        <w:ind w:right="180" w:firstLine="464"/>
        <w:spacing w:after="0" w:line="257" w:lineRule="auto"/>
        <w:tabs>
          <w:tab w:leader="none" w:pos="70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Unless waived by the Administrative Agent, Toro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Toro and the Administrative Agent).</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3" w:lineRule="exact"/>
        <w:rPr>
          <w:sz w:val="20"/>
          <w:szCs w:val="20"/>
          <w:color w:val="auto"/>
        </w:rPr>
      </w:pPr>
    </w:p>
    <w:p>
      <w:pPr>
        <w:ind w:right="360" w:firstLine="456"/>
        <w:spacing w:after="0" w:line="347" w:lineRule="auto"/>
        <w:rPr>
          <w:sz w:val="20"/>
          <w:szCs w:val="20"/>
          <w:color w:val="auto"/>
        </w:rPr>
      </w:pPr>
      <w:r>
        <w:rPr>
          <w:rFonts w:ascii="Arial" w:cs="Arial" w:eastAsia="Arial" w:hAnsi="Arial"/>
          <w:sz w:val="16"/>
          <w:szCs w:val="16"/>
          <w:b w:val="1"/>
          <w:bCs w:val="1"/>
          <w:color w:val="auto"/>
        </w:rPr>
        <w:t xml:space="preserve">4.02 Conditions to all Credit Extensions. </w:t>
      </w:r>
      <w:r>
        <w:rPr>
          <w:rFonts w:ascii="Arial" w:cs="Arial" w:eastAsia="Arial" w:hAnsi="Arial"/>
          <w:sz w:val="16"/>
          <w:szCs w:val="16"/>
          <w:color w:val="auto"/>
        </w:rPr>
        <w:t>The obligation of each Lender to honor any Request for Credit Extension (other than a Loan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requesting only a conversion of Loans to the other Type, or a continuation of Eurocurrency Rate Loans) is subject to the following conditions precedent:</w:t>
      </w:r>
    </w:p>
    <w:p>
      <w:pPr>
        <w:spacing w:after="0" w:line="12" w:lineRule="exact"/>
        <w:rPr>
          <w:sz w:val="20"/>
          <w:szCs w:val="20"/>
          <w:color w:val="auto"/>
        </w:rPr>
      </w:pPr>
    </w:p>
    <w:p>
      <w:pPr>
        <w:jc w:val="both"/>
        <w:ind w:right="80" w:firstLine="464"/>
        <w:spacing w:after="0" w:line="259" w:lineRule="auto"/>
        <w:tabs>
          <w:tab w:leader="none" w:pos="70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 the Borrowers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(ii) each Loan Party contained in each other Loan Document or in any document furnished at any time under or in connection herewith or therewith, shall be true and correct in all material respects on and as of the date of such Credit Extension, except (w) if a qualifier relating to materiality, Material Adverse Effect or other similar concept applies, such representation or warranty is true and correct in all respects, (x) to the extent that such representations and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274" w:right="319" w:bottom="1440" w:gutter="0" w:footer="0" w:header="0"/>
        </w:sectPr>
      </w:pPr>
    </w:p>
    <w:bookmarkStart w:id="176" w:name="page177"/>
    <w:bookmarkEnd w:id="17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warranties specifically refer to an earlier date, in which case they shall be true and correct as of such earlier date, and (y)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73" w:lineRule="exact"/>
        <w:rPr>
          <w:sz w:val="20"/>
          <w:szCs w:val="20"/>
          <w:color w:val="auto"/>
        </w:rPr>
      </w:pPr>
    </w:p>
    <w:p>
      <w:pPr>
        <w:ind w:left="720" w:hanging="256"/>
        <w:spacing w:after="0"/>
        <w:tabs>
          <w:tab w:leader="none" w:pos="7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the application of the proceeds thereof.</w:t>
      </w:r>
    </w:p>
    <w:p>
      <w:pPr>
        <w:spacing w:after="0" w:line="117" w:lineRule="exact"/>
        <w:rPr>
          <w:rFonts w:ascii="Arial" w:cs="Arial" w:eastAsia="Arial" w:hAnsi="Arial"/>
          <w:sz w:val="18"/>
          <w:szCs w:val="18"/>
          <w:color w:val="auto"/>
        </w:rPr>
      </w:pPr>
    </w:p>
    <w:p>
      <w:pPr>
        <w:ind w:right="640" w:firstLine="464"/>
        <w:spacing w:after="0" w:line="277" w:lineRule="auto"/>
        <w:tabs>
          <w:tab w:leader="none" w:pos="70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right="20" w:firstLine="464"/>
        <w:spacing w:after="0" w:line="302" w:lineRule="auto"/>
        <w:tabs>
          <w:tab w:leader="none" w:pos="71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Eurocurrency Rate Loans) submitted by Toro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5.18</w:t>
      </w:r>
      <w:r>
        <w:rPr>
          <w:rFonts w:ascii="Arial" w:cs="Arial" w:eastAsia="Arial" w:hAnsi="Arial"/>
          <w:sz w:val="18"/>
          <w:szCs w:val="18"/>
          <w:color w:val="auto"/>
        </w:rPr>
        <w:t>, each Borrower represents and warrants to the Administrative Agent and the Lenders that:</w:t>
      </w:r>
    </w:p>
    <w:p>
      <w:pPr>
        <w:spacing w:after="0" w:line="22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5.01 Existence, Qualification and Power. </w:t>
      </w:r>
      <w:r>
        <w:rPr>
          <w:rFonts w:ascii="Arial" w:cs="Arial" w:eastAsia="Arial" w:hAnsi="Arial"/>
          <w:sz w:val="17"/>
          <w:szCs w:val="17"/>
          <w:color w:val="auto"/>
        </w:rPr>
        <w:t>Each Loan Party and each Subsidiary thereof (a) is duly organized or formed,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to the extent that failure to do so could not reasonably be expected to have a Material Adverse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74" w:right="259" w:bottom="1440" w:gutter="0" w:footer="0" w:header="0"/>
        </w:sectPr>
      </w:pPr>
    </w:p>
    <w:bookmarkStart w:id="177" w:name="page178"/>
    <w:bookmarkEnd w:id="177"/>
    <w:p>
      <w:pPr>
        <w:ind w:firstLine="456"/>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5.02 Authorization; No Contravention. </w:t>
      </w:r>
      <w:r>
        <w:rPr>
          <w:rFonts w:ascii="Arial" w:cs="Arial" w:eastAsia="Arial" w:hAnsi="Arial"/>
          <w:sz w:val="17"/>
          <w:szCs w:val="17"/>
          <w:color w:val="auto"/>
        </w:rPr>
        <w:t>The execution, delivery and performance by each Loan Party of each Loan Document to which such Person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w:t>
      </w:r>
      <w:r>
        <w:rPr>
          <w:rFonts w:ascii="Arial" w:cs="Arial" w:eastAsia="Arial" w:hAnsi="Arial"/>
          <w:sz w:val="17"/>
          <w:szCs w:val="17"/>
          <w:u w:val="single" w:color="auto"/>
          <w:color w:val="auto"/>
        </w:rPr>
        <w:t>clause (b)(i)</w:t>
      </w:r>
      <w:r>
        <w:rPr>
          <w:rFonts w:ascii="Arial" w:cs="Arial" w:eastAsia="Arial" w:hAnsi="Arial"/>
          <w:sz w:val="17"/>
          <w:szCs w:val="17"/>
          <w:color w:val="auto"/>
        </w:rPr>
        <w:t>, except to the extent that failure to do so could not reasonably be expected to have a Material Adverse Effect.</w:t>
      </w:r>
    </w:p>
    <w:p>
      <w:pPr>
        <w:spacing w:after="0" w:line="17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5.03 Governmental Authorization; Other Consents. </w:t>
      </w:r>
      <w:r>
        <w:rPr>
          <w:rFonts w:ascii="Arial" w:cs="Arial" w:eastAsia="Arial" w:hAnsi="Arial"/>
          <w:sz w:val="18"/>
          <w:szCs w:val="18"/>
          <w:color w:val="auto"/>
        </w:rPr>
        <w:t>No approval, consent, exemption, authorization, or other action by, or notice to, or filing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Governmental Authority or any other Person is necessary or required in connection with the execution, delivery or performance by, or enforcement against, any Loan Party of this Agreement or any other Loan Document.</w:t>
      </w:r>
    </w:p>
    <w:p>
      <w:pPr>
        <w:spacing w:after="0" w:line="176"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5.04 Binding Effect. </w:t>
      </w:r>
      <w:r>
        <w:rPr>
          <w:rFonts w:ascii="Arial" w:cs="Arial" w:eastAsia="Arial" w:hAnsi="Arial"/>
          <w:sz w:val="17"/>
          <w:szCs w:val="17"/>
          <w:color w:val="auto"/>
        </w:rPr>
        <w:t>This Agreement has been, and each other Loan Document, when delivered hereunder, will have been, duly executed and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5.05 Financial Statements; No Material Adverse Effect.</w:t>
      </w:r>
    </w:p>
    <w:p>
      <w:pPr>
        <w:spacing w:after="0" w:line="121" w:lineRule="exact"/>
        <w:rPr>
          <w:sz w:val="20"/>
          <w:szCs w:val="20"/>
          <w:color w:val="auto"/>
        </w:rPr>
      </w:pPr>
    </w:p>
    <w:p>
      <w:pPr>
        <w:ind w:firstLine="464"/>
        <w:spacing w:after="0" w:line="293" w:lineRule="auto"/>
        <w:tabs>
          <w:tab w:leader="none" w:pos="701"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Toro and its Subsidiaries as of the date thereof, including liabilities for taxes, material commitments and Contingent Obligations where (i) the possible liability to any Borrower exceeds $35,000,000 for any one of such obligations or liabilities and (ii) the possible liability to any or all of the Borrowers exceeds $75,000,000 in the aggregate for one or more of such obligations or liabilities.</w:t>
      </w:r>
    </w:p>
    <w:p>
      <w:pPr>
        <w:spacing w:after="0" w:line="56" w:lineRule="exact"/>
        <w:rPr>
          <w:rFonts w:ascii="Arial" w:cs="Arial" w:eastAsia="Arial" w:hAnsi="Arial"/>
          <w:sz w:val="16"/>
          <w:szCs w:val="16"/>
          <w:color w:val="auto"/>
        </w:rPr>
      </w:pPr>
    </w:p>
    <w:p>
      <w:pPr>
        <w:ind w:right="80" w:firstLine="464"/>
        <w:spacing w:after="0" w:line="279" w:lineRule="auto"/>
        <w:tabs>
          <w:tab w:leader="none" w:pos="711"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unaudited consolidated balance sheet of Toro and its Subsidiaries dated August 1, 2014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Toro and its Subsidiaries as of the date thereof and their results of operations for the period covered thereby.</w:t>
      </w:r>
    </w:p>
    <w:p>
      <w:pPr>
        <w:spacing w:after="0" w:line="63" w:lineRule="exact"/>
        <w:rPr>
          <w:rFonts w:ascii="Arial" w:cs="Arial" w:eastAsia="Arial" w:hAnsi="Arial"/>
          <w:sz w:val="17"/>
          <w:szCs w:val="17"/>
          <w:color w:val="auto"/>
        </w:rPr>
      </w:pPr>
    </w:p>
    <w:p>
      <w:pPr>
        <w:ind w:right="140" w:firstLine="464"/>
        <w:spacing w:after="0" w:line="277" w:lineRule="auto"/>
        <w:tabs>
          <w:tab w:leader="none" w:pos="70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0" w:right="239" w:bottom="1440" w:gutter="0" w:footer="0" w:header="0"/>
        </w:sectPr>
      </w:pPr>
    </w:p>
    <w:bookmarkStart w:id="178" w:name="page179"/>
    <w:bookmarkEnd w:id="178"/>
    <w:p>
      <w:pPr>
        <w:ind w:right="40" w:firstLine="456"/>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5.06 Litigation. </w:t>
      </w:r>
      <w:r>
        <w:rPr>
          <w:rFonts w:ascii="Arial" w:cs="Arial" w:eastAsia="Arial" w:hAnsi="Arial"/>
          <w:sz w:val="16"/>
          <w:szCs w:val="16"/>
          <w:color w:val="auto"/>
        </w:rPr>
        <w:t>There are no actions, suits, proceedings, claims or disputes pending or, to the best knowledge of the Borrowers after due and diligent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investigation, threatened or contemplated, at law, in equity, in arbitration or before any Governmental Authority, by or against the Borrowers or any of its 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6"/>
          <w:szCs w:val="16"/>
          <w:u w:val="single" w:color="auto"/>
          <w:color w:val="auto"/>
        </w:rPr>
        <w:t>Schedule 5.06</w:t>
      </w:r>
      <w:r>
        <w:rPr>
          <w:rFonts w:ascii="Arial" w:cs="Arial" w:eastAsia="Arial" w:hAnsi="Arial"/>
          <w:sz w:val="16"/>
          <w:szCs w:val="16"/>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Arial" w:cs="Arial" w:eastAsia="Arial" w:hAnsi="Arial"/>
          <w:sz w:val="16"/>
          <w:szCs w:val="16"/>
          <w:u w:val="single" w:color="auto"/>
          <w:color w:val="auto"/>
        </w:rPr>
        <w:t>Schedule 5.06</w:t>
      </w:r>
      <w:r>
        <w:rPr>
          <w:rFonts w:ascii="Arial" w:cs="Arial" w:eastAsia="Arial" w:hAnsi="Arial"/>
          <w:sz w:val="16"/>
          <w:szCs w:val="16"/>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60" w:lineRule="exact"/>
        <w:rPr>
          <w:sz w:val="20"/>
          <w:szCs w:val="20"/>
          <w:color w:val="auto"/>
        </w:rPr>
      </w:pPr>
    </w:p>
    <w:p>
      <w:pPr>
        <w:jc w:val="both"/>
        <w:ind w:right="200" w:firstLine="456"/>
        <w:spacing w:after="0" w:line="266" w:lineRule="auto"/>
        <w:rPr>
          <w:sz w:val="20"/>
          <w:szCs w:val="20"/>
          <w:color w:val="auto"/>
        </w:rPr>
      </w:pPr>
      <w:r>
        <w:rPr>
          <w:rFonts w:ascii="Arial" w:cs="Arial" w:eastAsia="Arial" w:hAnsi="Arial"/>
          <w:sz w:val="18"/>
          <w:szCs w:val="18"/>
          <w:b w:val="1"/>
          <w:bCs w:val="1"/>
          <w:color w:val="auto"/>
        </w:rPr>
        <w:t xml:space="preserve">5.07 No Default. </w:t>
      </w:r>
      <w:r>
        <w:rPr>
          <w:rFonts w:ascii="Arial" w:cs="Arial" w:eastAsia="Arial" w:hAnsi="Arial"/>
          <w:sz w:val="18"/>
          <w:szCs w:val="18"/>
          <w:color w:val="auto"/>
        </w:rPr>
        <w:t>Neither any Borrower nor any Subsidiary thereof is in default under or with respect to any Contractual Obligation that could,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5.08 Ownership of Property; Liens. </w:t>
      </w:r>
      <w:r>
        <w:rPr>
          <w:rFonts w:ascii="Arial" w:cs="Arial" w:eastAsia="Arial" w:hAnsi="Arial"/>
          <w:sz w:val="18"/>
          <w:szCs w:val="18"/>
          <w:color w:val="auto"/>
        </w:rPr>
        <w:t>Each Borrower and each Subsidiary has good record and marketable title in fee simple to, or valid leasehold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interests 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80"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5.09 Environmental Compliance. </w:t>
      </w:r>
      <w:r>
        <w:rPr>
          <w:rFonts w:ascii="Arial" w:cs="Arial" w:eastAsia="Arial" w:hAnsi="Arial"/>
          <w:sz w:val="16"/>
          <w:szCs w:val="16"/>
          <w:color w:val="auto"/>
        </w:rPr>
        <w:t>Each Borrower and its Subsidiaries conduct in the ordinary course of business a review of the effect of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Laws and claims alleging potential liability or responsibility for violation of any Environmental Law on their respective businesses, operations and properties, and as a result thereof the Borrowers have reasonably concluded that</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specifically disclosed in </w:t>
      </w:r>
      <w:r>
        <w:rPr>
          <w:rFonts w:ascii="Arial" w:cs="Arial" w:eastAsia="Arial" w:hAnsi="Arial"/>
          <w:sz w:val="16"/>
          <w:szCs w:val="16"/>
          <w:u w:val="single" w:color="auto"/>
          <w:color w:val="auto"/>
        </w:rPr>
        <w:t>Schedule 5.09</w:t>
      </w:r>
      <w:r>
        <w:rPr>
          <w:rFonts w:ascii="Arial" w:cs="Arial" w:eastAsia="Arial" w:hAnsi="Arial"/>
          <w:sz w:val="16"/>
          <w:szCs w:val="16"/>
          <w:color w:val="auto"/>
        </w:rPr>
        <w:t>, such Environmental Laws and claims could not, individually or in the aggregate, reasonably be expected to have a Material Adverse Effect.</w:t>
      </w:r>
    </w:p>
    <w:p>
      <w:pPr>
        <w:spacing w:after="0" w:line="151"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 xml:space="preserve">5.10 Insurance. </w:t>
      </w:r>
      <w:r>
        <w:rPr>
          <w:rFonts w:ascii="Arial" w:cs="Arial" w:eastAsia="Arial" w:hAnsi="Arial"/>
          <w:sz w:val="16"/>
          <w:szCs w:val="16"/>
          <w:color w:val="auto"/>
        </w:rPr>
        <w:t>Except as specifically disclosed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5.10</w:t>
      </w:r>
      <w:r>
        <w:rPr>
          <w:rFonts w:ascii="Arial" w:cs="Arial" w:eastAsia="Arial" w:hAnsi="Arial"/>
          <w:sz w:val="16"/>
          <w:szCs w:val="16"/>
          <w:color w:val="auto"/>
        </w:rPr>
        <w:t>, the properties of each Borrower and its Subsidiaries are insured with financially</w:t>
      </w:r>
      <w:r>
        <w:rPr>
          <w:rFonts w:ascii="Arial" w:cs="Arial" w:eastAsia="Arial" w:hAnsi="Arial"/>
          <w:sz w:val="16"/>
          <w:szCs w:val="16"/>
          <w:b w:val="1"/>
          <w:bCs w:val="1"/>
          <w:color w:val="auto"/>
        </w:rPr>
        <w:t xml:space="preserve"> </w:t>
      </w:r>
      <w:r>
        <w:rPr>
          <w:rFonts w:ascii="Arial" w:cs="Arial" w:eastAsia="Arial" w:hAnsi="Arial"/>
          <w:sz w:val="16"/>
          <w:szCs w:val="16"/>
          <w:color w:val="auto"/>
        </w:rPr>
        <w:t>sound 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14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color w:val="auto"/>
        </w:rPr>
        <w:t xml:space="preserve">5.11 Taxes. </w:t>
      </w:r>
      <w:r>
        <w:rPr>
          <w:rFonts w:ascii="Arial" w:cs="Arial" w:eastAsia="Arial" w:hAnsi="Arial"/>
          <w:sz w:val="16"/>
          <w:szCs w:val="16"/>
          <w:color w:val="auto"/>
        </w:rPr>
        <w:t>Toro and its Subsidiaries have filed all Federal, state and other material tax returns and reports required to be filed, and have paid all</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Subsidiary that would, if made, have a Material Adverse Effect. Neither any Borrower nor any Subsidiary thereof is party to any tax sharing agreement.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0" w:right="259" w:bottom="1440" w:gutter="0" w:footer="0" w:header="0"/>
        </w:sectPr>
      </w:pPr>
    </w:p>
    <w:bookmarkStart w:id="179" w:name="page180"/>
    <w:bookmarkEnd w:id="17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5.12 ERISA Compliance.</w:t>
      </w:r>
    </w:p>
    <w:p>
      <w:pPr>
        <w:spacing w:after="0" w:line="121" w:lineRule="exact"/>
        <w:rPr>
          <w:sz w:val="20"/>
          <w:szCs w:val="20"/>
          <w:color w:val="auto"/>
        </w:rPr>
      </w:pPr>
    </w:p>
    <w:p>
      <w:pPr>
        <w:ind w:right="20" w:firstLine="464"/>
        <w:spacing w:after="0" w:line="276" w:lineRule="auto"/>
        <w:tabs>
          <w:tab w:leader="none" w:pos="70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Borrowers, nothing has occurred that would prevent or cause the loss of such tax-qualified status.</w:t>
      </w:r>
    </w:p>
    <w:p>
      <w:pPr>
        <w:spacing w:after="0" w:line="64" w:lineRule="exact"/>
        <w:rPr>
          <w:rFonts w:ascii="Arial" w:cs="Arial" w:eastAsia="Arial" w:hAnsi="Arial"/>
          <w:sz w:val="17"/>
          <w:szCs w:val="17"/>
          <w:color w:val="auto"/>
        </w:rPr>
      </w:pPr>
    </w:p>
    <w:p>
      <w:pPr>
        <w:ind w:right="60" w:firstLine="464"/>
        <w:spacing w:after="0" w:line="312" w:lineRule="auto"/>
        <w:tabs>
          <w:tab w:leader="none" w:pos="71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There are no pending or, to the best knowledge of each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38" w:lineRule="exact"/>
        <w:rPr>
          <w:rFonts w:ascii="Arial" w:cs="Arial" w:eastAsia="Arial" w:hAnsi="Arial"/>
          <w:sz w:val="16"/>
          <w:szCs w:val="16"/>
          <w:color w:val="auto"/>
        </w:rPr>
      </w:pPr>
    </w:p>
    <w:p>
      <w:pPr>
        <w:ind w:firstLine="464"/>
        <w:spacing w:after="0" w:line="253" w:lineRule="auto"/>
        <w:tabs>
          <w:tab w:leader="none" w:pos="70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(iv) neither any Borrower nor any ERISA Affiliate has incurred any liability to the PBGC other than for the payment of premiums, and there are no premium payments which have become due that are unpaid; (v) neither any Borrower nor any ERISA Affiliate has engaged in a transaction that could be subject to Section 4069 or Section 4212(c) of ERISA; and (vi) no Pension Plan has been terminated by the plan administrator thereof or by the PBGC, and no event or circumstance has occurred or exists that could reasonably be expected to cause the PBGC to institute proceedings under Title IV of ERISA to terminate any Pension Plan.</w:t>
      </w:r>
    </w:p>
    <w:p>
      <w:pPr>
        <w:spacing w:after="0" w:line="189"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 xml:space="preserve">5.13 Subsidiaries; Equity Interests. </w:t>
      </w:r>
      <w:r>
        <w:rPr>
          <w:rFonts w:ascii="Arial" w:cs="Arial" w:eastAsia="Arial" w:hAnsi="Arial"/>
          <w:sz w:val="18"/>
          <w:szCs w:val="18"/>
          <w:color w:val="auto"/>
        </w:rPr>
        <w:t>As of the Closing Date, the Borrowers have no Subsidiaries other than those specifically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and all of the outstanding Equity Interests in such Subsidiaries have been validly issued, are fully paid and nonassessable and are owned directly or indirectly by a Loan Party (other than directors’ qualifying shares required by law) in the amounts specified on Part (a)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free and clear of all Liens. As of the Closing Date, Toro has no equity investments in any other corporation or entity other than those specifically disclosed in </w:t>
      </w:r>
      <w:r>
        <w:rPr>
          <w:rFonts w:ascii="Arial" w:cs="Arial" w:eastAsia="Arial" w:hAnsi="Arial"/>
          <w:sz w:val="18"/>
          <w:szCs w:val="18"/>
          <w:u w:val="single" w:color="auto"/>
          <w:color w:val="auto"/>
        </w:rPr>
        <w:t>Part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70" w:right="299" w:bottom="1440" w:gutter="0" w:footer="0" w:header="0"/>
        </w:sectPr>
      </w:pPr>
    </w:p>
    <w:bookmarkStart w:id="180" w:name="page181"/>
    <w:bookmarkEnd w:id="18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Margin Regulations; Investment Company Act.</w:t>
      </w:r>
    </w:p>
    <w:p>
      <w:pPr>
        <w:spacing w:after="0" w:line="121" w:lineRule="exact"/>
        <w:rPr>
          <w:sz w:val="20"/>
          <w:szCs w:val="20"/>
          <w:color w:val="auto"/>
        </w:rPr>
      </w:pPr>
    </w:p>
    <w:p>
      <w:pPr>
        <w:ind w:right="40" w:firstLine="464"/>
        <w:spacing w:after="0" w:line="297" w:lineRule="auto"/>
        <w:tabs>
          <w:tab w:leader="none" w:pos="70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or subject to any restriction contained in any agreement or instrument between any Borrower and any Lender or any Affiliate of any Lender relating to Indebtedness will be margin stock.</w:t>
      </w:r>
    </w:p>
    <w:p>
      <w:pPr>
        <w:spacing w:after="0" w:line="50" w:lineRule="exact"/>
        <w:rPr>
          <w:rFonts w:ascii="Arial" w:cs="Arial" w:eastAsia="Arial" w:hAnsi="Arial"/>
          <w:sz w:val="16"/>
          <w:szCs w:val="16"/>
          <w:color w:val="auto"/>
        </w:rPr>
      </w:pPr>
    </w:p>
    <w:p>
      <w:pPr>
        <w:ind w:firstLine="464"/>
        <w:spacing w:after="0" w:line="277" w:lineRule="auto"/>
        <w:tabs>
          <w:tab w:leader="none" w:pos="71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None of the Borrowers, any Person Controlling any Borrower, or any Subsidiary is or is required to be registered as an “investment company” under the Investment Company Act of 1940.</w:t>
      </w:r>
    </w:p>
    <w:p>
      <w:pPr>
        <w:spacing w:after="0" w:line="16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5.15 Copyrights, Patents, Trademarks and Licenses, Etc. </w:t>
      </w:r>
      <w:r>
        <w:rPr>
          <w:rFonts w:ascii="Arial" w:cs="Arial" w:eastAsia="Arial" w:hAnsi="Arial"/>
          <w:sz w:val="18"/>
          <w:szCs w:val="18"/>
          <w:color w:val="auto"/>
        </w:rPr>
        <w:t>Each of the Borrowers and their Subsidiaries own or are licensed or otherwise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To the best knowledge of 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85"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5.16 Disclosure. </w:t>
      </w:r>
      <w:r>
        <w:rPr>
          <w:rFonts w:ascii="Arial" w:cs="Arial" w:eastAsia="Arial" w:hAnsi="Arial"/>
          <w:sz w:val="17"/>
          <w:szCs w:val="17"/>
          <w:color w:val="auto"/>
        </w:rPr>
        <w:t>Each Borrower has disclosed to the Administrative Agent and the Lenders all agreements, instruments and corporate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projected financial information, Toro represents only that such information was prepared in good faith based upon assumptions believed to be reasonable at the time.</w:t>
      </w:r>
    </w:p>
    <w:p>
      <w:pPr>
        <w:spacing w:after="0" w:line="17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5.17 Compliance with Laws. </w:t>
      </w:r>
      <w:r>
        <w:rPr>
          <w:rFonts w:ascii="Arial" w:cs="Arial" w:eastAsia="Arial" w:hAnsi="Arial"/>
          <w:sz w:val="18"/>
          <w:szCs w:val="18"/>
          <w:color w:val="auto"/>
        </w:rPr>
        <w:t>Each of the Borrowers and each Subsidiary thereof is in compliance in all material respects with the requirements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0" w:right="239" w:bottom="1440" w:gutter="0" w:footer="0" w:header="0"/>
        </w:sectPr>
      </w:pPr>
    </w:p>
    <w:bookmarkStart w:id="181" w:name="page182"/>
    <w:bookmarkEnd w:id="181"/>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5.18 Representations as to Foreign Obligors. </w:t>
      </w:r>
      <w:r>
        <w:rPr>
          <w:rFonts w:ascii="Arial" w:cs="Arial" w:eastAsia="Arial" w:hAnsi="Arial"/>
          <w:sz w:val="16"/>
          <w:szCs w:val="16"/>
          <w:color w:val="auto"/>
        </w:rPr>
        <w:t>Each of Toro and each Foreign Obligor represents and warrants to the Administrative Agent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103" w:lineRule="exact"/>
        <w:rPr>
          <w:sz w:val="20"/>
          <w:szCs w:val="20"/>
          <w:color w:val="auto"/>
        </w:rPr>
      </w:pPr>
    </w:p>
    <w:p>
      <w:pPr>
        <w:ind w:firstLine="464"/>
        <w:spacing w:after="0" w:line="273" w:lineRule="auto"/>
        <w:tabs>
          <w:tab w:leader="none" w:pos="70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7"/>
          <w:szCs w:val="17"/>
          <w:u w:val="single" w:color="auto"/>
          <w:color w:val="auto"/>
        </w:rPr>
        <w:t>Applicable Foreign Obligor Documents</w:t>
      </w:r>
      <w:r>
        <w:rPr>
          <w:rFonts w:ascii="Arial" w:cs="Arial" w:eastAsia="Arial" w:hAnsi="Arial"/>
          <w:sz w:val="17"/>
          <w:szCs w:val="17"/>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70" w:lineRule="exact"/>
        <w:rPr>
          <w:rFonts w:ascii="Arial" w:cs="Arial" w:eastAsia="Arial" w:hAnsi="Arial"/>
          <w:sz w:val="17"/>
          <w:szCs w:val="17"/>
          <w:color w:val="auto"/>
        </w:rPr>
      </w:pPr>
    </w:p>
    <w:p>
      <w:pPr>
        <w:ind w:firstLine="464"/>
        <w:spacing w:after="0" w:line="271" w:lineRule="auto"/>
        <w:tabs>
          <w:tab w:leader="none" w:pos="711"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70" w:lineRule="exact"/>
        <w:rPr>
          <w:rFonts w:ascii="Arial" w:cs="Arial" w:eastAsia="Arial" w:hAnsi="Arial"/>
          <w:sz w:val="17"/>
          <w:szCs w:val="17"/>
          <w:color w:val="auto"/>
        </w:rPr>
      </w:pPr>
    </w:p>
    <w:p>
      <w:pPr>
        <w:ind w:right="180" w:firstLine="464"/>
        <w:spacing w:after="0" w:line="259" w:lineRule="auto"/>
        <w:tabs>
          <w:tab w:leader="none" w:pos="70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78" w:lineRule="exact"/>
        <w:rPr>
          <w:rFonts w:ascii="Arial" w:cs="Arial" w:eastAsia="Arial" w:hAnsi="Arial"/>
          <w:sz w:val="18"/>
          <w:szCs w:val="18"/>
          <w:color w:val="auto"/>
        </w:rPr>
      </w:pPr>
    </w:p>
    <w:p>
      <w:pPr>
        <w:ind w:right="320" w:firstLine="464"/>
        <w:spacing w:after="0" w:line="259" w:lineRule="auto"/>
        <w:tabs>
          <w:tab w:leader="none" w:pos="711"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notification or authorization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made or obtained as soon as is reasonably practicable).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0" w:right="239" w:bottom="1440" w:gutter="0" w:footer="0" w:header="0"/>
        </w:sectPr>
      </w:pPr>
    </w:p>
    <w:bookmarkStart w:id="182" w:name="page183"/>
    <w:bookmarkEnd w:id="182"/>
    <w:p>
      <w:pPr>
        <w:jc w:val="both"/>
        <w:ind w:right="180" w:firstLine="456"/>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5.19 Taxpayer Identification Number; Other Identifying Information. </w:t>
      </w:r>
      <w:r>
        <w:rPr>
          <w:rFonts w:ascii="Arial" w:cs="Arial" w:eastAsia="Arial" w:hAnsi="Arial"/>
          <w:sz w:val="16"/>
          <w:szCs w:val="16"/>
          <w:color w:val="auto"/>
        </w:rPr>
        <w:t>The true and correct U.S. taxpayer identification number of each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is not a Foreign Obligor is set forth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The true and correct unique identification number of each Foreign Obligor that is a party hereto on the Closing Date that has been issued by its jurisdiction of organization and the name of such jurisdiction are set forth on </w:t>
      </w:r>
      <w:r>
        <w:rPr>
          <w:rFonts w:ascii="Arial" w:cs="Arial" w:eastAsia="Arial" w:hAnsi="Arial"/>
          <w:sz w:val="16"/>
          <w:szCs w:val="16"/>
          <w:u w:val="single" w:color="auto"/>
          <w:color w:val="auto"/>
        </w:rPr>
        <w:t>Schedule 5.19</w:t>
      </w:r>
      <w:r>
        <w:rPr>
          <w:rFonts w:ascii="Arial" w:cs="Arial" w:eastAsia="Arial" w:hAnsi="Arial"/>
          <w:sz w:val="16"/>
          <w:szCs w:val="16"/>
          <w:color w:val="auto"/>
        </w:rPr>
        <w:t>.</w:t>
      </w:r>
    </w:p>
    <w:p>
      <w:pPr>
        <w:spacing w:after="0" w:line="142"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5.20 OFAC</w:t>
      </w:r>
      <w:r>
        <w:rPr>
          <w:rFonts w:ascii="Arial" w:cs="Arial" w:eastAsia="Arial" w:hAnsi="Arial"/>
          <w:sz w:val="18"/>
          <w:szCs w:val="18"/>
          <w:color w:val="auto"/>
        </w:rPr>
        <w:t>. Neither any Borrower, nor any of its Subsidiaries, nor, to the knowledge of any Borrower and its Subsidiaries, any director,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agent, affiliate or representative thereof, is an individual or entity currently the subject of any Sanctions, nor is any Borrower or any Subsidiary located, organized or resident in a Designated Jurisdiction.</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5.21 Anti-Corruption Laws. </w:t>
      </w:r>
      <w:r>
        <w:rPr>
          <w:rFonts w:ascii="Arial" w:cs="Arial" w:eastAsia="Arial" w:hAnsi="Arial"/>
          <w:sz w:val="18"/>
          <w:szCs w:val="18"/>
          <w:color w:val="auto"/>
        </w:rPr>
        <w:t>Each of the Borrowers and each Subsidiary, to the knowledge of any Borrower and its Subsidiaries, have used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conduct their businesses in compliance with applicable anti-corruption laws, and have instituted and maintained policies and procedures designed to promote and achieve compliance with such laws.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shall remain outstanding, Toro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Subsidiary to: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6.01 Financial Statements. </w:t>
      </w:r>
      <w:r>
        <w:rPr>
          <w:rFonts w:ascii="Arial" w:cs="Arial" w:eastAsia="Arial" w:hAnsi="Arial"/>
          <w:sz w:val="16"/>
          <w:szCs w:val="16"/>
          <w:color w:val="auto"/>
        </w:rPr>
        <w:t>Deliver to the Administrative Agent and each Lender, in form and detail satisfactory to the Administrative Agent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Required Lenders:</w:t>
      </w:r>
    </w:p>
    <w:p>
      <w:pPr>
        <w:spacing w:after="0" w:line="103" w:lineRule="exact"/>
        <w:rPr>
          <w:sz w:val="20"/>
          <w:szCs w:val="20"/>
          <w:color w:val="auto"/>
        </w:rPr>
      </w:pPr>
    </w:p>
    <w:p>
      <w:pPr>
        <w:ind w:right="180" w:firstLine="464"/>
        <w:spacing w:after="0" w:line="255" w:lineRule="auto"/>
        <w:tabs>
          <w:tab w:leader="none" w:pos="70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soon as available, but in any event within 120 days after the end of each fiscal year of Toro,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81" w:lineRule="exact"/>
        <w:rPr>
          <w:rFonts w:ascii="Arial" w:cs="Arial" w:eastAsia="Arial" w:hAnsi="Arial"/>
          <w:sz w:val="18"/>
          <w:szCs w:val="18"/>
          <w:color w:val="auto"/>
        </w:rPr>
      </w:pPr>
    </w:p>
    <w:p>
      <w:pPr>
        <w:ind w:firstLine="464"/>
        <w:spacing w:after="0" w:line="293" w:lineRule="auto"/>
        <w:tabs>
          <w:tab w:leader="none" w:pos="71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 soon as available, but in any event within 50 days after the end of each of the first three fiscal quarters of each fiscal year of Toro,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0" w:right="239" w:bottom="1440" w:gutter="0" w:footer="0" w:header="0"/>
        </w:sectPr>
      </w:pPr>
    </w:p>
    <w:bookmarkStart w:id="183" w:name="page184"/>
    <w:bookmarkEnd w:id="183"/>
    <w:p>
      <w:pPr>
        <w:ind w:right="2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to any information contained in materials furnished pursuant to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Toro shall not be separately required to furnish such information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but the foregoing shall not be in derogation of the obligation of Toro to furnish the information and materials described in </w:t>
      </w:r>
      <w:r>
        <w:rPr>
          <w:rFonts w:ascii="Arial" w:cs="Arial" w:eastAsia="Arial" w:hAnsi="Arial"/>
          <w:sz w:val="16"/>
          <w:szCs w:val="16"/>
          <w:u w:val="single" w:color="auto"/>
          <w:color w:val="auto"/>
        </w:rPr>
        <w:t>clauses</w:t>
      </w:r>
    </w:p>
    <w:p>
      <w:pPr>
        <w:ind w:left="260" w:hanging="252"/>
        <w:spacing w:after="0"/>
        <w:tabs>
          <w:tab w:leader="none" w:pos="260" w:val="left"/>
        </w:tabs>
        <w:numPr>
          <w:ilvl w:val="0"/>
          <w:numId w:val="23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207"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6.02 Certificates; Other Information. </w:t>
      </w:r>
      <w:r>
        <w:rPr>
          <w:rFonts w:ascii="Arial" w:cs="Arial" w:eastAsia="Arial" w:hAnsi="Arial"/>
          <w:sz w:val="18"/>
          <w:szCs w:val="18"/>
          <w:color w:val="auto"/>
        </w:rPr>
        <w:t>Deliver to the Administrative Agent and each Lender, in form and detail satisfactory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Required Lenders:</w:t>
      </w:r>
    </w:p>
    <w:p>
      <w:pPr>
        <w:spacing w:after="0" w:line="58" w:lineRule="exact"/>
        <w:rPr>
          <w:sz w:val="20"/>
          <w:szCs w:val="20"/>
          <w:color w:val="auto"/>
        </w:rPr>
      </w:pPr>
    </w:p>
    <w:p>
      <w:pPr>
        <w:ind w:right="20" w:firstLine="464"/>
        <w:spacing w:after="0" w:line="277" w:lineRule="auto"/>
        <w:tabs>
          <w:tab w:leader="none" w:pos="7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a Responsible Officer of Toro;</w:t>
      </w:r>
    </w:p>
    <w:p>
      <w:pPr>
        <w:spacing w:after="0" w:line="62" w:lineRule="exact"/>
        <w:rPr>
          <w:rFonts w:ascii="Arial" w:cs="Arial" w:eastAsia="Arial" w:hAnsi="Arial"/>
          <w:sz w:val="18"/>
          <w:szCs w:val="18"/>
          <w:color w:val="auto"/>
        </w:rPr>
      </w:pPr>
    </w:p>
    <w:p>
      <w:pPr>
        <w:ind w:firstLine="464"/>
        <w:spacing w:after="0" w:line="264"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73" w:lineRule="exact"/>
        <w:rPr>
          <w:rFonts w:ascii="Arial" w:cs="Arial" w:eastAsia="Arial" w:hAnsi="Arial"/>
          <w:sz w:val="18"/>
          <w:szCs w:val="18"/>
          <w:color w:val="auto"/>
        </w:rPr>
      </w:pPr>
    </w:p>
    <w:p>
      <w:pPr>
        <w:ind w:right="60" w:firstLine="464"/>
        <w:spacing w:after="0" w:line="312" w:lineRule="auto"/>
        <w:tabs>
          <w:tab w:leader="none" w:pos="70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promptly after the same are available, copies of each annual report, proxy or financial statement or other report or communication sent to the stockholders of Toro, and copies of all annual, regular, periodic and special reports and registration statements which Toro may file or be required to file with the SEC under Section 13 or 15(d) of the Exchange Act, and not otherwise required to be delivered to the Administrative Agent pursuant hereto;</w:t>
      </w:r>
    </w:p>
    <w:p>
      <w:pPr>
        <w:spacing w:after="0" w:line="38" w:lineRule="exact"/>
        <w:rPr>
          <w:rFonts w:ascii="Arial" w:cs="Arial" w:eastAsia="Arial" w:hAnsi="Arial"/>
          <w:sz w:val="16"/>
          <w:szCs w:val="16"/>
          <w:color w:val="auto"/>
        </w:rPr>
      </w:pPr>
    </w:p>
    <w:p>
      <w:pPr>
        <w:ind w:right="160" w:firstLine="464"/>
        <w:spacing w:after="0" w:line="277" w:lineRule="auto"/>
        <w:tabs>
          <w:tab w:leader="none" w:pos="71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concurrently with the closing of a Receivables Purchase Facility, a copy of the documentation related thereto certified by a Responsible Officer as being true, correct and complete;</w:t>
      </w:r>
    </w:p>
    <w:p>
      <w:pPr>
        <w:spacing w:after="0" w:line="62" w:lineRule="exact"/>
        <w:rPr>
          <w:rFonts w:ascii="Arial" w:cs="Arial" w:eastAsia="Arial" w:hAnsi="Arial"/>
          <w:sz w:val="18"/>
          <w:szCs w:val="18"/>
          <w:color w:val="auto"/>
        </w:rPr>
      </w:pPr>
    </w:p>
    <w:p>
      <w:pPr>
        <w:ind w:right="40" w:firstLine="464"/>
        <w:spacing w:after="0" w:line="279" w:lineRule="auto"/>
        <w:tabs>
          <w:tab w:leader="none" w:pos="70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 and</w:t>
      </w:r>
    </w:p>
    <w:p>
      <w:pPr>
        <w:spacing w:after="0" w:line="63" w:lineRule="exact"/>
        <w:rPr>
          <w:rFonts w:ascii="Arial" w:cs="Arial" w:eastAsia="Arial" w:hAnsi="Arial"/>
          <w:sz w:val="17"/>
          <w:szCs w:val="17"/>
          <w:color w:val="auto"/>
        </w:rPr>
      </w:pPr>
    </w:p>
    <w:p>
      <w:pPr>
        <w:ind w:right="120" w:firstLine="464"/>
        <w:spacing w:after="0" w:line="277" w:lineRule="auto"/>
        <w:tabs>
          <w:tab w:leader="none" w:pos="6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62" w:lineRule="exact"/>
        <w:rPr>
          <w:sz w:val="20"/>
          <w:szCs w:val="20"/>
          <w:color w:val="auto"/>
        </w:rPr>
      </w:pPr>
    </w:p>
    <w:p>
      <w:pPr>
        <w:ind w:left="460" w:right="40"/>
        <w:spacing w:after="0" w:line="312"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6.02(c)</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Toro posts such documents, or provides a link thereto on Toro’s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184" w:name="page185"/>
    <w:bookmarkEnd w:id="184"/>
    <w:p>
      <w:pPr>
        <w:ind w:left="460" w:right="40" w:firstLine="4"/>
        <w:spacing w:after="0" w:line="293" w:lineRule="auto"/>
        <w:tabs>
          <w:tab w:leader="none" w:pos="725"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which such documents are posted on Toro’s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Toro shall deliver paper copies of such documents to the Administrative Agent or any Lender that requests Toro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Toro with any such request for delivery, and each Lender shall be solely responsible for requesting delivery to it or maintaining its copies of such documents.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Each Borrower hereby acknowledges that (a) the Administrative Agent and/or the Arrangers will make available to the Lenders and the L/C Issuer materials and/or information provided by or on behalf of the Borrowers hereunder (collectively, “Borrower Materials”) by posting the Borrower Materials on IntraLinks, Syndtrak or another similar electronic system (the “Platform”)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with respect to such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11.07</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6.03 Notices. </w:t>
      </w:r>
      <w:r>
        <w:rPr>
          <w:rFonts w:ascii="Arial" w:cs="Arial" w:eastAsia="Arial" w:hAnsi="Arial"/>
          <w:sz w:val="18"/>
          <w:szCs w:val="18"/>
          <w:color w:val="auto"/>
        </w:rPr>
        <w:t>Promptly notify the Administrative Agent and each Lender:</w:t>
      </w:r>
    </w:p>
    <w:p>
      <w:pPr>
        <w:spacing w:after="0" w:line="121" w:lineRule="exact"/>
        <w:rPr>
          <w:sz w:val="20"/>
          <w:szCs w:val="20"/>
          <w:color w:val="auto"/>
        </w:rPr>
      </w:pPr>
    </w:p>
    <w:p>
      <w:pPr>
        <w:ind w:firstLine="464"/>
        <w:spacing w:after="0" w:line="277"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and of the occurrence or existence of any event or circumstance that foreseeably will become a Default or Event of Default;</w:t>
      </w:r>
    </w:p>
    <w:p>
      <w:pPr>
        <w:spacing w:after="0" w:line="62" w:lineRule="exact"/>
        <w:rPr>
          <w:rFonts w:ascii="Arial" w:cs="Arial" w:eastAsia="Arial" w:hAnsi="Arial"/>
          <w:sz w:val="18"/>
          <w:szCs w:val="18"/>
          <w:color w:val="auto"/>
        </w:rPr>
      </w:pPr>
    </w:p>
    <w:p>
      <w:pPr>
        <w:ind w:firstLine="464"/>
        <w:spacing w:after="0" w:line="257" w:lineRule="auto"/>
        <w:tabs>
          <w:tab w:leader="none" w:pos="7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(i) breach or non-performance of, or any default under, a Contractual Obligation of any Borrower or any Subsidiary; (ii) any dispute, litigation, investigation, proceeding or suspension between any Borrower or any Subsidiary and any Governmental Authority; or (iii) the commencement of, or any material development in, any litigation or proceeding affecting any Borrower or any Subsidiary, including pursuant to any applicable Environmental Laws in each case under (i), (ii) or (iii) above, which (A) is reasonably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185" w:name="page186"/>
    <w:bookmarkEnd w:id="18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likely to create liability to any Borrower in excess of $35,000,000 in any individual circumstance or in excess of $75,000,000 in the aggregate for all such circumstances, or (B) is otherwise reasonably likely to have a Material Adverse Effect and (iv) other matter that has resulted or is reasonably likely to result in a Material Adverse Effect;</w:t>
      </w:r>
    </w:p>
    <w:p>
      <w:pPr>
        <w:spacing w:after="0" w:line="73" w:lineRule="exact"/>
        <w:rPr>
          <w:sz w:val="20"/>
          <w:szCs w:val="20"/>
          <w:color w:val="auto"/>
        </w:rPr>
      </w:pPr>
    </w:p>
    <w:p>
      <w:pPr>
        <w:ind w:right="200" w:firstLine="464"/>
        <w:spacing w:after="0" w:line="286" w:lineRule="auto"/>
        <w:tabs>
          <w:tab w:leader="none" w:pos="701" w:val="left"/>
        </w:tabs>
        <w:numPr>
          <w:ilvl w:val="0"/>
          <w:numId w:val="238"/>
        </w:numPr>
        <w:rPr>
          <w:rFonts w:ascii="Arial" w:cs="Arial" w:eastAsia="Arial" w:hAnsi="Arial"/>
          <w:sz w:val="17"/>
          <w:szCs w:val="17"/>
          <w:color w:val="auto"/>
        </w:rPr>
      </w:pPr>
      <w:r>
        <w:rPr>
          <w:rFonts w:ascii="Arial" w:cs="Arial" w:eastAsia="Arial" w:hAnsi="Arial"/>
          <w:sz w:val="17"/>
          <w:szCs w:val="17"/>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 ERISA Event;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 material increase in the Unfunded Pension Liability of any Pension Plan;</w:t>
      </w:r>
    </w:p>
    <w:p>
      <w:pPr>
        <w:spacing w:after="0" w:line="117" w:lineRule="exact"/>
        <w:rPr>
          <w:rFonts w:ascii="Arial" w:cs="Arial" w:eastAsia="Arial" w:hAnsi="Arial"/>
          <w:sz w:val="18"/>
          <w:szCs w:val="18"/>
          <w:color w:val="auto"/>
        </w:rPr>
      </w:pPr>
    </w:p>
    <w:p>
      <w:pPr>
        <w:ind w:left="460" w:right="480" w:firstLine="443"/>
        <w:spacing w:after="0" w:line="277" w:lineRule="auto"/>
        <w:tabs>
          <w:tab w:leader="none" w:pos="121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adoption of, or the commencement of contributions to, any Plan subject to Section 412 of the Code by any Borrower or any ERISA Affiliate; or</w:t>
      </w:r>
    </w:p>
    <w:p>
      <w:pPr>
        <w:spacing w:after="0" w:line="62" w:lineRule="exact"/>
        <w:rPr>
          <w:rFonts w:ascii="Arial" w:cs="Arial" w:eastAsia="Arial" w:hAnsi="Arial"/>
          <w:sz w:val="18"/>
          <w:szCs w:val="18"/>
          <w:color w:val="auto"/>
        </w:rPr>
      </w:pPr>
    </w:p>
    <w:p>
      <w:pPr>
        <w:ind w:left="460" w:firstLine="443"/>
        <w:spacing w:after="0" w:line="277" w:lineRule="auto"/>
        <w:tabs>
          <w:tab w:leader="none" w:pos="120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adoption of any amendment to a Plan subject to Section 412 of the Code, if such amendment results in a material increase in contributions or Unfunded Pension Liability;</w:t>
      </w:r>
    </w:p>
    <w:p>
      <w:pPr>
        <w:spacing w:after="0" w:line="62"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of any material change in accounting policies or financial reporting practices by the Borrowers or any of their consolidated Subsidiaries, including any determination by the Borrowers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in a Debt Rating.</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6.03(e</w:t>
      </w:r>
      <w:r>
        <w:rPr>
          <w:rFonts w:ascii="Arial" w:cs="Arial" w:eastAsia="Arial" w:hAnsi="Arial"/>
          <w:sz w:val="18"/>
          <w:szCs w:val="18"/>
          <w:color w:val="auto"/>
        </w:rPr>
        <w:t xml:space="preserve">)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or foreseeably will be breached or violated.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6.04 [Intentionally Deleted.]</w:t>
      </w:r>
    </w:p>
    <w:p>
      <w:pPr>
        <w:spacing w:after="0" w:line="225"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 xml:space="preserve">6.05 Preservation of Existence, Etc. </w:t>
      </w:r>
      <w:r>
        <w:rPr>
          <w:rFonts w:ascii="Arial" w:cs="Arial" w:eastAsia="Arial" w:hAnsi="Arial"/>
          <w:sz w:val="16"/>
          <w:szCs w:val="16"/>
          <w:color w:val="auto"/>
        </w:rPr>
        <w:t>(a) Preserve, renew and maintain in full force and effect its legal existence and good standing under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jurisdiction of its organization except in a transaction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notwithstanding any of the foregoing, Toro shall be permitted to liquidate and dissolve any Subsidiary into Toro or another Subsidiary in accordance with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86" w:name="page187"/>
    <w:bookmarkEnd w:id="186"/>
    <w:p>
      <w:pPr>
        <w:ind w:right="2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6.06 Maintenance of Properties. </w:t>
      </w:r>
      <w:r>
        <w:rPr>
          <w:rFonts w:ascii="Arial" w:cs="Arial" w:eastAsia="Arial" w:hAnsi="Arial"/>
          <w:sz w:val="18"/>
          <w:szCs w:val="18"/>
          <w:color w:val="auto"/>
        </w:rPr>
        <w:t>Exercise its best business judgment to maintain and preserve all its property which is used or useful in its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good working order and condition, ordinary wear and tear excepted;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shall prevent any Borrower or Subsidiary from discontinuing the operation or maintenance of any such property if such discontinuance will not result in a Material Adverse Effect and the Board of Directors of such Borrower or Subsidiary determines, in its best business judgment, that the continued use thereof is no longer desirable to the conduct of the business of such Borrower or Subsidiary.</w:t>
      </w:r>
    </w:p>
    <w:p>
      <w:pPr>
        <w:spacing w:after="0" w:line="18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color w:val="auto"/>
        </w:rPr>
        <w:t xml:space="preserve">6.07 Maintenance of Insurance. </w:t>
      </w:r>
      <w:r>
        <w:rPr>
          <w:rFonts w:ascii="Arial" w:cs="Arial" w:eastAsia="Arial" w:hAnsi="Arial"/>
          <w:sz w:val="16"/>
          <w:szCs w:val="16"/>
          <w:color w:val="auto"/>
        </w:rPr>
        <w:t>Maintain with financially sound and reputable insurers, insurance with respect to its properties and business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shall be deemed to prevent the Borrowers or their Subsidiaries from self insuring or insuring through a captive insurance subsidiary such risks as are customarily self insured or insured through captive insurance subsidiaries by other corporations in the same business and similarly situated in accordance with sound business practices.</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 xml:space="preserve">6.08 Compliance with Laws and Contractual Obligations. </w:t>
      </w:r>
      <w:r>
        <w:rPr>
          <w:rFonts w:ascii="Arial" w:cs="Arial" w:eastAsia="Arial" w:hAnsi="Arial"/>
          <w:sz w:val="17"/>
          <w:szCs w:val="17"/>
          <w:color w:val="auto"/>
        </w:rPr>
        <w:t>Comply, and cause each Subsidiary to comply, with all Contractual Obligations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 which are being contested in good faith by appropriate proceedings and for which adequate reserves have been provided in accordance with GAAP.</w:t>
      </w:r>
    </w:p>
    <w:p>
      <w:pPr>
        <w:spacing w:after="0" w:line="168"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b w:val="1"/>
          <w:bCs w:val="1"/>
          <w:color w:val="auto"/>
        </w:rPr>
        <w:t xml:space="preserve">6.09 Books and Records. </w:t>
      </w:r>
      <w:r>
        <w:rPr>
          <w:rFonts w:ascii="Arial" w:cs="Arial" w:eastAsia="Arial" w:hAnsi="Arial"/>
          <w:sz w:val="16"/>
          <w:szCs w:val="16"/>
          <w:color w:val="auto"/>
        </w:rPr>
        <w:t>Maintain proper books of record and account, in which full, true and correct entries in conformity with GAAP consistently</w:t>
      </w:r>
      <w:r>
        <w:rPr>
          <w:rFonts w:ascii="Arial" w:cs="Arial" w:eastAsia="Arial" w:hAnsi="Arial"/>
          <w:sz w:val="16"/>
          <w:szCs w:val="16"/>
          <w:b w:val="1"/>
          <w:bCs w:val="1"/>
          <w:color w:val="auto"/>
        </w:rPr>
        <w:t xml:space="preserve"> </w:t>
      </w:r>
      <w:r>
        <w:rPr>
          <w:rFonts w:ascii="Arial" w:cs="Arial" w:eastAsia="Arial" w:hAnsi="Arial"/>
          <w:sz w:val="16"/>
          <w:szCs w:val="16"/>
          <w:color w:val="auto"/>
        </w:rPr>
        <w:t>applied shall be made of all financial transactions and matters involving the assets and business of Toro or such Subsidiary, as the case may be.</w:t>
      </w:r>
    </w:p>
    <w:p>
      <w:pPr>
        <w:spacing w:after="0" w:line="116"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6.10 Inspection Rights. </w:t>
      </w:r>
      <w:r>
        <w:rPr>
          <w:rFonts w:ascii="Arial" w:cs="Arial" w:eastAsia="Arial" w:hAnsi="Arial"/>
          <w:sz w:val="16"/>
          <w:szCs w:val="16"/>
          <w:color w:val="auto"/>
        </w:rPr>
        <w:t>Permit representatives and independent contractors of the Administrative Agent and each Lender to visit and inspect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properties, to examine its corporate, financial and operating records, and make copies thereof or abstracts therefrom (except to the extent any of such records are proprietary in nature), and to discuss its affairs, finances and accounts with its directors, officers, and independent public accountants, all at such reasonable times during normal business hours and as often as may be reasonably desired, upon reasonable advance notice to Toro;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70" w:right="279" w:bottom="1440" w:gutter="0" w:footer="0" w:header="0"/>
        </w:sectPr>
      </w:pPr>
    </w:p>
    <w:bookmarkStart w:id="187" w:name="page188"/>
    <w:bookmarkEnd w:id="18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Use of Proceeds. </w:t>
      </w:r>
      <w:r>
        <w:rPr>
          <w:rFonts w:ascii="Arial" w:cs="Arial" w:eastAsia="Arial" w:hAnsi="Arial"/>
          <w:sz w:val="16"/>
          <w:szCs w:val="16"/>
          <w:color w:val="auto"/>
        </w:rPr>
        <w:t>Each Borrower shall use the proceeds of the Credit Extensions for (a) general working capital needs and capital expenditures</w:t>
      </w:r>
    </w:p>
    <w:p>
      <w:pPr>
        <w:spacing w:after="0" w:line="50" w:lineRule="exact"/>
        <w:rPr>
          <w:sz w:val="20"/>
          <w:szCs w:val="20"/>
          <w:color w:val="auto"/>
        </w:rPr>
      </w:pPr>
    </w:p>
    <w:p>
      <w:pPr>
        <w:ind w:right="40" w:firstLine="8"/>
        <w:spacing w:after="0" w:line="281" w:lineRule="auto"/>
        <w:tabs>
          <w:tab w:leader="none" w:pos="25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replacement and refinancing of outstanding indebtedness under the Existing Credit Agreement, (c) subject to the proviso below, the purchase or other acquisition by Toro of shares of its capital stock and related preferred stock purchase rights to the extent permitted by </w:t>
      </w:r>
      <w:r>
        <w:rPr>
          <w:rFonts w:ascii="Arial" w:cs="Arial" w:eastAsia="Arial" w:hAnsi="Arial"/>
          <w:sz w:val="16"/>
          <w:szCs w:val="16"/>
          <w:u w:val="single" w:color="auto"/>
          <w:color w:val="auto"/>
        </w:rPr>
        <w:t>Section 7.07(c)</w:t>
      </w:r>
      <w:r>
        <w:rPr>
          <w:rFonts w:ascii="Arial" w:cs="Arial" w:eastAsia="Arial" w:hAnsi="Arial"/>
          <w:sz w:val="16"/>
          <w:szCs w:val="16"/>
          <w:color w:val="auto"/>
        </w:rPr>
        <w:t xml:space="preserve">, (d) to finance in part the Proposed Acquisition (including the payment of fees and expenses incurred in connection with the consummation thereof), and (e) other lawful corporate purposes (including Acquisitions permitted by </w:t>
      </w:r>
      <w:r>
        <w:rPr>
          <w:rFonts w:ascii="Arial" w:cs="Arial" w:eastAsia="Arial" w:hAnsi="Arial"/>
          <w:sz w:val="16"/>
          <w:szCs w:val="16"/>
          <w:u w:val="single" w:color="auto"/>
          <w:color w:val="auto"/>
        </w:rPr>
        <w:t>Section 7.04(d)</w:t>
      </w:r>
      <w:r>
        <w:rPr>
          <w:rFonts w:ascii="Arial" w:cs="Arial" w:eastAsia="Arial" w:hAnsi="Arial"/>
          <w:sz w:val="16"/>
          <w:szCs w:val="16"/>
          <w:color w:val="auto"/>
        </w:rPr>
        <w:t xml:space="preserve">), other than, directly or indirectly, (i) for purposes of undertaking an Acquisition or Joint Venture in contravention of any Law or of any Loan Document, (ii) to purchase or carry Margin Stock, (iii) to repay or otherwise refinance indebtedness of any Borrower or others incurred to purchase or carry Margin Stock, (iv) to extend credit for the purpose of purchasing or carrying any Margin Stock, or (v) to acquire any security in any transaction that is subject to Section 13 or 14 of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notwithstanding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w:t>
      </w:r>
    </w:p>
    <w:p>
      <w:pPr>
        <w:spacing w:after="0" w:line="4" w:lineRule="exact"/>
        <w:rPr>
          <w:rFonts w:ascii="Arial" w:cs="Arial" w:eastAsia="Arial" w:hAnsi="Arial"/>
          <w:sz w:val="16"/>
          <w:szCs w:val="16"/>
          <w:color w:val="auto"/>
        </w:rPr>
      </w:pPr>
    </w:p>
    <w:p>
      <w:pPr>
        <w:ind w:right="180" w:firstLine="8"/>
        <w:spacing w:after="0" w:line="254" w:lineRule="auto"/>
        <w:tabs>
          <w:tab w:leader="none" w:pos="255" w:val="left"/>
        </w:tabs>
        <w:numPr>
          <w:ilvl w:val="0"/>
          <w:numId w:val="240"/>
        </w:numPr>
        <w:rPr>
          <w:rFonts w:ascii="Arial" w:cs="Arial" w:eastAsia="Arial" w:hAnsi="Arial"/>
          <w:sz w:val="18"/>
          <w:szCs w:val="18"/>
          <w:u w:val="single" w:color="auto"/>
          <w:color w:val="auto"/>
        </w:rPr>
      </w:pPr>
      <w:r>
        <w:rPr>
          <w:rFonts w:ascii="Arial" w:cs="Arial" w:eastAsia="Arial" w:hAnsi="Arial"/>
          <w:sz w:val="18"/>
          <w:szCs w:val="18"/>
          <w:color w:val="auto"/>
        </w:rPr>
        <w:t xml:space="preserve">above, Toro may use proceeds of Loans as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 (25%) of the total assets of the Borrowers and their Subsidiaries on a consolidated basis are represented by Margin Stock owned by the Borrowers and their Subsidiaries on a consolidated basis.</w:t>
      </w:r>
    </w:p>
    <w:p>
      <w:pPr>
        <w:spacing w:after="0" w:line="186"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6.12 Approvals and Authorizations. </w:t>
      </w:r>
      <w:r>
        <w:rPr>
          <w:rFonts w:ascii="Arial" w:cs="Arial" w:eastAsia="Arial" w:hAnsi="Arial"/>
          <w:sz w:val="18"/>
          <w:szCs w:val="18"/>
          <w:color w:val="auto"/>
        </w:rPr>
        <w:t>Maintain all authorizations, consents, approvals and licenses from, exemptions of, and filings and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6.13 Anti-Corruption Laws. </w:t>
      </w:r>
      <w:r>
        <w:rPr>
          <w:rFonts w:ascii="Arial" w:cs="Arial" w:eastAsia="Arial" w:hAnsi="Arial"/>
          <w:sz w:val="18"/>
          <w:szCs w:val="18"/>
          <w:color w:val="auto"/>
        </w:rPr>
        <w:t>Use reasonable efforts to conduct its business in compliance with applicable anti-corruption laws and maintain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procedures designed to promote and achieve compliance with such laws.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So long as any Lender shall have any Commitment hereunder, or any Loan, Swing Line Loan or other Obligation shall remain unpaid or unsatisfied, or any Letter of Credit shall remain outstanding, unless the Required Lenders waive compliance in writing:</w:t>
      </w:r>
    </w:p>
    <w:p>
      <w:pPr>
        <w:spacing w:after="0" w:line="166"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6"/>
          <w:szCs w:val="16"/>
          <w:b w:val="1"/>
          <w:bCs w:val="1"/>
          <w:color w:val="auto"/>
        </w:rPr>
        <w:t>7.01 Limitation on Liens</w:t>
      </w:r>
      <w:r>
        <w:rPr>
          <w:rFonts w:ascii="Arial" w:cs="Arial" w:eastAsia="Arial" w:hAnsi="Arial"/>
          <w:sz w:val="16"/>
          <w:szCs w:val="16"/>
          <w:color w:val="auto"/>
        </w:rPr>
        <w:t>. None of the Borrowers shall, or permit any Subsidiary to, directly or indirectly, make, create, incur, assume or suffer to exist</w:t>
      </w:r>
      <w:r>
        <w:rPr>
          <w:rFonts w:ascii="Arial" w:cs="Arial" w:eastAsia="Arial" w:hAnsi="Arial"/>
          <w:sz w:val="16"/>
          <w:szCs w:val="16"/>
          <w:b w:val="1"/>
          <w:bCs w:val="1"/>
          <w:color w:val="auto"/>
        </w:rPr>
        <w:t xml:space="preserve"> </w:t>
      </w:r>
      <w:r>
        <w:rPr>
          <w:rFonts w:ascii="Arial" w:cs="Arial" w:eastAsia="Arial" w:hAnsi="Arial"/>
          <w:sz w:val="16"/>
          <w:szCs w:val="16"/>
          <w:color w:val="auto"/>
        </w:rPr>
        <w:t>any Lien upon or with respect to any part of their respective property, whether now owned or hereafter acquired, other than the following (“</w:t>
      </w:r>
      <w:r>
        <w:rPr>
          <w:rFonts w:ascii="Arial" w:cs="Arial" w:eastAsia="Arial" w:hAnsi="Arial"/>
          <w:sz w:val="16"/>
          <w:szCs w:val="16"/>
          <w:u w:val="single" w:color="auto"/>
          <w:color w:val="auto"/>
        </w:rPr>
        <w:t>Permitted Liens</w:t>
      </w:r>
      <w:r>
        <w:rPr>
          <w:rFonts w:ascii="Arial" w:cs="Arial" w:eastAsia="Arial" w:hAnsi="Arial"/>
          <w:sz w:val="16"/>
          <w:szCs w:val="16"/>
          <w:color w:val="auto"/>
        </w:rPr>
        <w:t>”):</w:t>
      </w:r>
    </w:p>
    <w:p>
      <w:pPr>
        <w:spacing w:after="0" w:line="12" w:lineRule="exact"/>
        <w:rPr>
          <w:sz w:val="20"/>
          <w:szCs w:val="20"/>
          <w:color w:val="auto"/>
        </w:rPr>
      </w:pPr>
    </w:p>
    <w:p>
      <w:pPr>
        <w:ind w:right="700" w:firstLine="464"/>
        <w:spacing w:after="0" w:line="277" w:lineRule="auto"/>
        <w:tabs>
          <w:tab w:leader="none" w:pos="7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any Lien existing on property of any Borrower or any Subsidiary on the Closing Date and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securing Indebtedness outstanding on such date (“</w:t>
      </w:r>
      <w:r>
        <w:rPr>
          <w:rFonts w:ascii="Arial" w:cs="Arial" w:eastAsia="Arial" w:hAnsi="Arial"/>
          <w:sz w:val="18"/>
          <w:szCs w:val="18"/>
          <w:u w:val="single" w:color="auto"/>
          <w:color w:val="auto"/>
        </w:rPr>
        <w:t>Existing Liens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Lien created under any Loan Document;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0" w:right="259" w:bottom="1440" w:gutter="0" w:footer="0" w:header="0"/>
        </w:sectPr>
      </w:pPr>
    </w:p>
    <w:bookmarkStart w:id="188" w:name="page189"/>
    <w:bookmarkEnd w:id="188"/>
    <w:p>
      <w:pPr>
        <w:ind w:left="-8" w:right="420" w:firstLine="464"/>
        <w:spacing w:after="0" w:line="277" w:lineRule="auto"/>
        <w:tabs>
          <w:tab w:leader="none" w:pos="693" w:val="left"/>
        </w:tabs>
        <w:numPr>
          <w:ilvl w:val="1"/>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for taxes, fees, assessments or other governmental charges which are not delinquent or remain payable without penalty, provided that no notice of lien has been filed or recorded under the Code;</w:t>
      </w:r>
    </w:p>
    <w:p>
      <w:pPr>
        <w:spacing w:after="0" w:line="62" w:lineRule="exact"/>
        <w:rPr>
          <w:rFonts w:ascii="Arial" w:cs="Arial" w:eastAsia="Arial" w:hAnsi="Arial"/>
          <w:sz w:val="18"/>
          <w:szCs w:val="18"/>
          <w:color w:val="auto"/>
        </w:rPr>
      </w:pPr>
    </w:p>
    <w:p>
      <w:pPr>
        <w:ind w:left="-8" w:right="240" w:firstLine="464"/>
        <w:spacing w:after="0" w:line="264" w:lineRule="auto"/>
        <w:tabs>
          <w:tab w:leader="none" w:pos="70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73" w:lineRule="exact"/>
        <w:rPr>
          <w:rFonts w:ascii="Arial" w:cs="Arial" w:eastAsia="Arial" w:hAnsi="Arial"/>
          <w:sz w:val="18"/>
          <w:szCs w:val="18"/>
          <w:color w:val="auto"/>
        </w:rPr>
      </w:pPr>
    </w:p>
    <w:p>
      <w:pPr>
        <w:ind w:left="-8" w:right="360" w:firstLine="464"/>
        <w:spacing w:after="0" w:line="277" w:lineRule="auto"/>
        <w:tabs>
          <w:tab w:leader="none" w:pos="69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62" w:lineRule="exact"/>
        <w:rPr>
          <w:rFonts w:ascii="Arial" w:cs="Arial" w:eastAsia="Arial" w:hAnsi="Arial"/>
          <w:sz w:val="18"/>
          <w:szCs w:val="18"/>
          <w:color w:val="auto"/>
        </w:rPr>
      </w:pPr>
    </w:p>
    <w:p>
      <w:pPr>
        <w:ind w:left="-8" w:right="80" w:firstLine="464"/>
        <w:spacing w:after="0" w:line="264" w:lineRule="auto"/>
        <w:tabs>
          <w:tab w:leader="none" w:pos="67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Liens on the property of any Borrower or any of its Subsidiaries securing (i) the non-delinquent performance of bids, trade contracts (other than for borrowed money), leases, statutory obligations, (ii) contingent obligations on surety and appeal bonds, and (iii) other non-delinquent obligations of a like nature; in each case, incurred in the ordinary course of business;</w:t>
      </w:r>
    </w:p>
    <w:p>
      <w:pPr>
        <w:spacing w:after="0" w:line="73" w:lineRule="exact"/>
        <w:rPr>
          <w:rFonts w:ascii="Arial" w:cs="Arial" w:eastAsia="Arial" w:hAnsi="Arial"/>
          <w:sz w:val="18"/>
          <w:szCs w:val="18"/>
          <w:color w:val="auto"/>
        </w:rPr>
      </w:pPr>
    </w:p>
    <w:p>
      <w:pPr>
        <w:ind w:left="-8" w:right="100" w:firstLine="464"/>
        <w:spacing w:after="0" w:line="264" w:lineRule="auto"/>
        <w:tabs>
          <w:tab w:leader="none" w:pos="70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73" w:lineRule="exact"/>
        <w:rPr>
          <w:rFonts w:ascii="Arial" w:cs="Arial" w:eastAsia="Arial" w:hAnsi="Arial"/>
          <w:sz w:val="18"/>
          <w:szCs w:val="18"/>
          <w:color w:val="auto"/>
        </w:rPr>
      </w:pPr>
    </w:p>
    <w:p>
      <w:pPr>
        <w:ind w:left="712" w:hanging="256"/>
        <w:spacing w:after="0"/>
        <w:tabs>
          <w:tab w:leader="none" w:pos="71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Liens on property of a Person subject to an Acquisition permitted hereunder existing at the time of such Acquisition;</w:t>
      </w:r>
    </w:p>
    <w:p>
      <w:pPr>
        <w:spacing w:after="0" w:line="117" w:lineRule="exact"/>
        <w:rPr>
          <w:rFonts w:ascii="Arial" w:cs="Arial" w:eastAsia="Arial" w:hAnsi="Arial"/>
          <w:sz w:val="18"/>
          <w:szCs w:val="18"/>
          <w:color w:val="auto"/>
        </w:rPr>
      </w:pPr>
    </w:p>
    <w:p>
      <w:pPr>
        <w:ind w:left="672" w:hanging="216"/>
        <w:spacing w:after="0"/>
        <w:tabs>
          <w:tab w:leader="none" w:pos="672" w:val="left"/>
        </w:tabs>
        <w:numPr>
          <w:ilvl w:val="1"/>
          <w:numId w:val="242"/>
        </w:numPr>
        <w:rPr>
          <w:rFonts w:ascii="Arial" w:cs="Arial" w:eastAsia="Arial" w:hAnsi="Arial"/>
          <w:sz w:val="17"/>
          <w:szCs w:val="17"/>
          <w:color w:val="auto"/>
        </w:rPr>
      </w:pPr>
      <w:r>
        <w:rPr>
          <w:rFonts w:ascii="Arial" w:cs="Arial" w:eastAsia="Arial" w:hAnsi="Arial"/>
          <w:sz w:val="17"/>
          <w:szCs w:val="17"/>
          <w:color w:val="auto"/>
        </w:rPr>
        <w:t>Liens existing on the Closing Date on property of one or more Distributor Subsidiaries securing Indebtedness of such Distributor Subsidiaries;</w:t>
      </w:r>
    </w:p>
    <w:p>
      <w:pPr>
        <w:spacing w:after="0" w:line="128" w:lineRule="exact"/>
        <w:rPr>
          <w:rFonts w:ascii="Arial" w:cs="Arial" w:eastAsia="Arial" w:hAnsi="Arial"/>
          <w:sz w:val="17"/>
          <w:szCs w:val="17"/>
          <w:color w:val="auto"/>
        </w:rPr>
      </w:pPr>
    </w:p>
    <w:p>
      <w:pPr>
        <w:ind w:left="-8" w:firstLine="464"/>
        <w:spacing w:after="0" w:line="264" w:lineRule="auto"/>
        <w:tabs>
          <w:tab w:leader="none" w:pos="66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Liens on Receivables, lease receivables and other obligations owing to any of the Borrowers or any domestic Wholly-Owned Subsidiary to the extent such Receivables, lease receivables and other obligations have been sold under a Receivables Purchase Facility permitted under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or sold as permitted by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 w:right="60" w:firstLine="464"/>
        <w:spacing w:after="0" w:line="288" w:lineRule="auto"/>
        <w:tabs>
          <w:tab w:leader="none" w:pos="70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deposit account is not a dedicated cash collateral account and is not subject to restrictions against access by the applicable Borrower in excess of those set forth by regulations promulgated by the FRB, and</w:t>
      </w:r>
    </w:p>
    <w:p>
      <w:pPr>
        <w:ind w:left="272" w:hanging="272"/>
        <w:spacing w:after="0"/>
        <w:tabs>
          <w:tab w:leader="none" w:pos="27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deposit account is not intended by any Borrower or any Subsidiary to provide collateral to the depository institution; and</w:t>
      </w:r>
    </w:p>
    <w:p>
      <w:pPr>
        <w:spacing w:after="0" w:line="102" w:lineRule="exact"/>
        <w:rPr>
          <w:rFonts w:ascii="Arial" w:cs="Arial" w:eastAsia="Arial" w:hAnsi="Arial"/>
          <w:sz w:val="18"/>
          <w:szCs w:val="18"/>
          <w:color w:val="auto"/>
        </w:rPr>
      </w:pPr>
    </w:p>
    <w:p>
      <w:pPr>
        <w:jc w:val="both"/>
        <w:ind w:left="-8" w:right="60" w:firstLine="464"/>
        <w:spacing w:after="0" w:line="286" w:lineRule="auto"/>
        <w:tabs>
          <w:tab w:leader="none" w:pos="663" w:val="left"/>
        </w:tabs>
        <w:numPr>
          <w:ilvl w:val="1"/>
          <w:numId w:val="243"/>
        </w:numPr>
        <w:rPr>
          <w:rFonts w:ascii="Arial" w:cs="Arial" w:eastAsia="Arial" w:hAnsi="Arial"/>
          <w:sz w:val="17"/>
          <w:szCs w:val="17"/>
          <w:color w:val="auto"/>
        </w:rPr>
      </w:pPr>
      <w:r>
        <w:rPr>
          <w:rFonts w:ascii="Arial" w:cs="Arial" w:eastAsia="Arial" w:hAnsi="Arial"/>
          <w:sz w:val="17"/>
          <w:szCs w:val="17"/>
          <w:color w:val="auto"/>
        </w:rPr>
        <w:t xml:space="preserve">Liens not otherwise permitted hereunder on any property securing Indebtedness;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amount of Indebtedness so secured together with Indebtedness permitted to be secured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above shall not exceed in the aggregate at any time outstanding 10% of the consolidated net worth of Toro and its Subsidiaries determined as of the end of the most recently ended fiscal quarter of Toro.</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72"/>
          </w:cols>
          <w:pgMar w:left="248" w:top="274" w:right="279" w:bottom="1440" w:gutter="0" w:footer="0" w:header="0"/>
        </w:sectPr>
      </w:pPr>
    </w:p>
    <w:bookmarkStart w:id="189" w:name="page190"/>
    <w:bookmarkEnd w:id="189"/>
    <w:p>
      <w:pPr>
        <w:jc w:val="both"/>
        <w:ind w:right="1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7.02 Disposition of Assets</w:t>
      </w:r>
      <w:r>
        <w:rPr>
          <w:rFonts w:ascii="Arial" w:cs="Arial" w:eastAsia="Arial" w:hAnsi="Arial"/>
          <w:sz w:val="18"/>
          <w:szCs w:val="18"/>
          <w:color w:val="auto"/>
        </w:rPr>
        <w:t>. None of the Borrowers shall, or shall suffer or permit any Subsidiary to, directly or indirectly, sell, assign, lease, convey,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or otherwise dispose of (whether in one or a series of transactions) any property (including accounts and notes receivable, with or without recourse) or enter into any agreement to do any of the foregoing, except:</w:t>
      </w:r>
    </w:p>
    <w:p>
      <w:pPr>
        <w:spacing w:after="0" w:line="72" w:lineRule="exact"/>
        <w:rPr>
          <w:sz w:val="20"/>
          <w:szCs w:val="20"/>
          <w:color w:val="auto"/>
        </w:rPr>
      </w:pPr>
    </w:p>
    <w:p>
      <w:pPr>
        <w:ind w:left="700" w:hanging="236"/>
        <w:spacing w:after="0"/>
        <w:tabs>
          <w:tab w:leader="none" w:pos="7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dispositions of inventory, or used, worn-out or surplus property, all in the ordinary course of business;</w:t>
      </w:r>
    </w:p>
    <w:p>
      <w:pPr>
        <w:spacing w:after="0" w:line="117"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 xml:space="preserve">dispositions of Receivables of Toro to Red Iron and, to the extent TCC has become a Borrower hereunder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TCC;</w:t>
      </w:r>
    </w:p>
    <w:p>
      <w:pPr>
        <w:spacing w:after="0" w:line="128" w:lineRule="exact"/>
        <w:rPr>
          <w:rFonts w:ascii="Arial" w:cs="Arial" w:eastAsia="Arial" w:hAnsi="Arial"/>
          <w:sz w:val="17"/>
          <w:szCs w:val="17"/>
          <w:color w:val="auto"/>
        </w:rPr>
      </w:pPr>
    </w:p>
    <w:p>
      <w:pPr>
        <w:ind w:right="140" w:firstLine="464"/>
        <w:spacing w:after="0" w:line="264" w:lineRule="auto"/>
        <w:tabs>
          <w:tab w:leader="none" w:pos="7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dispositions by any Originator of Receivables pursuant to Receivables Purchase Facilities provided that the outstanding unpaid amount of all such Receivables so sold in the aggregate shall not at any time exceed $125,000,000 and such Receivables Purchase Facilities may be established only at a time when Toro has a Debt Rating by S&amp;P of BBB- or better or by Moody’s of Baa3 or better;</w:t>
      </w:r>
    </w:p>
    <w:p>
      <w:pPr>
        <w:spacing w:after="0" w:line="73" w:lineRule="exact"/>
        <w:rPr>
          <w:rFonts w:ascii="Arial" w:cs="Arial" w:eastAsia="Arial" w:hAnsi="Arial"/>
          <w:sz w:val="18"/>
          <w:szCs w:val="18"/>
          <w:color w:val="auto"/>
        </w:rPr>
      </w:pPr>
    </w:p>
    <w:p>
      <w:pPr>
        <w:ind w:right="880" w:firstLine="464"/>
        <w:spacing w:after="0" w:line="277"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disposition of receivables at any time of Toro’s Micro Irrigation division in an amount not to exceed $30,000,000, whether pursuant to a securitization facility, a factoring arrangement or other manner of monetization thereof;</w:t>
      </w:r>
    </w:p>
    <w:p>
      <w:pPr>
        <w:spacing w:after="0" w:line="62" w:lineRule="exact"/>
        <w:rPr>
          <w:rFonts w:ascii="Arial" w:cs="Arial" w:eastAsia="Arial" w:hAnsi="Arial"/>
          <w:sz w:val="18"/>
          <w:szCs w:val="18"/>
          <w:color w:val="auto"/>
        </w:rPr>
      </w:pPr>
    </w:p>
    <w:p>
      <w:pPr>
        <w:ind w:right="40" w:firstLine="464"/>
        <w:spacing w:after="0" w:line="277" w:lineRule="auto"/>
        <w:tabs>
          <w:tab w:leader="none" w:pos="68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dispositions in connection with the making or sale of those Investments described under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and in connection with the making of those Investments described in </w:t>
      </w:r>
      <w:r>
        <w:rPr>
          <w:rFonts w:ascii="Arial" w:cs="Arial" w:eastAsia="Arial" w:hAnsi="Arial"/>
          <w:sz w:val="18"/>
          <w:szCs w:val="18"/>
          <w:u w:val="single" w:color="auto"/>
          <w:color w:val="auto"/>
        </w:rPr>
        <w:t>Sections 7.04(c)</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(j)</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firstLine="464"/>
        <w:spacing w:after="0" w:line="312" w:lineRule="auto"/>
        <w:tabs>
          <w:tab w:leader="none" w:pos="71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dispositions not otherwise permitted hereunder which are made for fair market value; </w:t>
      </w:r>
      <w:r>
        <w:rPr>
          <w:rFonts w:ascii="Arial" w:cs="Arial" w:eastAsia="Arial" w:hAnsi="Arial"/>
          <w:sz w:val="16"/>
          <w:szCs w:val="16"/>
          <w:u w:val="single" w:color="auto"/>
          <w:color w:val="auto"/>
        </w:rPr>
        <w:t>provided</w:t>
      </w:r>
      <w:r>
        <w:rPr>
          <w:rFonts w:ascii="Arial" w:cs="Arial" w:eastAsia="Arial" w:hAnsi="Arial"/>
          <w:sz w:val="16"/>
          <w:szCs w:val="16"/>
          <w:color w:val="auto"/>
        </w:rPr>
        <w:t>, that (i) at the time of any such disposition, no Event of Default shall exist or shall result from such disposition and (ii) the aggregate value of all assets so sold by Toro and its Subsidiaries shall not exceed in any fiscal year 10% of the consolidated total assets of Toro and its Subsidiaries determined as of the end of the most recently ended fiscal quarter of Toro;</w:t>
      </w:r>
    </w:p>
    <w:p>
      <w:pPr>
        <w:spacing w:after="0" w:line="38" w:lineRule="exact"/>
        <w:rPr>
          <w:rFonts w:ascii="Arial" w:cs="Arial" w:eastAsia="Arial" w:hAnsi="Arial"/>
          <w:sz w:val="16"/>
          <w:szCs w:val="16"/>
          <w:color w:val="auto"/>
        </w:rPr>
      </w:pPr>
    </w:p>
    <w:p>
      <w:pPr>
        <w:ind w:right="340" w:firstLine="464"/>
        <w:spacing w:after="0" w:line="277" w:lineRule="auto"/>
        <w:tabs>
          <w:tab w:leader="none" w:pos="71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Toro or any Subsidiary, including any Subsidiary Borrower, may sell, assign, lease, convey, transfer or otherwise dispose of assets to one of the Borrowers or another Wholly-Owned Subsidiary;</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dispositions or transfers of cash in payment for goods or services in the ordinary course of business to the extent not otherwise prohibited hereunder;</w:t>
      </w:r>
    </w:p>
    <w:p>
      <w:pPr>
        <w:spacing w:after="0" w:line="140" w:lineRule="exact"/>
        <w:rPr>
          <w:rFonts w:ascii="Arial" w:cs="Arial" w:eastAsia="Arial" w:hAnsi="Arial"/>
          <w:sz w:val="16"/>
          <w:szCs w:val="16"/>
          <w:color w:val="auto"/>
        </w:rPr>
      </w:pPr>
    </w:p>
    <w:p>
      <w:pPr>
        <w:ind w:left="680" w:hanging="216"/>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dispositions resulting from any casualty or condemnation;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0" w:right="279" w:bottom="1440" w:gutter="0" w:footer="0" w:header="0"/>
        </w:sectPr>
      </w:pPr>
    </w:p>
    <w:bookmarkStart w:id="190" w:name="page191"/>
    <w:bookmarkEnd w:id="190"/>
    <w:p>
      <w:pPr>
        <w:ind w:left="720" w:hanging="2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dispositions in connection with Restricted Payments permitted under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dispositions in connection with the granting of Permitted Liens; and</w:t>
      </w:r>
    </w:p>
    <w:p>
      <w:pPr>
        <w:spacing w:after="0" w:line="117" w:lineRule="exact"/>
        <w:rPr>
          <w:rFonts w:ascii="Arial" w:cs="Arial" w:eastAsia="Arial" w:hAnsi="Arial"/>
          <w:sz w:val="18"/>
          <w:szCs w:val="18"/>
          <w:color w:val="auto"/>
        </w:rPr>
      </w:pPr>
    </w:p>
    <w:p>
      <w:pPr>
        <w:ind w:left="760" w:hanging="296"/>
        <w:spacing w:after="0"/>
        <w:tabs>
          <w:tab w:leader="none" w:pos="7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dispositions in connection with the payment of Contingent Obligations or Indebtedness not otherwise prohibited hereunder.</w:t>
      </w:r>
    </w:p>
    <w:p>
      <w:pPr>
        <w:spacing w:after="0" w:line="221"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7.03 Consolidations and Mergers. </w:t>
      </w:r>
      <w:r>
        <w:rPr>
          <w:rFonts w:ascii="Arial" w:cs="Arial" w:eastAsia="Arial" w:hAnsi="Arial"/>
          <w:sz w:val="18"/>
          <w:szCs w:val="18"/>
          <w:color w:val="auto"/>
        </w:rPr>
        <w:t>None of the Borrowers shall, or permit any Subsidiary to, merge, consolidate with or into, or convey, transfer, lease</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dispose of (whether in one transaction or in a series of transactions) all or substantially all of its assets (whether now owned or hereafter acquired) to or in favor of any Person, except:</w:t>
      </w:r>
    </w:p>
    <w:p>
      <w:pPr>
        <w:spacing w:after="0" w:line="72" w:lineRule="exact"/>
        <w:rPr>
          <w:sz w:val="20"/>
          <w:szCs w:val="20"/>
          <w:color w:val="auto"/>
        </w:rPr>
      </w:pPr>
    </w:p>
    <w:p>
      <w:pPr>
        <w:ind w:right="140" w:firstLine="464"/>
        <w:spacing w:after="0" w:line="259" w:lineRule="auto"/>
        <w:tabs>
          <w:tab w:leader="none" w:pos="70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any Subsidiary (other than TCC, to the extent TCC becomes a Borrower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including any Subsidiary Borrower, may merge with one of the Borrowers, or with any one or more Subsidiaries; provided that if any transaction shall be between a Subsidiary and a Wholly-Owned Subsidiary, the surviving Person shall be a Wholly-Owned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such transaction shall be between a Subsidiary and a Subsidiary Borrower, the surviving Person shall be a Subsidiary Borrower, as applicable;</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TCC may merge with or sell all or substantially all of its assets to Toro;</w:t>
      </w:r>
    </w:p>
    <w:p>
      <w:pPr>
        <w:spacing w:after="0" w:line="117" w:lineRule="exact"/>
        <w:rPr>
          <w:rFonts w:ascii="Arial" w:cs="Arial" w:eastAsia="Arial" w:hAnsi="Arial"/>
          <w:sz w:val="18"/>
          <w:szCs w:val="18"/>
          <w:color w:val="auto"/>
        </w:rPr>
      </w:pPr>
    </w:p>
    <w:p>
      <w:pPr>
        <w:ind w:right="120" w:firstLine="464"/>
        <w:spacing w:after="0" w:line="308" w:lineRule="auto"/>
        <w:tabs>
          <w:tab w:leader="none" w:pos="70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any Subsidiary (other than TCC, to the extent TCC becomes a Borrower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including any Subsidiary Borrower, may sell all or substantially all of its assets (upon voluntary liquidation or otherwise), to one of the Borrowers or another Wholly-Owned Subsidiary; and</w:t>
      </w:r>
    </w:p>
    <w:p>
      <w:pPr>
        <w:spacing w:after="0" w:line="38" w:lineRule="exact"/>
        <w:rPr>
          <w:rFonts w:ascii="Arial" w:cs="Arial" w:eastAsia="Arial" w:hAnsi="Arial"/>
          <w:sz w:val="17"/>
          <w:szCs w:val="17"/>
          <w:color w:val="auto"/>
        </w:rPr>
      </w:pPr>
    </w:p>
    <w:p>
      <w:pPr>
        <w:ind w:left="720" w:hanging="256"/>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those transactions otherwise permitted under </w:t>
      </w:r>
      <w:r>
        <w:rPr>
          <w:rFonts w:ascii="Arial" w:cs="Arial" w:eastAsia="Arial" w:hAnsi="Arial"/>
          <w:sz w:val="18"/>
          <w:szCs w:val="18"/>
          <w:u w:val="single" w:color="auto"/>
          <w:color w:val="auto"/>
        </w:rPr>
        <w:t>Section 7.04(d)</w:t>
      </w:r>
      <w:r>
        <w:rPr>
          <w:rFonts w:ascii="Arial" w:cs="Arial" w:eastAsia="Arial" w:hAnsi="Arial"/>
          <w:sz w:val="18"/>
          <w:szCs w:val="18"/>
          <w:color w:val="auto"/>
        </w:rPr>
        <w:t>.</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7.04 Loans and Investments. </w:t>
      </w:r>
      <w:r>
        <w:rPr>
          <w:rFonts w:ascii="Arial" w:cs="Arial" w:eastAsia="Arial" w:hAnsi="Arial"/>
          <w:sz w:val="18"/>
          <w:szCs w:val="18"/>
          <w:color w:val="auto"/>
        </w:rPr>
        <w:t>None of the Borrowers shall purchase or acquire, or suffer or permit any Subsidiary to purchase or acquire, or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therefor, any capital stock, equity interest, or any obligations or other securities of, or any interest in, another Person, or make or commit to make any Acquisitions, or make or commit to make any advance, loan, extension of credit or capital contribution to or any other investment in, another Person including any Affiliate of any of the Borrowers (collectively, “</w:t>
      </w:r>
      <w:r>
        <w:rPr>
          <w:rFonts w:ascii="Arial" w:cs="Arial" w:eastAsia="Arial" w:hAnsi="Arial"/>
          <w:sz w:val="18"/>
          <w:szCs w:val="18"/>
          <w:u w:val="single" w:color="auto"/>
          <w:color w:val="auto"/>
        </w:rPr>
        <w:t>Investments</w:t>
      </w:r>
      <w:r>
        <w:rPr>
          <w:rFonts w:ascii="Arial" w:cs="Arial" w:eastAsia="Arial" w:hAnsi="Arial"/>
          <w:sz w:val="18"/>
          <w:szCs w:val="18"/>
          <w:color w:val="auto"/>
        </w:rPr>
        <w:t>”), except for:</w:t>
      </w:r>
    </w:p>
    <w:p>
      <w:pPr>
        <w:spacing w:after="0" w:line="76" w:lineRule="exact"/>
        <w:rPr>
          <w:sz w:val="20"/>
          <w:szCs w:val="20"/>
          <w:color w:val="auto"/>
        </w:rPr>
      </w:pPr>
    </w:p>
    <w:p>
      <w:pPr>
        <w:ind w:right="240" w:firstLine="464"/>
        <w:spacing w:after="0" w:line="277" w:lineRule="auto"/>
        <w:tabs>
          <w:tab w:leader="none" w:pos="70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Investments held by any of the Borrowers or any Subsidiary in the form of cash equivalents or other liquid investments permitted under Toro’s 1-030 Investment Policy issued June 1, 1999 (as revised on March 10, 2010);</w:t>
      </w:r>
    </w:p>
    <w:p>
      <w:pPr>
        <w:spacing w:after="0" w:line="62"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extensions of credit in the nature of accounts receivable or notes receivable arising from the sale or lease of goods or services in the ordinary course of business;</w:t>
      </w:r>
    </w:p>
    <w:p>
      <w:pPr>
        <w:spacing w:after="0" w:line="62" w:lineRule="exact"/>
        <w:rPr>
          <w:rFonts w:ascii="Arial" w:cs="Arial" w:eastAsia="Arial" w:hAnsi="Arial"/>
          <w:sz w:val="18"/>
          <w:szCs w:val="18"/>
          <w:color w:val="auto"/>
        </w:rPr>
      </w:pPr>
    </w:p>
    <w:p>
      <w:pPr>
        <w:ind w:right="20" w:firstLine="464"/>
        <w:spacing w:after="0" w:line="264" w:lineRule="auto"/>
        <w:tabs>
          <w:tab w:leader="none" w:pos="70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extensions of credit by any Borrower to any of Toro’s Wholly-Owned Subsidiaries or by any of Toro’s Wholly-Owned Subsidiaries to any Borrower or to another of Toro’s Wholly-Owned Subsidiaries or extensions of credit made in the ordinary course of its business consistent with past practices to distributors or dealers of Toro’s and its Subsidiaries’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74" w:right="239" w:bottom="1440" w:gutter="0" w:footer="0" w:header="0"/>
        </w:sectPr>
      </w:pPr>
    </w:p>
    <w:bookmarkStart w:id="191" w:name="page192"/>
    <w:bookmarkEnd w:id="191"/>
    <w:p>
      <w:pPr>
        <w:ind w:right="40" w:firstLine="464"/>
        <w:spacing w:after="0" w:line="257" w:lineRule="auto"/>
        <w:tabs>
          <w:tab w:leader="none" w:pos="711" w:val="left"/>
        </w:tabs>
        <w:numPr>
          <w:ilvl w:val="1"/>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incurred in order to consummate Acquisitions (including the Proposed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before and after giving pro forma effect to any such Acquisition, the ratio of (A) total Indebtedness to (B) the sum of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is not greater than the maximum permitted ratio then in effect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 (ii) such Acquisitions are undertaken in accordance with all applicable Laws; and (iii) the prior, effective written consent or approval to such Acquisition of the board of directors or equivalent governing body of the acquiree is obtained;</w:t>
      </w:r>
    </w:p>
    <w:p>
      <w:pPr>
        <w:spacing w:after="0" w:line="80" w:lineRule="exact"/>
        <w:rPr>
          <w:rFonts w:ascii="Arial" w:cs="Arial" w:eastAsia="Arial" w:hAnsi="Arial"/>
          <w:sz w:val="18"/>
          <w:szCs w:val="18"/>
          <w:color w:val="auto"/>
        </w:rPr>
      </w:pPr>
    </w:p>
    <w:p>
      <w:pPr>
        <w:ind w:left="700" w:hanging="236"/>
        <w:spacing w:after="0"/>
        <w:tabs>
          <w:tab w:leader="none" w:pos="70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Investments in Joint Ventures in the ordinary course of business in an amount not exceeding, in the aggregate, at any time, the greater of</w:t>
      </w:r>
    </w:p>
    <w:p>
      <w:pPr>
        <w:spacing w:after="0" w:line="34" w:lineRule="exact"/>
        <w:rPr>
          <w:rFonts w:ascii="Arial" w:cs="Arial" w:eastAsia="Arial" w:hAnsi="Arial"/>
          <w:sz w:val="17"/>
          <w:szCs w:val="17"/>
          <w:color w:val="auto"/>
        </w:rPr>
      </w:pPr>
    </w:p>
    <w:p>
      <w:pPr>
        <w:ind w:right="200" w:firstLine="8"/>
        <w:spacing w:after="0" w:line="261" w:lineRule="auto"/>
        <w:tabs>
          <w:tab w:leader="none" w:pos="21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$65,000,000 and (ii) 10% of the consolidated net worth of Toro and its Subsidiaries determined as of the end of the most recently ended fiscal quarter of Toro;</w:t>
      </w:r>
    </w:p>
    <w:p>
      <w:pPr>
        <w:spacing w:after="0" w:line="75" w:lineRule="exact"/>
        <w:rPr>
          <w:rFonts w:ascii="Arial" w:cs="Arial" w:eastAsia="Arial" w:hAnsi="Arial"/>
          <w:sz w:val="18"/>
          <w:szCs w:val="18"/>
          <w:color w:val="auto"/>
        </w:rPr>
      </w:pPr>
    </w:p>
    <w:p>
      <w:pPr>
        <w:ind w:left="680" w:hanging="216"/>
        <w:spacing w:after="0"/>
        <w:tabs>
          <w:tab w:leader="none" w:pos="6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Investments under Swap Contracts to the extent not prohibited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Investments made after the date hereof in Wholly-Owned Subsidiaries;</w:t>
      </w:r>
    </w:p>
    <w:p>
      <w:pPr>
        <w:spacing w:after="0" w:line="117" w:lineRule="exact"/>
        <w:rPr>
          <w:rFonts w:ascii="Arial" w:cs="Arial" w:eastAsia="Arial" w:hAnsi="Arial"/>
          <w:sz w:val="18"/>
          <w:szCs w:val="18"/>
          <w:color w:val="auto"/>
        </w:rPr>
      </w:pPr>
    </w:p>
    <w:p>
      <w:pPr>
        <w:ind w:right="320" w:firstLine="464"/>
        <w:spacing w:after="0" w:line="277" w:lineRule="auto"/>
        <w:tabs>
          <w:tab w:leader="none" w:pos="71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Purchases by Toro of shares of its capital stock and associated rights to purchase shares of Toro’s preferred stock pursuant to Toro’s shareholder rights plan to the extent permitted by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7.07(c)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Investments in Red Iron pursuant to the Red Iron LLC Agreement (as in effect on the Closing Date); and</w:t>
      </w:r>
    </w:p>
    <w:p>
      <w:pPr>
        <w:spacing w:after="0" w:line="117" w:lineRule="exact"/>
        <w:rPr>
          <w:rFonts w:ascii="Arial" w:cs="Arial" w:eastAsia="Arial" w:hAnsi="Arial"/>
          <w:sz w:val="18"/>
          <w:szCs w:val="18"/>
          <w:color w:val="auto"/>
        </w:rPr>
      </w:pPr>
    </w:p>
    <w:p>
      <w:pPr>
        <w:ind w:right="180" w:firstLine="464"/>
        <w:spacing w:after="0" w:line="277" w:lineRule="auto"/>
        <w:tabs>
          <w:tab w:leader="none" w:pos="67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 xml:space="preserve">other Investments not covered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above, which are not Investments in Joint Ventures, in an aggregate amount not to exceed $25,000,000 at any time outstanding.</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7.05 Transactions with Affiliates. </w:t>
      </w:r>
      <w:r>
        <w:rPr>
          <w:rFonts w:ascii="Arial" w:cs="Arial" w:eastAsia="Arial" w:hAnsi="Arial"/>
          <w:sz w:val="17"/>
          <w:szCs w:val="17"/>
          <w:color w:val="auto"/>
        </w:rPr>
        <w:t>None of the Borrowers shall, or shall suffer or permit any Subsidiary to, enter into any transaction with any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respective Affiliates, except upon fair and reasonable terms no less favorable to such entity than would obtain in a comparable arm’s-length transaction with a Person not an Affiliate of the Borrowers or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shall restrict (i) the Borrowers from entering into transactions with Toro’s distributors or dealers, whether or not Affiliates of the Borrowers, which the Borrowers determine in their best business judgment shall be in the best interests of the Borrowers and (ii) any Permitted Receivables Transfer.</w:t>
      </w:r>
    </w:p>
    <w:p>
      <w:pPr>
        <w:spacing w:after="0" w:line="16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 xml:space="preserve">7.06 Contingent Obligations. </w:t>
      </w:r>
      <w:r>
        <w:rPr>
          <w:rFonts w:ascii="Arial" w:cs="Arial" w:eastAsia="Arial" w:hAnsi="Arial"/>
          <w:sz w:val="16"/>
          <w:szCs w:val="16"/>
          <w:color w:val="auto"/>
        </w:rPr>
        <w:t>None of the Borrowers shall, or shall suffer or permit any Material Subsidiary to, create, incur, assume or suffer to exist</w:t>
      </w:r>
      <w:r>
        <w:rPr>
          <w:rFonts w:ascii="Arial" w:cs="Arial" w:eastAsia="Arial" w:hAnsi="Arial"/>
          <w:sz w:val="16"/>
          <w:szCs w:val="16"/>
          <w:b w:val="1"/>
          <w:bCs w:val="1"/>
          <w:color w:val="auto"/>
        </w:rPr>
        <w:t xml:space="preserve"> </w:t>
      </w:r>
      <w:r>
        <w:rPr>
          <w:rFonts w:ascii="Arial" w:cs="Arial" w:eastAsia="Arial" w:hAnsi="Arial"/>
          <w:sz w:val="16"/>
          <w:szCs w:val="16"/>
          <w:color w:val="auto"/>
        </w:rPr>
        <w:t>any Contingent Obligations except (i) Contingent Obligations with respect to End-User Financing Arrangements and the Red Iron/TCF Repurchase Obligations, so long as the aggregate amount of such Contingent Obligations do not exceed $50,000,000 in the aggregate at any time outstanding; and</w:t>
      </w:r>
    </w:p>
    <w:p>
      <w:pPr>
        <w:spacing w:after="0" w:line="2" w:lineRule="exact"/>
        <w:rPr>
          <w:sz w:val="20"/>
          <w:szCs w:val="20"/>
          <w:color w:val="auto"/>
        </w:rPr>
      </w:pPr>
    </w:p>
    <w:p>
      <w:pPr>
        <w:ind w:left="5620" w:right="1980" w:hanging="5612"/>
        <w:spacing w:after="0" w:line="433" w:lineRule="auto"/>
        <w:tabs>
          <w:tab w:leader="none" w:pos="26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Contingent Obligations not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which are not reasonably expected to have a Material Adverse Effect. 94</w:t>
      </w:r>
    </w:p>
    <w:p>
      <w:pPr>
        <w:sectPr>
          <w:pgSz w:w="11900" w:h="16838" w:orient="portrait"/>
          <w:cols w:equalWidth="0" w:num="1">
            <w:col w:w="11380"/>
          </w:cols>
          <w:pgMar w:left="240" w:top="274" w:right="279" w:bottom="1440" w:gutter="0" w:footer="0" w:header="0"/>
        </w:sectPr>
      </w:pPr>
    </w:p>
    <w:bookmarkStart w:id="192" w:name="page193"/>
    <w:bookmarkEnd w:id="192"/>
    <w:p>
      <w:pPr>
        <w:ind w:right="2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7.07 Restricted Payments. </w:t>
      </w:r>
      <w:r>
        <w:rPr>
          <w:rFonts w:ascii="Arial" w:cs="Arial" w:eastAsia="Arial" w:hAnsi="Arial"/>
          <w:sz w:val="18"/>
          <w:szCs w:val="18"/>
          <w:color w:val="auto"/>
        </w:rPr>
        <w:t>None of the Borrowers shall, or shall suffer or permit any Material Subsidiary to, declare or make any dividend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Arial" w:cs="Arial" w:eastAsia="Arial" w:hAnsi="Arial"/>
          <w:sz w:val="18"/>
          <w:szCs w:val="18"/>
          <w:u w:val="single" w:color="auto"/>
          <w:color w:val="auto"/>
        </w:rPr>
        <w:t>Restricted Payment</w:t>
      </w:r>
      <w:r>
        <w:rPr>
          <w:rFonts w:ascii="Arial" w:cs="Arial" w:eastAsia="Arial" w:hAnsi="Arial"/>
          <w:sz w:val="18"/>
          <w:szCs w:val="18"/>
          <w:color w:val="auto"/>
        </w:rPr>
        <w:t>”); except that: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each Borrower and any Wholly-Owned Subsidiary may declare and make dividend payments or other distributions payable solely in its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03" w:lineRule="exact"/>
        <w:rPr>
          <w:sz w:val="20"/>
          <w:szCs w:val="20"/>
          <w:color w:val="auto"/>
        </w:rPr>
      </w:pPr>
    </w:p>
    <w:p>
      <w:pPr>
        <w:ind w:right="40" w:firstLine="464"/>
        <w:spacing w:after="0" w:line="308" w:lineRule="auto"/>
        <w:tabs>
          <w:tab w:leader="none" w:pos="7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38" w:lineRule="exact"/>
        <w:rPr>
          <w:rFonts w:ascii="Arial" w:cs="Arial" w:eastAsia="Arial" w:hAnsi="Arial"/>
          <w:sz w:val="17"/>
          <w:szCs w:val="17"/>
          <w:color w:val="auto"/>
        </w:rPr>
      </w:pPr>
    </w:p>
    <w:p>
      <w:pPr>
        <w:ind w:firstLine="464"/>
        <w:spacing w:after="0" w:line="257" w:lineRule="auto"/>
        <w:tabs>
          <w:tab w:leader="none" w:pos="70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if (both before and after giving pro forma effect to such Restricted Payment) the ratio of (A) total Indebtedness to (B) the sum of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such period is less than or equal to the maximum permitted ratio then in effect pursuant to </w:t>
      </w:r>
      <w:r>
        <w:rPr>
          <w:rFonts w:ascii="Arial" w:cs="Arial" w:eastAsia="Arial" w:hAnsi="Arial"/>
          <w:sz w:val="18"/>
          <w:szCs w:val="18"/>
          <w:u w:val="single" w:color="auto"/>
          <w:color w:val="auto"/>
        </w:rPr>
        <w:t>Section 7.10</w:t>
      </w:r>
      <w:r>
        <w:rPr>
          <w:rFonts w:ascii="Arial" w:cs="Arial" w:eastAsia="Arial" w:hAnsi="Arial"/>
          <w:sz w:val="18"/>
          <w:szCs w:val="18"/>
          <w:color w:val="auto"/>
        </w:rPr>
        <w:t xml:space="preserve">, Toro may declare and pay cash dividends to its stockholders and purchase, redeem or otherwise acquire shares of its capital stock or warrants, rights or options to acquire any such shares for cash without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that, immediately after giving effect to any such proposed action, no Default or Event of Default would exist; and</w:t>
      </w:r>
    </w:p>
    <w:p>
      <w:pPr>
        <w:spacing w:after="0" w:line="80"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TCC, to the extent TCC becomes a Borrower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any Subsidiary Borrower may declare and pay dividends to Toro or its parent company and any Wholly-Owned Subsidiary may declare and pay dividends to its parent company.</w:t>
      </w:r>
    </w:p>
    <w:p>
      <w:pPr>
        <w:spacing w:after="0" w:line="166" w:lineRule="exact"/>
        <w:rPr>
          <w:sz w:val="20"/>
          <w:szCs w:val="20"/>
          <w:color w:val="auto"/>
        </w:rPr>
      </w:pPr>
    </w:p>
    <w:p>
      <w:pPr>
        <w:ind w:right="180" w:firstLine="456"/>
        <w:spacing w:after="0" w:line="277" w:lineRule="auto"/>
        <w:rPr>
          <w:sz w:val="20"/>
          <w:szCs w:val="20"/>
          <w:color w:val="auto"/>
        </w:rPr>
      </w:pPr>
      <w:r>
        <w:rPr>
          <w:rFonts w:ascii="Arial" w:cs="Arial" w:eastAsia="Arial" w:hAnsi="Arial"/>
          <w:sz w:val="17"/>
          <w:szCs w:val="17"/>
          <w:b w:val="1"/>
          <w:bCs w:val="1"/>
          <w:color w:val="auto"/>
        </w:rPr>
        <w:t xml:space="preserve">7.08 Maintenance of Business. </w:t>
      </w:r>
      <w:r>
        <w:rPr>
          <w:rFonts w:ascii="Arial" w:cs="Arial" w:eastAsia="Arial" w:hAnsi="Arial"/>
          <w:sz w:val="17"/>
          <w:szCs w:val="17"/>
          <w:color w:val="auto"/>
        </w:rPr>
        <w:t>Each Borrower shall continue to engage in business of the same general type as now conducted by it,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Borrower may discontinue any line of business if the discontinuance of such line of business will not result in a Material Adverse Effect and the Board of Directors of such Borrower determines that the continuance thereof is no longer desirable to the conduct of the business of the Borrowers taken as a whole,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Toro shall be permitted to liquidate and dissolve (x) TCC, to the extent TCC becomes a Borrower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or (y) any Subsidiary Borrower into its parent company or Toro to the extent provided in </w:t>
      </w:r>
      <w:r>
        <w:rPr>
          <w:rFonts w:ascii="Arial" w:cs="Arial" w:eastAsia="Arial" w:hAnsi="Arial"/>
          <w:sz w:val="17"/>
          <w:szCs w:val="17"/>
          <w:u w:val="single" w:color="auto"/>
          <w:color w:val="auto"/>
        </w:rPr>
        <w:t>Section 7.03</w:t>
      </w:r>
      <w:r>
        <w:rPr>
          <w:rFonts w:ascii="Arial" w:cs="Arial" w:eastAsia="Arial" w:hAnsi="Arial"/>
          <w:sz w:val="17"/>
          <w:szCs w:val="17"/>
          <w:color w:val="auto"/>
        </w:rPr>
        <w:t>.</w:t>
      </w:r>
    </w:p>
    <w:p>
      <w:pPr>
        <w:spacing w:after="0" w:line="16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7.09 Minimum Interest Coverage. </w:t>
      </w:r>
      <w:r>
        <w:rPr>
          <w:rFonts w:ascii="Arial" w:cs="Arial" w:eastAsia="Arial" w:hAnsi="Arial"/>
          <w:sz w:val="18"/>
          <w:szCs w:val="18"/>
          <w:color w:val="auto"/>
        </w:rPr>
        <w:t>Toro, on a consolidated basis, shall not permit its Consolidated Interest Coverage Ratio, as at the end of each fiscal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for the four consecutive fiscal quarters then ended, to fall below 2.0 to 1.0.</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7.10 Maximum Total Indebtedness to Consolidated EBITDA. </w:t>
      </w:r>
      <w:r>
        <w:rPr>
          <w:rFonts w:ascii="Arial" w:cs="Arial" w:eastAsia="Arial" w:hAnsi="Arial"/>
          <w:sz w:val="18"/>
          <w:szCs w:val="18"/>
          <w:color w:val="auto"/>
        </w:rPr>
        <w:t>Toro, on a consolidated basis, shall not, as of the end of any fiscal quarter, permit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consolidated ratio of (a) total Indebtedness as of such date to (b) the sum Consolidated EBIT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depreciation and amortization expense for the period of four prior fiscal quarters ending on such date to be more than 3.25 to 1.00.</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0" w:right="259" w:bottom="1440" w:gutter="0" w:footer="0" w:header="0"/>
        </w:sectPr>
      </w:pPr>
    </w:p>
    <w:bookmarkStart w:id="193" w:name="page194"/>
    <w:bookmarkEnd w:id="193"/>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7.11 Red Iron. </w:t>
      </w:r>
      <w:r>
        <w:rPr>
          <w:rFonts w:ascii="Arial" w:cs="Arial" w:eastAsia="Arial" w:hAnsi="Arial"/>
          <w:sz w:val="18"/>
          <w:szCs w:val="18"/>
          <w:color w:val="auto"/>
        </w:rPr>
        <w:t>None of the Borrowers shall, or permit any Subsidiary to, agree to permit Red Iron to retain or defer payment of undisputed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due by Red Iron to Toro or any Subsidiary (other than as an offset in payment of amounts due by Toro or such Subsidiaries to Red Iron) in an aggregate amount at any time in excess of $35,000,000.</w:t>
      </w:r>
    </w:p>
    <w:p>
      <w:pPr>
        <w:spacing w:after="0" w:line="17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7.12 Negative Pledge Clause. </w:t>
      </w:r>
      <w:r>
        <w:rPr>
          <w:rFonts w:ascii="Arial" w:cs="Arial" w:eastAsia="Arial" w:hAnsi="Arial"/>
          <w:sz w:val="18"/>
          <w:szCs w:val="18"/>
          <w:color w:val="auto"/>
        </w:rPr>
        <w:t>No Borrower shall enter into or cause, suffer or permit to exist any agreement with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Administrative Agent and the Lenders pursuant to this Agreement, any other Loan Documents or any Toro Note Indenture, which prohibits or limits the ability of any of the Borrowers or any Material Subsidiary to create, incur, assume or suffer to exist any Lien upon any of its property, assets or revenues,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Borrower and any Subsidiary may enter into such an agreement in connection with, and that applies only to, property subject to any Lien permitted by this Agreement and not released after the date hereof, when such prohibition or limitation is by its terms effective only against the assets subject to such Lien.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7.13 Burdensome Contractual Obligation. </w:t>
      </w:r>
      <w:r>
        <w:rPr>
          <w:rFonts w:ascii="Arial" w:cs="Arial" w:eastAsia="Arial" w:hAnsi="Arial"/>
          <w:sz w:val="16"/>
          <w:szCs w:val="16"/>
          <w:color w:val="auto"/>
        </w:rPr>
        <w:t>No Borrower shall, or permit any Subsidiary to, enter into any Contractual Obligation (other than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any other Loan Document or any Toro Note Indenture) that (a) limits the ability (i) of any Material Subsidiary to make Restricted Payments to the Borrowers or to otherwise transfer property to the Borrowers, (ii) of any Material Subsidiary to Guarantee the Indebtedness of the Borrowers or (iii) of the Borrowers or any Material Subsidiary thereof to create, incur, assume or suffer to exist Liens on property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w:t>
      </w:r>
    </w:p>
    <w:p>
      <w:pPr>
        <w:spacing w:after="0" w:line="3" w:lineRule="exact"/>
        <w:rPr>
          <w:sz w:val="20"/>
          <w:szCs w:val="20"/>
          <w:color w:val="auto"/>
        </w:rPr>
      </w:pPr>
    </w:p>
    <w:p>
      <w:pPr>
        <w:ind w:right="100" w:firstLine="8"/>
        <w:spacing w:after="0" w:line="255" w:lineRule="auto"/>
        <w:tabs>
          <w:tab w:leader="none" w:pos="315" w:val="left"/>
        </w:tabs>
        <w:numPr>
          <w:ilvl w:val="0"/>
          <w:numId w:val="252"/>
        </w:numPr>
        <w:rPr>
          <w:rFonts w:ascii="Arial" w:cs="Arial" w:eastAsia="Arial" w:hAnsi="Arial"/>
          <w:sz w:val="18"/>
          <w:szCs w:val="18"/>
          <w:u w:val="single" w:color="auto"/>
          <w:color w:val="auto"/>
        </w:rPr>
      </w:pPr>
      <w:r>
        <w:rPr>
          <w:rFonts w:ascii="Arial" w:cs="Arial" w:eastAsia="Arial" w:hAnsi="Arial"/>
          <w:sz w:val="18"/>
          <w:szCs w:val="18"/>
          <w:color w:val="auto"/>
        </w:rPr>
        <w:t>shall not prohibit any negative pledge incurred or provided in favor of any holder of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8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7.14 Sanctions</w:t>
      </w:r>
      <w:r>
        <w:rPr>
          <w:rFonts w:ascii="Arial" w:cs="Arial" w:eastAsia="Arial" w:hAnsi="Arial"/>
          <w:sz w:val="18"/>
          <w:szCs w:val="18"/>
          <w:color w:val="auto"/>
        </w:rPr>
        <w:t>. No Borrower shall directly or indirectly, use the proceeds of any Credit Extension, or lend, contribute or otherwise make available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spacing w:after="0" w:line="184" w:lineRule="exact"/>
        <w:rPr>
          <w:sz w:val="20"/>
          <w:szCs w:val="20"/>
          <w:color w:val="auto"/>
        </w:rPr>
      </w:pPr>
    </w:p>
    <w:p>
      <w:pPr>
        <w:ind w:right="240" w:firstLine="456"/>
        <w:spacing w:after="0" w:line="313" w:lineRule="auto"/>
        <w:rPr>
          <w:sz w:val="20"/>
          <w:szCs w:val="20"/>
          <w:color w:val="auto"/>
        </w:rPr>
      </w:pPr>
      <w:r>
        <w:rPr>
          <w:rFonts w:ascii="Arial" w:cs="Arial" w:eastAsia="Arial" w:hAnsi="Arial"/>
          <w:sz w:val="17"/>
          <w:szCs w:val="17"/>
          <w:b w:val="1"/>
          <w:bCs w:val="1"/>
          <w:color w:val="auto"/>
        </w:rPr>
        <w:t xml:space="preserve">7.15 Anti-Corruption Laws. </w:t>
      </w:r>
      <w:r>
        <w:rPr>
          <w:rFonts w:ascii="Arial" w:cs="Arial" w:eastAsia="Arial" w:hAnsi="Arial"/>
          <w:sz w:val="17"/>
          <w:szCs w:val="17"/>
          <w:color w:val="auto"/>
        </w:rPr>
        <w:t>No Borrower shall directly or indirectly use the proceeds of any Credit Extension for any purpose which would breach</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Foreign Corrupt Practices Act of 1977, the UK Bribery Act 2010, or other similar legislation in other jurisdictions.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0" w:right="2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8.01 Events of Default. </w:t>
      </w:r>
      <w:r>
        <w:rPr>
          <w:rFonts w:ascii="Arial" w:cs="Arial" w:eastAsia="Arial" w:hAnsi="Arial"/>
          <w:sz w:val="18"/>
          <w:szCs w:val="18"/>
          <w:color w:val="auto"/>
        </w:rPr>
        <w:t>Any of the following shall constitute an Event of Default:</w:t>
      </w:r>
    </w:p>
    <w:p>
      <w:pPr>
        <w:spacing w:after="0" w:line="121" w:lineRule="exact"/>
        <w:rPr>
          <w:sz w:val="20"/>
          <w:szCs w:val="20"/>
          <w:color w:val="auto"/>
        </w:rPr>
      </w:pPr>
    </w:p>
    <w:p>
      <w:pPr>
        <w:ind w:firstLine="464"/>
        <w:spacing w:after="0" w:line="259" w:lineRule="auto"/>
        <w:tabs>
          <w:tab w:leader="none" w:pos="701"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Any Borrower or any other Loan Party fails to pay (i) when and as required to be paid herein, and in the currency required hereunder, any amount of principal of any Loan or any L/C Obligation, or (ii) within five (5) days after the same becomes due, any interest on any Loan or on any L/C Obligation, or any fee due hereunder, or (iii) within five (5) days after the same becomes due, any other amount payable hereunder or under any other Loan Document; or</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Specific Covenants</w:t>
      </w:r>
      <w:r>
        <w:rPr>
          <w:rFonts w:ascii="Arial" w:cs="Arial" w:eastAsia="Arial" w:hAnsi="Arial"/>
          <w:sz w:val="16"/>
          <w:szCs w:val="16"/>
          <w:color w:val="auto"/>
        </w:rPr>
        <w:t xml:space="preserve">. Toro fails to perform or observe any term, covenant or agreement contained in any of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6.10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VII</w:t>
      </w:r>
      <w:r>
        <w:rPr>
          <w:rFonts w:ascii="Arial" w:cs="Arial" w:eastAsia="Arial" w:hAnsi="Arial"/>
          <w:sz w:val="18"/>
          <w:szCs w:val="18"/>
          <w:color w:val="auto"/>
        </w:rPr>
        <w:t>; or</w:t>
      </w:r>
    </w:p>
    <w:p>
      <w:pPr>
        <w:spacing w:after="0" w:line="102" w:lineRule="exact"/>
        <w:rPr>
          <w:rFonts w:ascii="Arial" w:cs="Arial" w:eastAsia="Arial" w:hAnsi="Arial"/>
          <w:sz w:val="16"/>
          <w:szCs w:val="16"/>
          <w:color w:val="auto"/>
        </w:rPr>
      </w:pPr>
    </w:p>
    <w:p>
      <w:pPr>
        <w:ind w:right="20" w:firstLine="464"/>
        <w:spacing w:after="0" w:line="257" w:lineRule="auto"/>
        <w:tabs>
          <w:tab w:leader="none" w:pos="701"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Borrower fails to perform or observe any other term or covenant contained in this Agreement or any other Loan Document (and such failure does not otherwise constitute an Event of Default under this </w:t>
      </w:r>
      <w:r>
        <w:rPr>
          <w:rFonts w:ascii="Arial" w:cs="Arial" w:eastAsia="Arial" w:hAnsi="Arial"/>
          <w:sz w:val="18"/>
          <w:szCs w:val="18"/>
          <w:u w:val="single" w:color="auto"/>
          <w:color w:val="auto"/>
        </w:rPr>
        <w:t>Section 8.01</w:t>
      </w:r>
      <w:r>
        <w:rPr>
          <w:rFonts w:ascii="Arial" w:cs="Arial" w:eastAsia="Arial" w:hAnsi="Arial"/>
          <w:sz w:val="18"/>
          <w:szCs w:val="18"/>
          <w:color w:val="auto"/>
        </w:rPr>
        <w:t>), and such default shall continue unremedied for a period of 30 days, provided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provided that such additional time shall not exceed 60 days; or</w:t>
      </w:r>
    </w:p>
    <w:p>
      <w:pPr>
        <w:spacing w:after="0" w:line="80" w:lineRule="exact"/>
        <w:rPr>
          <w:rFonts w:ascii="Arial" w:cs="Arial" w:eastAsia="Arial" w:hAnsi="Arial"/>
          <w:sz w:val="18"/>
          <w:szCs w:val="18"/>
          <w:color w:val="auto"/>
        </w:rPr>
      </w:pPr>
    </w:p>
    <w:p>
      <w:pPr>
        <w:ind w:right="40" w:firstLine="464"/>
        <w:spacing w:after="0" w:line="257" w:lineRule="auto"/>
        <w:tabs>
          <w:tab w:leader="none" w:pos="711"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or warranty by any Borrower or any Subsidiary made or deemed made herein, in any other Loan Document, or which is contained in any certificate, document or financial or other statement by any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80" w:lineRule="exact"/>
        <w:rPr>
          <w:rFonts w:ascii="Arial" w:cs="Arial" w:eastAsia="Arial" w:hAnsi="Arial"/>
          <w:sz w:val="18"/>
          <w:szCs w:val="18"/>
          <w:color w:val="auto"/>
        </w:rPr>
      </w:pPr>
    </w:p>
    <w:p>
      <w:pPr>
        <w:ind w:firstLine="464"/>
        <w:spacing w:after="0" w:line="286" w:lineRule="auto"/>
        <w:tabs>
          <w:tab w:leader="none" w:pos="701"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$35,000,000 when due (whether by scheduled maturity, required prepayment, acceleration, demand, or otherwise) and such failure continues after the applicable grace or notice period, if any, specified in the relevant document on the date of such failure; or</w:t>
      </w:r>
    </w:p>
    <w:p>
      <w:pPr>
        <w:spacing w:after="0" w:line="1" w:lineRule="exact"/>
        <w:rPr>
          <w:rFonts w:ascii="Arial" w:cs="Arial" w:eastAsia="Arial" w:hAnsi="Arial"/>
          <w:sz w:val="16"/>
          <w:szCs w:val="16"/>
          <w:color w:val="auto"/>
        </w:rPr>
      </w:pPr>
    </w:p>
    <w:p>
      <w:pPr>
        <w:ind w:firstLine="8"/>
        <w:spacing w:after="0" w:line="253" w:lineRule="auto"/>
        <w:tabs>
          <w:tab w:leader="none" w:pos="2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0" w:right="259" w:bottom="1440" w:gutter="0" w:footer="0" w:header="0"/>
        </w:sectPr>
      </w:pPr>
    </w:p>
    <w:bookmarkStart w:id="195" w:name="page196"/>
    <w:bookmarkEnd w:id="19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“Receivables Purchase Facility Termination”)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 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77" w:lineRule="exact"/>
        <w:rPr>
          <w:sz w:val="20"/>
          <w:szCs w:val="20"/>
          <w:color w:val="auto"/>
        </w:rPr>
      </w:pPr>
    </w:p>
    <w:p>
      <w:pPr>
        <w:ind w:firstLine="464"/>
        <w:spacing w:after="0" w:line="259" w:lineRule="auto"/>
        <w:tabs>
          <w:tab w:leader="none" w:pos="68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Insolvency, Voluntary Proceedings</w:t>
      </w:r>
      <w:r>
        <w:rPr>
          <w:rFonts w:ascii="Arial" w:cs="Arial" w:eastAsia="Arial" w:hAnsi="Arial"/>
          <w:sz w:val="18"/>
          <w:szCs w:val="18"/>
          <w:color w:val="auto"/>
        </w:rPr>
        <w:t>.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78" w:lineRule="exact"/>
        <w:rPr>
          <w:rFonts w:ascii="Arial" w:cs="Arial" w:eastAsia="Arial" w:hAnsi="Arial"/>
          <w:sz w:val="18"/>
          <w:szCs w:val="18"/>
          <w:color w:val="auto"/>
        </w:rPr>
      </w:pPr>
    </w:p>
    <w:p>
      <w:pPr>
        <w:ind w:firstLine="464"/>
        <w:spacing w:after="0" w:line="291" w:lineRule="auto"/>
        <w:tabs>
          <w:tab w:leader="none" w:pos="711"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Involuntary Proceedings</w:t>
      </w:r>
      <w:r>
        <w:rPr>
          <w:rFonts w:ascii="Arial" w:cs="Arial" w:eastAsia="Arial" w:hAnsi="Arial"/>
          <w:sz w:val="16"/>
          <w:szCs w:val="16"/>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59" w:lineRule="exact"/>
        <w:rPr>
          <w:rFonts w:ascii="Arial" w:cs="Arial" w:eastAsia="Arial" w:hAnsi="Arial"/>
          <w:sz w:val="16"/>
          <w:szCs w:val="16"/>
          <w:color w:val="auto"/>
        </w:rPr>
      </w:pPr>
    </w:p>
    <w:p>
      <w:pPr>
        <w:ind w:right="20" w:firstLine="464"/>
        <w:spacing w:after="0" w:line="279" w:lineRule="auto"/>
        <w:tabs>
          <w:tab w:leader="none" w:pos="711"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Monetary Judgments</w:t>
      </w:r>
      <w:r>
        <w:rPr>
          <w:rFonts w:ascii="Arial" w:cs="Arial" w:eastAsia="Arial" w:hAnsi="Arial"/>
          <w:sz w:val="17"/>
          <w:szCs w:val="17"/>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$35,000,000 or more, and the same shall remain unsatisfied, unvacated and unstayed pending appeal for a period of 30 days after the entry thereof;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196" w:name="page197"/>
    <w:bookmarkEnd w:id="196"/>
    <w:p>
      <w:pPr>
        <w:jc w:val="both"/>
        <w:ind w:firstLine="464"/>
        <w:spacing w:after="0" w:line="264" w:lineRule="auto"/>
        <w:tabs>
          <w:tab w:leader="none" w:pos="671"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Non-Monetary Judgments</w:t>
      </w:r>
      <w:r>
        <w:rPr>
          <w:rFonts w:ascii="Arial" w:cs="Arial" w:eastAsia="Arial" w:hAnsi="Arial"/>
          <w:sz w:val="18"/>
          <w:szCs w:val="18"/>
          <w:color w:val="auto"/>
        </w:rPr>
        <w:t>.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73" w:lineRule="exact"/>
        <w:rPr>
          <w:rFonts w:ascii="Arial" w:cs="Arial" w:eastAsia="Arial" w:hAnsi="Arial"/>
          <w:sz w:val="18"/>
          <w:szCs w:val="18"/>
          <w:color w:val="auto"/>
        </w:rPr>
      </w:pPr>
    </w:p>
    <w:p>
      <w:pPr>
        <w:ind w:firstLine="464"/>
        <w:spacing w:after="0" w:line="302" w:lineRule="auto"/>
        <w:tabs>
          <w:tab w:leader="none" w:pos="671"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in excess of $35,000,000, or (ii) any Borrower or any ERISA Affiliate fails to pay when due, after the expiration of any applicable grace period, any installment payment with respect to its withdrawal liability under Section 4201 of ERISA under a Multiemployer Plan in an aggregate amount in excess of $35,000,000; or</w:t>
      </w:r>
    </w:p>
    <w:p>
      <w:pPr>
        <w:spacing w:after="0" w:line="46" w:lineRule="exact"/>
        <w:rPr>
          <w:rFonts w:ascii="Arial" w:cs="Arial" w:eastAsia="Arial" w:hAnsi="Arial"/>
          <w:sz w:val="16"/>
          <w:szCs w:val="16"/>
          <w:color w:val="auto"/>
        </w:rPr>
      </w:pPr>
    </w:p>
    <w:p>
      <w:pPr>
        <w:ind w:firstLine="464"/>
        <w:spacing w:after="0" w:line="276" w:lineRule="auto"/>
        <w:tabs>
          <w:tab w:leader="none" w:pos="711"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Eurocurrency Rate Loans which are subject to the application of, and the Borrowers accordingly complying with the terms of, </w:t>
      </w:r>
      <w:r>
        <w:rPr>
          <w:rFonts w:ascii="Arial" w:cs="Arial" w:eastAsia="Arial" w:hAnsi="Arial"/>
          <w:sz w:val="17"/>
          <w:szCs w:val="17"/>
          <w:u w:val="single" w:color="auto"/>
          <w:color w:val="auto"/>
        </w:rPr>
        <w:t>Section 3.02</w:t>
      </w:r>
      <w:r>
        <w:rPr>
          <w:rFonts w:ascii="Arial" w:cs="Arial" w:eastAsia="Arial" w:hAnsi="Arial"/>
          <w:sz w:val="17"/>
          <w:szCs w:val="17"/>
          <w:color w:val="auto"/>
        </w:rPr>
        <w:t>) or is declared by a court of competent jurisdiction to be null and void, invalid or unenforceable in any respect; or any Borrower denies that is has any or further liability or obligation under any Loan Document, or purports to revoke, terminate or rescind any Loan Document; or</w:t>
      </w:r>
    </w:p>
    <w:p>
      <w:pPr>
        <w:spacing w:after="0" w:line="64" w:lineRule="exact"/>
        <w:rPr>
          <w:rFonts w:ascii="Arial" w:cs="Arial" w:eastAsia="Arial" w:hAnsi="Arial"/>
          <w:sz w:val="17"/>
          <w:szCs w:val="17"/>
          <w:color w:val="auto"/>
        </w:rPr>
      </w:pPr>
    </w:p>
    <w:p>
      <w:pPr>
        <w:ind w:left="680" w:hanging="216"/>
        <w:spacing w:after="0"/>
        <w:tabs>
          <w:tab w:leader="none" w:pos="6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w:t>
      </w:r>
    </w:p>
    <w:p>
      <w:pPr>
        <w:spacing w:after="0" w:line="221"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 or may,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consent of, the Required Lenders, take any or all of the following actions:</w:t>
      </w:r>
    </w:p>
    <w:p>
      <w:pPr>
        <w:spacing w:after="0" w:line="58" w:lineRule="exact"/>
        <w:rPr>
          <w:sz w:val="20"/>
          <w:szCs w:val="20"/>
          <w:color w:val="auto"/>
        </w:rPr>
      </w:pPr>
    </w:p>
    <w:p>
      <w:pPr>
        <w:ind w:right="440" w:firstLine="464"/>
        <w:spacing w:after="0" w:line="277" w:lineRule="auto"/>
        <w:tabs>
          <w:tab w:leader="none" w:pos="70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73" w:lineRule="exact"/>
        <w:rPr>
          <w:rFonts w:ascii="Arial" w:cs="Arial" w:eastAsia="Arial" w:hAnsi="Arial"/>
          <w:sz w:val="18"/>
          <w:szCs w:val="18"/>
          <w:color w:val="auto"/>
        </w:rPr>
      </w:pPr>
    </w:p>
    <w:p>
      <w:pPr>
        <w:ind w:left="700" w:hanging="236"/>
        <w:spacing w:after="0"/>
        <w:tabs>
          <w:tab w:leader="none" w:pos="7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require that the Borrowers Cash Collateralize the L/C Obligations (in an amount equal to the then Outstanding Amount thereof); and</w:t>
      </w:r>
    </w:p>
    <w:p>
      <w:pPr>
        <w:spacing w:after="0" w:line="117"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00"/>
          </w:cols>
          <w:pgMar w:left="240" w:top="274" w:right="359" w:bottom="1440" w:gutter="0" w:footer="0" w:header="0"/>
        </w:sectPr>
      </w:pPr>
    </w:p>
    <w:bookmarkStart w:id="197" w:name="page198"/>
    <w:bookmarkEnd w:id="197"/>
    <w:p>
      <w:pPr>
        <w:ind w:right="14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8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8.03 Application of Funds.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 immediately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be applied by the Administrative Agent in the following order:</w:t>
      </w:r>
    </w:p>
    <w:p>
      <w:pPr>
        <w:spacing w:after="0" w:line="76"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6"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39" w:lineRule="exact"/>
        <w:rPr>
          <w:sz w:val="20"/>
          <w:szCs w:val="20"/>
          <w:color w:val="auto"/>
        </w:rPr>
      </w:pPr>
    </w:p>
    <w:p>
      <w:pPr>
        <w:jc w:val="both"/>
        <w:ind w:right="200" w:firstLine="456"/>
        <w:spacing w:after="0" w:line="34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payable to them;</w:t>
      </w:r>
    </w:p>
    <w:p>
      <w:pPr>
        <w:spacing w:after="0" w:line="1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62"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the Administrative Agent for the account of the L/C Issuer, to Cash Collateralize that portion of L/C Obligations comprised of the aggregate undrawn amount of Letters of Credit to the extent not otherwise Cash Collateralized by any Borrower pursuant to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and</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Borrowers or as otherwise required by Law.</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AGENT</w:t>
      </w:r>
    </w:p>
    <w:p>
      <w:pPr>
        <w:spacing w:after="0" w:line="20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9.01 Appointment and Authority. </w:t>
      </w:r>
      <w:r>
        <w:rPr>
          <w:rFonts w:ascii="Arial" w:cs="Arial" w:eastAsia="Arial" w:hAnsi="Arial"/>
          <w:sz w:val="17"/>
          <w:szCs w:val="17"/>
          <w:color w:val="auto"/>
        </w:rPr>
        <w:t>Each of the Lenders and the L/C Issuer hereby irrevocably appoints Bank of America to act on its behalf as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9.02 Rights as a Lender. </w:t>
      </w:r>
      <w:r>
        <w:rPr>
          <w:rFonts w:ascii="Arial" w:cs="Arial" w:eastAsia="Arial" w:hAnsi="Arial"/>
          <w:sz w:val="18"/>
          <w:szCs w:val="18"/>
          <w:color w:val="auto"/>
        </w:rPr>
        <w:t>The Person serving as the Administrative Agent hereunder shall have the same rights and powers in its capacity as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8"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9.03 Exculpatory Provisions. </w:t>
      </w:r>
      <w:r>
        <w:rPr>
          <w:rFonts w:ascii="Arial" w:cs="Arial" w:eastAsia="Arial" w:hAnsi="Arial"/>
          <w:sz w:val="18"/>
          <w:szCs w:val="18"/>
          <w:color w:val="auto"/>
        </w:rPr>
        <w:t>The Administrative Agent, in its capacity as such, shall not have any duties or obligations except those expressly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 and in the other Loan Documents, and its duties hereunder shall be administrative in nature. Without limiting the generality of the foregoing, the Administrative Agent:</w:t>
      </w:r>
    </w:p>
    <w:p>
      <w:pPr>
        <w:spacing w:after="0" w:line="72" w:lineRule="exact"/>
        <w:rPr>
          <w:sz w:val="20"/>
          <w:szCs w:val="20"/>
          <w:color w:val="auto"/>
        </w:rPr>
      </w:pPr>
    </w:p>
    <w:p>
      <w:pPr>
        <w:ind w:left="700" w:hanging="236"/>
        <w:spacing w:after="0"/>
        <w:tabs>
          <w:tab w:leader="none" w:pos="7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right="60" w:firstLine="464"/>
        <w:spacing w:after="0" w:line="293" w:lineRule="auto"/>
        <w:tabs>
          <w:tab w:leader="none" w:pos="71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0" w:right="239" w:bottom="1440" w:gutter="0" w:footer="0" w:header="0"/>
        </w:sectPr>
      </w:pPr>
    </w:p>
    <w:bookmarkStart w:id="199" w:name="page200"/>
    <w:bookmarkEnd w:id="199"/>
    <w:p>
      <w:pPr>
        <w:jc w:val="both"/>
        <w:ind w:right="220" w:firstLine="464"/>
        <w:spacing w:after="0" w:line="264" w:lineRule="auto"/>
        <w:tabs>
          <w:tab w:leader="none" w:pos="701"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7"/>
          <w:szCs w:val="17"/>
          <w:u w:val="single" w:color="auto"/>
          <w:color w:val="auto"/>
        </w:rPr>
        <w:t>Sections 11.01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8.02</w:t>
      </w:r>
      <w:r>
        <w:rPr>
          <w:rFonts w:ascii="Arial" w:cs="Arial" w:eastAsia="Arial" w:hAnsi="Arial"/>
          <w:sz w:val="17"/>
          <w:szCs w:val="17"/>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to the Administrative Agent by Toro, a Lender or the L/C Issuer.</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9.04 Reliance by Administrative Agent. </w:t>
      </w:r>
      <w:r>
        <w:rPr>
          <w:rFonts w:ascii="Arial" w:cs="Arial" w:eastAsia="Arial" w:hAnsi="Arial"/>
          <w:sz w:val="17"/>
          <w:szCs w:val="17"/>
          <w:color w:val="auto"/>
        </w:rPr>
        <w:t>The Administrative Agent shall be entitled to rely upon, and shall not incur any liability for relying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Toro), independent accountants and other experts selected by it, and shall not be liable for any action taken or not taken by it in accordance with the advice of any such counsel, accountants or experts.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200" w:name="page201"/>
    <w:bookmarkEnd w:id="200"/>
    <w:p>
      <w:pPr>
        <w:ind w:firstLine="456"/>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9.05 Delegation of Duties. </w:t>
      </w:r>
      <w:r>
        <w:rPr>
          <w:rFonts w:ascii="Arial" w:cs="Arial" w:eastAsia="Arial" w:hAnsi="Arial"/>
          <w:sz w:val="16"/>
          <w:szCs w:val="16"/>
          <w:color w:val="auto"/>
        </w:rPr>
        <w:t>The Administrative Agent may perform any and all of its duties and exercise its rights and powers hereunder or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9.06 Resignation or Removal of Administrative Agent. </w:t>
      </w:r>
      <w:r>
        <w:rPr>
          <w:rFonts w:ascii="Arial" w:cs="Arial" w:eastAsia="Arial" w:hAnsi="Arial"/>
          <w:sz w:val="18"/>
          <w:szCs w:val="18"/>
          <w:color w:val="auto"/>
        </w:rPr>
        <w:t>(a) The Administrative Agent may at any time give notice of its resignation to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L/C Issuer and 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81" w:lineRule="exact"/>
        <w:rPr>
          <w:sz w:val="20"/>
          <w:szCs w:val="20"/>
          <w:color w:val="auto"/>
        </w:rPr>
      </w:pPr>
    </w:p>
    <w:p>
      <w:pPr>
        <w:ind w:right="20" w:firstLine="464"/>
        <w:spacing w:after="0" w:line="255" w:lineRule="auto"/>
        <w:tabs>
          <w:tab w:leader="none" w:pos="71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the Person serving as Administrative Agent is a Defaulting Lender pursuant to clause (a) or clause (d) of the definition thereof, the Required Lenders may, to the extent permitted by applicable law, by notice in writing to Toro and such Person remove such Person as Administrative Agent and, with the consent of Toro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85" w:lineRule="exact"/>
        <w:rPr>
          <w:rFonts w:ascii="Arial" w:cs="Arial" w:eastAsia="Arial" w:hAnsi="Arial"/>
          <w:sz w:val="18"/>
          <w:szCs w:val="18"/>
          <w:color w:val="auto"/>
        </w:rPr>
      </w:pPr>
    </w:p>
    <w:p>
      <w:pPr>
        <w:ind w:right="20" w:firstLine="464"/>
        <w:spacing w:after="0" w:line="272" w:lineRule="auto"/>
        <w:tabs>
          <w:tab w:leader="none" w:pos="701" w:val="left"/>
        </w:tabs>
        <w:numPr>
          <w:ilvl w:val="0"/>
          <w:numId w:val="260"/>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0" w:right="239" w:bottom="1440" w:gutter="0" w:footer="0" w:header="0"/>
        </w:sectPr>
      </w:pPr>
    </w:p>
    <w:bookmarkStart w:id="201" w:name="page202"/>
    <w:bookmarkEnd w:id="20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Borrowers to a successor Administrative Agent shall be the same as those payable to its predecessor unless otherwise agreed between Toro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74" w:lineRule="exact"/>
        <w:rPr>
          <w:sz w:val="20"/>
          <w:szCs w:val="20"/>
          <w:color w:val="auto"/>
        </w:rPr>
      </w:pPr>
    </w:p>
    <w:p>
      <w:pPr>
        <w:ind w:firstLine="464"/>
        <w:spacing w:after="0" w:line="287" w:lineRule="auto"/>
        <w:tabs>
          <w:tab w:leader="none" w:pos="71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Revolving Credit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Revolving Credit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Toro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65" w:lineRule="exact"/>
        <w:rPr>
          <w:sz w:val="20"/>
          <w:szCs w:val="20"/>
          <w:color w:val="auto"/>
        </w:rPr>
      </w:pPr>
    </w:p>
    <w:p>
      <w:pPr>
        <w:ind w:right="220" w:firstLine="456"/>
        <w:spacing w:after="0" w:line="295" w:lineRule="auto"/>
        <w:rPr>
          <w:sz w:val="20"/>
          <w:szCs w:val="20"/>
          <w:color w:val="auto"/>
        </w:rPr>
      </w:pPr>
      <w:r>
        <w:rPr>
          <w:rFonts w:ascii="Arial" w:cs="Arial" w:eastAsia="Arial" w:hAnsi="Arial"/>
          <w:sz w:val="16"/>
          <w:szCs w:val="16"/>
          <w:b w:val="1"/>
          <w:bCs w:val="1"/>
          <w:color w:val="auto"/>
        </w:rPr>
        <w:t xml:space="preserve">9.07 Non-Reliance on Administrative Agent and Other Lenders. </w:t>
      </w:r>
      <w:r>
        <w:rPr>
          <w:rFonts w:ascii="Arial" w:cs="Arial" w:eastAsia="Arial" w:hAnsi="Arial"/>
          <w:sz w:val="16"/>
          <w:szCs w:val="16"/>
          <w:color w:val="auto"/>
        </w:rPr>
        <w:t>Each Lender and the L/C Issuer acknowledges that it has, independently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202" w:name="page203"/>
    <w:bookmarkEnd w:id="202"/>
    <w:p>
      <w:pPr>
        <w:ind w:right="80" w:firstLine="456"/>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9.08 No Other Duties, Etc. </w:t>
      </w:r>
      <w:r>
        <w:rPr>
          <w:rFonts w:ascii="Arial" w:cs="Arial" w:eastAsia="Arial" w:hAnsi="Arial"/>
          <w:sz w:val="17"/>
          <w:szCs w:val="17"/>
          <w:color w:val="auto"/>
        </w:rPr>
        <w:t>Anything herein to the contrary notwithstanding, none of the Joint Bookrunners, the Arrangers, the Syndication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58" w:lineRule="exact"/>
        <w:rPr>
          <w:sz w:val="20"/>
          <w:szCs w:val="20"/>
          <w:color w:val="auto"/>
        </w:rPr>
      </w:pPr>
    </w:p>
    <w:p>
      <w:pPr>
        <w:ind w:right="360" w:firstLine="456"/>
        <w:spacing w:after="0" w:line="258" w:lineRule="auto"/>
        <w:rPr>
          <w:sz w:val="20"/>
          <w:szCs w:val="20"/>
          <w:color w:val="auto"/>
        </w:rPr>
      </w:pPr>
      <w:r>
        <w:rPr>
          <w:rFonts w:ascii="Arial" w:cs="Arial" w:eastAsia="Arial" w:hAnsi="Arial"/>
          <w:sz w:val="18"/>
          <w:szCs w:val="18"/>
          <w:b w:val="1"/>
          <w:bCs w:val="1"/>
          <w:color w:val="auto"/>
        </w:rPr>
        <w:t xml:space="preserve">9.09 Administrative Agent May File Proofs of Claim. </w:t>
      </w:r>
      <w:r>
        <w:rPr>
          <w:rFonts w:ascii="Arial" w:cs="Arial" w:eastAsia="Arial" w:hAnsi="Arial"/>
          <w:sz w:val="18"/>
          <w:szCs w:val="18"/>
          <w:color w:val="auto"/>
        </w:rPr>
        <w:t>In case of the pendency of any receivership, insolvency, liquidation, bankruptcy,</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80" w:lineRule="exact"/>
        <w:rPr>
          <w:sz w:val="20"/>
          <w:szCs w:val="20"/>
          <w:color w:val="auto"/>
        </w:rPr>
      </w:pPr>
    </w:p>
    <w:p>
      <w:pPr>
        <w:jc w:val="both"/>
        <w:ind w:right="120" w:firstLine="464"/>
        <w:spacing w:after="0" w:line="276" w:lineRule="auto"/>
        <w:tabs>
          <w:tab w:leader="none" w:pos="70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7"/>
          <w:szCs w:val="17"/>
          <w:u w:val="single" w:color="auto"/>
          <w:color w:val="auto"/>
        </w:rPr>
        <w:t>Sections 2.03(h)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64" w:lineRule="exact"/>
        <w:rPr>
          <w:rFonts w:ascii="Arial" w:cs="Arial" w:eastAsia="Arial" w:hAnsi="Arial"/>
          <w:sz w:val="17"/>
          <w:szCs w:val="17"/>
          <w:color w:val="auto"/>
        </w:rPr>
      </w:pPr>
    </w:p>
    <w:p>
      <w:pPr>
        <w:ind w:left="720" w:hanging="256"/>
        <w:spacing w:after="0"/>
        <w:tabs>
          <w:tab w:leader="none" w:pos="7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or to authorize the Administrative Agent to vote in respect of the claim of any Lender or the L/C Issuer in any such proceeding.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0" w:right="239" w:bottom="1440" w:gutter="0" w:footer="0" w:header="0"/>
        </w:sectPr>
      </w:pPr>
    </w:p>
    <w:bookmarkStart w:id="203" w:name="page204"/>
    <w:bookmarkEnd w:id="20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GUARANTY</w:t>
      </w:r>
    </w:p>
    <w:p>
      <w:pPr>
        <w:spacing w:after="0" w:line="20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10.01 The Guaranty</w:t>
      </w:r>
      <w:r>
        <w:rPr>
          <w:rFonts w:ascii="Arial" w:cs="Arial" w:eastAsia="Arial" w:hAnsi="Arial"/>
          <w:sz w:val="17"/>
          <w:szCs w:val="17"/>
          <w:color w:val="auto"/>
        </w:rPr>
        <w:t>. Toro hereby unconditionally guarantees the full and punctual payment (whether at stated maturity, upon acceleration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of the principal of and interest on each Loan made by the Lenders or any Lender to any Subsidiary Borrower and each Letter of Credit issued by the L/C Issuer for any Subsidiary Borrower, in each case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68"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10.02 Guaranty Unconditional. </w:t>
      </w:r>
      <w:r>
        <w:rPr>
          <w:rFonts w:ascii="Arial" w:cs="Arial" w:eastAsia="Arial" w:hAnsi="Arial"/>
          <w:sz w:val="18"/>
          <w:szCs w:val="18"/>
          <w:color w:val="auto"/>
        </w:rPr>
        <w:t>The obligations of Toro hereunder are a guaranty of payment and not of collection, and shall be unconditional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and, without limiting the generality of the foregoing, shall not be released, discharged or otherwise affected by:</w:t>
      </w:r>
    </w:p>
    <w:p>
      <w:pPr>
        <w:spacing w:after="0" w:line="58" w:lineRule="exact"/>
        <w:rPr>
          <w:sz w:val="20"/>
          <w:szCs w:val="20"/>
          <w:color w:val="auto"/>
        </w:rPr>
      </w:pPr>
    </w:p>
    <w:p>
      <w:pPr>
        <w:ind w:right="20" w:firstLine="464"/>
        <w:spacing w:after="0" w:line="277" w:lineRule="auto"/>
        <w:tabs>
          <w:tab w:leader="none" w:pos="7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any Subsidiary Borrower under this Agreement or any Note, by operation of law or otherwise;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this Agreement or any Note;</w:t>
      </w:r>
    </w:p>
    <w:p>
      <w:pPr>
        <w:spacing w:after="0" w:line="117" w:lineRule="exact"/>
        <w:rPr>
          <w:rFonts w:ascii="Arial" w:cs="Arial" w:eastAsia="Arial" w:hAnsi="Arial"/>
          <w:sz w:val="18"/>
          <w:szCs w:val="18"/>
          <w:color w:val="auto"/>
        </w:rPr>
      </w:pPr>
    </w:p>
    <w:p>
      <w:pPr>
        <w:ind w:right="240" w:firstLine="464"/>
        <w:spacing w:after="0" w:line="277" w:lineRule="auto"/>
        <w:tabs>
          <w:tab w:leader="none" w:pos="7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release, non-perfection or invalidity of any direct or indirect security for any obligation of any Subsidiary Borrower under this Agreement or any Note;</w:t>
      </w:r>
    </w:p>
    <w:p>
      <w:pPr>
        <w:spacing w:after="0" w:line="62"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change in the corporate existence, structure or ownership of any Subsidiary Borrower, or any insolvency, bankruptcy, reorganization or other similar proceeding affecting such Subsidiary Borrower or its assets or any resulting release or discharge of any obligation of such Subsidiary Borrower contained in this Agreement or any Note;</w:t>
      </w:r>
    </w:p>
    <w:p>
      <w:pPr>
        <w:spacing w:after="0" w:line="73" w:lineRule="exact"/>
        <w:rPr>
          <w:rFonts w:ascii="Arial" w:cs="Arial" w:eastAsia="Arial" w:hAnsi="Arial"/>
          <w:sz w:val="18"/>
          <w:szCs w:val="18"/>
          <w:color w:val="auto"/>
        </w:rPr>
      </w:pPr>
    </w:p>
    <w:p>
      <w:pPr>
        <w:ind w:firstLine="464"/>
        <w:spacing w:after="0" w:line="264" w:lineRule="auto"/>
        <w:tabs>
          <w:tab w:leader="none" w:pos="7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prevent the assertion of any such claim by separate suit or compulsory counterclaim;</w:t>
      </w:r>
    </w:p>
    <w:p>
      <w:pPr>
        <w:spacing w:after="0" w:line="73" w:lineRule="exact"/>
        <w:rPr>
          <w:rFonts w:ascii="Arial" w:cs="Arial" w:eastAsia="Arial" w:hAnsi="Arial"/>
          <w:sz w:val="18"/>
          <w:szCs w:val="18"/>
          <w:color w:val="auto"/>
        </w:rPr>
      </w:pPr>
    </w:p>
    <w:p>
      <w:pPr>
        <w:ind w:right="100" w:firstLine="464"/>
        <w:spacing w:after="0" w:line="264" w:lineRule="auto"/>
        <w:tabs>
          <w:tab w:leader="none" w:pos="68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73" w:lineRule="exact"/>
        <w:rPr>
          <w:rFonts w:ascii="Arial" w:cs="Arial" w:eastAsia="Arial" w:hAnsi="Arial"/>
          <w:sz w:val="18"/>
          <w:szCs w:val="18"/>
          <w:color w:val="auto"/>
        </w:rPr>
      </w:pPr>
    </w:p>
    <w:p>
      <w:pPr>
        <w:jc w:val="both"/>
        <w:ind w:firstLine="464"/>
        <w:spacing w:after="0" w:line="342" w:lineRule="auto"/>
        <w:tabs>
          <w:tab w:leader="none" w:pos="7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124"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 xml:space="preserve">The obligations of Toro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irrespective of whether any action is brought against any Subsidiary Borrower or whether any Subsidiary Borrower is joined in any such action or actions.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270" w:right="299" w:bottom="1440" w:gutter="0" w:footer="0" w:header="0"/>
        </w:sectPr>
      </w:pPr>
    </w:p>
    <w:bookmarkStart w:id="204" w:name="page205"/>
    <w:bookmarkEnd w:id="204"/>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10.03 Discharge Only Upon Payment In Full; Reinstatement In Certain Circumstances. </w:t>
      </w:r>
      <w:r>
        <w:rPr>
          <w:rFonts w:ascii="Arial" w:cs="Arial" w:eastAsia="Arial" w:hAnsi="Arial"/>
          <w:sz w:val="18"/>
          <w:szCs w:val="18"/>
          <w:color w:val="auto"/>
        </w:rPr>
        <w:t>Toro’s obligations hereunder shall remain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until all the Revolving Credit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8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10.04 Waiver by Toro. </w:t>
      </w:r>
      <w:r>
        <w:rPr>
          <w:rFonts w:ascii="Arial" w:cs="Arial" w:eastAsia="Arial" w:hAnsi="Arial"/>
          <w:sz w:val="18"/>
          <w:szCs w:val="18"/>
          <w:color w:val="auto"/>
        </w:rPr>
        <w:t>Toro irrevocably waives acceptance hereof, presentment, demand, protest and any notice not provided for herein, as well as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that at any time any action be taken by any Person against any Subsidiary Borrower or any other Person.</w:t>
      </w:r>
    </w:p>
    <w:p>
      <w:pPr>
        <w:spacing w:after="0" w:line="16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10.05 No Subrogation. </w:t>
      </w:r>
      <w:r>
        <w:rPr>
          <w:rFonts w:ascii="Arial" w:cs="Arial" w:eastAsia="Arial" w:hAnsi="Arial"/>
          <w:sz w:val="18"/>
          <w:szCs w:val="18"/>
          <w:color w:val="auto"/>
        </w:rPr>
        <w:t>Toro shall not exercise any right of subrogation, contribution, indemnity, reimbursement or similar rights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it makes under this Guaranty until all of the Obligations and any amounts payable under this Guaranty have been indefeasibly paid and performed in full and the Revolving Credit Commitments are terminated. If any amounts are paid to Toro in violation of the foregoing limitation, then such amounts shall be held in trust for the benefit of the Lenders and shall forthwith be paid to the Lenders to reduce the amount of the Obligations, whether matured or unmatured.</w:t>
      </w:r>
    </w:p>
    <w:p>
      <w:pPr>
        <w:spacing w:after="0" w:line="184"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10.06 Stay of Acceleration. </w:t>
      </w:r>
      <w:r>
        <w:rPr>
          <w:rFonts w:ascii="Arial" w:cs="Arial" w:eastAsia="Arial" w:hAnsi="Arial"/>
          <w:sz w:val="18"/>
          <w:szCs w:val="18"/>
          <w:color w:val="auto"/>
        </w:rPr>
        <w:t>If acceleration of the time for payment of any amount payable by any Subsidiary Borrower under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Revolving Credit Lenders.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 xml:space="preserve">11.01 Amendments, Etc. </w:t>
      </w:r>
      <w:r>
        <w:rPr>
          <w:rFonts w:ascii="Arial" w:cs="Arial" w:eastAsia="Arial" w:hAnsi="Arial"/>
          <w:sz w:val="17"/>
          <w:szCs w:val="17"/>
          <w:color w:val="auto"/>
        </w:rPr>
        <w:t>No amendment or waiver of any provision of this Agreement or any other Loan Document, and no consent to any departure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61" w:lineRule="exact"/>
        <w:rPr>
          <w:sz w:val="20"/>
          <w:szCs w:val="20"/>
          <w:color w:val="auto"/>
        </w:rPr>
      </w:pPr>
    </w:p>
    <w:p>
      <w:pPr>
        <w:ind w:left="700" w:hanging="236"/>
        <w:spacing w:after="0"/>
        <w:tabs>
          <w:tab w:leader="none" w:pos="70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waive any condition set forth in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or, in the case of the initial Credit Extension, </w:t>
      </w:r>
      <w:r>
        <w:rPr>
          <w:rFonts w:ascii="Arial" w:cs="Arial" w:eastAsia="Arial" w:hAnsi="Arial"/>
          <w:sz w:val="17"/>
          <w:szCs w:val="17"/>
          <w:u w:val="single" w:color="auto"/>
          <w:color w:val="auto"/>
        </w:rPr>
        <w:t>Section 4.02</w:t>
      </w:r>
      <w:r>
        <w:rPr>
          <w:rFonts w:ascii="Arial" w:cs="Arial" w:eastAsia="Arial" w:hAnsi="Arial"/>
          <w:sz w:val="17"/>
          <w:szCs w:val="17"/>
          <w:color w:val="auto"/>
        </w:rPr>
        <w:t>, without the written consent of each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Lender;</w:t>
      </w:r>
    </w:p>
    <w:p>
      <w:pPr>
        <w:spacing w:after="0" w:line="102" w:lineRule="exact"/>
        <w:rPr>
          <w:rFonts w:ascii="Arial" w:cs="Arial" w:eastAsia="Arial" w:hAnsi="Arial"/>
          <w:sz w:val="17"/>
          <w:szCs w:val="17"/>
          <w:color w:val="auto"/>
        </w:rPr>
      </w:pPr>
    </w:p>
    <w:p>
      <w:pPr>
        <w:ind w:right="20" w:firstLine="464"/>
        <w:spacing w:after="0" w:line="264" w:lineRule="auto"/>
        <w:tabs>
          <w:tab w:leader="none" w:pos="71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 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 or (ii) extend the expiry date of any Letter of Credit to a date after the Letter of Credit Expiration Date, without the written consent of each Revolving Credit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0" w:right="259" w:bottom="1440" w:gutter="0" w:footer="0" w:header="0"/>
        </w:sectPr>
      </w:pPr>
    </w:p>
    <w:bookmarkStart w:id="205" w:name="page206"/>
    <w:bookmarkEnd w:id="205"/>
    <w:p>
      <w:pPr>
        <w:ind w:right="360" w:firstLine="464"/>
        <w:spacing w:after="0" w:line="264" w:lineRule="auto"/>
        <w:tabs>
          <w:tab w:leader="none" w:pos="701"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73" w:lineRule="exact"/>
        <w:rPr>
          <w:rFonts w:ascii="Arial" w:cs="Arial" w:eastAsia="Arial" w:hAnsi="Arial"/>
          <w:sz w:val="18"/>
          <w:szCs w:val="18"/>
          <w:color w:val="auto"/>
        </w:rPr>
      </w:pPr>
    </w:p>
    <w:p>
      <w:pPr>
        <w:ind w:right="20" w:firstLine="464"/>
        <w:spacing w:after="0" w:line="255" w:lineRule="auto"/>
        <w:tabs>
          <w:tab w:leader="none" w:pos="71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85" w:lineRule="exact"/>
        <w:rPr>
          <w:rFonts w:ascii="Arial" w:cs="Arial" w:eastAsia="Arial" w:hAnsi="Arial"/>
          <w:sz w:val="18"/>
          <w:szCs w:val="18"/>
          <w:color w:val="auto"/>
        </w:rPr>
      </w:pPr>
    </w:p>
    <w:p>
      <w:pPr>
        <w:ind w:left="700" w:hanging="236"/>
        <w:spacing w:after="0"/>
        <w:tabs>
          <w:tab w:leader="none" w:pos="70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each Lender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 the order of application of any prepayment of Loans among the Facilities from the application thereof set forth in the applicable provisions of</w:t>
      </w:r>
    </w:p>
    <w:p>
      <w:pPr>
        <w:spacing w:after="0" w:line="9"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in any manner that materially and adversely affects the Lenders under a Facility without the written consent of (x) if such Facility is the Term Loan Facility, the Required Term Loan Lenders, and (y) if such Facility is the Revolving Credit Facility, the Required Revolving Lenders;</w:t>
      </w:r>
    </w:p>
    <w:p>
      <w:pPr>
        <w:spacing w:after="0" w:line="53" w:lineRule="exact"/>
        <w:rPr>
          <w:sz w:val="20"/>
          <w:szCs w:val="20"/>
          <w:color w:val="auto"/>
        </w:rPr>
      </w:pPr>
    </w:p>
    <w:p>
      <w:pPr>
        <w:ind w:left="680" w:hanging="216"/>
        <w:spacing w:after="0"/>
        <w:tabs>
          <w:tab w:leader="none" w:pos="6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the definition of “Alternative Currency” without the written consent of each Lender;</w:t>
      </w:r>
    </w:p>
    <w:p>
      <w:pPr>
        <w:spacing w:after="0" w:line="117" w:lineRule="exact"/>
        <w:rPr>
          <w:rFonts w:ascii="Arial" w:cs="Arial" w:eastAsia="Arial" w:hAnsi="Arial"/>
          <w:sz w:val="18"/>
          <w:szCs w:val="18"/>
          <w:color w:val="auto"/>
        </w:rPr>
      </w:pPr>
    </w:p>
    <w:p>
      <w:pPr>
        <w:ind w:firstLine="464"/>
        <w:spacing w:after="0" w:line="259" w:lineRule="auto"/>
        <w:tabs>
          <w:tab w:leader="none" w:pos="71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change (i)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 (ii) the definition of “Required Revolving Lenders” or “Required Term Loan Lenders” without the written consent of each Lender under the applicable Facility;</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release Toro from the Guaranty without the written consent of each Lender;</w:t>
      </w:r>
    </w:p>
    <w:p>
      <w:pPr>
        <w:spacing w:after="0" w:line="117" w:lineRule="exact"/>
        <w:rPr>
          <w:rFonts w:ascii="Arial" w:cs="Arial" w:eastAsia="Arial" w:hAnsi="Arial"/>
          <w:sz w:val="18"/>
          <w:szCs w:val="18"/>
          <w:color w:val="auto"/>
        </w:rPr>
      </w:pPr>
    </w:p>
    <w:p>
      <w:pPr>
        <w:ind w:right="280" w:firstLine="464"/>
        <w:spacing w:after="0" w:line="264" w:lineRule="auto"/>
        <w:tabs>
          <w:tab w:leader="none" w:pos="67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(i) if such Facility is the Term Loan Facility, the Required Term Loan Lenders, and (ii) if such Facility is the Revolving Credit Facility, the Required Revolving Lenders;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w:t>
      </w:r>
    </w:p>
    <w:p>
      <w:pPr>
        <w:ind w:right="40" w:firstLine="8"/>
        <w:spacing w:after="0" w:line="255" w:lineRule="auto"/>
        <w:tabs>
          <w:tab w:leader="none" w:pos="26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74" w:right="259" w:bottom="1440" w:gutter="0" w:footer="0" w:header="0"/>
        </w:sectPr>
      </w:pPr>
    </w:p>
    <w:bookmarkStart w:id="206" w:name="page207"/>
    <w:bookmarkEnd w:id="20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11.02 Notices; Effectiveness; Electronic Communication.</w:t>
      </w:r>
    </w:p>
    <w:p>
      <w:pPr>
        <w:spacing w:after="0" w:line="121" w:lineRule="exact"/>
        <w:rPr>
          <w:sz w:val="20"/>
          <w:szCs w:val="20"/>
          <w:color w:val="auto"/>
        </w:rPr>
      </w:pPr>
    </w:p>
    <w:p>
      <w:pPr>
        <w:ind w:right="60" w:firstLine="464"/>
        <w:spacing w:after="0" w:line="259" w:lineRule="auto"/>
        <w:tabs>
          <w:tab w:leader="none" w:pos="701"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78" w:lineRule="exact"/>
        <w:rPr>
          <w:rFonts w:ascii="Arial" w:cs="Arial" w:eastAsia="Arial" w:hAnsi="Arial"/>
          <w:sz w:val="18"/>
          <w:szCs w:val="18"/>
          <w:color w:val="auto"/>
        </w:rPr>
      </w:pPr>
    </w:p>
    <w:p>
      <w:pPr>
        <w:ind w:left="460" w:right="360" w:firstLine="443"/>
        <w:spacing w:after="0" w:line="277" w:lineRule="auto"/>
        <w:tabs>
          <w:tab w:leader="none" w:pos="111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if to the Borrowers, the Administrative Agent, the L/C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380" w:firstLine="443"/>
        <w:spacing w:after="0" w:line="286" w:lineRule="auto"/>
        <w:tabs>
          <w:tab w:leader="none" w:pos="1163" w:val="left"/>
        </w:tabs>
        <w:numPr>
          <w:ilvl w:val="1"/>
          <w:numId w:val="268"/>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80" w:lineRule="exact"/>
        <w:rPr>
          <w:sz w:val="20"/>
          <w:szCs w:val="20"/>
          <w:color w:val="auto"/>
        </w:rPr>
      </w:pPr>
    </w:p>
    <w:p>
      <w:pPr>
        <w:ind w:firstLine="464"/>
        <w:spacing w:after="0" w:line="293" w:lineRule="auto"/>
        <w:tabs>
          <w:tab w:leader="none" w:pos="711"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the L/C Issuer, the Swing Line Lender or Toro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274" w:right="259" w:bottom="1440" w:gutter="0" w:footer="0" w:header="0"/>
        </w:sectPr>
      </w:pPr>
    </w:p>
    <w:bookmarkStart w:id="207" w:name="page208"/>
    <w:bookmarkEnd w:id="20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81" w:lineRule="exact"/>
        <w:rPr>
          <w:sz w:val="20"/>
          <w:szCs w:val="20"/>
          <w:color w:val="auto"/>
        </w:rPr>
      </w:pPr>
    </w:p>
    <w:p>
      <w:pPr>
        <w:ind w:right="20" w:firstLine="464"/>
        <w:spacing w:after="0" w:line="268" w:lineRule="auto"/>
        <w:tabs>
          <w:tab w:leader="none" w:pos="701"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any Borrower, any Lender, the L/C Issuer or any other Person for losses, claims, damages, liabilities or expenses of any kind (whether in tort, contract or otherwise) (x) arising out of any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75" w:lineRule="exact"/>
        <w:rPr>
          <w:rFonts w:ascii="Arial" w:cs="Arial" w:eastAsia="Arial" w:hAnsi="Arial"/>
          <w:sz w:val="17"/>
          <w:szCs w:val="17"/>
          <w:color w:val="auto"/>
        </w:rPr>
      </w:pPr>
    </w:p>
    <w:p>
      <w:pPr>
        <w:jc w:val="both"/>
        <w:ind w:right="140" w:firstLine="464"/>
        <w:spacing w:after="0" w:line="259" w:lineRule="auto"/>
        <w:tabs>
          <w:tab w:leader="none" w:pos="711"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Toro, the Administrative Agent, the L/C Issuer and the Swing Line Lender. In addition, each Lender agrees to notify the Administrative Agent from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208" w:name="page209"/>
    <w:bookmarkEnd w:id="20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70" w:lineRule="exact"/>
        <w:rPr>
          <w:sz w:val="20"/>
          <w:szCs w:val="20"/>
          <w:color w:val="auto"/>
        </w:rPr>
      </w:pPr>
    </w:p>
    <w:p>
      <w:pPr>
        <w:ind w:right="160" w:firstLine="464"/>
        <w:spacing w:after="0" w:line="291" w:lineRule="auto"/>
        <w:tabs>
          <w:tab w:leader="none" w:pos="701"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and act upon any notices (including telephonic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63"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11.03 No Waiver; Cumulative Remedies; Enforcement. </w:t>
      </w:r>
      <w:r>
        <w:rPr>
          <w:rFonts w:ascii="Arial" w:cs="Arial" w:eastAsia="Arial" w:hAnsi="Arial"/>
          <w:sz w:val="18"/>
          <w:szCs w:val="18"/>
          <w:color w:val="auto"/>
        </w:rPr>
        <w:t>No failure by any Lender, the L/C Issuer or the Administrative Agent to exercise, and no</w:t>
      </w:r>
      <w:r>
        <w:rPr>
          <w:rFonts w:ascii="Arial" w:cs="Arial" w:eastAsia="Arial" w:hAnsi="Arial"/>
          <w:sz w:val="18"/>
          <w:szCs w:val="18"/>
          <w:b w:val="1"/>
          <w:bCs w:val="1"/>
          <w:color w:val="auto"/>
        </w:rPr>
        <w:t xml:space="preserve"> </w:t>
      </w:r>
      <w:r>
        <w:rPr>
          <w:rFonts w:ascii="Arial" w:cs="Arial" w:eastAsia="Arial" w:hAnsi="Arial"/>
          <w:sz w:val="18"/>
          <w:szCs w:val="18"/>
          <w:color w:val="auto"/>
        </w:rPr>
        <w:t>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4" w:right="259" w:bottom="1440" w:gutter="0" w:footer="0" w:header="0"/>
        </w:sectPr>
      </w:pPr>
    </w:p>
    <w:bookmarkStart w:id="209" w:name="page210"/>
    <w:bookmarkEnd w:id="209"/>
    <w:p>
      <w:pPr>
        <w:ind w:right="8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w:t>
      </w:r>
    </w:p>
    <w:p>
      <w:pPr>
        <w:ind w:right="20" w:firstLine="8"/>
        <w:spacing w:after="0" w:line="261" w:lineRule="auto"/>
        <w:tabs>
          <w:tab w:leader="none" w:pos="255" w:val="left"/>
        </w:tabs>
        <w:numPr>
          <w:ilvl w:val="0"/>
          <w:numId w:val="272"/>
        </w:numPr>
        <w:rPr>
          <w:rFonts w:ascii="Arial" w:cs="Arial" w:eastAsia="Arial" w:hAnsi="Arial"/>
          <w:sz w:val="18"/>
          <w:szCs w:val="18"/>
          <w:u w:val="single" w:color="auto"/>
          <w:color w:val="auto"/>
        </w:rPr>
      </w:pPr>
      <w:r>
        <w:rPr>
          <w:rFonts w:ascii="Arial" w:cs="Arial" w:eastAsia="Arial" w:hAnsi="Arial"/>
          <w:sz w:val="18"/>
          <w:szCs w:val="18"/>
          <w:color w:val="auto"/>
        </w:rPr>
        <w:t xml:space="preserve">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11.04 Expenses; Indemnity; Damage Waiver.</w:t>
      </w:r>
    </w:p>
    <w:p>
      <w:pPr>
        <w:spacing w:after="0" w:line="121" w:lineRule="exact"/>
        <w:rPr>
          <w:sz w:val="20"/>
          <w:szCs w:val="20"/>
          <w:color w:val="auto"/>
        </w:rPr>
      </w:pPr>
    </w:p>
    <w:p>
      <w:pPr>
        <w:ind w:right="20" w:firstLine="464"/>
        <w:spacing w:after="0" w:line="270" w:lineRule="auto"/>
        <w:tabs>
          <w:tab w:leader="none" w:pos="701"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69" w:lineRule="exact"/>
        <w:rPr>
          <w:rFonts w:ascii="Arial" w:cs="Arial" w:eastAsia="Arial" w:hAnsi="Arial"/>
          <w:sz w:val="17"/>
          <w:szCs w:val="17"/>
          <w:color w:val="auto"/>
        </w:rPr>
      </w:pPr>
    </w:p>
    <w:p>
      <w:pPr>
        <w:ind w:firstLine="464"/>
        <w:spacing w:after="0" w:line="268" w:lineRule="auto"/>
        <w:tabs>
          <w:tab w:leader="none" w:pos="711" w:val="left"/>
        </w:tabs>
        <w:numPr>
          <w:ilvl w:val="0"/>
          <w:numId w:val="273"/>
        </w:numPr>
        <w:rPr>
          <w:rFonts w:ascii="Arial" w:cs="Arial" w:eastAsia="Arial" w:hAnsi="Arial"/>
          <w:sz w:val="17"/>
          <w:szCs w:val="17"/>
          <w:color w:val="auto"/>
        </w:rPr>
      </w:pPr>
      <w:r>
        <w:rPr>
          <w:rFonts w:ascii="Arial" w:cs="Arial" w:eastAsia="Arial" w:hAnsi="Arial"/>
          <w:sz w:val="17"/>
          <w:szCs w:val="17"/>
          <w:u w:val="single" w:color="auto"/>
          <w:color w:val="auto"/>
        </w:rPr>
        <w:t>Indemnification by Toro</w:t>
      </w:r>
      <w:r>
        <w:rPr>
          <w:rFonts w:ascii="Arial" w:cs="Arial" w:eastAsia="Arial" w:hAnsi="Arial"/>
          <w:sz w:val="17"/>
          <w:szCs w:val="17"/>
          <w:color w:val="auto"/>
        </w:rPr>
        <w:t>. The Borrowers shall indemnify the Administrative Agent (and any sub-agent thereof), each Lender and the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7"/>
          <w:szCs w:val="17"/>
          <w:u w:val="single" w:color="auto"/>
          <w:color w:val="auto"/>
        </w:rPr>
        <w:t>Section 3.01</w:t>
      </w:r>
      <w:r>
        <w:rPr>
          <w:rFonts w:ascii="Arial" w:cs="Arial" w:eastAsia="Arial" w:hAnsi="Arial"/>
          <w:sz w:val="17"/>
          <w:szCs w:val="17"/>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210" w:name="page211"/>
    <w:bookmarkEnd w:id="2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any other Loan Party, and regardless of whether any Indemnitee is a party thereto, </w:t>
      </w:r>
      <w:r>
        <w:rPr>
          <w:rFonts w:ascii="Arial" w:cs="Arial" w:eastAsia="Arial" w:hAnsi="Arial"/>
          <w:sz w:val="17"/>
          <w:szCs w:val="17"/>
          <w:b w:val="1"/>
          <w:bCs w:val="1"/>
          <w:color w:val="auto"/>
        </w:rPr>
        <w:t>IN ALL CASES, WHETHER OR NOT CAUSED BY 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ARISING, IN WHOLE OR IN PART, OUT OF THE COMPARATIVE, CONTRIBUTORY OR SOLE NEGLIGENCE OF THE INDEMNITEE; </w:t>
      </w:r>
      <w:r>
        <w:rPr>
          <w:rFonts w:ascii="Arial" w:cs="Arial" w:eastAsia="Arial" w:hAnsi="Arial"/>
          <w:sz w:val="17"/>
          <w:szCs w:val="17"/>
          <w:color w:val="auto"/>
        </w:rPr>
        <w:t xml:space="preserve">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11.04(b)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68" w:lineRule="exact"/>
        <w:rPr>
          <w:sz w:val="20"/>
          <w:szCs w:val="20"/>
          <w:color w:val="auto"/>
        </w:rPr>
      </w:pPr>
    </w:p>
    <w:p>
      <w:pPr>
        <w:ind w:left="700" w:hanging="236"/>
        <w:spacing w:after="0"/>
        <w:tabs>
          <w:tab w:leader="none" w:pos="700" w:val="left"/>
        </w:tabs>
        <w:numPr>
          <w:ilvl w:val="1"/>
          <w:numId w:val="27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Borrowers for any reason fail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ind w:right="60" w:firstLine="8"/>
        <w:spacing w:after="0" w:line="268" w:lineRule="auto"/>
        <w:tabs>
          <w:tab w:leader="none" w:pos="255" w:val="left"/>
        </w:tabs>
        <w:numPr>
          <w:ilvl w:val="0"/>
          <w:numId w:val="275"/>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71" w:lineRule="exact"/>
        <w:rPr>
          <w:rFonts w:ascii="Arial" w:cs="Arial" w:eastAsia="Arial" w:hAnsi="Arial"/>
          <w:sz w:val="17"/>
          <w:szCs w:val="17"/>
          <w:u w:val="single" w:color="auto"/>
          <w:color w:val="auto"/>
        </w:rPr>
      </w:pPr>
    </w:p>
    <w:p>
      <w:pPr>
        <w:ind w:right="40" w:firstLine="464"/>
        <w:spacing w:after="0" w:line="290" w:lineRule="auto"/>
        <w:tabs>
          <w:tab w:leader="none" w:pos="711" w:val="left"/>
        </w:tabs>
        <w:numPr>
          <w:ilvl w:val="1"/>
          <w:numId w:val="275"/>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270" w:right="259" w:bottom="1440" w:gutter="0" w:footer="0" w:header="0"/>
        </w:sectPr>
      </w:pPr>
    </w:p>
    <w:bookmarkStart w:id="211" w:name="page212"/>
    <w:bookmarkEnd w:id="211"/>
    <w:p>
      <w:pPr>
        <w:ind w:left="700" w:hanging="236"/>
        <w:spacing w:after="0"/>
        <w:tabs>
          <w:tab w:leader="none" w:pos="70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w:t>
      </w:r>
      <w:r>
        <w:rPr>
          <w:rFonts w:ascii="Arial" w:cs="Arial" w:eastAsia="Arial" w:hAnsi="Arial"/>
          <w:sz w:val="18"/>
          <w:szCs w:val="18"/>
          <w:color w:val="auto"/>
        </w:rPr>
        <w:t>. All amounts due under this Section shall be payable not later than thirty days after demand therefor.</w:t>
      </w:r>
    </w:p>
    <w:p>
      <w:pPr>
        <w:spacing w:after="0" w:line="117" w:lineRule="exact"/>
        <w:rPr>
          <w:rFonts w:ascii="Arial" w:cs="Arial" w:eastAsia="Arial" w:hAnsi="Arial"/>
          <w:sz w:val="18"/>
          <w:szCs w:val="18"/>
          <w:color w:val="auto"/>
        </w:rPr>
      </w:pPr>
    </w:p>
    <w:p>
      <w:pPr>
        <w:ind w:right="220" w:firstLine="464"/>
        <w:spacing w:after="0" w:line="342" w:lineRule="auto"/>
        <w:tabs>
          <w:tab w:leader="none" w:pos="681"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11.05 Payments Set Aside. </w:t>
      </w:r>
      <w:r>
        <w:rPr>
          <w:rFonts w:ascii="Arial" w:cs="Arial" w:eastAsia="Arial" w:hAnsi="Arial"/>
          <w:sz w:val="16"/>
          <w:szCs w:val="16"/>
          <w:color w:val="auto"/>
        </w:rPr>
        <w:t>To the extent that any payment by or on behalf of any Borrower is made to the Administrative Agent, the L/C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11.06 Successors and Assigns.</w:t>
      </w:r>
    </w:p>
    <w:p>
      <w:pPr>
        <w:spacing w:after="0" w:line="121" w:lineRule="exact"/>
        <w:rPr>
          <w:sz w:val="20"/>
          <w:szCs w:val="20"/>
          <w:color w:val="auto"/>
        </w:rPr>
      </w:pPr>
    </w:p>
    <w:p>
      <w:pPr>
        <w:ind w:firstLine="464"/>
        <w:spacing w:after="0" w:line="270" w:lineRule="auto"/>
        <w:tabs>
          <w:tab w:leader="none" w:pos="701"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(ii) by way of participation in accordance with the provisions of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or (iii) by way of pledge or assignment of a security interest subject to the restrictions of </w:t>
      </w:r>
      <w:r>
        <w:rPr>
          <w:rFonts w:ascii="Arial" w:cs="Arial" w:eastAsia="Arial" w:hAnsi="Arial"/>
          <w:sz w:val="17"/>
          <w:szCs w:val="17"/>
          <w:u w:val="single" w:color="auto"/>
          <w:color w:val="auto"/>
        </w:rPr>
        <w:t>subsection (f)</w:t>
      </w:r>
      <w:r>
        <w:rPr>
          <w:rFonts w:ascii="Arial" w:cs="Arial" w:eastAsia="Arial" w:hAnsi="Arial"/>
          <w:sz w:val="17"/>
          <w:szCs w:val="17"/>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274" w:right="279" w:bottom="1440" w:gutter="0" w:footer="0" w:header="0"/>
        </w:sectPr>
      </w:pPr>
    </w:p>
    <w:bookmarkStart w:id="212" w:name="page213"/>
    <w:bookmarkEnd w:id="212"/>
    <w:p>
      <w:pPr>
        <w:ind w:left="-20" w:firstLine="464"/>
        <w:spacing w:after="0" w:line="259" w:lineRule="auto"/>
        <w:tabs>
          <w:tab w:leader="none" w:pos="691"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with respect to any Facility) that any such assignment shall be subject to the following conditions:</w:t>
      </w:r>
    </w:p>
    <w:p>
      <w:pPr>
        <w:spacing w:after="0" w:line="78" w:lineRule="exact"/>
        <w:rPr>
          <w:rFonts w:ascii="Arial" w:cs="Arial" w:eastAsia="Arial" w:hAnsi="Arial"/>
          <w:sz w:val="18"/>
          <w:szCs w:val="18"/>
          <w:color w:val="auto"/>
        </w:rPr>
      </w:pPr>
    </w:p>
    <w:p>
      <w:pPr>
        <w:ind w:left="1100" w:hanging="217"/>
        <w:spacing w:after="0"/>
        <w:tabs>
          <w:tab w:leader="none" w:pos="110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60" w:firstLine="421"/>
        <w:spacing w:after="0" w:line="342" w:lineRule="auto"/>
        <w:tabs>
          <w:tab w:leader="none" w:pos="1615" w:val="left"/>
        </w:tabs>
        <w:numPr>
          <w:ilvl w:val="2"/>
          <w:numId w:val="278"/>
        </w:numPr>
        <w:rPr>
          <w:rFonts w:ascii="Arial" w:cs="Arial" w:eastAsia="Arial" w:hAnsi="Arial"/>
          <w:sz w:val="16"/>
          <w:szCs w:val="16"/>
          <w:color w:val="auto"/>
        </w:rPr>
      </w:pPr>
      <w:r>
        <w:rPr>
          <w:rFonts w:ascii="Arial" w:cs="Arial" w:eastAsia="Arial" w:hAnsi="Arial"/>
          <w:sz w:val="16"/>
          <w:szCs w:val="16"/>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15" w:lineRule="exact"/>
        <w:rPr>
          <w:rFonts w:ascii="Arial" w:cs="Arial" w:eastAsia="Arial" w:hAnsi="Arial"/>
          <w:sz w:val="16"/>
          <w:szCs w:val="16"/>
          <w:color w:val="auto"/>
        </w:rPr>
      </w:pPr>
    </w:p>
    <w:p>
      <w:pPr>
        <w:ind w:left="900" w:right="60" w:firstLine="421"/>
        <w:spacing w:after="0" w:line="289" w:lineRule="auto"/>
        <w:tabs>
          <w:tab w:leader="none" w:pos="1605" w:val="left"/>
        </w:tabs>
        <w:numPr>
          <w:ilvl w:val="2"/>
          <w:numId w:val="278"/>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applicable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the Revolving Credit Facility, or $5,000,000, in the case of the Term Loan Facility, unless each of the Administrative Agent and, so long as no Event of Default has occurred and is continuing, Toro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58" w:lineRule="exact"/>
        <w:rPr>
          <w:rFonts w:ascii="Arial" w:cs="Arial" w:eastAsia="Arial" w:hAnsi="Arial"/>
          <w:sz w:val="16"/>
          <w:szCs w:val="16"/>
          <w:color w:val="auto"/>
        </w:rPr>
      </w:pPr>
    </w:p>
    <w:p>
      <w:pPr>
        <w:jc w:val="both"/>
        <w:ind w:left="440" w:right="240" w:firstLine="443"/>
        <w:spacing w:after="0" w:line="264" w:lineRule="auto"/>
        <w:tabs>
          <w:tab w:leader="none" w:pos="1143"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w:t>
      </w:r>
    </w:p>
    <w:p>
      <w:pPr>
        <w:spacing w:after="0" w:line="73" w:lineRule="exact"/>
        <w:rPr>
          <w:rFonts w:ascii="Arial" w:cs="Arial" w:eastAsia="Arial" w:hAnsi="Arial"/>
          <w:sz w:val="18"/>
          <w:szCs w:val="18"/>
          <w:color w:val="auto"/>
        </w:rPr>
      </w:pPr>
    </w:p>
    <w:p>
      <w:pPr>
        <w:ind w:left="440" w:right="40" w:firstLine="443"/>
        <w:spacing w:after="0" w:line="277" w:lineRule="auto"/>
        <w:tabs>
          <w:tab w:leader="none" w:pos="1193"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900" w:firstLine="421"/>
        <w:spacing w:after="0" w:line="297" w:lineRule="auto"/>
        <w:tabs>
          <w:tab w:leader="none" w:pos="1615" w:val="left"/>
        </w:tabs>
        <w:numPr>
          <w:ilvl w:val="2"/>
          <w:numId w:val="278"/>
        </w:numPr>
        <w:rPr>
          <w:rFonts w:ascii="Arial" w:cs="Arial" w:eastAsia="Arial" w:hAnsi="Arial"/>
          <w:sz w:val="16"/>
          <w:szCs w:val="16"/>
          <w:color w:val="auto"/>
        </w:rPr>
      </w:pPr>
      <w:r>
        <w:rPr>
          <w:rFonts w:ascii="Arial" w:cs="Arial" w:eastAsia="Arial" w:hAnsi="Arial"/>
          <w:sz w:val="16"/>
          <w:szCs w:val="16"/>
          <w:color w:val="auto"/>
        </w:rPr>
        <w:t xml:space="preserve">the consent of Toro (such consent not to be unreasonably withheld) shall be required unless (1) 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Toro shall be deemed to have consented to any such assignment unless it shall object thereto by written notice to the Administrative Agent within ten (10) days after having received notice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Toro’s consent shall be deemed reasonably withheld where such assignment would result in additional or increased costs to any Borrower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w:t>
      </w:r>
      <w:r>
        <w:rPr>
          <w:rFonts w:ascii="Arial" w:cs="Arial" w:eastAsia="Arial" w:hAnsi="Arial"/>
          <w:sz w:val="16"/>
          <w:szCs w:val="16"/>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60" w:top="274" w:right="259" w:bottom="1440" w:gutter="0" w:footer="0" w:header="0"/>
        </w:sectPr>
      </w:pPr>
    </w:p>
    <w:bookmarkStart w:id="213" w:name="page214"/>
    <w:bookmarkEnd w:id="213"/>
    <w:p>
      <w:pPr>
        <w:ind w:left="460" w:firstLine="421"/>
        <w:spacing w:after="0" w:line="259" w:lineRule="auto"/>
        <w:tabs>
          <w:tab w:leader="none" w:pos="1165" w:val="left"/>
        </w:tabs>
        <w:numPr>
          <w:ilvl w:val="2"/>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consent of the Administrative Agent (such consent not to be unreasonably withheld or delayed) shall be required for assignments in respect of (i)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w:t>
      </w:r>
    </w:p>
    <w:p>
      <w:pPr>
        <w:spacing w:after="0" w:line="78" w:lineRule="exact"/>
        <w:rPr>
          <w:rFonts w:ascii="Arial" w:cs="Arial" w:eastAsia="Arial" w:hAnsi="Arial"/>
          <w:sz w:val="18"/>
          <w:szCs w:val="18"/>
          <w:color w:val="auto"/>
        </w:rPr>
      </w:pPr>
    </w:p>
    <w:p>
      <w:pPr>
        <w:ind w:left="460" w:right="340" w:firstLine="421"/>
        <w:spacing w:after="0" w:line="342" w:lineRule="auto"/>
        <w:tabs>
          <w:tab w:leader="none" w:pos="1165" w:val="left"/>
        </w:tabs>
        <w:numPr>
          <w:ilvl w:val="2"/>
          <w:numId w:val="279"/>
        </w:numPr>
        <w:rPr>
          <w:rFonts w:ascii="Arial" w:cs="Arial" w:eastAsia="Arial" w:hAnsi="Arial"/>
          <w:sz w:val="16"/>
          <w:szCs w:val="16"/>
          <w:color w:val="auto"/>
        </w:rPr>
      </w:pPr>
      <w:r>
        <w:rPr>
          <w:rFonts w:ascii="Arial" w:cs="Arial" w:eastAsia="Arial" w:hAnsi="Arial"/>
          <w:sz w:val="16"/>
          <w:szCs w:val="16"/>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5" w:lineRule="exact"/>
        <w:rPr>
          <w:rFonts w:ascii="Arial" w:cs="Arial" w:eastAsia="Arial" w:hAnsi="Arial"/>
          <w:sz w:val="16"/>
          <w:szCs w:val="16"/>
          <w:color w:val="auto"/>
        </w:rPr>
      </w:pPr>
    </w:p>
    <w:p>
      <w:pPr>
        <w:ind w:left="460" w:right="120" w:firstLine="421"/>
        <w:spacing w:after="0" w:line="277" w:lineRule="auto"/>
        <w:tabs>
          <w:tab w:leader="none" w:pos="1175"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or delayed) shall be required for any assignment in respect of the Revolving Credit Facility.</w:t>
      </w:r>
    </w:p>
    <w:p>
      <w:pPr>
        <w:spacing w:after="0" w:line="62" w:lineRule="exact"/>
        <w:rPr>
          <w:rFonts w:ascii="Arial" w:cs="Arial" w:eastAsia="Arial" w:hAnsi="Arial"/>
          <w:sz w:val="18"/>
          <w:szCs w:val="18"/>
          <w:color w:val="auto"/>
        </w:rPr>
      </w:pPr>
    </w:p>
    <w:p>
      <w:pPr>
        <w:ind w:right="40" w:firstLine="443"/>
        <w:spacing w:after="0" w:line="259" w:lineRule="auto"/>
        <w:tabs>
          <w:tab w:leader="none" w:pos="743" w:val="left"/>
        </w:tabs>
        <w:numPr>
          <w:ilvl w:val="1"/>
          <w:numId w:val="28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1"/>
          <w:numId w:val="280"/>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any Borrower or any Borrower’s Affiliates or Subsidiaries, or</w:t>
      </w:r>
    </w:p>
    <w:p>
      <w:pPr>
        <w:spacing w:after="0" w:line="46" w:lineRule="exact"/>
        <w:rPr>
          <w:rFonts w:ascii="Arial" w:cs="Arial" w:eastAsia="Arial" w:hAnsi="Arial"/>
          <w:sz w:val="16"/>
          <w:szCs w:val="16"/>
          <w:color w:val="auto"/>
        </w:rPr>
      </w:pPr>
    </w:p>
    <w:p>
      <w:pPr>
        <w:ind w:right="100" w:firstLine="4"/>
        <w:spacing w:after="0" w:line="261" w:lineRule="auto"/>
        <w:tabs>
          <w:tab w:leader="none" w:pos="28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75" w:lineRule="exact"/>
        <w:rPr>
          <w:rFonts w:ascii="Arial" w:cs="Arial" w:eastAsia="Arial" w:hAnsi="Arial"/>
          <w:sz w:val="18"/>
          <w:szCs w:val="18"/>
          <w:color w:val="auto"/>
        </w:rPr>
      </w:pPr>
    </w:p>
    <w:p>
      <w:pPr>
        <w:ind w:right="60" w:firstLine="443"/>
        <w:spacing w:after="0" w:line="269" w:lineRule="auto"/>
        <w:tabs>
          <w:tab w:leader="none" w:pos="743" w:val="left"/>
        </w:tabs>
        <w:numPr>
          <w:ilvl w:val="1"/>
          <w:numId w:val="281"/>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Toro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00"/>
          </w:cols>
          <w:pgMar w:left="700" w:top="274" w:right="299" w:bottom="1440" w:gutter="0" w:footer="0" w:header="0"/>
        </w:sectPr>
      </w:pPr>
    </w:p>
    <w:bookmarkStart w:id="214" w:name="page215"/>
    <w:bookmarkEnd w:id="21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75" w:lineRule="exact"/>
        <w:rPr>
          <w:sz w:val="20"/>
          <w:szCs w:val="20"/>
          <w:color w:val="auto"/>
        </w:rPr>
      </w:pPr>
    </w:p>
    <w:p>
      <w:pPr>
        <w:ind w:firstLine="464"/>
        <w:spacing w:after="0" w:line="291" w:lineRule="auto"/>
        <w:tabs>
          <w:tab w:leader="none" w:pos="701"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59" w:lineRule="exact"/>
        <w:rPr>
          <w:rFonts w:ascii="Arial" w:cs="Arial" w:eastAsia="Arial" w:hAnsi="Arial"/>
          <w:sz w:val="16"/>
          <w:szCs w:val="16"/>
          <w:color w:val="auto"/>
        </w:rPr>
      </w:pPr>
    </w:p>
    <w:p>
      <w:pPr>
        <w:ind w:right="60" w:firstLine="464"/>
        <w:spacing w:after="0" w:line="271" w:lineRule="auto"/>
        <w:tabs>
          <w:tab w:leader="none" w:pos="711"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a Defaulting Lender or any Borrower or any Affiliate or Subsidiary of any Borrower)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74" w:right="259" w:bottom="1440" w:gutter="0" w:footer="0" w:header="0"/>
        </w:sectPr>
      </w:pPr>
    </w:p>
    <w:bookmarkStart w:id="215" w:name="page216"/>
    <w:bookmarkEnd w:id="215"/>
    <w:p>
      <w:pPr>
        <w:ind w:right="20"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each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(it being understood that the documentation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11.13</w:t>
      </w:r>
      <w:r>
        <w:rPr>
          <w:rFonts w:ascii="Arial" w:cs="Arial" w:eastAsia="Arial" w:hAnsi="Arial"/>
          <w:sz w:val="17"/>
          <w:szCs w:val="17"/>
          <w:color w:val="auto"/>
        </w:rPr>
        <w:t xml:space="preserve"> as if it were an assignee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(B) shall not be entitled to receive any greater payment under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74" w:lineRule="exact"/>
        <w:rPr>
          <w:sz w:val="20"/>
          <w:szCs w:val="20"/>
          <w:color w:val="auto"/>
        </w:rPr>
      </w:pPr>
    </w:p>
    <w:p>
      <w:pPr>
        <w:ind w:right="80" w:firstLine="464"/>
        <w:spacing w:after="0" w:line="286" w:lineRule="auto"/>
        <w:tabs>
          <w:tab w:leader="none" w:pos="701"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Limitation upon Participant Rights</w:t>
      </w:r>
      <w:r>
        <w:rPr>
          <w:rFonts w:ascii="Arial" w:cs="Arial" w:eastAsia="Arial" w:hAnsi="Arial"/>
          <w:sz w:val="16"/>
          <w:szCs w:val="16"/>
          <w:color w:val="auto"/>
        </w:rPr>
        <w:t xml:space="preserve">. A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Toro is notified of the participation sold to such Participant and such Participant agrees, for the benefit of the Borrowers, to comply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as though it were a Lender.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216" w:name="page217"/>
    <w:bookmarkEnd w:id="216"/>
    <w:p>
      <w:pPr>
        <w:jc w:val="both"/>
        <w:ind w:right="60" w:firstLine="464"/>
        <w:spacing w:after="0" w:line="259" w:lineRule="auto"/>
        <w:tabs>
          <w:tab w:leader="none" w:pos="681"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right="20" w:firstLine="464"/>
        <w:spacing w:after="0" w:line="283" w:lineRule="auto"/>
        <w:tabs>
          <w:tab w:leader="none" w:pos="711"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Revolving Credit Commitment and Revolving Credit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Toro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w:t>
      </w:r>
    </w:p>
    <w:p>
      <w:pPr>
        <w:spacing w:after="0" w:line="4" w:lineRule="exact"/>
        <w:rPr>
          <w:rFonts w:ascii="Arial" w:cs="Arial" w:eastAsia="Arial" w:hAnsi="Arial"/>
          <w:sz w:val="16"/>
          <w:szCs w:val="16"/>
          <w:color w:val="auto"/>
        </w:rPr>
      </w:pPr>
    </w:p>
    <w:p>
      <w:pPr>
        <w:ind w:firstLine="8"/>
        <w:spacing w:after="0" w:line="253" w:lineRule="auto"/>
        <w:tabs>
          <w:tab w:leader="none" w:pos="24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whereupon such substitute letters of credit or other arrangements shall be deemed to be, and the Letters of Credit issued by the retiring L/C Issuer shall cease to be Letters of Credit hereunder.</w:t>
      </w:r>
    </w:p>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 xml:space="preserve">11.07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L/C Issuer agrees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274" w:right="299" w:bottom="1440" w:gutter="0" w:footer="0" w:header="0"/>
        </w:sectPr>
      </w:pPr>
    </w:p>
    <w:bookmarkStart w:id="217" w:name="page218"/>
    <w:bookmarkEnd w:id="21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(ii) any actual or prospective counterparty (or its advisors) to any swap or derivative transaction relating to a Borrower and its obligations,</w:t>
      </w:r>
    </w:p>
    <w:p>
      <w:pPr>
        <w:ind w:left="260" w:hanging="252"/>
        <w:spacing w:after="0"/>
        <w:tabs>
          <w:tab w:leader="none" w:pos="2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on a confidential basis to (i) any rating agency in connection with rating Toro or its Subsidiaries or the credit facilities provided hereunder or (ii) the</w:t>
      </w:r>
    </w:p>
    <w:p>
      <w:pPr>
        <w:spacing w:after="0" w:line="20" w:lineRule="exact"/>
        <w:rPr>
          <w:rFonts w:ascii="Arial" w:cs="Arial" w:eastAsia="Arial" w:hAnsi="Arial"/>
          <w:sz w:val="17"/>
          <w:szCs w:val="17"/>
          <w:color w:val="auto"/>
        </w:rPr>
      </w:pP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CUSIP Service Bureau or any similar agency in connection with the issuance and monitoring of CUSIP numbers or other market identifiers with respect to the credit facilities provided hereunder, (h) with the consent of Toro or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any Borrower.</w:t>
      </w:r>
    </w:p>
    <w:p>
      <w:pPr>
        <w:spacing w:after="0" w:line="19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any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11.08 Right of Setoff. </w:t>
      </w:r>
      <w:r>
        <w:rPr>
          <w:rFonts w:ascii="Arial" w:cs="Arial" w:eastAsia="Arial" w:hAnsi="Arial"/>
          <w:sz w:val="17"/>
          <w:szCs w:val="17"/>
          <w:color w:val="auto"/>
        </w:rPr>
        <w:t>If an Event of Default shall have occurred and be continuing, each Lender, the L/C Issuer and each of their respective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is hereby authorized at any time and from time to time, after obtaining the prior written consent of the Administrative Agent</w:t>
      </w:r>
      <w:r>
        <w:rPr>
          <w:rFonts w:ascii="Arial" w:cs="Arial" w:eastAsia="Arial" w:hAnsi="Arial"/>
          <w:sz w:val="17"/>
          <w:szCs w:val="17"/>
          <w:b w:val="1"/>
          <w:bCs w:val="1"/>
          <w:color w:val="auto"/>
        </w:rPr>
        <w:t>,</w:t>
      </w:r>
      <w:r>
        <w:rPr>
          <w:rFonts w:ascii="Arial" w:cs="Arial" w:eastAsia="Arial" w:hAnsi="Arial"/>
          <w:sz w:val="17"/>
          <w:szCs w:val="17"/>
          <w:color w:val="auto"/>
        </w:rPr>
        <w:t xml:space="preserv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274" w:right="279" w:bottom="1440" w:gutter="0" w:footer="0" w:header="0"/>
        </w:sectPr>
      </w:pPr>
    </w:p>
    <w:bookmarkStart w:id="218" w:name="page219"/>
    <w:bookmarkEnd w:id="218"/>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62"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11.09 Interest Rate Limitation. </w:t>
      </w:r>
      <w:r>
        <w:rPr>
          <w:rFonts w:ascii="Arial" w:cs="Arial" w:eastAsia="Arial" w:hAnsi="Arial"/>
          <w:sz w:val="16"/>
          <w:szCs w:val="16"/>
          <w:color w:val="auto"/>
        </w:rPr>
        <w:t>Notwithstanding anything to the contrary contained in any Loan Document, the interest paid or agreed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11.10 Counterparts; Integration; Effectiveness. </w:t>
      </w:r>
      <w:r>
        <w:rPr>
          <w:rFonts w:ascii="Arial" w:cs="Arial" w:eastAsia="Arial" w:hAnsi="Arial"/>
          <w:sz w:val="17"/>
          <w:szCs w:val="17"/>
          <w:color w:val="auto"/>
        </w:rPr>
        <w:t>This Agreement and the other Loan Documents may be executed in counterparts (and by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and the other Loan Documents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and any other Loan Document by telecopy or other electronic imaging means (including PDF) shall be effective as delivery of a manually executed counterpart of this Agreement and the other Loan Documents.</w:t>
      </w:r>
    </w:p>
    <w:p>
      <w:pPr>
        <w:spacing w:after="0" w:line="172"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11.11 Survival of Representations and Warranties. </w:t>
      </w:r>
      <w:r>
        <w:rPr>
          <w:rFonts w:ascii="Arial" w:cs="Arial" w:eastAsia="Arial" w:hAnsi="Arial"/>
          <w:sz w:val="17"/>
          <w:szCs w:val="17"/>
          <w:color w:val="auto"/>
        </w:rPr>
        <w:t>All representations and warranties made hereunder and in any other Loan Document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219" w:name="page220"/>
    <w:bookmarkEnd w:id="219"/>
    <w:p>
      <w:pPr>
        <w:ind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11.12 Severability. </w:t>
      </w:r>
      <w:r>
        <w:rPr>
          <w:rFonts w:ascii="Arial" w:cs="Arial" w:eastAsia="Arial" w:hAnsi="Arial"/>
          <w:sz w:val="18"/>
          <w:szCs w:val="18"/>
          <w:color w:val="auto"/>
        </w:rPr>
        <w:t>If any provision of this Agreement or the other Loan Documents is held to be illegal, invalid or unenforceable, (a) the 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11.13 Replacement of Lenders. </w:t>
      </w:r>
      <w:r>
        <w:rPr>
          <w:rFonts w:ascii="Arial" w:cs="Arial" w:eastAsia="Arial" w:hAnsi="Arial"/>
          <w:sz w:val="17"/>
          <w:szCs w:val="17"/>
          <w:color w:val="auto"/>
        </w:rPr>
        <w:t>If (i) any Lender requests compensation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color w:val="auto"/>
        </w:rPr>
        <w:t>, (ii) any Borrower is required to pay any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(iii) any Lender is a Non-Consenting Lender (as defined below), or (iv)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11.06</w:t>
      </w:r>
      <w:r>
        <w:rPr>
          <w:rFonts w:ascii="Arial" w:cs="Arial" w:eastAsia="Arial" w:hAnsi="Arial"/>
          <w:sz w:val="17"/>
          <w:szCs w:val="17"/>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sz w:val="20"/>
          <w:szCs w:val="20"/>
          <w:color w:val="auto"/>
        </w:rPr>
      </w:pPr>
    </w:p>
    <w:p>
      <w:pPr>
        <w:ind w:left="700" w:hanging="236"/>
        <w:spacing w:after="0"/>
        <w:tabs>
          <w:tab w:leader="none" w:pos="7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the Borrowers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464"/>
        <w:spacing w:after="0" w:line="286" w:lineRule="auto"/>
        <w:tabs>
          <w:tab w:leader="none" w:pos="711"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3.05</w:t>
      </w:r>
      <w:r>
        <w:rPr>
          <w:rFonts w:ascii="Arial" w:cs="Arial" w:eastAsia="Arial" w:hAnsi="Arial"/>
          <w:sz w:val="17"/>
          <w:szCs w:val="17"/>
          <w:color w:val="auto"/>
        </w:rPr>
        <w:t>) from the assignee (to the extent of such outstanding principal and accrued interest and fees) or the Borrowers (in the case of all other amounts);</w:t>
      </w:r>
    </w:p>
    <w:p>
      <w:pPr>
        <w:spacing w:after="0" w:line="57" w:lineRule="exact"/>
        <w:rPr>
          <w:rFonts w:ascii="Arial" w:cs="Arial" w:eastAsia="Arial" w:hAnsi="Arial"/>
          <w:sz w:val="17"/>
          <w:szCs w:val="17"/>
          <w:color w:val="auto"/>
        </w:rPr>
      </w:pPr>
    </w:p>
    <w:p>
      <w:pPr>
        <w:ind w:right="620" w:firstLine="464"/>
        <w:spacing w:after="0" w:line="277" w:lineRule="auto"/>
        <w:tabs>
          <w:tab w:leader="none" w:pos="7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right="540" w:firstLine="464"/>
        <w:spacing w:after="0" w:line="277" w:lineRule="auto"/>
        <w:tabs>
          <w:tab w:leader="none" w:pos="70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a “Non-Consenting Lender” means a Lender that fails to approve an amendment, waiver or consent requested by Toro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 or, if applicable, the Required Facility Lenders.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0" w:right="239" w:bottom="1440" w:gutter="0" w:footer="0" w:header="0"/>
        </w:sectPr>
      </w:pPr>
    </w:p>
    <w:bookmarkStart w:id="220" w:name="page221"/>
    <w:bookmarkEnd w:id="220"/>
    <w:p>
      <w:pPr>
        <w:ind w:left="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11.14 Governing Law; Jurisdiction; Etc.</w:t>
      </w:r>
    </w:p>
    <w:p>
      <w:pPr>
        <w:spacing w:after="0" w:line="121" w:lineRule="exact"/>
        <w:rPr>
          <w:sz w:val="20"/>
          <w:szCs w:val="20"/>
          <w:color w:val="auto"/>
        </w:rPr>
      </w:pPr>
    </w:p>
    <w:p>
      <w:pPr>
        <w:ind w:left="-60" w:firstLine="464"/>
        <w:spacing w:after="0" w:line="257" w:lineRule="auto"/>
        <w:tabs>
          <w:tab w:leader="none" w:pos="641"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80" w:lineRule="exact"/>
        <w:rPr>
          <w:rFonts w:ascii="Arial" w:cs="Arial" w:eastAsia="Arial" w:hAnsi="Arial"/>
          <w:sz w:val="18"/>
          <w:szCs w:val="18"/>
          <w:color w:val="auto"/>
        </w:rPr>
      </w:pPr>
    </w:p>
    <w:p>
      <w:pPr>
        <w:ind w:left="-60" w:right="60" w:firstLine="464"/>
        <w:spacing w:after="0" w:line="268" w:lineRule="auto"/>
        <w:tabs>
          <w:tab w:leader="none" w:pos="651"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75" w:lineRule="exact"/>
        <w:rPr>
          <w:rFonts w:ascii="Arial" w:cs="Arial" w:eastAsia="Arial" w:hAnsi="Arial"/>
          <w:sz w:val="17"/>
          <w:szCs w:val="17"/>
          <w:color w:val="auto"/>
        </w:rPr>
      </w:pPr>
    </w:p>
    <w:p>
      <w:pPr>
        <w:ind w:left="-60" w:right="20" w:firstLine="464"/>
        <w:spacing w:after="0" w:line="255" w:lineRule="auto"/>
        <w:tabs>
          <w:tab w:leader="none" w:pos="641"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20"/>
          </w:cols>
          <w:pgMar w:left="300" w:top="270" w:right="279" w:bottom="1440" w:gutter="0" w:footer="0" w:header="0"/>
        </w:sectPr>
      </w:pPr>
    </w:p>
    <w:bookmarkStart w:id="221" w:name="page222"/>
    <w:bookmarkEnd w:id="221"/>
    <w:p>
      <w:pPr>
        <w:jc w:val="both"/>
        <w:ind w:right="20" w:firstLine="464"/>
        <w:spacing w:after="0" w:line="264" w:lineRule="auto"/>
        <w:tabs>
          <w:tab w:leader="none" w:pos="711"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11.15 Waiver of Jury Trial. </w:t>
      </w:r>
      <w:r>
        <w:rPr>
          <w:rFonts w:ascii="Arial" w:cs="Arial" w:eastAsia="Arial" w:hAnsi="Arial"/>
          <w:sz w:val="18"/>
          <w:szCs w:val="18"/>
          <w:color w:val="auto"/>
        </w:rPr>
        <w:t>EACH PARTY HERETO HEREBY IRREVOCABLY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11.16 USA PATRIOT Act Notice. </w:t>
      </w:r>
      <w:r>
        <w:rPr>
          <w:rFonts w:ascii="Arial" w:cs="Arial" w:eastAsia="Arial" w:hAnsi="Arial"/>
          <w:sz w:val="18"/>
          <w:szCs w:val="18"/>
          <w:color w:val="auto"/>
        </w:rPr>
        <w:t>Each Lender that is subject to the Act (as hereinafter defined)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11.17 Liability of the Borrowers.</w:t>
      </w:r>
    </w:p>
    <w:p>
      <w:pPr>
        <w:spacing w:after="0" w:line="121" w:lineRule="exact"/>
        <w:rPr>
          <w:sz w:val="20"/>
          <w:szCs w:val="20"/>
          <w:color w:val="auto"/>
        </w:rPr>
      </w:pPr>
    </w:p>
    <w:p>
      <w:pPr>
        <w:ind w:right="20" w:firstLine="464"/>
        <w:spacing w:after="0" w:line="273" w:lineRule="auto"/>
        <w:tabs>
          <w:tab w:leader="none" w:pos="70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To the extent TCC becomes a Borrower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all obligations of Toro and TCC or either one of them under this Agreement and the other Loan Documents to which they are a party, shall be joint and several obligations of Toro and TCC (each of the foregoing, a “</w:t>
      </w:r>
      <w:r>
        <w:rPr>
          <w:rFonts w:ascii="Arial" w:cs="Arial" w:eastAsia="Arial" w:hAnsi="Arial"/>
          <w:sz w:val="17"/>
          <w:szCs w:val="17"/>
          <w:u w:val="single" w:color="auto"/>
          <w:color w:val="auto"/>
        </w:rPr>
        <w:t>Joint Borrower</w:t>
      </w:r>
      <w:r>
        <w:rPr>
          <w:rFonts w:ascii="Arial" w:cs="Arial" w:eastAsia="Arial" w:hAnsi="Arial"/>
          <w:sz w:val="17"/>
          <w:szCs w:val="17"/>
          <w:color w:val="auto"/>
        </w:rPr>
        <w:t xml:space="preserve">”). Only Toro shall be liable as a guarantor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for the obligations of the Subsidiary Borrowers under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hereof. All obligations of the Subsidiary Borrowers (other than TCC) under this Agreement and all of the other Loan Documents shall be several and not joint, the result of which shall be that each such Subsidiary Borrower is obligated to repay only those Loans made by the Lenders to such Subsidiary Borrower and interest, fees, expenses and other obligations owing by such Subsidiary Borrower in connection with such Loans.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274" w:right="279" w:bottom="1440" w:gutter="0" w:footer="0" w:header="0"/>
        </w:sectPr>
      </w:pPr>
    </w:p>
    <w:bookmarkStart w:id="222" w:name="page223"/>
    <w:bookmarkEnd w:id="222"/>
    <w:p>
      <w:pPr>
        <w:ind w:firstLine="464"/>
        <w:spacing w:after="0" w:line="270" w:lineRule="auto"/>
        <w:tabs>
          <w:tab w:leader="none" w:pos="711" w:val="left"/>
        </w:tabs>
        <w:numPr>
          <w:ilvl w:val="0"/>
          <w:numId w:val="2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TCC becomes a Borrower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69" w:lineRule="exact"/>
        <w:rPr>
          <w:rFonts w:ascii="Arial" w:cs="Arial" w:eastAsia="Arial" w:hAnsi="Arial"/>
          <w:sz w:val="17"/>
          <w:szCs w:val="17"/>
          <w:color w:val="auto"/>
        </w:rPr>
      </w:pPr>
    </w:p>
    <w:p>
      <w:pPr>
        <w:ind w:right="80" w:firstLine="464"/>
        <w:spacing w:after="0" w:line="272" w:lineRule="auto"/>
        <w:tabs>
          <w:tab w:leader="none" w:pos="701"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Each Borrower (including each Subsidiary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 valid and effective if given or taken only by Toro, whether or not any such other Borrower joins therein. Any notice, demand, consent, acknowledgement, direction, certification or other communication delivered to Toro in accordance with the terms of this Agreement or any other Loan Document shall be deemed to have been delivered to each Borrower.</w:t>
      </w:r>
    </w:p>
    <w:p>
      <w:pPr>
        <w:spacing w:after="0" w:line="174"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b w:val="1"/>
          <w:bCs w:val="1"/>
          <w:color w:val="auto"/>
        </w:rPr>
        <w:t xml:space="preserve">11.18 Judgment Currency. </w:t>
      </w:r>
      <w:r>
        <w:rPr>
          <w:rFonts w:ascii="Arial" w:cs="Arial" w:eastAsia="Arial" w:hAnsi="Arial"/>
          <w:sz w:val="17"/>
          <w:szCs w:val="17"/>
          <w:color w:val="auto"/>
        </w:rPr>
        <w:t>If, for the purposes of obtaining judgment in any court, it is necessary to convert a sum due hereunder or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the L/C Issuer or any Lender hereunder or under the other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74" w:right="259" w:bottom="1440" w:gutter="0" w:footer="0" w:header="0"/>
        </w:sectPr>
      </w:pPr>
    </w:p>
    <w:bookmarkStart w:id="223" w:name="page224"/>
    <w:bookmarkEnd w:id="22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any Borrower in the Agreement Currency, such Borrower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Borrower (or to any other Person who may be entitled thereto under applicable law).</w:t>
      </w:r>
    </w:p>
    <w:p>
      <w:pPr>
        <w:spacing w:after="0" w:line="18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11.19 Automatic Debits of Principal, Interest, Fees. </w:t>
      </w:r>
      <w:r>
        <w:rPr>
          <w:rFonts w:ascii="Arial" w:cs="Arial" w:eastAsia="Arial" w:hAnsi="Arial"/>
          <w:sz w:val="18"/>
          <w:szCs w:val="18"/>
          <w:color w:val="auto"/>
        </w:rPr>
        <w:t>With respect to any principal, interest, facility fee, arrangement fee, letter of credit fee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fee, or any other cost or expense (including Attorney Costs) due and payable to the Administrative Agent, Bank of America, the Swing Line Lender, the L/C Issuer or any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89" w:lineRule="exact"/>
        <w:rPr>
          <w:sz w:val="20"/>
          <w:szCs w:val="20"/>
          <w:color w:val="auto"/>
        </w:rPr>
      </w:pPr>
    </w:p>
    <w:p>
      <w:pPr>
        <w:ind w:right="320" w:firstLine="456"/>
        <w:spacing w:after="0" w:line="281" w:lineRule="auto"/>
        <w:rPr>
          <w:sz w:val="20"/>
          <w:szCs w:val="20"/>
          <w:color w:val="auto"/>
        </w:rPr>
      </w:pPr>
      <w:r>
        <w:rPr>
          <w:rFonts w:ascii="Arial" w:cs="Arial" w:eastAsia="Arial" w:hAnsi="Arial"/>
          <w:sz w:val="17"/>
          <w:szCs w:val="17"/>
          <w:b w:val="1"/>
          <w:bCs w:val="1"/>
          <w:color w:val="auto"/>
        </w:rPr>
        <w:t xml:space="preserve">11.20 Termination of Existing Credit Agreement. </w:t>
      </w:r>
      <w:r>
        <w:rPr>
          <w:rFonts w:ascii="Arial" w:cs="Arial" w:eastAsia="Arial" w:hAnsi="Arial"/>
          <w:sz w:val="17"/>
          <w:szCs w:val="17"/>
          <w:color w:val="auto"/>
        </w:rPr>
        <w:t>In connection with the delivery of evidence of termination of the Existing Credit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required as a condition to the effectiveness of this Agreement pursuant to </w:t>
      </w:r>
      <w:r>
        <w:rPr>
          <w:rFonts w:ascii="Arial" w:cs="Arial" w:eastAsia="Arial" w:hAnsi="Arial"/>
          <w:sz w:val="17"/>
          <w:szCs w:val="17"/>
          <w:u w:val="single" w:color="auto"/>
          <w:color w:val="auto"/>
        </w:rPr>
        <w:t>Section 4.01(a)(x)</w:t>
      </w:r>
      <w:r>
        <w:rPr>
          <w:rFonts w:ascii="Arial" w:cs="Arial" w:eastAsia="Arial" w:hAnsi="Arial"/>
          <w:sz w:val="17"/>
          <w:szCs w:val="17"/>
          <w:color w:val="auto"/>
        </w:rPr>
        <w:t>, each of the Lenders, upon delivery of such evidence, in its capacity as a Lender under the Existing Credit Agreement, waives any notice requirement under the Existing Credit Agreement with which the Borrowers would otherwise be obligated to comply in order to terminate the Existing Credit Agreement.</w:t>
      </w:r>
    </w:p>
    <w:p>
      <w:pPr>
        <w:spacing w:after="0" w:line="16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11.21 No Advisory or Fiduciary Responsibility. </w:t>
      </w:r>
      <w:r>
        <w:rPr>
          <w:rFonts w:ascii="Arial" w:cs="Arial" w:eastAsia="Arial" w:hAnsi="Arial"/>
          <w:sz w:val="16"/>
          <w:szCs w:val="16"/>
          <w:color w:val="auto"/>
        </w:rPr>
        <w:t>In connection with all aspects of each transaction contemplated hereby (including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Arrangers are arm’s-length commercial transactions between such Borrower, each other Loan Party and their respective Affiliates, on the one hand, and the Administrative Agent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 parties, has not been, is not, and will not be acting as an advisor, agent or fiduciary for such Borrower, any other Loan Party or any of their respective Affiliates or any other Person and (B) neither the Administrative Agent nor the Arrangers has any obligation to such Borrower, any other Loan Party or any of their respective Affiliates with respect to the transactions contemplated hereby except those obligations expressly set forth herein and in the other Loan Documents; and</w:t>
      </w:r>
    </w:p>
    <w:p>
      <w:pPr>
        <w:ind w:right="380" w:firstLine="8"/>
        <w:spacing w:after="0" w:line="261" w:lineRule="auto"/>
        <w:tabs>
          <w:tab w:leader="none" w:pos="31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Administrative Agent and the Arrangers and their respective Affiliates may be engaged in a broad range of transactions that involve interests that differ from those of such Borrower,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74" w:right="239" w:bottom="1440" w:gutter="0" w:footer="0" w:header="0"/>
        </w:sectPr>
      </w:pPr>
    </w:p>
    <w:bookmarkStart w:id="224" w:name="page225"/>
    <w:bookmarkEnd w:id="22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Loan Parties and their respective Affiliates, and neither the Administrative Agent nor the Arrangers has any obligation to disclose any of such interests to such Borrower, any other Loan Party or any of their respective Affiliates. To the fullest extent permitted by law, each of the Borrowers and each other Loan Party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11.22 Electronic Execution of Assignments and Certain Other Documents. </w:t>
      </w:r>
      <w:r>
        <w:rPr>
          <w:rFonts w:ascii="Arial" w:cs="Arial" w:eastAsia="Arial" w:hAnsi="Arial"/>
          <w:sz w:val="17"/>
          <w:szCs w:val="17"/>
          <w:color w:val="auto"/>
        </w:rPr>
        <w:t>The words “execute,” “execution,” “signed,” “signature,” and words of</w:t>
      </w:r>
      <w:r>
        <w:rPr>
          <w:rFonts w:ascii="Arial" w:cs="Arial" w:eastAsia="Arial" w:hAnsi="Arial"/>
          <w:sz w:val="17"/>
          <w:szCs w:val="17"/>
          <w:b w:val="1"/>
          <w:bCs w:val="1"/>
          <w:color w:val="auto"/>
        </w:rPr>
        <w:t xml:space="preserve"> </w:t>
      </w:r>
      <w:r>
        <w:rPr>
          <w:rFonts w:ascii="Arial" w:cs="Arial" w:eastAsia="Arial" w:hAnsi="Arial"/>
          <w:sz w:val="17"/>
          <w:szCs w:val="17"/>
          <w:color w:val="auto"/>
        </w:rPr>
        <w:t>like import in or related to any document to be signed in connection with this Agreement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78"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11.23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74" w:right="2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THE TORO COMPANY</w:t>
      </w:r>
    </w:p>
    <w:p>
      <w:pPr>
        <w:spacing w:after="0" w:line="229"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tab/>
        <w:t>/s/ Renee J. Peterson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-130810</wp:posOffset>
            </wp:positionV>
            <wp:extent cx="25901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Treasurer and Chief Financial Officer</w:t>
      </w:r>
    </w:p>
    <w:p>
      <w:pPr>
        <w:spacing w:after="0" w:line="211"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tab/>
        <w:t>/s/ Thomas J. Larson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-130810</wp:posOffset>
            </wp:positionV>
            <wp:extent cx="25901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Corporate Controller</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TORO MANUFACTURING LLC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J. Larson</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080" w:type="dxa"/>
            <w:vAlign w:val="bottom"/>
          </w:tcPr>
          <w:p>
            <w:pPr>
              <w:ind w:left="60"/>
              <w:spacing w:after="0" w:line="195" w:lineRule="exact"/>
              <w:rPr>
                <w:sz w:val="20"/>
                <w:szCs w:val="20"/>
                <w:color w:val="auto"/>
              </w:rPr>
            </w:pPr>
            <w:r>
              <w:rPr>
                <w:rFonts w:ascii="Arial" w:cs="Arial" w:eastAsia="Arial" w:hAnsi="Arial"/>
                <w:sz w:val="18"/>
                <w:szCs w:val="18"/>
                <w:color w:val="auto"/>
              </w:rPr>
              <w:t>Thomas J. Larson</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60"/>
              <w:spacing w:after="0"/>
              <w:rPr>
                <w:sz w:val="20"/>
                <w:szCs w:val="20"/>
                <w:color w:val="auto"/>
              </w:rPr>
            </w:pPr>
            <w:r>
              <w:rPr>
                <w:rFonts w:ascii="Arial" w:cs="Arial" w:eastAsia="Arial" w:hAnsi="Arial"/>
                <w:sz w:val="18"/>
                <w:szCs w:val="18"/>
                <w:color w:val="auto"/>
              </w:rPr>
              <w:t>Vice President and Treasurer</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EXMARK MANUFACTURING COMPANY</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INCORPORATED</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J. Larson</w:t>
            </w:r>
          </w:p>
        </w:tc>
      </w:tr>
      <w:tr>
        <w:trPr>
          <w:trHeight w:val="195"/>
        </w:trPr>
        <w:tc>
          <w:tcPr>
            <w:tcW w:w="480" w:type="dxa"/>
            <w:vAlign w:val="bottom"/>
          </w:tcPr>
          <w:p>
            <w:pPr>
              <w:spacing w:after="0" w:line="195" w:lineRule="exact"/>
              <w:rPr>
                <w:sz w:val="20"/>
                <w:szCs w:val="20"/>
                <w:color w:val="auto"/>
              </w:rPr>
            </w:pPr>
            <w:r>
              <w:rPr>
                <w:rFonts w:ascii="Arial" w:cs="Arial" w:eastAsia="Arial" w:hAnsi="Arial"/>
                <w:sz w:val="18"/>
                <w:szCs w:val="18"/>
                <w:color w:val="auto"/>
                <w:w w:val="86"/>
              </w:rPr>
              <w:t>Name:</w:t>
            </w:r>
          </w:p>
        </w:tc>
        <w:tc>
          <w:tcPr>
            <w:tcW w:w="4080" w:type="dxa"/>
            <w:vAlign w:val="bottom"/>
          </w:tcPr>
          <w:p>
            <w:pPr>
              <w:ind w:left="60"/>
              <w:spacing w:after="0" w:line="195" w:lineRule="exact"/>
              <w:rPr>
                <w:sz w:val="20"/>
                <w:szCs w:val="20"/>
                <w:color w:val="auto"/>
              </w:rPr>
            </w:pPr>
            <w:r>
              <w:rPr>
                <w:rFonts w:ascii="Arial" w:cs="Arial" w:eastAsia="Arial" w:hAnsi="Arial"/>
                <w:sz w:val="18"/>
                <w:szCs w:val="18"/>
                <w:color w:val="auto"/>
              </w:rPr>
              <w:t>Thomas J. Larson</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60"/>
              <w:spacing w:after="0"/>
              <w:rPr>
                <w:sz w:val="20"/>
                <w:szCs w:val="20"/>
                <w:color w:val="auto"/>
              </w:rPr>
            </w:pPr>
            <w:r>
              <w:rPr>
                <w:rFonts w:ascii="Arial" w:cs="Arial" w:eastAsia="Arial" w:hAnsi="Arial"/>
                <w:sz w:val="18"/>
                <w:szCs w:val="18"/>
                <w:color w:val="auto"/>
              </w:rPr>
              <w:t>Treasurer</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TORO INTERNATIONAL COMPANY</w:t>
      </w:r>
    </w:p>
    <w:p>
      <w:pPr>
        <w:spacing w:after="0" w:line="229"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tab/>
        <w:t>/s/ Thomas J. Larson</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-130810</wp:posOffset>
            </wp:positionV>
            <wp:extent cx="25901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TORO CREDIT AGREEMENT</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60"/>
          </w:cols>
          <w:pgMar w:left="700" w:top="274" w:right="239" w:bottom="1440" w:gutter="0" w:footer="0" w:header="0"/>
        </w:sectPr>
      </w:pPr>
    </w:p>
    <w:bookmarkStart w:id="226" w:name="page227"/>
    <w:bookmarkEnd w:id="2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 OF AMERICA, N.A., </w:t>
      </w:r>
      <w:r>
        <w:rPr>
          <w:rFonts w:ascii="Arial" w:cs="Arial" w:eastAsia="Arial" w:hAnsi="Arial"/>
          <w:sz w:val="18"/>
          <w:szCs w:val="18"/>
          <w:color w:val="auto"/>
        </w:rPr>
        <w:t>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Angela Larkin</w:t>
            </w:r>
          </w:p>
        </w:tc>
      </w:tr>
      <w:tr>
        <w:trPr>
          <w:trHeight w:val="195"/>
        </w:trPr>
        <w:tc>
          <w:tcPr>
            <w:tcW w:w="2860" w:type="dxa"/>
            <w:vAlign w:val="bottom"/>
          </w:tcPr>
          <w:p>
            <w:pPr>
              <w:ind w:left="232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Angela Larkin</w:t>
            </w:r>
          </w:p>
        </w:tc>
      </w:t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Vice President</w:t>
            </w:r>
          </w:p>
        </w:tc>
      </w:tr>
      <w:tr>
        <w:trPr>
          <w:trHeight w:val="35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6"/>
              </w:rPr>
              <w:t>TORO CREDIT AGREEMENT</w:t>
            </w:r>
          </w:p>
        </w:tc>
        <w:tc>
          <w:tcPr>
            <w:tcW w:w="4020" w:type="dxa"/>
            <w:vAlign w:val="bottom"/>
          </w:tcPr>
          <w:p>
            <w:pPr>
              <w:spacing w:after="0"/>
              <w:rPr>
                <w:sz w:val="24"/>
                <w:szCs w:val="24"/>
                <w:color w:val="auto"/>
              </w:rPr>
            </w:pPr>
          </w:p>
        </w:tc>
      </w:tr>
      <w:tr>
        <w:trPr>
          <w:trHeight w:val="23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3"/>
              </w:rPr>
              <w:t>SIGNATURE PAGE</w:t>
            </w:r>
          </w:p>
        </w:tc>
        <w:tc>
          <w:tcPr>
            <w:tcW w:w="4020" w:type="dxa"/>
            <w:vAlign w:val="bottom"/>
          </w:tcPr>
          <w:p>
            <w:pPr>
              <w:spacing w:after="0"/>
              <w:rPr>
                <w:sz w:val="20"/>
                <w:szCs w:val="20"/>
                <w:color w:val="auto"/>
              </w:rPr>
            </w:pPr>
          </w:p>
        </w:tc>
      </w:tr>
    </w:tbl>
    <w:p>
      <w:pPr>
        <w:sectPr>
          <w:pgSz w:w="11900" w:h="16838" w:orient="portrait"/>
          <w:cols w:equalWidth="0" w:num="1">
            <w:col w:w="10220"/>
          </w:cols>
          <w:pgMar w:left="1440" w:top="270" w:right="239" w:bottom="1440" w:gutter="0" w:footer="0" w:header="0"/>
        </w:sectPr>
      </w:pPr>
    </w:p>
    <w:bookmarkStart w:id="227" w:name="page228"/>
    <w:bookmarkEnd w:id="2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BANK OF AMERICA, N.A., </w:t>
      </w:r>
      <w:r>
        <w:rPr>
          <w:rFonts w:ascii="Arial" w:cs="Arial" w:eastAsia="Arial" w:hAnsi="Arial"/>
          <w:sz w:val="18"/>
          <w:szCs w:val="18"/>
          <w:color w:val="auto"/>
        </w:rPr>
        <w:t>as a Lender, L/C</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Issuer and Swing Line Lender</w:t>
      </w:r>
    </w:p>
    <w:p>
      <w:pPr>
        <w:spacing w:after="0" w:line="211"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 Quinn Richardson</w:t>
            </w:r>
          </w:p>
        </w:tc>
      </w:tr>
      <w:tr>
        <w:trPr>
          <w:trHeight w:val="195"/>
        </w:trPr>
        <w:tc>
          <w:tcPr>
            <w:tcW w:w="2860" w:type="dxa"/>
            <w:vAlign w:val="bottom"/>
          </w:tcPr>
          <w:p>
            <w:pPr>
              <w:ind w:left="232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 Quinn Richardson</w:t>
            </w:r>
          </w:p>
        </w:tc>
      </w:t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35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6"/>
              </w:rPr>
              <w:t>TORO CREDIT AGREEMENT</w:t>
            </w:r>
          </w:p>
        </w:tc>
        <w:tc>
          <w:tcPr>
            <w:tcW w:w="4020" w:type="dxa"/>
            <w:vAlign w:val="bottom"/>
          </w:tcPr>
          <w:p>
            <w:pPr>
              <w:spacing w:after="0"/>
              <w:rPr>
                <w:sz w:val="24"/>
                <w:szCs w:val="24"/>
                <w:color w:val="auto"/>
              </w:rPr>
            </w:pPr>
          </w:p>
        </w:tc>
      </w:tr>
      <w:tr>
        <w:trPr>
          <w:trHeight w:val="23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3"/>
              </w:rPr>
              <w:t>SIGNATURE PAGE</w:t>
            </w:r>
          </w:p>
        </w:tc>
        <w:tc>
          <w:tcPr>
            <w:tcW w:w="4020" w:type="dxa"/>
            <w:vAlign w:val="bottom"/>
          </w:tcPr>
          <w:p>
            <w:pPr>
              <w:spacing w:after="0"/>
              <w:rPr>
                <w:sz w:val="20"/>
                <w:szCs w:val="20"/>
                <w:color w:val="auto"/>
              </w:rPr>
            </w:pPr>
          </w:p>
        </w:tc>
      </w:tr>
    </w:tbl>
    <w:p>
      <w:pPr>
        <w:sectPr>
          <w:pgSz w:w="11900" w:h="16838" w:orient="portrait"/>
          <w:cols w:equalWidth="0" w:num="1">
            <w:col w:w="10220"/>
          </w:cols>
          <w:pgMar w:left="1440" w:top="270" w:right="239" w:bottom="1440" w:gutter="0" w:footer="0" w:header="0"/>
        </w:sectPr>
      </w:pPr>
    </w:p>
    <w:bookmarkStart w:id="228" w:name="page229"/>
    <w:bookmarkEnd w:id="22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a Lender and sole Syndication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24"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Keith Luettel</w:t>
            </w:r>
          </w:p>
        </w:tc>
      </w:tr>
      <w:tr>
        <w:trPr>
          <w:trHeight w:val="195"/>
        </w:trPr>
        <w:tc>
          <w:tcPr>
            <w:tcW w:w="2860" w:type="dxa"/>
            <w:vAlign w:val="bottom"/>
          </w:tcPr>
          <w:p>
            <w:pPr>
              <w:ind w:left="232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Keith Luettel</w:t>
            </w:r>
          </w:p>
        </w:tc>
      </w:t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35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6"/>
              </w:rPr>
              <w:t>TORO CREDIT AGREEMENT</w:t>
            </w:r>
          </w:p>
        </w:tc>
        <w:tc>
          <w:tcPr>
            <w:tcW w:w="4020" w:type="dxa"/>
            <w:vAlign w:val="bottom"/>
          </w:tcPr>
          <w:p>
            <w:pPr>
              <w:spacing w:after="0"/>
              <w:rPr>
                <w:sz w:val="24"/>
                <w:szCs w:val="24"/>
                <w:color w:val="auto"/>
              </w:rPr>
            </w:pPr>
          </w:p>
        </w:tc>
      </w:tr>
      <w:tr>
        <w:trPr>
          <w:trHeight w:val="23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3"/>
              </w:rPr>
              <w:t>SIGNATURE PAGE</w:t>
            </w:r>
          </w:p>
        </w:tc>
        <w:tc>
          <w:tcPr>
            <w:tcW w:w="4020" w:type="dxa"/>
            <w:vAlign w:val="bottom"/>
          </w:tcPr>
          <w:p>
            <w:pPr>
              <w:spacing w:after="0"/>
              <w:rPr>
                <w:sz w:val="20"/>
                <w:szCs w:val="20"/>
                <w:color w:val="auto"/>
              </w:rPr>
            </w:pPr>
          </w:p>
        </w:tc>
      </w:tr>
    </w:tbl>
    <w:p>
      <w:pPr>
        <w:sectPr>
          <w:pgSz w:w="11900" w:h="16838" w:orient="portrait"/>
          <w:cols w:equalWidth="0" w:num="1">
            <w:col w:w="10220"/>
          </w:cols>
          <w:pgMar w:left="1440" w:top="270" w:right="239" w:bottom="1440" w:gutter="0" w:footer="0" w:header="0"/>
        </w:sectPr>
      </w:pPr>
    </w:p>
    <w:bookmarkStart w:id="229" w:name="page230"/>
    <w:bookmarkEnd w:id="22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BANK NATIONAL ASSOCIATION</w:t>
      </w:r>
    </w:p>
    <w:p>
      <w:pPr>
        <w:spacing w:after="0" w:line="229"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Ludmila Yakovlev</w:t>
            </w:r>
          </w:p>
        </w:tc>
      </w:tr>
      <w:tr>
        <w:trPr>
          <w:trHeight w:val="195"/>
        </w:trPr>
        <w:tc>
          <w:tcPr>
            <w:tcW w:w="2860" w:type="dxa"/>
            <w:vAlign w:val="bottom"/>
          </w:tcPr>
          <w:p>
            <w:pPr>
              <w:ind w:left="232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Mila Yakovlev</w:t>
            </w:r>
          </w:p>
        </w:tc>
      </w:t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35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6"/>
              </w:rPr>
              <w:t>TORO CREDIT AGREEMENT</w:t>
            </w:r>
          </w:p>
        </w:tc>
        <w:tc>
          <w:tcPr>
            <w:tcW w:w="4020" w:type="dxa"/>
            <w:vAlign w:val="bottom"/>
          </w:tcPr>
          <w:p>
            <w:pPr>
              <w:spacing w:after="0"/>
              <w:rPr>
                <w:sz w:val="24"/>
                <w:szCs w:val="24"/>
                <w:color w:val="auto"/>
              </w:rPr>
            </w:pPr>
          </w:p>
        </w:tc>
      </w:tr>
      <w:tr>
        <w:trPr>
          <w:trHeight w:val="23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3"/>
              </w:rPr>
              <w:t>SIGNATURE PAGE</w:t>
            </w:r>
          </w:p>
        </w:tc>
        <w:tc>
          <w:tcPr>
            <w:tcW w:w="4020" w:type="dxa"/>
            <w:vAlign w:val="bottom"/>
          </w:tcPr>
          <w:p>
            <w:pPr>
              <w:spacing w:after="0"/>
              <w:rPr>
                <w:sz w:val="20"/>
                <w:szCs w:val="20"/>
                <w:color w:val="auto"/>
              </w:rPr>
            </w:pPr>
          </w:p>
        </w:tc>
      </w:tr>
    </w:tbl>
    <w:p>
      <w:pPr>
        <w:sectPr>
          <w:pgSz w:w="11900" w:h="16838" w:orient="portrait"/>
          <w:cols w:equalWidth="0" w:num="1">
            <w:col w:w="10220"/>
          </w:cols>
          <w:pgMar w:left="1440" w:top="270" w:right="239" w:bottom="1440" w:gutter="0" w:footer="0" w:header="0"/>
        </w:sectPr>
      </w:pPr>
    </w:p>
    <w:bookmarkStart w:id="230" w:name="page231"/>
    <w:bookmarkEnd w:id="23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BMO HARRIS BANK N.A.</w:t>
      </w:r>
    </w:p>
    <w:p>
      <w:pPr>
        <w:spacing w:after="0" w:line="229"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H. Wolohan</w:t>
            </w:r>
          </w:p>
        </w:tc>
      </w:tr>
      <w:tr>
        <w:trPr>
          <w:trHeight w:val="195"/>
        </w:trPr>
        <w:tc>
          <w:tcPr>
            <w:tcW w:w="2860" w:type="dxa"/>
            <w:vAlign w:val="bottom"/>
          </w:tcPr>
          <w:p>
            <w:pPr>
              <w:ind w:left="232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Robert H. Wolohan</w:t>
            </w:r>
          </w:p>
        </w:tc>
      </w:t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35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6"/>
              </w:rPr>
              <w:t>TORO CREDIT AGREEMENT</w:t>
            </w:r>
          </w:p>
        </w:tc>
        <w:tc>
          <w:tcPr>
            <w:tcW w:w="4020" w:type="dxa"/>
            <w:vAlign w:val="bottom"/>
          </w:tcPr>
          <w:p>
            <w:pPr>
              <w:spacing w:after="0"/>
              <w:rPr>
                <w:sz w:val="24"/>
                <w:szCs w:val="24"/>
                <w:color w:val="auto"/>
              </w:rPr>
            </w:pPr>
          </w:p>
        </w:tc>
      </w:tr>
      <w:tr>
        <w:trPr>
          <w:trHeight w:val="23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3"/>
              </w:rPr>
              <w:t>SIGNATURE PAGE</w:t>
            </w:r>
          </w:p>
        </w:tc>
        <w:tc>
          <w:tcPr>
            <w:tcW w:w="4020" w:type="dxa"/>
            <w:vAlign w:val="bottom"/>
          </w:tcPr>
          <w:p>
            <w:pPr>
              <w:spacing w:after="0"/>
              <w:rPr>
                <w:sz w:val="20"/>
                <w:szCs w:val="20"/>
                <w:color w:val="auto"/>
              </w:rPr>
            </w:pPr>
          </w:p>
        </w:tc>
      </w:tr>
    </w:tbl>
    <w:p>
      <w:pPr>
        <w:sectPr>
          <w:pgSz w:w="11900" w:h="16838" w:orient="portrait"/>
          <w:cols w:equalWidth="0" w:num="1">
            <w:col w:w="10220"/>
          </w:cols>
          <w:pgMar w:left="1440" w:top="270" w:right="239" w:bottom="1440" w:gutter="0" w:footer="0" w:header="0"/>
        </w:sectPr>
      </w:pPr>
    </w:p>
    <w:bookmarkStart w:id="231" w:name="page232"/>
    <w:bookmarkEnd w:id="23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w:t>
      </w:r>
    </w:p>
    <w:p>
      <w:pPr>
        <w:spacing w:after="0" w:line="229" w:lineRule="exact"/>
        <w:rPr>
          <w:sz w:val="20"/>
          <w:szCs w:val="20"/>
          <w:color w:val="auto"/>
        </w:rPr>
      </w:pPr>
    </w:p>
    <w:tbl>
      <w:tblPr>
        <w:tblLayout w:type="fixed"/>
        <w:tblInd w:w="3340" w:type="dxa"/>
        <w:tblCellMar>
          <w:top w:w="0" w:type="dxa"/>
          <w:left w:w="0" w:type="dxa"/>
          <w:bottom w:w="0" w:type="dxa"/>
          <w:right w:w="0" w:type="dxa"/>
        </w:tblCellMar>
      </w:tblP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Graeme Robertson</w:t>
            </w:r>
          </w:p>
        </w:tc>
      </w:tr>
      <w:tr>
        <w:trPr>
          <w:trHeight w:val="195"/>
        </w:trPr>
        <w:tc>
          <w:tcPr>
            <w:tcW w:w="2860" w:type="dxa"/>
            <w:vAlign w:val="bottom"/>
          </w:tcPr>
          <w:p>
            <w:pPr>
              <w:ind w:left="2320"/>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Graeme Robertson</w:t>
            </w:r>
          </w:p>
        </w:tc>
      </w:tr>
      <w:tr>
        <w:trPr>
          <w:trHeight w:val="230"/>
        </w:trPr>
        <w:tc>
          <w:tcPr>
            <w:tcW w:w="2860" w:type="dxa"/>
            <w:vAlign w:val="bottom"/>
          </w:tcPr>
          <w:p>
            <w:pPr>
              <w:ind w:left="232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35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6"/>
              </w:rPr>
              <w:t>TORO CREDIT AGREEMENT</w:t>
            </w:r>
          </w:p>
        </w:tc>
        <w:tc>
          <w:tcPr>
            <w:tcW w:w="4020" w:type="dxa"/>
            <w:vAlign w:val="bottom"/>
          </w:tcPr>
          <w:p>
            <w:pPr>
              <w:spacing w:after="0"/>
              <w:rPr>
                <w:sz w:val="24"/>
                <w:szCs w:val="24"/>
                <w:color w:val="auto"/>
              </w:rPr>
            </w:pPr>
          </w:p>
        </w:tc>
      </w:tr>
      <w:tr>
        <w:trPr>
          <w:trHeight w:val="230"/>
        </w:trPr>
        <w:tc>
          <w:tcPr>
            <w:tcW w:w="2860" w:type="dxa"/>
            <w:vAlign w:val="bottom"/>
          </w:tcPr>
          <w:p>
            <w:pPr>
              <w:jc w:val="center"/>
              <w:ind w:right="430"/>
              <w:spacing w:after="0"/>
              <w:rPr>
                <w:sz w:val="20"/>
                <w:szCs w:val="20"/>
                <w:color w:val="auto"/>
              </w:rPr>
            </w:pPr>
            <w:r>
              <w:rPr>
                <w:rFonts w:ascii="Arial" w:cs="Arial" w:eastAsia="Arial" w:hAnsi="Arial"/>
                <w:sz w:val="18"/>
                <w:szCs w:val="18"/>
                <w:color w:val="auto"/>
                <w:w w:val="93"/>
              </w:rPr>
              <w:t>SIGNATURE PAGE</w:t>
            </w:r>
          </w:p>
        </w:tc>
        <w:tc>
          <w:tcPr>
            <w:tcW w:w="4020" w:type="dxa"/>
            <w:vAlign w:val="bottom"/>
          </w:tcPr>
          <w:p>
            <w:pPr>
              <w:spacing w:after="0"/>
              <w:rPr>
                <w:sz w:val="20"/>
                <w:szCs w:val="20"/>
                <w:color w:val="auto"/>
              </w:rPr>
            </w:pPr>
          </w:p>
        </w:tc>
      </w:tr>
    </w:tbl>
    <w:p>
      <w:pPr>
        <w:sectPr>
          <w:pgSz w:w="11900" w:h="16838" w:orient="portrait"/>
          <w:cols w:equalWidth="0" w:num="1">
            <w:col w:w="10220"/>
          </w:cols>
          <w:pgMar w:left="1440" w:top="270"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71880" cy="702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ind w:left="440" w:hanging="432"/>
        <w:spacing w:after="0"/>
        <w:tabs>
          <w:tab w:leader="none" w:pos="4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887-8917, </w:t>
      </w:r>
      <w:r>
        <w:rPr>
          <w:rFonts w:ascii="Arial" w:cs="Arial" w:eastAsia="Arial" w:hAnsi="Arial"/>
          <w:sz w:val="18"/>
          <w:szCs w:val="18"/>
          <w:u w:val="single" w:color="auto"/>
          <w:color w:val="auto"/>
        </w:rPr>
        <w:t>amy.dahl@toro.com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branden.happel@toro.com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to Acquire BOSS</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Professional Snow and Ice Management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to Significantly Expand Product Portfolio for Important Contractor Market</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BLOOMINGTON, Minn. (October 27, 2014) — The Toro Company (NYSE: TTC) today announced that it has entered into a definitive agreement to acquire the BOSS</w:t>
      </w:r>
      <w:r>
        <w:rPr>
          <w:rFonts w:ascii="Arial" w:cs="Arial" w:eastAsia="Arial" w:hAnsi="Arial"/>
          <w:sz w:val="14"/>
          <w:szCs w:val="14"/>
          <w:b w:val="1"/>
          <w:bCs w:val="1"/>
          <w:color w:val="auto"/>
        </w:rPr>
        <w:t>®</w:t>
      </w:r>
      <w:r>
        <w:rPr>
          <w:rFonts w:ascii="Arial" w:cs="Arial" w:eastAsia="Arial" w:hAnsi="Arial"/>
          <w:sz w:val="17"/>
          <w:szCs w:val="17"/>
          <w:color w:val="auto"/>
        </w:rPr>
        <w:t xml:space="preserve"> professional snow and ice management business of privately-held Northern Star Industries, Inc. The transaction is subject to customary closing conditions, including regulatory approvals, and currently is expected to close during Toro’s fiscal 2015 first quarter.</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Based in Iron Mountain, Michigan, BOSS designs, manufactures and sells snowplows, salt and sand spreaders, and related parts and accessories, for light and medium duty trucks, ATVs, UTVs and loaders. BOSS sales in 2014 are anticipated to be approximately $125 million. To learn more about BOSS, visit </w:t>
      </w:r>
      <w:r>
        <w:rPr>
          <w:rFonts w:ascii="Arial" w:cs="Arial" w:eastAsia="Arial" w:hAnsi="Arial"/>
          <w:sz w:val="18"/>
          <w:szCs w:val="18"/>
          <w:u w:val="single" w:color="auto"/>
          <w:color w:val="auto"/>
        </w:rPr>
        <w:t>www.bossplow.com</w:t>
      </w:r>
      <w:r>
        <w:rPr>
          <w:rFonts w:ascii="Arial" w:cs="Arial" w:eastAsia="Arial" w:hAnsi="Arial"/>
          <w:sz w:val="18"/>
          <w:szCs w:val="18"/>
          <w:color w:val="auto"/>
        </w:rPr>
        <w:t>.</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 the addition of BOSS to our existing market-leading professional contractor businesses, we are even better positioned to strengthen and grow our relationships with these important customers by providing them with the innovative and durable equipment and high-quality service they need for each season,” said Michael J. Hoffman, Toro’s chairman and chief executive officer. “We’ve long been interested in the professional snow and ice management category. We are impressed with BOSS’ solid business performance and we are optimistic about the opportunities for growth through product line expansion and in international markets.”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“Through this acquisition, we will gain another strong professional contractor brand, a portfolio of reliable counter-seasonal equipment, efficient manufacturing operations and a well-established and broad North American distribution channel for these products,” said Hoffman. “In addition, BOSS brings a talented and experienced management team, a passionate and dedicated team of employees and a culture of innovation and customer service that is similar to our own.”</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a privately-held business in a smaller community, it is essential to us that BOSS transition to a company that not only is well-positioned to take us to the next level but also shares our commitment to innovation, customers, employees and the communities in which we live and work,” said David Brule II, President of BOSS. “We are impressed with Toro, its rich 100 year history and consistent record of performance. Overall, it is a great fit for us. On behalf of myself and the entire BOSS team, we look forward to the next phase of the BOSS journey as part of the Toro family.”</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purchase price is approximately $227 million, which Toro will pay primarily in cash except for $30 million that will be paid in the form of a three-year unsecured promissory note. Toro plans to fund the cash portion of the purchase price with cash on hand and borrowings under a new five-year unsecured revolving credit facility that includes a senior term loan. Toro expects this acquisition to be slightly accretive to fiscal 2015 earnings.</w:t>
      </w:r>
    </w:p>
    <w:p>
      <w:pPr>
        <w:sectPr>
          <w:pgSz w:w="11900" w:h="16838" w:orient="portrait"/>
          <w:cols w:equalWidth="0" w:num="1">
            <w:col w:w="11420"/>
          </w:cols>
          <w:pgMar w:left="240" w:top="121"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The Toro Company</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The Toro Company (NYSE: TTC) is a leading worldwide provider of innovative turf, landscape, rental and construction equipment, and irrigation and outdoor lighting solutions. With sales of more than $2 billion in fiscal 2013,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28, 2014 at 8:00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1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The Toro Company will conduct a call and webcast for investors beginning at 8:00 a.m. CDT on October 28, 2014 to discuss its agreement to acquire the BOSS snow and ice management business. The webcast will be available at </w:t>
      </w:r>
      <w:r>
        <w:rPr>
          <w:rFonts w:ascii="Arial" w:cs="Arial" w:eastAsia="Arial" w:hAnsi="Arial"/>
          <w:sz w:val="18"/>
          <w:szCs w:val="18"/>
          <w:i w:val="1"/>
          <w:iCs w:val="1"/>
          <w:u w:val="single" w:color="auto"/>
          <w:color w:val="auto"/>
        </w:rPr>
        <w:t>www.streetevents.com</w:t>
      </w:r>
      <w:r>
        <w:rPr>
          <w:rFonts w:ascii="Arial" w:cs="Arial" w:eastAsia="Arial" w:hAnsi="Arial"/>
          <w:sz w:val="18"/>
          <w:szCs w:val="18"/>
          <w:i w:val="1"/>
          <w:iCs w:val="1"/>
          <w:color w:val="auto"/>
        </w:rPr>
        <w:t xml:space="preserve"> or at </w:t>
      </w:r>
      <w:r>
        <w:rPr>
          <w:rFonts w:ascii="Arial" w:cs="Arial" w:eastAsia="Arial" w:hAnsi="Arial"/>
          <w:sz w:val="18"/>
          <w:szCs w:val="18"/>
          <w:i w:val="1"/>
          <w:iCs w:val="1"/>
          <w:u w:val="single" w:color="auto"/>
          <w:color w:val="auto"/>
        </w:rPr>
        <w:t>www.thetorocompany.com/invest</w:t>
      </w:r>
      <w:r>
        <w:rPr>
          <w:rFonts w:ascii="Arial" w:cs="Arial" w:eastAsia="Arial" w:hAnsi="Arial"/>
          <w:sz w:val="18"/>
          <w:szCs w:val="18"/>
          <w:i w:val="1"/>
          <w:iCs w:val="1"/>
          <w:color w:val="auto"/>
        </w:rPr>
        <w:t>. Webcast participants will need to complete a brief registration form and should allocate extra time before the webcast begins to register and, if necessary, download and install audio software.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news release contains forward-looking statements, which are being made pursuant to the safe harbor provisions of the Private Securities Litigation Reform Act of 1995. These forward-looking statements are based on management’s current expectations of future events, and often can be identified by words such as “expect,” “anticipate,” “continue,” “plan,” “estimate,” “project,” “believe,” “should,” “could,” “will,” “would,” “possible,” “may,” “likely,” “intend,” and similar expressions or future dates. Some of the forward-looking statements in this release about Toro’s acquisition of the BOSS business include the anticipated timing for the consummation of the acquisition, plans for funding the acquisition purchase price and anticipated earnings impact. Forward-looking statements involve risks and uncertainties that could cause actual results to differ materially from those projected or implied. The following are some of the factors known to Toro that could cause Toro’s actual results to differ materially from what Toro has anticipated in its forward-looking statements: delays in completing the acquisition of the BOSS business and the risk that the acquisition may not be completed at all; the failure by Toro to achieve the net sales, earnings, working capital, capital expenditure, growth prospects and any cost or revenue synergies expected from the acquisition or delays in the realization thereof; delays and challenges in integrating the businesses after the acquisition is completed, including risks associated with information or financial systems; operating costs and business disruption during the pendency of and following the acquisition, including adverse effects on employee relations or retention or on business relationships with third parties, including customers, distributors and dealers; loss of key personnel; violation of non-competition covenants by key individuals of the BOSS business; damage to the BOSS business facilities located in Iron Mountain, Michigan causing a material disruption to the operations; failure to comply with applicable international, federal or state product safety or other regulatory standards or requirements; unanticipated liabilities or exposures associated with the BOSS business for which Toro has not been indemnified or may not recover; infringement of intellectual property rights of others associated with the rights acquired in the acquisition; general adverse business, economic or competitive conditions;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1)"/>
      <w:numFmt w:val="decimal"/>
      <w:start w:val="3"/>
    </w:lvl>
  </w:abstractNum>
  <w:abstractNum w:abstractNumId="2">
    <w:nsid w:val="6E534CDE"/>
    <w:multiLevelType w:val="hybridMultilevel"/>
    <w:lvl w:ilvl="0">
      <w:lvlJc w:val="left"/>
      <w:lvlText w:val="(%1)"/>
      <w:numFmt w:val="lowerLetter"/>
      <w:start w:val="4"/>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
      <w:numFmt w:val="bullet"/>
      <w:start w:val="1"/>
    </w:lvl>
  </w:abstractNum>
  <w:abstractNum w:abstractNumId="5">
    <w:nsid w:val="46263DEC"/>
    <w:multiLevelType w:val="hybridMultilevel"/>
    <w:lvl w:ilvl="0">
      <w:lvlJc w:val="left"/>
      <w:lvlText w:val="(%1)"/>
      <w:numFmt w:val="lowerLetter"/>
      <w:start w:val="1"/>
    </w:lvl>
  </w:abstractNum>
  <w:abstractNum w:abstractNumId="6">
    <w:nsid w:val="260D8C4A"/>
    <w:multiLevelType w:val="hybridMultilevel"/>
    <w:lvl w:ilvl="0">
      <w:lvlJc w:val="left"/>
      <w:lvlText w:val="(%1)"/>
      <w:numFmt w:val="lowerLetter"/>
      <w:start w:val="2"/>
    </w:lvl>
  </w:abstractNum>
  <w:abstractNum w:abstractNumId="7">
    <w:nsid w:val="73D4D3C4"/>
    <w:multiLevelType w:val="hybridMultilevel"/>
    <w:lvl w:ilvl="0">
      <w:lvlJc w:val="left"/>
      <w:lvlText w:val="(%1)"/>
      <w:numFmt w:val="lowerLetter"/>
      <w:start w:val="9"/>
    </w:lvl>
  </w:abstractNum>
  <w:abstractNum w:abstractNumId="8">
    <w:nsid w:val="746F2E30"/>
    <w:multiLevelType w:val="hybridMultilevel"/>
    <w:lvl w:ilvl="0">
      <w:lvlJc w:val="left"/>
      <w:lvlText w:val="(%1)"/>
      <w:numFmt w:val="lowerLetter"/>
      <w:start w:val="1"/>
    </w:lvl>
  </w:abstractNum>
  <w:abstractNum w:abstractNumId="9">
    <w:nsid w:val="6FDE8AF6"/>
    <w:multiLevelType w:val="hybridMultilevel"/>
    <w:lvl w:ilvl="0">
      <w:lvlJc w:val="left"/>
      <w:lvlText w:val="(%1)"/>
      <w:numFmt w:val="lowerLetter"/>
      <w:start w:val="9"/>
    </w:lvl>
  </w:abstractNum>
  <w:abstractNum w:abstractNumId="10">
    <w:nsid w:val="3FC32E20"/>
    <w:multiLevelType w:val="hybridMultilevel"/>
    <w:lvl w:ilvl="0">
      <w:lvlJc w:val="left"/>
      <w:lvlText w:val="(%1)"/>
      <w:numFmt w:val="lowerLetter"/>
      <w:start w:val="1"/>
    </w:lvl>
  </w:abstractNum>
  <w:abstractNum w:abstractNumId="11">
    <w:nsid w:val="49C0E823"/>
    <w:multiLevelType w:val="hybridMultilevel"/>
    <w:lvl w:ilvl="0">
      <w:lvlJc w:val="left"/>
      <w:lvlText w:val="(%1)"/>
      <w:numFmt w:val="lowerLetter"/>
      <w:start w:val="1"/>
    </w:lvl>
  </w:abstractNum>
  <w:abstractNum w:abstractNumId="12">
    <w:nsid w:val="14D53685"/>
    <w:multiLevelType w:val="hybridMultilevel"/>
    <w:lvl w:ilvl="0">
      <w:lvlJc w:val="left"/>
      <w:lvlText w:val="%1"/>
      <w:numFmt w:val="lowerRoman"/>
      <w:start w:val="1"/>
    </w:lvl>
    <w:lvl w:ilvl="1">
      <w:lvlJc w:val="left"/>
      <w:lvlText w:val="(%2)"/>
      <w:numFmt w:val="lowerLetter"/>
      <w:start w:val="1"/>
    </w:lvl>
  </w:abstractNum>
  <w:abstractNum w:abstractNumId="13">
    <w:nsid w:val="230F856C"/>
    <w:multiLevelType w:val="hybridMultilevel"/>
    <w:lvl w:ilvl="0">
      <w:lvlJc w:val="left"/>
      <w:lvlText w:val="(%1)"/>
      <w:numFmt w:val="lowerRoman"/>
      <w:start w:val="1"/>
    </w:lvl>
    <w:lvl w:ilvl="1">
      <w:lvlJc w:val="left"/>
      <w:lvlText w:val="%2"/>
      <w:numFmt w:val="lowerLetter"/>
      <w:start w:val="1"/>
    </w:lvl>
  </w:abstractNum>
  <w:abstractNum w:abstractNumId="14">
    <w:nsid w:val="6EAA85FB"/>
    <w:multiLevelType w:val="hybridMultilevel"/>
    <w:lvl w:ilvl="0">
      <w:lvlJc w:val="left"/>
      <w:lvlText w:val="(%1)"/>
      <w:numFmt w:val="lowerRoman"/>
      <w:start w:val="4"/>
    </w:lvl>
    <w:lvl w:ilvl="1">
      <w:lvlJc w:val="left"/>
      <w:lvlText w:val="(%2)"/>
      <w:numFmt w:val="lowerLetter"/>
      <w:start w:val="2"/>
    </w:lvl>
  </w:abstractNum>
  <w:abstractNum w:abstractNumId="15">
    <w:nsid w:val="3F06ECB2"/>
    <w:multiLevelType w:val="hybridMultilevel"/>
    <w:lvl w:ilvl="0">
      <w:lvlJc w:val="left"/>
      <w:lvlText w:val="(%1)"/>
      <w:numFmt w:val="lowerLetter"/>
      <w:start w:val="1"/>
    </w:lvl>
  </w:abstractNum>
  <w:abstractNum w:abstractNumId="16">
    <w:nsid w:val="3B594807"/>
    <w:multiLevelType w:val="hybridMultilevel"/>
    <w:lvl w:ilvl="0">
      <w:lvlJc w:val="left"/>
      <w:lvlText w:val="(%1)"/>
      <w:numFmt w:val="lowerLetter"/>
      <w:start w:val="1"/>
    </w:lvl>
  </w:abstractNum>
  <w:abstractNum w:abstractNumId="17">
    <w:nsid w:val="6CAA2304"/>
    <w:multiLevelType w:val="hybridMultilevel"/>
    <w:lvl w:ilvl="0">
      <w:lvlJc w:val="left"/>
      <w:lvlText w:val="(%1)"/>
      <w:numFmt w:val="lowerLetter"/>
      <w:start w:val="3"/>
    </w:lvl>
  </w:abstractNum>
  <w:abstractNum w:abstractNumId="18">
    <w:nsid w:val="3F7C2FF4"/>
    <w:multiLevelType w:val="hybridMultilevel"/>
    <w:lvl w:ilvl="0">
      <w:lvlJc w:val="left"/>
      <w:lvlText w:val="(%1)"/>
      <w:numFmt w:val="lowerLetter"/>
      <w:start w:val="1"/>
    </w:lvl>
  </w:abstractNum>
  <w:abstractNum w:abstractNumId="19">
    <w:nsid w:val="25413BEC"/>
    <w:multiLevelType w:val="hybridMultilevel"/>
    <w:lvl w:ilvl="0">
      <w:lvlJc w:val="left"/>
      <w:lvlText w:val="(%1)"/>
      <w:numFmt w:val="lowerLetter"/>
      <w:start w:val="2"/>
    </w:lvl>
  </w:abstractNum>
  <w:abstractNum w:abstractNumId="20">
    <w:nsid w:val="17180B0B"/>
    <w:multiLevelType w:val="hybridMultilevel"/>
    <w:lvl w:ilvl="0">
      <w:lvlJc w:val="left"/>
      <w:lvlText w:val="(%1)"/>
      <w:numFmt w:val="lowerLetter"/>
      <w:start w:val="1"/>
    </w:lvl>
  </w:abstractNum>
  <w:abstractNum w:abstractNumId="21">
    <w:nsid w:val="579328B9"/>
    <w:multiLevelType w:val="hybridMultilevel"/>
    <w:lvl w:ilvl="0">
      <w:lvlJc w:val="left"/>
      <w:lvlText w:val="(%1)"/>
      <w:numFmt w:val="lowerLetter"/>
      <w:start w:val="6"/>
    </w:lvl>
  </w:abstractNum>
  <w:abstractNum w:abstractNumId="22">
    <w:nsid w:val="5D205E20"/>
    <w:multiLevelType w:val="hybridMultilevel"/>
    <w:lvl w:ilvl="0">
      <w:lvlJc w:val="left"/>
      <w:lvlText w:val="(%1)"/>
      <w:numFmt w:val="lowerLetter"/>
      <w:start w:val="1"/>
    </w:lvl>
  </w:abstractNum>
  <w:abstractNum w:abstractNumId="23">
    <w:nsid w:val="11CCA8BA"/>
    <w:multiLevelType w:val="hybridMultilevel"/>
    <w:lvl w:ilvl="0">
      <w:lvlJc w:val="left"/>
      <w:lvlText w:val="(%1)"/>
      <w:numFmt w:val="lowerLetter"/>
      <w:start w:val="1"/>
    </w:lvl>
    <w:lvl w:ilvl="1">
      <w:lvlJc w:val="left"/>
      <w:lvlText w:val="(%2)"/>
      <w:numFmt w:val="lowerLetter"/>
      <w:start w:val="9"/>
    </w:lvl>
  </w:abstractNum>
  <w:abstractNum w:abstractNumId="24">
    <w:nsid w:val="4D32AB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5">
    <w:nsid w:val="3F07ACC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
    <w:nsid w:val="6B47F63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7">
    <w:nsid w:val="5CB44A05"/>
    <w:multiLevelType w:val="hybridMultilevel"/>
    <w:lvl w:ilvl="0">
      <w:lvlJc w:val="left"/>
      <w:lvlText w:val="(%1)"/>
      <w:numFmt w:val="lowerLetter"/>
      <w:start w:val="4"/>
    </w:lvl>
  </w:abstractNum>
  <w:abstractNum w:abstractNumId="28">
    <w:nsid w:val="16CF80F1"/>
    <w:multiLevelType w:val="hybridMultilevel"/>
    <w:lvl w:ilvl="0">
      <w:lvlJc w:val="left"/>
      <w:lvlText w:val="(%1)"/>
      <w:numFmt w:val="lowerLetter"/>
      <w:start w:val="1"/>
    </w:lvl>
  </w:abstractNum>
  <w:abstractNum w:abstractNumId="29">
    <w:nsid w:val="1C695DEC"/>
    <w:multiLevelType w:val="hybridMultilevel"/>
    <w:lvl w:ilvl="0">
      <w:lvlJc w:val="left"/>
      <w:lvlText w:val="(%1)"/>
      <w:numFmt w:val="lowerLetter"/>
      <w:start w:val="1"/>
    </w:lvl>
  </w:abstractNum>
  <w:abstractNum w:abstractNumId="30">
    <w:nsid w:val="3FCFAED9"/>
    <w:multiLevelType w:val="hybridMultilevel"/>
    <w:lvl w:ilvl="0">
      <w:lvlJc w:val="left"/>
      <w:lvlText w:val="(%1)"/>
      <w:numFmt w:val="lowerLetter"/>
      <w:start w:val="2"/>
    </w:lvl>
  </w:abstractNum>
  <w:abstractNum w:abstractNumId="31">
    <w:nsid w:val="F856867"/>
    <w:multiLevelType w:val="hybridMultilevel"/>
    <w:lvl w:ilvl="0">
      <w:lvlJc w:val="left"/>
      <w:lvlText w:val="(%1)"/>
      <w:numFmt w:val="lowerLetter"/>
      <w:start w:val="1"/>
    </w:lvl>
    <w:lvl w:ilvl="1">
      <w:lvlJc w:val="left"/>
      <w:lvlText w:val="(%2)"/>
      <w:numFmt w:val="lowerRoman"/>
      <w:start w:val="1"/>
    </w:lvl>
  </w:abstractNum>
  <w:abstractNum w:abstractNumId="32">
    <w:nsid w:val="11B1CC33"/>
    <w:multiLevelType w:val="hybridMultilevel"/>
    <w:lvl w:ilvl="0">
      <w:lvlJc w:val="left"/>
      <w:lvlText w:val="(%1)"/>
      <w:numFmt w:val="lowerRoman"/>
      <w:start w:val="4"/>
    </w:lvl>
  </w:abstractNum>
  <w:abstractNum w:abstractNumId="33">
    <w:nsid w:val="2E22FBB7"/>
    <w:multiLevelType w:val="hybridMultilevel"/>
    <w:lvl w:ilvl="0">
      <w:lvlJc w:val="left"/>
      <w:lvlText w:val="(%1)"/>
      <w:numFmt w:val="lowerLetter"/>
      <w:start w:val="1"/>
    </w:lvl>
  </w:abstractNum>
  <w:abstractNum w:abstractNumId="34">
    <w:nsid w:val="29934699"/>
    <w:multiLevelType w:val="hybridMultilevel"/>
    <w:lvl w:ilvl="0">
      <w:lvlJc w:val="left"/>
      <w:lvlText w:val="(%1)"/>
      <w:numFmt w:val="lowerLetter"/>
      <w:start w:val="1"/>
    </w:lvl>
  </w:abstractNum>
  <w:abstractNum w:abstractNumId="35">
    <w:nsid w:val="77485850"/>
    <w:multiLevelType w:val="hybridMultilevel"/>
    <w:lvl w:ilvl="0">
      <w:lvlJc w:val="left"/>
      <w:lvlText w:val="(%1)"/>
      <w:numFmt w:val="lowerLetter"/>
      <w:start w:val="1"/>
    </w:lvl>
  </w:abstractNum>
  <w:abstractNum w:abstractNumId="36">
    <w:nsid w:val="744939A3"/>
    <w:multiLevelType w:val="hybridMultilevel"/>
    <w:lvl w:ilvl="0">
      <w:lvlJc w:val="left"/>
      <w:lvlText w:val="(%1)"/>
      <w:numFmt w:val="lowerLetter"/>
      <w:start w:val="5"/>
    </w:lvl>
  </w:abstractNum>
  <w:abstractNum w:abstractNumId="37">
    <w:nsid w:val="4FA0D2E3"/>
    <w:multiLevelType w:val="hybridMultilevel"/>
    <w:lvl w:ilvl="0">
      <w:lvlJc w:val="left"/>
      <w:lvlText w:val="(%1)"/>
      <w:numFmt w:val="lowerLetter"/>
      <w:start w:val="1"/>
    </w:lvl>
  </w:abstractNum>
  <w:abstractNum w:abstractNumId="38">
    <w:nsid w:val="6B1D2C14"/>
    <w:multiLevelType w:val="hybridMultilevel"/>
    <w:lvl w:ilvl="0">
      <w:lvlJc w:val="left"/>
      <w:lvlText w:val="(%1)"/>
      <w:numFmt w:val="lowerLetter"/>
      <w:start w:val="1"/>
    </w:lvl>
  </w:abstractNum>
  <w:abstractNum w:abstractNumId="39">
    <w:nsid w:val="68B867D3"/>
    <w:multiLevelType w:val="hybridMultilevel"/>
    <w:lvl w:ilvl="0">
      <w:lvlJc w:val="left"/>
      <w:lvlText w:val="(%1)"/>
      <w:numFmt w:val="lowerLetter"/>
      <w:start w:val="1"/>
    </w:lvl>
  </w:abstractNum>
  <w:abstractNum w:abstractNumId="40">
    <w:nsid w:val="3F7F5DD9"/>
    <w:multiLevelType w:val="hybridMultilevel"/>
    <w:lvl w:ilvl="0">
      <w:lvlJc w:val="left"/>
      <w:lvlText w:val="(%1)"/>
      <w:numFmt w:val="lowerLetter"/>
      <w:start w:val="2"/>
    </w:lvl>
  </w:abstractNum>
  <w:abstractNum w:abstractNumId="41">
    <w:nsid w:val="2AE05A34"/>
    <w:multiLevelType w:val="hybridMultilevel"/>
    <w:lvl w:ilvl="0">
      <w:lvlJc w:val="left"/>
      <w:lvlText w:val="(%1)"/>
      <w:numFmt w:val="lowerLetter"/>
      <w:start w:val="1"/>
    </w:lvl>
  </w:abstractNum>
  <w:abstractNum w:abstractNumId="42">
    <w:nsid w:val="32794FF7"/>
    <w:multiLevelType w:val="hybridMultilevel"/>
    <w:lvl w:ilvl="0">
      <w:lvlJc w:val="left"/>
      <w:lvlText w:val="(%1)"/>
      <w:numFmt w:val="lowerLetter"/>
      <w:start w:val="1"/>
    </w:lvl>
  </w:abstractNum>
  <w:abstractNum w:abstractNumId="43">
    <w:nsid w:val="5454945E"/>
    <w:multiLevelType w:val="hybridMultilevel"/>
    <w:lvl w:ilvl="0">
      <w:lvlJc w:val="left"/>
      <w:lvlText w:val="(%1)"/>
      <w:numFmt w:val="lowerLetter"/>
      <w:start w:val="1"/>
    </w:lvl>
  </w:abstractNum>
  <w:abstractNum w:abstractNumId="44">
    <w:nsid w:val="4DEFDFA0"/>
    <w:multiLevelType w:val="hybridMultilevel"/>
    <w:lvl w:ilvl="0">
      <w:lvlJc w:val="left"/>
      <w:lvlText w:val="(%1)"/>
      <w:numFmt w:val="lowerLetter"/>
      <w:start w:val="5"/>
    </w:lvl>
  </w:abstractNum>
  <w:abstractNum w:abstractNumId="45">
    <w:nsid w:val="2123D5F2"/>
    <w:multiLevelType w:val="hybridMultilevel"/>
    <w:lvl w:ilvl="0">
      <w:lvlJc w:val="left"/>
      <w:lvlText w:val="%1"/>
      <w:numFmt w:val="lowerLetter"/>
      <w:start w:val="1"/>
    </w:lvl>
    <w:lvl w:ilvl="1">
      <w:lvlJc w:val="left"/>
      <w:lvlText w:val="(%2)"/>
      <w:numFmt w:val="lowerLetter"/>
      <w:start w:val="1"/>
    </w:lvl>
  </w:abstractNum>
  <w:abstractNum w:abstractNumId="46">
    <w:nsid w:val="135B8110"/>
    <w:multiLevelType w:val="hybridMultilevel"/>
    <w:lvl w:ilvl="0">
      <w:lvlJc w:val="left"/>
      <w:lvlText w:val="(%1)"/>
      <w:numFmt w:val="lowerLetter"/>
      <w:start w:val="9"/>
    </w:lvl>
    <w:lvl w:ilvl="1">
      <w:lvlJc w:val="left"/>
      <w:lvlText w:val="%2"/>
      <w:numFmt w:val="lowerLetter"/>
      <w:start w:val="1"/>
    </w:lvl>
  </w:abstractNum>
  <w:abstractNum w:abstractNumId="47">
    <w:nsid w:val="94927A8"/>
    <w:multiLevelType w:val="hybridMultilevel"/>
    <w:lvl w:ilvl="0">
      <w:lvlJc w:val="left"/>
      <w:lvlText w:val="(%1)"/>
      <w:numFmt w:val="lowerLetter"/>
      <w:start w:val="1"/>
    </w:lvl>
  </w:abstractNum>
  <w:abstractNum w:abstractNumId="48">
    <w:nsid w:val="DCDF8F6"/>
    <w:multiLevelType w:val="hybridMultilevel"/>
    <w:lvl w:ilvl="0">
      <w:lvlJc w:val="left"/>
      <w:lvlText w:val="(%1)"/>
      <w:numFmt w:val="lowerLetter"/>
      <w:start w:val="1"/>
    </w:lvl>
    <w:lvl w:ilvl="1">
      <w:lvlJc w:val="left"/>
      <w:lvlText w:val="(%2)"/>
      <w:numFmt w:val="lowerRoman"/>
      <w:start w:val="1"/>
    </w:lvl>
  </w:abstractNum>
  <w:abstractNum w:abstractNumId="49">
    <w:nsid w:val="52D7B105"/>
    <w:multiLevelType w:val="hybridMultilevel"/>
    <w:lvl w:ilvl="0">
      <w:lvlJc w:val="left"/>
      <w:lvlText w:val="(%1)"/>
      <w:numFmt w:val="lowerRoman"/>
      <w:start w:val="5"/>
    </w:lvl>
  </w:abstractNum>
  <w:abstractNum w:abstractNumId="50">
    <w:nsid w:val="2E8A6394"/>
    <w:multiLevelType w:val="hybridMultilevel"/>
    <w:lvl w:ilvl="0">
      <w:lvlJc w:val="left"/>
      <w:lvlText w:val="%1"/>
      <w:numFmt w:val="lowerLetter"/>
      <w:start w:val="1"/>
    </w:lvl>
    <w:lvl w:ilvl="1">
      <w:lvlJc w:val="left"/>
      <w:lvlText w:val="(%2)"/>
      <w:numFmt w:val="lowerRoman"/>
      <w:start w:val="16"/>
    </w:lvl>
  </w:abstractNum>
  <w:abstractNum w:abstractNumId="51">
    <w:nsid w:val="24E60401"/>
    <w:multiLevelType w:val="hybridMultilevel"/>
    <w:lvl w:ilvl="0">
      <w:lvlJc w:val="left"/>
      <w:lvlText w:val="(%1)"/>
      <w:numFmt w:val="lowerLetter"/>
      <w:start w:val="2"/>
    </w:lvl>
    <w:lvl w:ilvl="1">
      <w:lvlJc w:val="left"/>
      <w:lvlText w:val="%2"/>
      <w:numFmt w:val="lowerRoman"/>
      <w:start w:val="1"/>
    </w:lvl>
  </w:abstractNum>
  <w:abstractNum w:abstractNumId="52">
    <w:nsid w:val="2A6AD9BE"/>
    <w:multiLevelType w:val="hybridMultilevel"/>
    <w:lvl w:ilvl="0">
      <w:lvlJc w:val="left"/>
      <w:lvlText w:val="(%1)"/>
      <w:numFmt w:val="lowerLetter"/>
      <w:start w:val="1"/>
    </w:lvl>
  </w:abstractNum>
  <w:abstractNum w:abstractNumId="53">
    <w:nsid w:val="BAAC1B4"/>
    <w:multiLevelType w:val="hybridMultilevel"/>
    <w:lvl w:ilvl="0">
      <w:lvlJc w:val="left"/>
      <w:lvlText w:val="(%1)"/>
      <w:numFmt w:val="lowerLetter"/>
      <w:start w:val="3"/>
    </w:lvl>
    <w:lvl w:ilvl="1">
      <w:lvlJc w:val="left"/>
      <w:lvlText w:val="(%2)"/>
      <w:numFmt w:val="lowerRoman"/>
      <w:start w:val="1"/>
    </w:lvl>
  </w:abstractNum>
  <w:abstractNum w:abstractNumId="54">
    <w:nsid w:val="36B2ACBC"/>
    <w:multiLevelType w:val="hybridMultilevel"/>
    <w:lvl w:ilvl="0">
      <w:lvlJc w:val="left"/>
      <w:lvlText w:val="(%1)"/>
      <w:numFmt w:val="lowerLetter"/>
      <w:start w:val="1"/>
    </w:lvl>
  </w:abstractNum>
  <w:abstractNum w:abstractNumId="55">
    <w:nsid w:val="779D8544"/>
    <w:multiLevelType w:val="hybridMultilevel"/>
    <w:lvl w:ilvl="0">
      <w:lvlJc w:val="left"/>
      <w:lvlText w:val="(%1)"/>
      <w:numFmt w:val="lowerLetter"/>
      <w:start w:val="2"/>
    </w:lvl>
  </w:abstractNum>
  <w:abstractNum w:abstractNumId="56">
    <w:nsid w:val="4AB26E78"/>
    <w:multiLevelType w:val="hybridMultilevel"/>
    <w:lvl w:ilvl="0">
      <w:lvlJc w:val="left"/>
      <w:lvlText w:val="%1"/>
      <w:numFmt w:val="lowerLetter"/>
      <w:start w:val="1"/>
    </w:lvl>
    <w:lvl w:ilvl="1">
      <w:lvlJc w:val="left"/>
      <w:lvlText w:val="(%2)"/>
      <w:numFmt w:val="lowerLetter"/>
      <w:start w:val="1"/>
    </w:lvl>
  </w:abstractNum>
  <w:abstractNum w:abstractNumId="57">
    <w:nsid w:val="21FAA2FA"/>
    <w:multiLevelType w:val="hybridMultilevel"/>
    <w:lvl w:ilvl="0">
      <w:lvlJc w:val="left"/>
      <w:lvlText w:val="(%1)"/>
      <w:numFmt w:val="lowerLetter"/>
      <w:start w:val="9"/>
    </w:lvl>
    <w:lvl w:ilvl="1">
      <w:lvlJc w:val="left"/>
      <w:lvlText w:val="(%2)"/>
      <w:numFmt w:val="lowerLetter"/>
      <w:start w:val="2"/>
    </w:lvl>
  </w:abstractNum>
  <w:abstractNum w:abstractNumId="58">
    <w:nsid w:val="5451CF49"/>
    <w:multiLevelType w:val="hybridMultilevel"/>
    <w:lvl w:ilvl="0">
      <w:lvlJc w:val="left"/>
      <w:lvlText w:val="(%1)"/>
      <w:numFmt w:val="lowerLetter"/>
      <w:start w:val="1"/>
    </w:lvl>
    <w:lvl w:ilvl="1">
      <w:lvlJc w:val="left"/>
      <w:lvlText w:val="(%2)"/>
      <w:numFmt w:val="lowerRoman"/>
      <w:start w:val="1"/>
    </w:lvl>
  </w:abstractNum>
  <w:abstractNum w:abstractNumId="59">
    <w:nsid w:val="6181EF69"/>
    <w:multiLevelType w:val="hybridMultilevel"/>
    <w:lvl w:ilvl="0">
      <w:lvlJc w:val="left"/>
      <w:lvlText w:val="(%1)"/>
      <w:numFmt w:val="lowerRoman"/>
      <w:start w:val="3"/>
    </w:lvl>
  </w:abstractNum>
  <w:abstractNum w:abstractNumId="60">
    <w:nsid w:val="3E6400E6"/>
    <w:multiLevelType w:val="hybridMultilevel"/>
    <w:lvl w:ilvl="0">
      <w:lvlJc w:val="left"/>
      <w:lvlText w:val="(%1)"/>
      <w:numFmt w:val="lowerLetter"/>
      <w:start w:val="1"/>
    </w:lvl>
  </w:abstractNum>
  <w:abstractNum w:abstractNumId="61">
    <w:nsid w:val="14217E23"/>
    <w:multiLevelType w:val="hybridMultilevel"/>
    <w:lvl w:ilvl="0">
      <w:lvlJc w:val="left"/>
      <w:lvlText w:val="(%1)"/>
      <w:numFmt w:val="lowerLetter"/>
      <w:start w:val="1"/>
    </w:lvl>
    <w:lvl w:ilvl="1">
      <w:lvlJc w:val="left"/>
      <w:lvlText w:val="(%2)"/>
      <w:numFmt w:val="lowerRoman"/>
      <w:start w:val="1"/>
    </w:lvl>
  </w:abstractNum>
  <w:abstractNum w:abstractNumId="62">
    <w:nsid w:val="710757D0"/>
    <w:multiLevelType w:val="hybridMultilevel"/>
    <w:lvl w:ilvl="0">
      <w:lvlJc w:val="left"/>
      <w:lvlText w:val="(%1)"/>
      <w:numFmt w:val="lowerLetter"/>
      <w:start w:val="3"/>
    </w:lvl>
  </w:abstractNum>
  <w:abstractNum w:abstractNumId="63">
    <w:nsid w:val="5015CD1A"/>
    <w:multiLevelType w:val="hybridMultilevel"/>
    <w:lvl w:ilvl="0">
      <w:lvlJc w:val="left"/>
      <w:lvlText w:val="(%1)"/>
      <w:numFmt w:val="lowerLetter"/>
      <w:start w:val="1"/>
    </w:lvl>
  </w:abstractNum>
  <w:abstractNum w:abstractNumId="64">
    <w:nsid w:val="424479DA"/>
    <w:multiLevelType w:val="hybridMultilevel"/>
    <w:lvl w:ilvl="0">
      <w:lvlJc w:val="left"/>
      <w:lvlText w:val="(%1)"/>
      <w:numFmt w:val="lowerLetter"/>
      <w:start w:val="2"/>
    </w:lvl>
    <w:lvl w:ilvl="1">
      <w:lvlJc w:val="left"/>
      <w:lvlText w:val="(%2)"/>
      <w:numFmt w:val="lowerRoman"/>
      <w:start w:val="1"/>
    </w:lvl>
  </w:abstractNum>
  <w:abstractNum w:abstractNumId="65">
    <w:nsid w:val="1A9A9E69"/>
    <w:multiLevelType w:val="hybridMultilevel"/>
    <w:lvl w:ilvl="0">
      <w:lvlJc w:val="left"/>
      <w:lvlText w:val="%1"/>
      <w:numFmt w:val="lowerLetter"/>
      <w:start w:val="1"/>
    </w:lvl>
    <w:lvl w:ilvl="1">
      <w:lvlJc w:val="left"/>
      <w:lvlText w:val="(%2)"/>
      <w:numFmt w:val="lowerRoman"/>
      <w:start w:val="9"/>
    </w:lvl>
  </w:abstractNum>
  <w:abstractNum w:abstractNumId="66">
    <w:nsid w:val="475E256A"/>
    <w:multiLevelType w:val="hybridMultilevel"/>
    <w:lvl w:ilvl="0">
      <w:lvlJc w:val="left"/>
      <w:lvlText w:val="(%1)"/>
      <w:numFmt w:val="lowerLetter"/>
      <w:start w:val="3"/>
    </w:lvl>
    <w:lvl w:ilvl="1">
      <w:lvlJc w:val="left"/>
      <w:lvlText w:val="%2"/>
      <w:numFmt w:val="lowerRoman"/>
      <w:start w:val="1"/>
    </w:lvl>
  </w:abstractNum>
  <w:abstractNum w:abstractNumId="67">
    <w:nsid w:val="368DB37E"/>
    <w:multiLevelType w:val="hybridMultilevel"/>
    <w:lvl w:ilvl="0">
      <w:lvlJc w:val="left"/>
      <w:lvlText w:val="(%1)"/>
      <w:numFmt w:val="lowerLetter"/>
      <w:start w:val="1"/>
    </w:lvl>
  </w:abstractNum>
  <w:abstractNum w:abstractNumId="68">
    <w:nsid w:val="6A3B714C"/>
    <w:multiLevelType w:val="hybridMultilevel"/>
    <w:lvl w:ilvl="0">
      <w:lvlJc w:val="left"/>
      <w:lvlText w:val="(%1)"/>
      <w:numFmt w:val="lowerLetter"/>
      <w:start w:val="2"/>
    </w:lvl>
  </w:abstractNum>
  <w:abstractNum w:abstractNumId="69">
    <w:nsid w:val="327B517E"/>
    <w:multiLevelType w:val="hybridMultilevel"/>
    <w:lvl w:ilvl="0">
      <w:lvlJc w:val="left"/>
      <w:lvlText w:val="(%1)"/>
      <w:numFmt w:val="lowerLetter"/>
      <w:start w:val="1"/>
    </w:lvl>
    <w:lvl w:ilvl="1">
      <w:lvlJc w:val="left"/>
      <w:lvlText w:val="(%2)"/>
      <w:numFmt w:val="lowerLetter"/>
      <w:start w:val="9"/>
    </w:lvl>
  </w:abstractNum>
  <w:abstractNum w:abstractNumId="70">
    <w:nsid w:val="1F461B51"/>
    <w:multiLevelType w:val="hybridMultilevel"/>
    <w:lvl w:ilvl="0">
      <w:lvlJc w:val="left"/>
      <w:lvlText w:val="%1"/>
      <w:numFmt w:val="lowerLetter"/>
      <w:start w:val="1"/>
    </w:lvl>
    <w:lvl w:ilvl="1">
      <w:lvlJc w:val="left"/>
      <w:lvlText w:val="(%2)"/>
      <w:numFmt w:val="lowerRoman"/>
      <w:start w:val="2"/>
    </w:lvl>
  </w:abstractNum>
  <w:abstractNum w:abstractNumId="71">
    <w:nsid w:val="29BACF25"/>
    <w:multiLevelType w:val="hybridMultilevel"/>
    <w:lvl w:ilvl="0">
      <w:lvlJc w:val="left"/>
      <w:lvlText w:val="(%1)"/>
      <w:numFmt w:val="lowerLetter"/>
      <w:start w:val="2"/>
    </w:lvl>
    <w:lvl w:ilvl="1">
      <w:lvlJc w:val="left"/>
      <w:lvlText w:val="%2"/>
      <w:numFmt w:val="lowerRoman"/>
      <w:start w:val="1"/>
    </w:lvl>
  </w:abstractNum>
  <w:abstractNum w:abstractNumId="72">
    <w:nsid w:val="5D5BABB3"/>
    <w:multiLevelType w:val="hybridMultilevel"/>
    <w:lvl w:ilvl="0">
      <w:lvlJc w:val="left"/>
      <w:lvlText w:val="(%1)"/>
      <w:numFmt w:val="lowerLetter"/>
      <w:start w:val="1"/>
    </w:lvl>
    <w:lvl w:ilvl="1">
      <w:lvlJc w:val="left"/>
      <w:lvlText w:val="(%2)"/>
      <w:numFmt w:val="lowerRoman"/>
      <w:start w:val="1"/>
    </w:lvl>
  </w:abstractNum>
  <w:abstractNum w:abstractNumId="73">
    <w:nsid w:val="51BF6B48"/>
    <w:multiLevelType w:val="hybridMultilevel"/>
    <w:lvl w:ilvl="0">
      <w:lvlJc w:val="left"/>
      <w:lvlText w:val="(%1)"/>
      <w:numFmt w:val="lowerLetter"/>
      <w:start w:val="1"/>
    </w:lvl>
  </w:abstractNum>
  <w:abstractNum w:abstractNumId="74">
    <w:nsid w:val="7E0F6384"/>
    <w:multiLevelType w:val="hybridMultilevel"/>
    <w:lvl w:ilvl="0">
      <w:lvlJc w:val="left"/>
      <w:lvlText w:val="(%1)"/>
      <w:numFmt w:val="lowerLetter"/>
      <w:start w:val="6"/>
    </w:lvl>
  </w:abstractNum>
  <w:abstractNum w:abstractNumId="75">
    <w:nsid w:val="2B4B8B53"/>
    <w:multiLevelType w:val="hybridMultilevel"/>
    <w:lvl w:ilvl="0">
      <w:lvlJc w:val="left"/>
      <w:lvlText w:val="(%1)"/>
      <w:numFmt w:val="lowerLetter"/>
      <w:start w:val="1"/>
    </w:lvl>
  </w:abstractNum>
  <w:abstractNum w:abstractNumId="76">
    <w:nsid w:val="72E3413A"/>
    <w:multiLevelType w:val="hybridMultilevel"/>
    <w:lvl w:ilvl="0">
      <w:lvlJc w:val="left"/>
      <w:lvlText w:val="(%1)"/>
      <w:numFmt w:val="lowerLetter"/>
      <w:start w:val="4"/>
    </w:lvl>
  </w:abstractNum>
  <w:abstractNum w:abstractNumId="77">
    <w:nsid w:val="116AE494"/>
    <w:multiLevelType w:val="hybridMultilevel"/>
    <w:lvl w:ilvl="0">
      <w:lvlJc w:val="left"/>
      <w:lvlText w:val="(%1)"/>
      <w:numFmt w:val="lowerLetter"/>
      <w:start w:val="1"/>
    </w:lvl>
  </w:abstractNum>
  <w:abstractNum w:abstractNumId="78">
    <w:nsid w:val="3494B2FB"/>
    <w:multiLevelType w:val="hybridMultilevel"/>
    <w:lvl w:ilvl="0">
      <w:lvlJc w:val="left"/>
      <w:lvlText w:val="(%1)"/>
      <w:numFmt w:val="lowerLetter"/>
      <w:start w:val="1"/>
    </w:lvl>
  </w:abstractNum>
  <w:abstractNum w:abstractNumId="79">
    <w:nsid w:val="B13A31"/>
    <w:multiLevelType w:val="hybridMultilevel"/>
    <w:lvl w:ilvl="0">
      <w:lvlJc w:val="left"/>
      <w:lvlText w:val="(%1)"/>
      <w:numFmt w:val="lowerLetter"/>
      <w:start w:val="4"/>
    </w:lvl>
  </w:abstractNum>
  <w:abstractNum w:abstractNumId="80">
    <w:nsid w:val="64429599"/>
    <w:multiLevelType w:val="hybridMultilevel"/>
    <w:lvl w:ilvl="0">
      <w:lvlJc w:val="left"/>
      <w:lvlText w:val="(%1)"/>
      <w:numFmt w:val="lowerLetter"/>
      <w:start w:val="1"/>
    </w:lvl>
  </w:abstractNum>
  <w:abstractNum w:abstractNumId="81">
    <w:nsid w:val="631F1690"/>
    <w:multiLevelType w:val="hybridMultilevel"/>
    <w:lvl w:ilvl="0">
      <w:lvlJc w:val="left"/>
      <w:lvlText w:val="(%1)"/>
      <w:numFmt w:val="lowerLetter"/>
      <w:start w:val="2"/>
    </w:lvl>
  </w:abstractNum>
  <w:abstractNum w:abstractNumId="82">
    <w:nsid w:val="25973E32"/>
    <w:multiLevelType w:val="hybridMultilevel"/>
    <w:lvl w:ilvl="0">
      <w:lvlJc w:val="left"/>
      <w:lvlText w:val="(%1)"/>
      <w:numFmt w:val="lowerLetter"/>
      <w:start w:val="1"/>
    </w:lvl>
  </w:abstractNum>
  <w:abstractNum w:abstractNumId="83">
    <w:nsid w:val="EAD6F57"/>
    <w:multiLevelType w:val="hybridMultilevel"/>
    <w:lvl w:ilvl="0">
      <w:lvlJc w:val="left"/>
      <w:lvlText w:val="(%1)"/>
      <w:numFmt w:val="lowerLetter"/>
      <w:start w:val="4"/>
    </w:lvl>
  </w:abstractNum>
  <w:abstractNum w:abstractNumId="84">
    <w:nsid w:val="6EC9D844"/>
    <w:multiLevelType w:val="hybridMultilevel"/>
    <w:lvl w:ilvl="0">
      <w:lvlJc w:val="left"/>
      <w:lvlText w:val="(%1)"/>
      <w:numFmt w:val="lowerLetter"/>
      <w:start w:val="1"/>
    </w:lvl>
  </w:abstractNum>
  <w:abstractNum w:abstractNumId="85">
    <w:nsid w:val="5C49EAEE"/>
    <w:multiLevelType w:val="hybridMultilevel"/>
    <w:lvl w:ilvl="0">
      <w:lvlJc w:val="left"/>
      <w:lvlText w:val="(%1)"/>
      <w:numFmt w:val="lowerLetter"/>
      <w:start w:val="1"/>
    </w:lvl>
  </w:abstractNum>
  <w:abstractNum w:abstractNumId="86">
    <w:nsid w:val="64AF49B"/>
    <w:multiLevelType w:val="hybridMultilevel"/>
    <w:lvl w:ilvl="0">
      <w:lvlJc w:val="left"/>
      <w:lvlText w:val="(%1)"/>
      <w:numFmt w:val="lowerLetter"/>
      <w:start w:val="3"/>
    </w:lvl>
  </w:abstractNum>
  <w:abstractNum w:abstractNumId="87">
    <w:nsid w:val="397C46BC"/>
    <w:multiLevelType w:val="hybridMultilevel"/>
    <w:lvl w:ilvl="0">
      <w:lvlJc w:val="left"/>
      <w:lvlText w:val="(%1)"/>
      <w:numFmt w:val="lowerLetter"/>
      <w:start w:val="1"/>
    </w:lvl>
  </w:abstractNum>
  <w:abstractNum w:abstractNumId="88">
    <w:nsid w:val="7E448DE9"/>
    <w:multiLevelType w:val="hybridMultilevel"/>
    <w:lvl w:ilvl="0">
      <w:lvlJc w:val="left"/>
      <w:lvlText w:val="(%1)"/>
      <w:numFmt w:val="lowerLetter"/>
      <w:start w:val="4"/>
    </w:lvl>
  </w:abstractNum>
  <w:abstractNum w:abstractNumId="89">
    <w:nsid w:val="5A9CC3E5"/>
    <w:multiLevelType w:val="hybridMultilevel"/>
    <w:lvl w:ilvl="0">
      <w:lvlJc w:val="left"/>
      <w:lvlText w:val="(%1)"/>
      <w:numFmt w:val="lowerLetter"/>
      <w:start w:val="1"/>
    </w:lvl>
  </w:abstractNum>
  <w:abstractNum w:abstractNumId="90">
    <w:nsid w:val="1AFE3625"/>
    <w:multiLevelType w:val="hybridMultilevel"/>
    <w:lvl w:ilvl="0">
      <w:lvlJc w:val="left"/>
      <w:lvlText w:val="(%1)"/>
      <w:numFmt w:val="lowerLetter"/>
      <w:start w:val="1"/>
    </w:lvl>
    <w:lvl w:ilvl="1">
      <w:lvlJc w:val="left"/>
      <w:lvlText w:val="(%2)"/>
      <w:numFmt w:val="lowerLetter"/>
      <w:start w:val="9"/>
    </w:lvl>
  </w:abstractNum>
  <w:abstractNum w:abstractNumId="91">
    <w:nsid w:val="3CA88ECF"/>
    <w:multiLevelType w:val="hybridMultilevel"/>
    <w:lvl w:ilvl="0">
      <w:lvlJc w:val="left"/>
      <w:lvlText w:val="%1"/>
      <w:numFmt w:val="lowerLetter"/>
      <w:start w:val="1"/>
    </w:lvl>
    <w:lvl w:ilvl="1">
      <w:lvlJc w:val="left"/>
      <w:lvlText w:val="(%2)"/>
      <w:numFmt w:val="lowerLetter"/>
      <w:start w:val="35"/>
    </w:lvl>
  </w:abstractNum>
  <w:abstractNum w:abstractNumId="92">
    <w:nsid w:val="6EBE4208"/>
    <w:multiLevelType w:val="hybridMultilevel"/>
    <w:lvl w:ilvl="0">
      <w:lvlJc w:val="left"/>
      <w:lvlText w:val="(%1)"/>
      <w:numFmt w:val="lowerLetter"/>
      <w:start w:val="3"/>
    </w:lvl>
    <w:lvl w:ilvl="1">
      <w:lvlJc w:val="left"/>
      <w:lvlText w:val="%2"/>
      <w:numFmt w:val="lowerLetter"/>
      <w:start w:val="1"/>
    </w:lvl>
  </w:abstractNum>
  <w:abstractNum w:abstractNumId="93">
    <w:nsid w:val="C058DF5"/>
    <w:multiLevelType w:val="hybridMultilevel"/>
    <w:lvl w:ilvl="0">
      <w:lvlJc w:val="left"/>
      <w:lvlText w:val="(%1)"/>
      <w:numFmt w:val="lowerLetter"/>
      <w:start w:val="1"/>
    </w:lvl>
  </w:abstractNum>
  <w:abstractNum w:abstractNumId="94">
    <w:nsid w:val="CBE5BE9"/>
    <w:multiLevelType w:val="hybridMultilevel"/>
    <w:lvl w:ilvl="0">
      <w:lvlJc w:val="left"/>
      <w:lvlText w:val="(%1)"/>
      <w:numFmt w:val="lowerLetter"/>
      <w:start w:val="1"/>
    </w:lvl>
    <w:lvl w:ilvl="1">
      <w:lvlJc w:val="left"/>
      <w:lvlText w:val="(%2)"/>
      <w:numFmt w:val="lowerLetter"/>
      <w:start w:val="9"/>
    </w:lvl>
  </w:abstractNum>
  <w:abstractNum w:abstractNumId="95">
    <w:nsid w:val="3102BBE2"/>
    <w:multiLevelType w:val="hybridMultilevel"/>
    <w:lvl w:ilvl="0">
      <w:lvlJc w:val="left"/>
      <w:lvlText w:val="%1"/>
      <w:numFmt w:val="lowerLetter"/>
      <w:start w:val="1"/>
    </w:lvl>
    <w:lvl w:ilvl="1">
      <w:lvlJc w:val="left"/>
      <w:lvlText w:val="(%2)"/>
      <w:numFmt w:val="lowerRoman"/>
      <w:start w:val="2"/>
    </w:lvl>
  </w:abstractNum>
  <w:abstractNum w:abstractNumId="96">
    <w:nsid w:val="26A02C5E"/>
    <w:multiLevelType w:val="hybridMultilevel"/>
    <w:lvl w:ilvl="0">
      <w:lvlJc w:val="left"/>
      <w:lvlText w:val="(%1)"/>
      <w:numFmt w:val="lowerLetter"/>
      <w:start w:val="2"/>
    </w:lvl>
    <w:lvl w:ilvl="1">
      <w:lvlJc w:val="left"/>
      <w:lvlText w:val="(%2)"/>
      <w:numFmt w:val="lowerRoman"/>
      <w:start w:val="1"/>
    </w:lvl>
  </w:abstractNum>
  <w:abstractNum w:abstractNumId="97">
    <w:nsid w:val="541C8153"/>
    <w:multiLevelType w:val="hybridMultilevel"/>
    <w:lvl w:ilvl="0">
      <w:lvlJc w:val="left"/>
      <w:lvlText w:val="%1"/>
      <w:numFmt w:val="lowerLetter"/>
      <w:start w:val="1"/>
    </w:lvl>
    <w:lvl w:ilvl="1">
      <w:lvlJc w:val="left"/>
      <w:lvlText w:val="(%2)"/>
      <w:numFmt w:val="lowerRoman"/>
      <w:start w:val="2"/>
    </w:lvl>
  </w:abstractNum>
  <w:abstractNum w:abstractNumId="98">
    <w:nsid w:val="67906F60"/>
    <w:multiLevelType w:val="hybridMultilevel"/>
    <w:lvl w:ilvl="0">
      <w:lvlJc w:val="left"/>
      <w:lvlText w:val="(%1)"/>
      <w:numFmt w:val="lowerLetter"/>
      <w:start w:val="3"/>
    </w:lvl>
    <w:lvl w:ilvl="1">
      <w:lvlJc w:val="left"/>
      <w:lvlText w:val="%2"/>
      <w:numFmt w:val="lowerRoman"/>
      <w:start w:val="1"/>
    </w:lvl>
  </w:abstractNum>
  <w:abstractNum w:abstractNumId="99">
    <w:nsid w:val="10DB9DAA"/>
    <w:multiLevelType w:val="hybridMultilevel"/>
    <w:lvl w:ilvl="0">
      <w:lvlJc w:val="left"/>
      <w:lvlText w:val="(%1)"/>
      <w:numFmt w:val="lowerLetter"/>
      <w:start w:val="2"/>
    </w:lvl>
  </w:abstractNum>
  <w:abstractNum w:abstractNumId="100">
    <w:nsid w:val="697D2D2"/>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9"/>
    </w:lvl>
  </w:abstractNum>
  <w:abstractNum w:abstractNumId="101">
    <w:nsid w:val="6D68A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02">
    <w:nsid w:val="3A966CD0"/>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03">
    <w:nsid w:val="63F37E85"/>
    <w:multiLevelType w:val="hybridMultilevel"/>
    <w:lvl w:ilvl="0">
      <w:lvlJc w:val="left"/>
      <w:lvlText w:val="%1"/>
      <w:numFmt w:val="lowerLetter"/>
      <w:start w:val="1"/>
    </w:lvl>
    <w:lvl w:ilvl="1">
      <w:lvlJc w:val="left"/>
      <w:lvlText w:val="(%2)"/>
      <w:numFmt w:val="lowerLetter"/>
      <w:start w:val="5"/>
    </w:lvl>
  </w:abstractNum>
  <w:abstractNum w:abstractNumId="104">
    <w:nsid w:val="5895F5FA"/>
    <w:multiLevelType w:val="hybridMultilevel"/>
    <w:lvl w:ilvl="0">
      <w:lvlJc w:val="left"/>
      <w:lvlText w:val="(%1)"/>
      <w:numFmt w:val="lowerLetter"/>
      <w:start w:val="27"/>
    </w:lvl>
    <w:lvl w:ilvl="1">
      <w:lvlJc w:val="left"/>
      <w:lvlText w:val="(%2)"/>
      <w:numFmt w:val="lowerLetter"/>
      <w:start w:val="8"/>
    </w:lvl>
  </w:abstractNum>
  <w:abstractNum w:abstractNumId="105">
    <w:nsid w:val="38A5D054"/>
    <w:multiLevelType w:val="hybridMultilevel"/>
    <w:lvl w:ilvl="0">
      <w:lvlJc w:val="left"/>
      <w:lvlText w:val="(%1)"/>
      <w:numFmt w:val="lowerLetter"/>
      <w:start w:val="1"/>
    </w:lvl>
  </w:abstractNum>
  <w:abstractNum w:abstractNumId="106">
    <w:nsid w:val="F3F09D8"/>
    <w:multiLevelType w:val="hybridMultilevel"/>
    <w:lvl w:ilvl="0">
      <w:lvlJc w:val="left"/>
      <w:lvlText w:val="%1"/>
      <w:numFmt w:val="lowerLetter"/>
      <w:start w:val="1"/>
    </w:lvl>
    <w:lvl w:ilvl="1">
      <w:lvlJc w:val="left"/>
      <w:lvlText w:val="(%2)"/>
      <w:numFmt w:val="lowerLetter"/>
      <w:start w:val="1"/>
    </w:lvl>
  </w:abstractNum>
  <w:abstractNum w:abstractNumId="107">
    <w:nsid w:val="4B793735"/>
    <w:multiLevelType w:val="hybridMultilevel"/>
    <w:lvl w:ilvl="0">
      <w:lvlJc w:val="left"/>
      <w:lvlText w:val="(%1)"/>
      <w:numFmt w:val="lowerLetter"/>
      <w:start w:val="61"/>
    </w:lvl>
    <w:lvl w:ilvl="1">
      <w:lvlJc w:val="left"/>
      <w:lvlText w:val="(%2)"/>
      <w:numFmt w:val="lowerLetter"/>
      <w:start w:val="2"/>
    </w:lvl>
  </w:abstractNum>
  <w:abstractNum w:abstractNumId="108">
    <w:nsid w:val="4A10B4E8"/>
    <w:multiLevelType w:val="hybridMultilevel"/>
    <w:lvl w:ilvl="0">
      <w:lvlJc w:val="left"/>
      <w:lvlText w:val="(%1)"/>
      <w:numFmt w:val="lowerLetter"/>
      <w:start w:val="1"/>
    </w:lvl>
    <w:lvl w:ilvl="1">
      <w:lvlJc w:val="left"/>
      <w:lvlText w:val="(%2)"/>
      <w:numFmt w:val="lowerLetter"/>
      <w:start w:val="9"/>
    </w:lvl>
  </w:abstractNum>
  <w:abstractNum w:abstractNumId="109">
    <w:nsid w:val="43D3BC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10">
    <w:nsid w:val="4C2A716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11">
    <w:nsid w:val="2E534A82"/>
    <w:multiLevelType w:val="hybridMultilevel"/>
    <w:lvl w:ilvl="0">
      <w:lvlJc w:val="left"/>
      <w:lvlText w:val="(%1)"/>
      <w:numFmt w:val="lowerRoman"/>
      <w:start w:val="4"/>
    </w:lvl>
    <w:lvl w:ilvl="1">
      <w:lvlJc w:val="left"/>
      <w:lvlText w:val="(%2)"/>
      <w:numFmt w:val="lowerLetter"/>
      <w:start w:val="5"/>
    </w:lvl>
    <w:lvl w:ilvl="2">
      <w:lvlJc w:val="left"/>
      <w:lvlText w:val="%3"/>
      <w:numFmt w:val="lowerRoman"/>
      <w:start w:val="1"/>
    </w:lvl>
  </w:abstractNum>
  <w:abstractNum w:abstractNumId="112">
    <w:nsid w:val="26F2D364"/>
    <w:multiLevelType w:val="hybridMultilevel"/>
    <w:lvl w:ilvl="0">
      <w:lvlJc w:val="left"/>
      <w:lvlText w:val="(%1)"/>
      <w:numFmt w:val="lowerLetter"/>
      <w:start w:val="1"/>
    </w:lvl>
  </w:abstractNum>
  <w:abstractNum w:abstractNumId="113">
    <w:nsid w:val="71C1AF98"/>
    <w:multiLevelType w:val="hybridMultilevel"/>
    <w:lvl w:ilvl="0">
      <w:lvlJc w:val="left"/>
      <w:lvlText w:val="(%1)"/>
      <w:numFmt w:val="lowerLetter"/>
      <w:start w:val="3"/>
    </w:lvl>
  </w:abstractNum>
  <w:abstractNum w:abstractNumId="114">
    <w:nsid w:val="3D00B9D9"/>
    <w:multiLevelType w:val="hybridMultilevel"/>
    <w:lvl w:ilvl="0">
      <w:lvlJc w:val="left"/>
      <w:lvlText w:val="(%1)"/>
      <w:numFmt w:val="lowerLetter"/>
      <w:start w:val="1"/>
    </w:lvl>
  </w:abstractNum>
  <w:abstractNum w:abstractNumId="115">
    <w:nsid w:val="15BCABA8"/>
    <w:multiLevelType w:val="hybridMultilevel"/>
    <w:lvl w:ilvl="0">
      <w:lvlJc w:val="left"/>
      <w:lvlText w:val="(%1)"/>
      <w:numFmt w:val="lowerLetter"/>
      <w:start w:val="3"/>
    </w:lvl>
  </w:abstractNum>
  <w:abstractNum w:abstractNumId="116">
    <w:nsid w:val="4E0B9A87"/>
    <w:multiLevelType w:val="hybridMultilevel"/>
    <w:lvl w:ilvl="0">
      <w:lvlJc w:val="left"/>
      <w:lvlText w:val="A"/>
      <w:numFmt w:val="bullet"/>
      <w:start w:val="1"/>
    </w:lvl>
  </w:abstractNum>
  <w:abstractNum w:abstractNumId="117">
    <w:nsid w:val="434BAE75"/>
    <w:multiLevelType w:val="hybridMultilevel"/>
    <w:lvl w:ilvl="0">
      <w:lvlJc w:val="left"/>
      <w:lvlText w:val="B"/>
      <w:numFmt w:val="bullet"/>
      <w:start w:val="1"/>
    </w:lvl>
  </w:abstractNum>
  <w:abstractNum w:abstractNumId="118">
    <w:nsid w:val="4F38F265"/>
    <w:multiLevelType w:val="hybridMultilevel"/>
    <w:lvl w:ilvl="0">
      <w:lvlJc w:val="left"/>
      <w:lvlText w:val="D"/>
      <w:numFmt w:val="bullet"/>
      <w:start w:val="1"/>
    </w:lvl>
  </w:abstractNum>
  <w:abstractNum w:abstractNumId="119">
    <w:nsid w:val="4C502870"/>
    <w:multiLevelType w:val="hybridMultilevel"/>
    <w:lvl w:ilvl="0">
      <w:lvlJc w:val="left"/>
      <w:lvlText w:val="F"/>
      <w:numFmt w:val="bullet"/>
      <w:start w:val="1"/>
    </w:lvl>
  </w:abstractNum>
  <w:abstractNum w:abstractNumId="120">
    <w:nsid w:val="1DE8725A"/>
    <w:multiLevelType w:val="hybridMultilevel"/>
    <w:lvl w:ilvl="0">
      <w:lvlJc w:val="left"/>
      <w:lvlText w:val="G"/>
      <w:numFmt w:val="bullet"/>
      <w:start w:val="1"/>
    </w:lvl>
  </w:abstractNum>
  <w:abstractNum w:abstractNumId="121">
    <w:nsid w:val="6A37288A"/>
    <w:multiLevelType w:val="hybridMultilevel"/>
    <w:lvl w:ilvl="0">
      <w:lvlJc w:val="left"/>
      <w:lvlText w:val="H"/>
      <w:numFmt w:val="bullet"/>
      <w:start w:val="1"/>
    </w:lvl>
  </w:abstractNum>
  <w:abstractNum w:abstractNumId="122">
    <w:nsid w:val="8F8B73F"/>
    <w:multiLevelType w:val="hybridMultilevel"/>
    <w:lvl w:ilvl="0">
      <w:lvlJc w:val="left"/>
      <w:lvlText w:val="I"/>
      <w:numFmt w:val="bullet"/>
      <w:start w:val="1"/>
    </w:lvl>
  </w:abstractNum>
  <w:abstractNum w:abstractNumId="123">
    <w:nsid w:val="CA6B462"/>
    <w:multiLevelType w:val="hybridMultilevel"/>
    <w:lvl w:ilvl="0">
      <w:lvlJc w:val="left"/>
      <w:lvlText w:val="J"/>
      <w:numFmt w:val="bullet"/>
      <w:start w:val="1"/>
    </w:lvl>
  </w:abstractNum>
  <w:abstractNum w:abstractNumId="124">
    <w:nsid w:val="763CB680"/>
    <w:multiLevelType w:val="hybridMultilevel"/>
    <w:lvl w:ilvl="0">
      <w:lvlJc w:val="left"/>
      <w:lvlText w:val="(%1)"/>
      <w:numFmt w:val="lowerLetter"/>
      <w:start w:val="3"/>
    </w:lvl>
  </w:abstractNum>
  <w:abstractNum w:abstractNumId="125">
    <w:nsid w:val="15B71329"/>
    <w:multiLevelType w:val="hybridMultilevel"/>
    <w:lvl w:ilvl="0">
      <w:lvlJc w:val="left"/>
      <w:lvlText w:val="(%1)"/>
      <w:numFmt w:val="lowerLetter"/>
      <w:start w:val="1"/>
    </w:lvl>
  </w:abstractNum>
  <w:abstractNum w:abstractNumId="126">
    <w:nsid w:val="3DA97044"/>
    <w:multiLevelType w:val="hybridMultilevel"/>
    <w:lvl w:ilvl="0">
      <w:lvlJc w:val="left"/>
      <w:lvlText w:val="(%1)"/>
      <w:numFmt w:val="lowerLetter"/>
      <w:start w:val="1"/>
    </w:lvl>
  </w:abstractNum>
  <w:abstractNum w:abstractNumId="127">
    <w:nsid w:val="1CDCE2DE"/>
    <w:multiLevelType w:val="hybridMultilevel"/>
    <w:lvl w:ilvl="0">
      <w:lvlJc w:val="left"/>
      <w:lvlText w:val="(%1)"/>
      <w:numFmt w:val="lowerLetter"/>
      <w:start w:val="4"/>
    </w:lvl>
  </w:abstractNum>
  <w:abstractNum w:abstractNumId="128">
    <w:nsid w:val="69D3947C"/>
    <w:multiLevelType w:val="hybridMultilevel"/>
    <w:lvl w:ilvl="0">
      <w:lvlJc w:val="left"/>
      <w:lvlText w:val="(%1)"/>
      <w:numFmt w:val="lowerLetter"/>
      <w:start w:val="35"/>
    </w:lvl>
  </w:abstractNum>
  <w:abstractNum w:abstractNumId="129">
    <w:nsid w:val="2539DFA5"/>
    <w:multiLevelType w:val="hybridMultilevel"/>
    <w:lvl w:ilvl="0">
      <w:lvlJc w:val="left"/>
      <w:lvlText w:val="(%1)"/>
      <w:numFmt w:val="lowerLetter"/>
      <w:start w:val="3"/>
    </w:lvl>
  </w:abstractNum>
  <w:abstractNum w:abstractNumId="130">
    <w:nsid w:val="2DB88089"/>
    <w:multiLevelType w:val="hybridMultilevel"/>
    <w:lvl w:ilvl="0">
      <w:lvlJc w:val="left"/>
      <w:lvlText w:val="(%1)"/>
      <w:numFmt w:val="lowerLetter"/>
      <w:start w:val="9"/>
    </w:lvl>
  </w:abstractNum>
  <w:abstractNum w:abstractNumId="131">
    <w:nsid w:val="706B674E"/>
    <w:multiLevelType w:val="hybridMultilevel"/>
    <w:lvl w:ilvl="0">
      <w:lvlJc w:val="left"/>
      <w:lvlText w:val="(%1)"/>
      <w:numFmt w:val="lowerLetter"/>
      <w:start w:val="3"/>
    </w:lvl>
  </w:abstractNum>
  <w:abstractNum w:abstractNumId="132">
    <w:nsid w:val="2C106A57"/>
    <w:multiLevelType w:val="hybridMultilevel"/>
    <w:lvl w:ilvl="0">
      <w:lvlJc w:val="left"/>
      <w:lvlText w:val="(%1)"/>
      <w:numFmt w:val="lowerRoman"/>
      <w:start w:val="1"/>
    </w:lvl>
  </w:abstractNum>
  <w:abstractNum w:abstractNumId="133">
    <w:nsid w:val="684EED59"/>
    <w:multiLevelType w:val="hybridMultilevel"/>
    <w:lvl w:ilvl="0">
      <w:lvlJc w:val="left"/>
      <w:lvlText w:val="(%1)"/>
      <w:numFmt w:val="lowerRoman"/>
      <w:start w:val="2"/>
    </w:lvl>
  </w:abstractNum>
  <w:abstractNum w:abstractNumId="134">
    <w:nsid w:val="545EE5D3"/>
    <w:multiLevelType w:val="hybridMultilevel"/>
    <w:lvl w:ilvl="0">
      <w:lvlJc w:val="left"/>
      <w:lvlText w:val="(%1)"/>
      <w:numFmt w:val="lowerLetter"/>
      <w:start w:val="2"/>
    </w:lvl>
  </w:abstractNum>
  <w:abstractNum w:abstractNumId="135">
    <w:nsid w:val="4A66051"/>
    <w:multiLevelType w:val="hybridMultilevel"/>
    <w:lvl w:ilvl="0">
      <w:lvlJc w:val="left"/>
      <w:lvlText w:val="(%1)"/>
      <w:numFmt w:val="lowerLetter"/>
      <w:start w:val="1"/>
    </w:lvl>
  </w:abstractNum>
  <w:abstractNum w:abstractNumId="136">
    <w:nsid w:val="20F4BDAD"/>
    <w:multiLevelType w:val="hybridMultilevel"/>
    <w:lvl w:ilvl="0">
      <w:lvlJc w:val="left"/>
      <w:lvlText w:val="(%1)"/>
      <w:numFmt w:val="lowerLetter"/>
      <w:start w:val="3"/>
    </w:lvl>
  </w:abstractNum>
  <w:abstractNum w:abstractNumId="137">
    <w:nsid w:val="639DEFAC"/>
    <w:multiLevelType w:val="hybridMultilevel"/>
    <w:lvl w:ilvl="0">
      <w:lvlJc w:val="left"/>
      <w:lvlText w:val="(%1)"/>
      <w:numFmt w:val="decimal"/>
      <w:start w:val="3"/>
    </w:lvl>
  </w:abstractNum>
  <w:abstractNum w:abstractNumId="138">
    <w:nsid w:val="501F9786"/>
    <w:multiLevelType w:val="hybridMultilevel"/>
    <w:lvl w:ilvl="0">
      <w:lvlJc w:val="left"/>
      <w:lvlText w:val="(%1)"/>
      <w:numFmt w:val="lowerRoman"/>
      <w:start w:val="1"/>
    </w:lvl>
  </w:abstractNum>
  <w:abstractNum w:abstractNumId="139">
    <w:nsid w:val="6B057295"/>
    <w:multiLevelType w:val="hybridMultilevel"/>
    <w:lvl w:ilvl="0">
      <w:lvlJc w:val="left"/>
      <w:lvlText w:val="(%1)"/>
      <w:numFmt w:val="lowerLetter"/>
      <w:start w:val="2"/>
    </w:lvl>
  </w:abstractNum>
  <w:abstractNum w:abstractNumId="140">
    <w:nsid w:val="2771AC80"/>
    <w:multiLevelType w:val="hybridMultilevel"/>
    <w:lvl w:ilvl="0">
      <w:lvlJc w:val="left"/>
      <w:lvlText w:val="(%1)"/>
      <w:numFmt w:val="lowerLetter"/>
      <w:start w:val="2"/>
    </w:lvl>
  </w:abstractNum>
  <w:abstractNum w:abstractNumId="141">
    <w:nsid w:val="1C4A08EC"/>
    <w:multiLevelType w:val="hybridMultilevel"/>
    <w:lvl w:ilvl="0">
      <w:lvlJc w:val="left"/>
      <w:lvlText w:val="(%1)"/>
      <w:numFmt w:val="lowerLetter"/>
      <w:start w:val="1"/>
    </w:lvl>
  </w:abstractNum>
  <w:abstractNum w:abstractNumId="142">
    <w:nsid w:val="1958BD17"/>
    <w:multiLevelType w:val="hybridMultilevel"/>
    <w:lvl w:ilvl="0">
      <w:lvlJc w:val="left"/>
      <w:lvlText w:val="(%1)"/>
      <w:numFmt w:val="lowerLetter"/>
      <w:start w:val="2"/>
    </w:lvl>
  </w:abstractNum>
  <w:abstractNum w:abstractNumId="143">
    <w:nsid w:val="4E647FE4"/>
    <w:multiLevelType w:val="hybridMultilevel"/>
    <w:lvl w:ilvl="0">
      <w:lvlJc w:val="left"/>
      <w:lvlText w:val="(%1)"/>
      <w:numFmt w:val="lowerLetter"/>
      <w:start w:val="2"/>
    </w:lvl>
  </w:abstractNum>
  <w:abstractNum w:abstractNumId="144">
    <w:nsid w:val="E0BB885"/>
    <w:multiLevelType w:val="hybridMultilevel"/>
    <w:lvl w:ilvl="0">
      <w:lvlJc w:val="left"/>
      <w:lvlText w:val="(%1)"/>
      <w:numFmt w:val="lowerLetter"/>
      <w:start w:val="3"/>
    </w:lvl>
    <w:lvl w:ilvl="1">
      <w:lvlJc w:val="left"/>
      <w:lvlText w:val="(%2)"/>
      <w:numFmt w:val="lowerRoman"/>
      <w:start w:val="1"/>
    </w:lvl>
  </w:abstractNum>
  <w:abstractNum w:abstractNumId="145">
    <w:nsid w:val="565976F1"/>
    <w:multiLevelType w:val="hybridMultilevel"/>
    <w:lvl w:ilvl="0">
      <w:lvlJc w:val="left"/>
      <w:lvlText w:val="(%1)"/>
      <w:numFmt w:val="lowerLetter"/>
      <w:start w:val="6"/>
    </w:lvl>
  </w:abstractNum>
  <w:abstractNum w:abstractNumId="146">
    <w:nsid w:val="64212B8C"/>
    <w:multiLevelType w:val="hybridMultilevel"/>
    <w:lvl w:ilvl="0">
      <w:lvlJc w:val="left"/>
      <w:lvlText w:val="(%1)"/>
      <w:numFmt w:val="lowerLetter"/>
      <w:start w:val="2"/>
    </w:lvl>
  </w:abstractNum>
  <w:abstractNum w:abstractNumId="147">
    <w:nsid w:val="5C17530C"/>
    <w:multiLevelType w:val="hybridMultilevel"/>
    <w:lvl w:ilvl="0">
      <w:lvlJc w:val="left"/>
      <w:lvlText w:val="(%1)"/>
      <w:numFmt w:val="lowerLetter"/>
      <w:start w:val="2"/>
    </w:lvl>
  </w:abstractNum>
  <w:abstractNum w:abstractNumId="148">
    <w:nsid w:val="19A52566"/>
    <w:multiLevelType w:val="hybridMultilevel"/>
    <w:lvl w:ilvl="0">
      <w:lvlJc w:val="left"/>
      <w:lvlText w:val="(%1)"/>
      <w:numFmt w:val="lowerLetter"/>
      <w:start w:val="2"/>
    </w:lvl>
  </w:abstractNum>
  <w:abstractNum w:abstractNumId="149">
    <w:nsid w:val="335A1DF1"/>
    <w:multiLevelType w:val="hybridMultilevel"/>
    <w:lvl w:ilvl="0">
      <w:lvlJc w:val="left"/>
      <w:lvlText w:val="(%1)"/>
      <w:numFmt w:val="lowerLetter"/>
      <w:start w:val="1"/>
    </w:lvl>
  </w:abstractNum>
  <w:abstractNum w:abstractNumId="150">
    <w:nsid w:val="28677B7C"/>
    <w:multiLevelType w:val="hybridMultilevel"/>
    <w:lvl w:ilvl="0">
      <w:lvlJc w:val="left"/>
      <w:lvlText w:val="(%1)"/>
      <w:numFmt w:val="lowerLetter"/>
      <w:start w:val="2"/>
    </w:lvl>
  </w:abstractNum>
  <w:abstractNum w:abstractNumId="151">
    <w:nsid w:val="378D97C0"/>
    <w:multiLevelType w:val="hybridMultilevel"/>
    <w:lvl w:ilvl="0">
      <w:lvlJc w:val="left"/>
      <w:lvlText w:val="%1"/>
      <w:numFmt w:val="upperLetter"/>
      <w:start w:val="1"/>
    </w:lvl>
    <w:lvl w:ilvl="1">
      <w:lvlJc w:val="left"/>
      <w:lvlText w:val="(%2)"/>
      <w:numFmt w:val="lowerLetter"/>
      <w:start w:val="1"/>
    </w:lvl>
  </w:abstractNum>
  <w:abstractNum w:abstractNumId="152">
    <w:nsid w:val="1D91467C"/>
    <w:multiLevelType w:val="hybridMultilevel"/>
    <w:lvl w:ilvl="0">
      <w:lvlJc w:val="left"/>
      <w:lvlText w:val="(%1)"/>
      <w:numFmt w:val="upperLetter"/>
      <w:start w:val="1"/>
    </w:lvl>
    <w:lvl w:ilvl="1">
      <w:lvlJc w:val="left"/>
      <w:lvlText w:val="%2"/>
      <w:numFmt w:val="lowerLetter"/>
      <w:start w:val="1"/>
    </w:lvl>
  </w:abstractNum>
  <w:abstractNum w:abstractNumId="153">
    <w:nsid w:val="316032BB"/>
    <w:multiLevelType w:val="hybridMultilevel"/>
    <w:lvl w:ilvl="0">
      <w:lvlJc w:val="left"/>
      <w:lvlText w:val="(%1)"/>
      <w:numFmt w:val="lowerLetter"/>
      <w:start w:val="2"/>
    </w:lvl>
  </w:abstractNum>
  <w:abstractNum w:abstractNumId="154">
    <w:nsid w:val="44344C22"/>
    <w:multiLevelType w:val="hybridMultilevel"/>
    <w:lvl w:ilvl="0">
      <w:lvlJc w:val="left"/>
      <w:lvlText w:val="(%1)"/>
      <w:numFmt w:val="lowerLetter"/>
      <w:start w:val="5"/>
    </w:lvl>
  </w:abstractNum>
  <w:abstractNum w:abstractNumId="155">
    <w:nsid w:val="13CDFCF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471745E4"/>
    <w:multiLevelType w:val="hybridMultilevel"/>
    <w:lvl w:ilvl="0">
      <w:lvlJc w:val="left"/>
      <w:lvlText w:val="%1"/>
      <w:numFmt w:val="lowerRoman"/>
      <w:start w:val="1"/>
    </w:lvl>
    <w:lvl w:ilvl="1">
      <w:lvlJc w:val="left"/>
      <w:lvlText w:val="(%2)"/>
      <w:numFmt w:val="upperLetter"/>
      <w:start w:val="2"/>
    </w:lvl>
  </w:abstractNum>
  <w:abstractNum w:abstractNumId="157">
    <w:nsid w:val="1DDBC66"/>
    <w:multiLevelType w:val="hybridMultilevel"/>
    <w:lvl w:ilvl="0">
      <w:lvlJc w:val="left"/>
      <w:lvlText w:val="(%1)"/>
      <w:numFmt w:val="lowerRoman"/>
      <w:start w:val="3"/>
    </w:lvl>
    <w:lvl w:ilvl="1">
      <w:lvlJc w:val="left"/>
      <w:lvlText w:val="(%2)"/>
      <w:numFmt w:val="upperLetter"/>
      <w:start w:val="1"/>
    </w:lvl>
  </w:abstractNum>
  <w:abstractNum w:abstractNumId="158">
    <w:nsid w:val="30AADFDA"/>
    <w:multiLevelType w:val="hybridMultilevel"/>
    <w:lvl w:ilvl="0">
      <w:lvlJc w:val="left"/>
      <w:lvlText w:val="%1"/>
      <w:numFmt w:val="lowerLetter"/>
      <w:start w:val="1"/>
    </w:lvl>
    <w:lvl w:ilvl="1">
      <w:lvlJc w:val="left"/>
      <w:lvlText w:val="(%2)"/>
      <w:numFmt w:val="lowerRoman"/>
      <w:start w:val="4"/>
    </w:lvl>
  </w:abstractNum>
  <w:abstractNum w:abstractNumId="159">
    <w:nsid w:val="30EADA61"/>
    <w:multiLevelType w:val="hybridMultilevel"/>
    <w:lvl w:ilvl="0">
      <w:lvlJc w:val="left"/>
      <w:lvlText w:val="(%1)"/>
      <w:numFmt w:val="lowerLetter"/>
      <w:start w:val="2"/>
    </w:lvl>
    <w:lvl w:ilvl="1">
      <w:lvlJc w:val="left"/>
      <w:lvlText w:val="(%2)"/>
      <w:numFmt w:val="lowerRoman"/>
      <w:start w:val="1"/>
    </w:lvl>
  </w:abstractNum>
  <w:abstractNum w:abstractNumId="160">
    <w:nsid w:val="27179C0B"/>
    <w:multiLevelType w:val="hybridMultilevel"/>
    <w:lvl w:ilvl="0">
      <w:lvlJc w:val="left"/>
      <w:lvlText w:val="%1"/>
      <w:numFmt w:val="decimal"/>
      <w:start w:val="1"/>
    </w:lvl>
    <w:lvl w:ilvl="1">
      <w:lvlJc w:val="left"/>
      <w:lvlText w:val="(%2)"/>
      <w:numFmt w:val="lowerRoman"/>
      <w:start w:val="2"/>
    </w:lvl>
  </w:abstractNum>
  <w:abstractNum w:abstractNumId="161">
    <w:nsid w:val="5E636063"/>
    <w:multiLevelType w:val="hybridMultilevel"/>
    <w:lvl w:ilvl="0">
      <w:lvlJc w:val="left"/>
      <w:lvlText w:val="(%1)"/>
      <w:numFmt w:val="decimal"/>
      <w:start w:val="1"/>
    </w:lvl>
    <w:lvl w:ilvl="1">
      <w:lvlJc w:val="left"/>
      <w:lvlText w:val="%2"/>
      <w:numFmt w:val="lowerRoman"/>
      <w:start w:val="1"/>
    </w:lvl>
  </w:abstractNum>
  <w:abstractNum w:abstractNumId="162">
    <w:nsid w:val="215641AF"/>
    <w:multiLevelType w:val="hybridMultilevel"/>
    <w:lvl w:ilvl="0">
      <w:lvlJc w:val="left"/>
      <w:lvlText w:val="%1"/>
      <w:numFmt w:val="lowerLetter"/>
      <w:start w:val="1"/>
    </w:lvl>
    <w:lvl w:ilvl="1">
      <w:lvlJc w:val="left"/>
      <w:lvlText w:val="(%2)"/>
      <w:numFmt w:val="lowerRoman"/>
      <w:start w:val="4"/>
    </w:lvl>
  </w:abstractNum>
  <w:abstractNum w:abstractNumId="163">
    <w:nsid w:val="53280662"/>
    <w:multiLevelType w:val="hybridMultilevel"/>
    <w:lvl w:ilvl="0">
      <w:lvlJc w:val="left"/>
      <w:lvlText w:val="(%1)"/>
      <w:numFmt w:val="lowerLetter"/>
      <w:start w:val="3"/>
    </w:lvl>
    <w:lvl w:ilvl="1">
      <w:lvlJc w:val="left"/>
      <w:lvlText w:val="(%2)"/>
      <w:numFmt w:val="lowerRoman"/>
      <w:start w:val="1"/>
    </w:lvl>
  </w:abstractNum>
  <w:abstractNum w:abstractNumId="164">
    <w:nsid w:val="46B24DBC"/>
    <w:multiLevelType w:val="hybridMultilevel"/>
    <w:lvl w:ilvl="0">
      <w:lvlJc w:val="left"/>
      <w:lvlText w:val="(%1)"/>
      <w:numFmt w:val="lowerRoman"/>
      <w:start w:val="2"/>
    </w:lvl>
  </w:abstractNum>
  <w:abstractNum w:abstractNumId="165">
    <w:nsid w:val="75B52783"/>
    <w:multiLevelType w:val="hybridMultilevel"/>
    <w:lvl w:ilvl="0">
      <w:lvlJc w:val="left"/>
      <w:lvlText w:val="%1"/>
      <w:numFmt w:val="lowerLetter"/>
      <w:start w:val="1"/>
    </w:lvl>
    <w:lvl w:ilvl="1">
      <w:lvlJc w:val="left"/>
      <w:lvlText w:val="(%2)"/>
      <w:numFmt w:val="lowerRoman"/>
      <w:start w:val="6"/>
    </w:lvl>
  </w:abstractNum>
  <w:abstractNum w:abstractNumId="166">
    <w:nsid w:val="57CE66B4"/>
    <w:multiLevelType w:val="hybridMultilevel"/>
    <w:lvl w:ilvl="0">
      <w:lvlJc w:val="left"/>
      <w:lvlText w:val="(%1)"/>
      <w:numFmt w:val="lowerLetter"/>
      <w:start w:val="4"/>
    </w:lvl>
    <w:lvl w:ilvl="1">
      <w:lvlJc w:val="left"/>
      <w:lvlText w:val="(%2)"/>
      <w:numFmt w:val="lowerRoman"/>
      <w:start w:val="1"/>
    </w:lvl>
  </w:abstractNum>
  <w:abstractNum w:abstractNumId="167">
    <w:nsid w:val="67A70B69"/>
    <w:multiLevelType w:val="hybridMultilevel"/>
    <w:lvl w:ilvl="0">
      <w:lvlJc w:val="left"/>
      <w:lvlText w:val="(%1)"/>
      <w:numFmt w:val="lowerRoman"/>
      <w:start w:val="2"/>
    </w:lvl>
  </w:abstractNum>
  <w:abstractNum w:abstractNumId="168">
    <w:nsid w:val="5953172F"/>
    <w:multiLevelType w:val="hybridMultilevel"/>
    <w:lvl w:ilvl="0">
      <w:lvlJc w:val="left"/>
      <w:lvlText w:val="(%1)"/>
      <w:numFmt w:val="lowerLetter"/>
      <w:start w:val="6"/>
    </w:lvl>
  </w:abstractNum>
  <w:abstractNum w:abstractNumId="169">
    <w:nsid w:val="27EDFE3A"/>
    <w:multiLevelType w:val="hybridMultilevel"/>
    <w:lvl w:ilvl="0">
      <w:lvlJc w:val="left"/>
      <w:lvlText w:val="(%1)"/>
      <w:numFmt w:val="lowerLetter"/>
      <w:start w:val="8"/>
    </w:lvl>
  </w:abstractNum>
  <w:abstractNum w:abstractNumId="170">
    <w:nsid w:val="52AC7DFF"/>
    <w:multiLevelType w:val="hybridMultilevel"/>
    <w:lvl w:ilvl="0">
      <w:lvlJc w:val="left"/>
      <w:lvlText w:val="(%1)"/>
      <w:numFmt w:val="lowerLetter"/>
      <w:start w:val="1"/>
    </w:lvl>
  </w:abstractNum>
  <w:abstractNum w:abstractNumId="171">
    <w:nsid w:val="C4C3AF"/>
    <w:multiLevelType w:val="hybridMultilevel"/>
    <w:lvl w:ilvl="0">
      <w:lvlJc w:val="left"/>
      <w:lvlText w:val="(%1)"/>
      <w:numFmt w:val="lowerLetter"/>
      <w:start w:val="2"/>
    </w:lvl>
    <w:lvl w:ilvl="1">
      <w:lvlJc w:val="left"/>
      <w:lvlText w:val="(%2)"/>
      <w:numFmt w:val="lowerLetter"/>
      <w:start w:val="9"/>
    </w:lvl>
  </w:abstractNum>
  <w:abstractNum w:abstractNumId="172">
    <w:nsid w:val="44380727"/>
    <w:multiLevelType w:val="hybridMultilevel"/>
    <w:lvl w:ilvl="0">
      <w:lvlJc w:val="left"/>
      <w:lvlText w:val="(%1)"/>
      <w:numFmt w:val="lowerRoman"/>
      <w:start w:val="2"/>
    </w:lvl>
  </w:abstractNum>
  <w:abstractNum w:abstractNumId="173">
    <w:nsid w:val="6C053B16"/>
    <w:multiLevelType w:val="hybridMultilevel"/>
    <w:lvl w:ilvl="0">
      <w:lvlJc w:val="left"/>
      <w:lvlText w:val="(%1)"/>
      <w:numFmt w:val="lowerLetter"/>
      <w:start w:val="4"/>
    </w:lvl>
    <w:lvl w:ilvl="1">
      <w:lvlJc w:val="left"/>
      <w:lvlText w:val="(%2)"/>
      <w:numFmt w:val="lowerRoman"/>
      <w:start w:val="1"/>
    </w:lvl>
  </w:abstractNum>
  <w:abstractNum w:abstractNumId="174">
    <w:nsid w:val="4F294393"/>
    <w:multiLevelType w:val="hybridMultilevel"/>
    <w:lvl w:ilvl="0">
      <w:lvlJc w:val="left"/>
      <w:lvlText w:val="%1"/>
      <w:numFmt w:val="lowerLetter"/>
      <w:start w:val="1"/>
    </w:lvl>
    <w:lvl w:ilvl="1">
      <w:lvlJc w:val="left"/>
      <w:lvlText w:val="(%2)"/>
      <w:numFmt w:val="lowerLetter"/>
      <w:start w:val="35"/>
    </w:lvl>
  </w:abstractNum>
  <w:abstractNum w:abstractNumId="175">
    <w:nsid w:val="5243BFAC"/>
    <w:multiLevelType w:val="hybridMultilevel"/>
    <w:lvl w:ilvl="0">
      <w:lvlJc w:val="left"/>
      <w:lvlText w:val="(%1)"/>
      <w:numFmt w:val="lowerLetter"/>
      <w:start w:val="2"/>
    </w:lvl>
    <w:lvl w:ilvl="1">
      <w:lvlJc w:val="left"/>
      <w:lvlText w:val="(%2)"/>
      <w:numFmt w:val="lowerLetter"/>
      <w:start w:val="35"/>
    </w:lvl>
  </w:abstractNum>
  <w:abstractNum w:abstractNumId="176">
    <w:nsid w:val="425EB207"/>
    <w:multiLevelType w:val="hybridMultilevel"/>
    <w:lvl w:ilvl="0">
      <w:lvlJc w:val="left"/>
      <w:lvlText w:val="(%1)"/>
      <w:numFmt w:val="lowerRoman"/>
      <w:start w:val="2"/>
    </w:lvl>
  </w:abstractNum>
  <w:abstractNum w:abstractNumId="177">
    <w:nsid w:val="334A6F1F"/>
    <w:multiLevelType w:val="hybridMultilevel"/>
    <w:lvl w:ilvl="0">
      <w:lvlJc w:val="left"/>
      <w:lvlText w:val="%1"/>
      <w:numFmt w:val="lowerLetter"/>
      <w:start w:val="1"/>
    </w:lvl>
    <w:lvl w:ilvl="1">
      <w:lvlJc w:val="left"/>
      <w:lvlText w:val="(%2)"/>
      <w:numFmt w:val="lowerLetter"/>
      <w:start w:val="2"/>
    </w:lvl>
  </w:abstractNum>
  <w:abstractNum w:abstractNumId="178">
    <w:nsid w:val="2E5B12B8"/>
    <w:multiLevelType w:val="hybridMultilevel"/>
    <w:lvl w:ilvl="0">
      <w:lvlJc w:val="left"/>
      <w:lvlText w:val="(%1)"/>
      <w:numFmt w:val="lowerLetter"/>
      <w:start w:val="35"/>
    </w:lvl>
    <w:lvl w:ilvl="1">
      <w:lvlJc w:val="left"/>
      <w:lvlText w:val="%2"/>
      <w:numFmt w:val="lowerLetter"/>
      <w:start w:val="1"/>
    </w:lvl>
  </w:abstractNum>
  <w:abstractNum w:abstractNumId="179">
    <w:nsid w:val="5C03D76D"/>
    <w:multiLevelType w:val="hybridMultilevel"/>
    <w:lvl w:ilvl="0">
      <w:lvlJc w:val="left"/>
      <w:lvlText w:val="(%1)"/>
      <w:numFmt w:val="lowerLetter"/>
      <w:start w:val="2"/>
    </w:lvl>
  </w:abstractNum>
  <w:abstractNum w:abstractNumId="180">
    <w:nsid w:val="66A48D11"/>
    <w:multiLevelType w:val="hybridMultilevel"/>
    <w:lvl w:ilvl="0">
      <w:lvlJc w:val="left"/>
      <w:lvlText w:val="%1"/>
      <w:numFmt w:val="lowerLetter"/>
      <w:start w:val="1"/>
    </w:lvl>
    <w:lvl w:ilvl="1">
      <w:lvlJc w:val="left"/>
      <w:lvlText w:val="(%2)"/>
      <w:numFmt w:val="lowerRoman"/>
      <w:start w:val="2"/>
    </w:lvl>
  </w:abstractNum>
  <w:abstractNum w:abstractNumId="181">
    <w:nsid w:val="56C28E34"/>
    <w:multiLevelType w:val="hybridMultilevel"/>
    <w:lvl w:ilvl="0">
      <w:lvlJc w:val="left"/>
      <w:lvlText w:val="(%1)"/>
      <w:numFmt w:val="lowerLetter"/>
      <w:start w:val="3"/>
    </w:lvl>
    <w:lvl w:ilvl="1">
      <w:lvlJc w:val="left"/>
      <w:lvlText w:val="%2"/>
      <w:numFmt w:val="lowerRoman"/>
      <w:start w:val="1"/>
    </w:lvl>
  </w:abstractNum>
  <w:abstractNum w:abstractNumId="182">
    <w:nsid w:val="13916F2D"/>
    <w:multiLevelType w:val="hybridMultilevel"/>
    <w:lvl w:ilvl="0">
      <w:lvlJc w:val="left"/>
      <w:lvlText w:val="(%1)"/>
      <w:numFmt w:val="lowerLetter"/>
      <w:start w:val="1"/>
    </w:lvl>
  </w:abstractNum>
  <w:abstractNum w:abstractNumId="183">
    <w:nsid w:val="435D38D"/>
    <w:multiLevelType w:val="hybridMultilevel"/>
    <w:lvl w:ilvl="0">
      <w:lvlJc w:val="left"/>
      <w:lvlText w:val="(%1)"/>
      <w:numFmt w:val="lowerLetter"/>
      <w:start w:val="2"/>
    </w:lvl>
  </w:abstractNum>
  <w:abstractNum w:abstractNumId="184">
    <w:nsid w:val="822C0EF"/>
    <w:multiLevelType w:val="hybridMultilevel"/>
    <w:lvl w:ilvl="0">
      <w:lvlJc w:val="left"/>
      <w:lvlText w:val="(%1)"/>
      <w:numFmt w:val="lowerRoman"/>
      <w:start w:val="2"/>
    </w:lvl>
  </w:abstractNum>
  <w:abstractNum w:abstractNumId="185">
    <w:nsid w:val="57C5BB4F"/>
    <w:multiLevelType w:val="hybridMultilevel"/>
    <w:lvl w:ilvl="0">
      <w:lvlJc w:val="left"/>
      <w:lvlText w:val="(%1)"/>
      <w:numFmt w:val="lowerLetter"/>
      <w:start w:val="2"/>
    </w:lvl>
  </w:abstractNum>
  <w:abstractNum w:abstractNumId="186">
    <w:nsid w:val="1803D089"/>
    <w:multiLevelType w:val="hybridMultilevel"/>
    <w:lvl w:ilvl="0">
      <w:lvlJc w:val="left"/>
      <w:lvlText w:val="(%1)"/>
      <w:numFmt w:val="lowerLetter"/>
      <w:start w:val="2"/>
    </w:lvl>
  </w:abstractNum>
  <w:abstractNum w:abstractNumId="187">
    <w:nsid w:val="4F3A06D4"/>
    <w:multiLevelType w:val="hybridMultilevel"/>
    <w:lvl w:ilvl="0">
      <w:lvlJc w:val="left"/>
      <w:lvlText w:val="(%1)"/>
      <w:numFmt w:val="lowerLetter"/>
      <w:start w:val="2"/>
    </w:lvl>
  </w:abstractNum>
  <w:abstractNum w:abstractNumId="188">
    <w:nsid w:val="59A377B6"/>
    <w:multiLevelType w:val="hybridMultilevel"/>
    <w:lvl w:ilvl="0">
      <w:lvlJc w:val="left"/>
      <w:lvlText w:val="(%1)"/>
      <w:numFmt w:val="lowerRoman"/>
      <w:start w:val="2"/>
    </w:lvl>
  </w:abstractNum>
  <w:abstractNum w:abstractNumId="189">
    <w:nsid w:val="48AEB063"/>
    <w:multiLevelType w:val="hybridMultilevel"/>
    <w:lvl w:ilvl="0">
      <w:lvlJc w:val="left"/>
      <w:lvlText w:val="(%1)"/>
      <w:numFmt w:val="lowerLetter"/>
      <w:start w:val="3"/>
    </w:lvl>
  </w:abstractNum>
  <w:abstractNum w:abstractNumId="190">
    <w:nsid w:val="24E135"/>
    <w:multiLevelType w:val="hybridMultilevel"/>
    <w:lvl w:ilvl="0">
      <w:lvlJc w:val="left"/>
      <w:lvlText w:val="(%1)"/>
      <w:numFmt w:val="lowerRoman"/>
      <w:start w:val="1"/>
    </w:lvl>
  </w:abstractNum>
  <w:abstractNum w:abstractNumId="191">
    <w:nsid w:val="BB13C1"/>
    <w:multiLevelType w:val="hybridMultilevel"/>
    <w:lvl w:ilvl="0">
      <w:lvlJc w:val="left"/>
      <w:lvlText w:val="(%1)"/>
      <w:numFmt w:val="lowerLetter"/>
      <w:start w:val="1"/>
    </w:lvl>
  </w:abstractNum>
  <w:abstractNum w:abstractNumId="192">
    <w:nsid w:val="271210C7"/>
    <w:multiLevelType w:val="hybridMultilevel"/>
    <w:lvl w:ilvl="0">
      <w:lvlJc w:val="left"/>
      <w:lvlText w:val="(%1)"/>
      <w:numFmt w:val="lowerLetter"/>
      <w:start w:val="4"/>
    </w:lvl>
  </w:abstractNum>
  <w:abstractNum w:abstractNumId="193">
    <w:nsid w:val="217B22E4"/>
    <w:multiLevelType w:val="hybridMultilevel"/>
    <w:lvl w:ilvl="0">
      <w:lvlJc w:val="left"/>
      <w:lvlText w:val="%1"/>
      <w:numFmt w:val="lowerRoman"/>
      <w:start w:val="1"/>
    </w:lvl>
    <w:lvl w:ilvl="1">
      <w:lvlJc w:val="left"/>
      <w:lvlText w:val="(%2)"/>
      <w:numFmt w:val="lowerLetter"/>
      <w:start w:val="1"/>
    </w:lvl>
  </w:abstractNum>
  <w:abstractNum w:abstractNumId="194">
    <w:nsid w:val="53E31A24"/>
    <w:multiLevelType w:val="hybridMultilevel"/>
    <w:lvl w:ilvl="0">
      <w:lvlJc w:val="left"/>
      <w:lvlText w:val="(%1)"/>
      <w:numFmt w:val="lowerRoman"/>
      <w:start w:val="4"/>
    </w:lvl>
    <w:lvl w:ilvl="1">
      <w:lvlJc w:val="left"/>
      <w:lvlText w:val="%2"/>
      <w:numFmt w:val="lowerLetter"/>
      <w:start w:val="1"/>
    </w:lvl>
  </w:abstractNum>
  <w:abstractNum w:abstractNumId="195">
    <w:nsid w:val="6DC45E83"/>
    <w:multiLevelType w:val="hybridMultilevel"/>
    <w:lvl w:ilvl="0">
      <w:lvlJc w:val="left"/>
      <w:lvlText w:val="(%1)"/>
      <w:numFmt w:val="lowerLetter"/>
      <w:start w:val="2"/>
    </w:lvl>
  </w:abstractNum>
  <w:abstractNum w:abstractNumId="196">
    <w:nsid w:val="17304A67"/>
    <w:multiLevelType w:val="hybridMultilevel"/>
    <w:lvl w:ilvl="0">
      <w:lvlJc w:val="left"/>
      <w:lvlText w:val="(%1)"/>
      <w:numFmt w:val="lowerLetter"/>
      <w:start w:val="1"/>
    </w:lvl>
  </w:abstractNum>
  <w:abstractNum w:abstractNumId="197">
    <w:nsid w:val="2BB180D8"/>
    <w:multiLevelType w:val="hybridMultilevel"/>
    <w:lvl w:ilvl="0">
      <w:lvlJc w:val="left"/>
      <w:lvlText w:val="%1"/>
      <w:numFmt w:val="lowerRoman"/>
      <w:start w:val="1"/>
    </w:lvl>
    <w:lvl w:ilvl="1">
      <w:lvlJc w:val="left"/>
      <w:lvlText w:val="(%2)"/>
      <w:numFmt w:val="lowerRoman"/>
      <w:start w:val="1"/>
    </w:lvl>
  </w:abstractNum>
  <w:abstractNum w:abstractNumId="198">
    <w:nsid w:val="556B69ED"/>
    <w:multiLevelType w:val="hybridMultilevel"/>
    <w:lvl w:ilvl="0">
      <w:lvlJc w:val="left"/>
      <w:lvlText w:val="(%1)"/>
      <w:numFmt w:val="lowerRoman"/>
      <w:start w:val="10"/>
    </w:lvl>
    <w:lvl w:ilvl="1">
      <w:lvlJc w:val="left"/>
      <w:lvlText w:val="%2"/>
      <w:numFmt w:val="lowerRoman"/>
      <w:start w:val="1"/>
    </w:lvl>
  </w:abstractNum>
  <w:abstractNum w:abstractNumId="199">
    <w:nsid w:val="70836196"/>
    <w:multiLevelType w:val="hybridMultilevel"/>
    <w:lvl w:ilvl="0">
      <w:lvlJc w:val="left"/>
      <w:lvlText w:val="(%1)"/>
      <w:numFmt w:val="lowerRoman"/>
      <w:start w:val="3"/>
    </w:lvl>
    <w:lvl w:ilvl="1">
      <w:lvlJc w:val="left"/>
      <w:lvlText w:val="(%2)"/>
      <w:numFmt w:val="upperLetter"/>
      <w:start w:val="1"/>
    </w:lvl>
  </w:abstractNum>
  <w:abstractNum w:abstractNumId="200">
    <w:nsid w:val="539F7F12"/>
    <w:multiLevelType w:val="hybridMultilevel"/>
    <w:lvl w:ilvl="0">
      <w:lvlJc w:val="left"/>
      <w:lvlText w:val="%1"/>
      <w:numFmt w:val="lowerLetter"/>
      <w:start w:val="1"/>
    </w:lvl>
    <w:lvl w:ilvl="1">
      <w:lvlJc w:val="left"/>
      <w:lvlText w:val="(%2)"/>
      <w:numFmt w:val="lowerLetter"/>
      <w:start w:val="22"/>
    </w:lvl>
  </w:abstractNum>
  <w:abstractNum w:abstractNumId="201">
    <w:nsid w:val="2817E7EC"/>
    <w:multiLevelType w:val="hybridMultilevel"/>
    <w:lvl w:ilvl="0">
      <w:lvlJc w:val="left"/>
      <w:lvlText w:val="(%1)"/>
      <w:numFmt w:val="lowerLetter"/>
      <w:start w:val="2"/>
    </w:lvl>
    <w:lvl w:ilvl="1">
      <w:lvlJc w:val="left"/>
      <w:lvlText w:val="%2"/>
      <w:numFmt w:val="lowerLetter"/>
      <w:start w:val="1"/>
    </w:lvl>
  </w:abstractNum>
  <w:abstractNum w:abstractNumId="202">
    <w:nsid w:val="71482545"/>
    <w:multiLevelType w:val="hybridMultilevel"/>
    <w:lvl w:ilvl="0">
      <w:lvlJc w:val="left"/>
      <w:lvlText w:val="(%1)"/>
      <w:numFmt w:val="lowerLetter"/>
      <w:start w:val="2"/>
    </w:lvl>
  </w:abstractNum>
  <w:abstractNum w:abstractNumId="203">
    <w:nsid w:val="17D78639"/>
    <w:multiLevelType w:val="hybridMultilevel"/>
    <w:lvl w:ilvl="0">
      <w:lvlJc w:val="left"/>
      <w:lvlText w:val="(%1)"/>
      <w:numFmt w:val="lowerLetter"/>
      <w:start w:val="1"/>
    </w:lvl>
    <w:lvl w:ilvl="1">
      <w:lvlJc w:val="left"/>
      <w:lvlText w:val="(%2)"/>
      <w:numFmt w:val="lowerRoman"/>
      <w:start w:val="1"/>
    </w:lvl>
  </w:abstractNum>
  <w:abstractNum w:abstractNumId="204">
    <w:nsid w:val="141D2302"/>
    <w:multiLevelType w:val="hybridMultilevel"/>
    <w:lvl w:ilvl="0">
      <w:lvlJc w:val="left"/>
      <w:lvlText w:val="(%1)"/>
      <w:numFmt w:val="lowerLetter"/>
      <w:start w:val="5"/>
    </w:lvl>
    <w:lvl w:ilvl="1">
      <w:lvlJc w:val="left"/>
      <w:lvlText w:val="%2"/>
      <w:numFmt w:val="lowerRoman"/>
      <w:start w:val="1"/>
    </w:lvl>
  </w:abstractNum>
  <w:abstractNum w:abstractNumId="205">
    <w:nsid w:val="407168D8"/>
    <w:multiLevelType w:val="hybridMultilevel"/>
    <w:lvl w:ilvl="0">
      <w:lvlJc w:val="left"/>
      <w:lvlText w:val="%1"/>
      <w:numFmt w:val="lowerLetter"/>
      <w:start w:val="1"/>
    </w:lvl>
    <w:lvl w:ilvl="1">
      <w:lvlJc w:val="left"/>
      <w:lvlText w:val="(%2)"/>
      <w:numFmt w:val="lowerLetter"/>
      <w:start w:val="61"/>
    </w:lvl>
  </w:abstractNum>
  <w:abstractNum w:abstractNumId="206">
    <w:nsid w:val="6A1B45E5"/>
    <w:multiLevelType w:val="hybridMultilevel"/>
    <w:lvl w:ilvl="0">
      <w:lvlJc w:val="left"/>
      <w:lvlText w:val="(%1)"/>
      <w:numFmt w:val="lowerLetter"/>
      <w:start w:val="2"/>
    </w:lvl>
    <w:lvl w:ilvl="1">
      <w:lvlJc w:val="left"/>
      <w:lvlText w:val="(%2)"/>
      <w:numFmt w:val="lowerLetter"/>
      <w:start w:val="9"/>
    </w:lvl>
  </w:abstractNum>
  <w:abstractNum w:abstractNumId="207">
    <w:nsid w:val="567BD50A"/>
    <w:multiLevelType w:val="hybridMultilevel"/>
    <w:lvl w:ilvl="0">
      <w:lvlJc w:val="left"/>
      <w:lvlText w:val="(%1)"/>
      <w:numFmt w:val="lowerRoman"/>
      <w:start w:val="2"/>
    </w:lvl>
  </w:abstractNum>
  <w:abstractNum w:abstractNumId="208">
    <w:nsid w:val="73BBD7F8"/>
    <w:multiLevelType w:val="hybridMultilevel"/>
    <w:lvl w:ilvl="0">
      <w:lvlJc w:val="left"/>
      <w:lvlText w:val="(%1)"/>
      <w:numFmt w:val="lowerLetter"/>
      <w:start w:val="4"/>
    </w:lvl>
    <w:lvl w:ilvl="1">
      <w:lvlJc w:val="left"/>
      <w:lvlText w:val="(%2)"/>
      <w:numFmt w:val="lowerRoman"/>
      <w:start w:val="1"/>
    </w:lvl>
  </w:abstractNum>
  <w:abstractNum w:abstractNumId="209">
    <w:nsid w:val="1876589D"/>
    <w:multiLevelType w:val="hybridMultilevel"/>
    <w:lvl w:ilvl="0">
      <w:lvlJc w:val="left"/>
      <w:lvlText w:val="(%1)"/>
      <w:numFmt w:val="upperLetter"/>
      <w:start w:val="1"/>
    </w:lvl>
    <w:lvl w:ilvl="1">
      <w:lvlJc w:val="left"/>
      <w:lvlText w:val="(%2)"/>
      <w:numFmt w:val="lowerLetter"/>
      <w:start w:val="24"/>
    </w:lvl>
    <w:lvl w:ilvl="2">
      <w:lvlJc w:val="left"/>
      <w:lvlText w:val="(%3)"/>
      <w:numFmt w:val="upperLetter"/>
      <w:start w:val="9"/>
    </w:lvl>
  </w:abstractNum>
  <w:abstractNum w:abstractNumId="210">
    <w:nsid w:val="327FAC77"/>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35"/>
    </w:lvl>
  </w:abstractNum>
  <w:abstractNum w:abstractNumId="211">
    <w:nsid w:val="5A606509"/>
    <w:multiLevelType w:val="hybridMultilevel"/>
    <w:lvl w:ilvl="0">
      <w:lvlJc w:val="left"/>
      <w:lvlText w:val="(%1)"/>
      <w:numFmt w:val="lowerLetter"/>
      <w:start w:val="24"/>
    </w:lvl>
    <w:lvl w:ilvl="1">
      <w:lvlJc w:val="left"/>
      <w:lvlText w:val="(%2)"/>
      <w:numFmt w:val="upperLetter"/>
      <w:start w:val="22"/>
    </w:lvl>
  </w:abstractNum>
  <w:abstractNum w:abstractNumId="212">
    <w:nsid w:val="6F38E6D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13">
    <w:nsid w:val="46111BA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14">
    <w:nsid w:val="5E963896"/>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215">
    <w:nsid w:val="775BA7C1"/>
    <w:multiLevelType w:val="hybridMultilevel"/>
    <w:lvl w:ilvl="0">
      <w:lvlJc w:val="left"/>
      <w:lvlText w:val="(%1)"/>
      <w:numFmt w:val="lowerLetter"/>
      <w:start w:val="7"/>
    </w:lvl>
  </w:abstractNum>
  <w:abstractNum w:abstractNumId="216">
    <w:nsid w:val="1DD6D6F4"/>
    <w:multiLevelType w:val="hybridMultilevel"/>
    <w:lvl w:ilvl="0">
      <w:lvlJc w:val="left"/>
      <w:lvlText w:val="(%1)"/>
      <w:numFmt w:val="lowerLetter"/>
      <w:start w:val="1"/>
    </w:lvl>
  </w:abstractNum>
  <w:abstractNum w:abstractNumId="217">
    <w:nsid w:val="769A091F"/>
    <w:multiLevelType w:val="hybridMultilevel"/>
    <w:lvl w:ilvl="0">
      <w:lvlJc w:val="left"/>
      <w:lvlText w:val="(%1)"/>
      <w:numFmt w:val="lowerLetter"/>
      <w:start w:val="1"/>
    </w:lvl>
  </w:abstractNum>
  <w:abstractNum w:abstractNumId="218">
    <w:nsid w:val="4695AE95"/>
    <w:multiLevelType w:val="hybridMultilevel"/>
    <w:lvl w:ilvl="0">
      <w:lvlJc w:val="left"/>
      <w:lvlText w:val="(%1)"/>
      <w:numFmt w:val="lowerLetter"/>
      <w:start w:val="1"/>
    </w:lvl>
    <w:lvl w:ilvl="1">
      <w:lvlJc w:val="left"/>
      <w:lvlText w:val="(%2)"/>
      <w:numFmt w:val="lowerRoman"/>
      <w:start w:val="1"/>
    </w:lvl>
  </w:abstractNum>
  <w:abstractNum w:abstractNumId="219">
    <w:nsid w:val="777A4EAA"/>
    <w:multiLevelType w:val="hybridMultilevel"/>
    <w:lvl w:ilvl="0">
      <w:lvlJc w:val="left"/>
      <w:lvlText w:val="(%1)"/>
      <w:numFmt w:val="lowerLetter"/>
      <w:start w:val="2"/>
    </w:lvl>
  </w:abstractNum>
  <w:abstractNum w:abstractNumId="220">
    <w:nsid w:val="3F48B982"/>
    <w:multiLevelType w:val="hybridMultilevel"/>
    <w:lvl w:ilvl="0">
      <w:lvlJc w:val="left"/>
      <w:lvlText w:val="(%1)"/>
      <w:numFmt w:val="lowerLetter"/>
      <w:start w:val="5"/>
    </w:lvl>
  </w:abstractNum>
  <w:abstractNum w:abstractNumId="221">
    <w:nsid w:val="46BA8FCA"/>
    <w:multiLevelType w:val="hybridMultilevel"/>
    <w:lvl w:ilvl="0">
      <w:lvlJc w:val="left"/>
      <w:lvlText w:val="(%1)"/>
      <w:numFmt w:val="lowerLetter"/>
      <w:start w:val="1"/>
    </w:lvl>
  </w:abstractNum>
  <w:abstractNum w:abstractNumId="222">
    <w:nsid w:val="7835626C"/>
    <w:multiLevelType w:val="hybridMultilevel"/>
    <w:lvl w:ilvl="0">
      <w:lvlJc w:val="left"/>
      <w:lvlText w:val="(%1)"/>
      <w:numFmt w:val="lowerLetter"/>
      <w:start w:val="1"/>
    </w:lvl>
  </w:abstractNum>
  <w:abstractNum w:abstractNumId="223">
    <w:nsid w:val="665ACA49"/>
    <w:multiLevelType w:val="hybridMultilevel"/>
    <w:lvl w:ilvl="0">
      <w:lvlJc w:val="left"/>
      <w:lvlText w:val="(%1)"/>
      <w:numFmt w:val="lowerLetter"/>
      <w:start w:val="1"/>
    </w:lvl>
    <w:lvl w:ilvl="1">
      <w:lvlJc w:val="left"/>
      <w:lvlText w:val="(%2)"/>
      <w:numFmt w:val="lowerRoman"/>
      <w:start w:val="1"/>
    </w:lvl>
  </w:abstractNum>
  <w:abstractNum w:abstractNumId="224">
    <w:nsid w:val="6835B2AE"/>
    <w:multiLevelType w:val="hybridMultilevel"/>
    <w:lvl w:ilvl="0">
      <w:lvlJc w:val="left"/>
      <w:lvlText w:val="%1"/>
      <w:numFmt w:val="lowerLetter"/>
      <w:start w:val="1"/>
    </w:lvl>
    <w:lvl w:ilvl="1">
      <w:lvlJc w:val="left"/>
      <w:lvlText w:val="(%2)"/>
      <w:numFmt w:val="lowerRoman"/>
      <w:start w:val="9"/>
    </w:lvl>
  </w:abstractNum>
  <w:abstractNum w:abstractNumId="225">
    <w:nsid w:val="4C187C90"/>
    <w:multiLevelType w:val="hybridMultilevel"/>
    <w:lvl w:ilvl="0">
      <w:lvlJc w:val="left"/>
      <w:lvlText w:val="(%1)"/>
      <w:numFmt w:val="lowerLetter"/>
      <w:start w:val="2"/>
    </w:lvl>
    <w:lvl w:ilvl="1">
      <w:lvlJc w:val="left"/>
      <w:lvlText w:val="%2"/>
      <w:numFmt w:val="lowerRoman"/>
      <w:start w:val="1"/>
    </w:lvl>
  </w:abstractNum>
  <w:abstractNum w:abstractNumId="226">
    <w:nsid w:val="541F28CD"/>
    <w:multiLevelType w:val="hybridMultilevel"/>
    <w:lvl w:ilvl="0">
      <w:lvlJc w:val="left"/>
      <w:lvlText w:val="(%1)"/>
      <w:numFmt w:val="lowerLetter"/>
      <w:start w:val="1"/>
    </w:lvl>
  </w:abstractNum>
  <w:abstractNum w:abstractNumId="227">
    <w:nsid w:val="7F65FD16"/>
    <w:multiLevelType w:val="hybridMultilevel"/>
    <w:lvl w:ilvl="0">
      <w:lvlJc w:val="left"/>
      <w:lvlText w:val="(%1)"/>
      <w:numFmt w:val="lowerLetter"/>
      <w:start w:val="2"/>
    </w:lvl>
  </w:abstractNum>
  <w:abstractNum w:abstractNumId="228">
    <w:nsid w:val="77C9FD68"/>
    <w:multiLevelType w:val="hybridMultilevel"/>
    <w:lvl w:ilvl="0">
      <w:lvlJc w:val="left"/>
      <w:lvlText w:val="(%1)"/>
      <w:numFmt w:val="lowerLetter"/>
      <w:start w:val="1"/>
    </w:lvl>
  </w:abstractNum>
  <w:abstractNum w:abstractNumId="229">
    <w:nsid w:val="298A92BA"/>
    <w:multiLevelType w:val="hybridMultilevel"/>
    <w:lvl w:ilvl="0">
      <w:lvlJc w:val="left"/>
      <w:lvlText w:val="(%1)"/>
      <w:numFmt w:val="lowerLetter"/>
      <w:start w:val="1"/>
    </w:lvl>
  </w:abstractNum>
  <w:abstractNum w:abstractNumId="230">
    <w:nsid w:val="6FE95EAC"/>
    <w:multiLevelType w:val="hybridMultilevel"/>
    <w:lvl w:ilvl="0">
      <w:lvlJc w:val="left"/>
      <w:lvlText w:val="(%1)"/>
      <w:numFmt w:val="lowerLetter"/>
      <w:start w:val="1"/>
    </w:lvl>
  </w:abstractNum>
  <w:abstractNum w:abstractNumId="231">
    <w:nsid w:val="4B697C7A"/>
    <w:multiLevelType w:val="hybridMultilevel"/>
    <w:lvl w:ilvl="0">
      <w:lvlJc w:val="left"/>
      <w:lvlText w:val="(%1)"/>
      <w:numFmt w:val="lowerLetter"/>
      <w:start w:val="1"/>
    </w:lvl>
  </w:abstractNum>
  <w:abstractNum w:abstractNumId="232">
    <w:nsid w:val="51A27AA6"/>
    <w:multiLevelType w:val="hybridMultilevel"/>
    <w:lvl w:ilvl="0">
      <w:lvlJc w:val="left"/>
      <w:lvlText w:val="(%1)"/>
      <w:numFmt w:val="lowerLetter"/>
      <w:start w:val="1"/>
    </w:lvl>
  </w:abstractNum>
  <w:abstractNum w:abstractNumId="233">
    <w:nsid w:val="613183F2"/>
    <w:multiLevelType w:val="hybridMultilevel"/>
    <w:lvl w:ilvl="0">
      <w:lvlJc w:val="left"/>
      <w:lvlText w:val="(%1)"/>
      <w:numFmt w:val="lowerLetter"/>
      <w:start w:val="1"/>
    </w:lvl>
  </w:abstractNum>
  <w:abstractNum w:abstractNumId="234">
    <w:nsid w:val="634102B4"/>
    <w:multiLevelType w:val="hybridMultilevel"/>
    <w:lvl w:ilvl="0">
      <w:lvlJc w:val="left"/>
      <w:lvlText w:val="(%1)"/>
      <w:numFmt w:val="lowerLetter"/>
      <w:start w:val="1"/>
    </w:lvl>
  </w:abstractNum>
  <w:abstractNum w:abstractNumId="235">
    <w:nsid w:val="65BF9DA8"/>
    <w:multiLevelType w:val="hybridMultilevel"/>
    <w:lvl w:ilvl="0">
      <w:lvlJc w:val="left"/>
      <w:lvlText w:val="(%1)"/>
      <w:numFmt w:val="lowerRoman"/>
      <w:start w:val="2"/>
    </w:lvl>
  </w:abstractNum>
  <w:abstractNum w:abstractNumId="236">
    <w:nsid w:val="21A2ECCA"/>
    <w:multiLevelType w:val="hybridMultilevel"/>
    <w:lvl w:ilvl="0">
      <w:lvlJc w:val="left"/>
      <w:lvlText w:val="(%1)"/>
      <w:numFmt w:val="lowerLetter"/>
      <w:start w:val="1"/>
    </w:lvl>
  </w:abstractNum>
  <w:abstractNum w:abstractNumId="237">
    <w:nsid w:val="4D5C4899"/>
    <w:multiLevelType w:val="hybridMultilevel"/>
    <w:lvl w:ilvl="0">
      <w:lvlJc w:val="left"/>
      <w:lvlText w:val="(%1)"/>
      <w:numFmt w:val="lowerLetter"/>
      <w:start w:val="3"/>
    </w:lvl>
    <w:lvl w:ilvl="1">
      <w:lvlJc w:val="left"/>
      <w:lvlText w:val="(%2)"/>
      <w:numFmt w:val="lowerRoman"/>
      <w:start w:val="1"/>
    </w:lvl>
  </w:abstractNum>
  <w:abstractNum w:abstractNumId="238">
    <w:nsid w:val="3C3B72B2"/>
    <w:multiLevelType w:val="hybridMultilevel"/>
    <w:lvl w:ilvl="0">
      <w:lvlJc w:val="left"/>
      <w:lvlText w:val="(%1)"/>
      <w:numFmt w:val="lowerLetter"/>
      <w:start w:val="2"/>
    </w:lvl>
  </w:abstractNum>
  <w:abstractNum w:abstractNumId="239">
    <w:nsid w:val="155EC4C2"/>
    <w:multiLevelType w:val="hybridMultilevel"/>
    <w:lvl w:ilvl="0">
      <w:lvlJc w:val="left"/>
      <w:lvlText w:val="(%1)"/>
      <w:numFmt w:val="lowerLetter"/>
      <w:start w:val="22"/>
    </w:lvl>
  </w:abstractNum>
  <w:abstractNum w:abstractNumId="240">
    <w:nsid w:val="65D2A137"/>
    <w:multiLevelType w:val="hybridMultilevel"/>
    <w:lvl w:ilvl="0">
      <w:lvlJc w:val="left"/>
      <w:lvlText w:val="(%1)"/>
      <w:numFmt w:val="lowerLetter"/>
      <w:start w:val="1"/>
    </w:lvl>
  </w:abstractNum>
  <w:abstractNum w:abstractNumId="241">
    <w:nsid w:val="6EBB1F2A"/>
    <w:multiLevelType w:val="hybridMultilevel"/>
    <w:lvl w:ilvl="0">
      <w:lvlJc w:val="left"/>
      <w:lvlText w:val="%1"/>
      <w:numFmt w:val="lowerLetter"/>
      <w:start w:val="1"/>
    </w:lvl>
    <w:lvl w:ilvl="1">
      <w:lvlJc w:val="left"/>
      <w:lvlText w:val="(%2)"/>
      <w:numFmt w:val="lowerLetter"/>
      <w:start w:val="3"/>
    </w:lvl>
  </w:abstractNum>
  <w:abstractNum w:abstractNumId="242">
    <w:nsid w:val="6FBF29CB"/>
    <w:multiLevelType w:val="hybridMultilevel"/>
    <w:lvl w:ilvl="0">
      <w:lvlJc w:val="left"/>
      <w:lvlText w:val="(%1)"/>
      <w:numFmt w:val="lowerLetter"/>
      <w:start w:val="35"/>
    </w:lvl>
    <w:lvl w:ilvl="1">
      <w:lvlJc w:val="left"/>
      <w:lvlText w:val="(%2)"/>
      <w:numFmt w:val="lowerLetter"/>
      <w:start w:val="12"/>
    </w:lvl>
  </w:abstractNum>
  <w:abstractNum w:abstractNumId="243">
    <w:nsid w:val="550B8808"/>
    <w:multiLevelType w:val="hybridMultilevel"/>
    <w:lvl w:ilvl="0">
      <w:lvlJc w:val="left"/>
      <w:lvlText w:val="(%1)"/>
      <w:numFmt w:val="lowerLetter"/>
      <w:start w:val="1"/>
    </w:lvl>
  </w:abstractNum>
  <w:abstractNum w:abstractNumId="244">
    <w:nsid w:val="34CC3ACF"/>
    <w:multiLevelType w:val="hybridMultilevel"/>
    <w:lvl w:ilvl="0">
      <w:lvlJc w:val="left"/>
      <w:lvlText w:val="(%1)"/>
      <w:numFmt w:val="lowerLetter"/>
      <w:start w:val="11"/>
    </w:lvl>
  </w:abstractNum>
  <w:abstractNum w:abstractNumId="245">
    <w:nsid w:val="4E556261"/>
    <w:multiLevelType w:val="hybridMultilevel"/>
    <w:lvl w:ilvl="0">
      <w:lvlJc w:val="left"/>
      <w:lvlText w:val="(%1)"/>
      <w:numFmt w:val="lowerLetter"/>
      <w:start w:val="1"/>
    </w:lvl>
  </w:abstractNum>
  <w:abstractNum w:abstractNumId="246">
    <w:nsid w:val="4C672FC9"/>
    <w:multiLevelType w:val="hybridMultilevel"/>
    <w:lvl w:ilvl="0">
      <w:lvlJc w:val="left"/>
      <w:lvlText w:val="(%1)"/>
      <w:numFmt w:val="lowerLetter"/>
      <w:start w:val="1"/>
    </w:lvl>
  </w:abstractNum>
  <w:abstractNum w:abstractNumId="247">
    <w:nsid w:val="52A311C3"/>
    <w:multiLevelType w:val="hybridMultilevel"/>
    <w:lvl w:ilvl="0">
      <w:lvlJc w:val="left"/>
      <w:lvlText w:val="%1"/>
      <w:numFmt w:val="lowerLetter"/>
      <w:start w:val="1"/>
    </w:lvl>
    <w:lvl w:ilvl="1">
      <w:lvlJc w:val="left"/>
      <w:lvlText w:val="(%2)"/>
      <w:numFmt w:val="lowerLetter"/>
      <w:start w:val="4"/>
    </w:lvl>
  </w:abstractNum>
  <w:abstractNum w:abstractNumId="248">
    <w:nsid w:val="44EF6B80"/>
    <w:multiLevelType w:val="hybridMultilevel"/>
    <w:lvl w:ilvl="0">
      <w:lvlJc w:val="left"/>
      <w:lvlText w:val="(%1)"/>
      <w:numFmt w:val="lowerLetter"/>
      <w:start w:val="9"/>
    </w:lvl>
    <w:lvl w:ilvl="1">
      <w:lvlJc w:val="left"/>
      <w:lvlText w:val="(%2)"/>
      <w:numFmt w:val="lowerLetter"/>
      <w:start w:val="6"/>
    </w:lvl>
  </w:abstractNum>
  <w:abstractNum w:abstractNumId="249">
    <w:nsid w:val="12FCDE5E"/>
    <w:multiLevelType w:val="hybridMultilevel"/>
    <w:lvl w:ilvl="0">
      <w:lvlJc w:val="left"/>
      <w:lvlText w:val="(%1)"/>
      <w:numFmt w:val="lowerRoman"/>
      <w:start w:val="2"/>
    </w:lvl>
  </w:abstractNum>
  <w:abstractNum w:abstractNumId="250">
    <w:nsid w:val="4A1D606E"/>
    <w:multiLevelType w:val="hybridMultilevel"/>
    <w:lvl w:ilvl="0">
      <w:lvlJc w:val="left"/>
      <w:lvlText w:val="(%1)"/>
      <w:numFmt w:val="lowerLetter"/>
      <w:start w:val="2"/>
    </w:lvl>
  </w:abstractNum>
  <w:abstractNum w:abstractNumId="251">
    <w:nsid w:val="4382503"/>
    <w:multiLevelType w:val="hybridMultilevel"/>
    <w:lvl w:ilvl="0">
      <w:lvlJc w:val="left"/>
      <w:lvlText w:val="(%1)"/>
      <w:numFmt w:val="lowerRoman"/>
      <w:start w:val="3"/>
    </w:lvl>
  </w:abstractNum>
  <w:abstractNum w:abstractNumId="252">
    <w:nsid w:val="59B76E28"/>
    <w:multiLevelType w:val="hybridMultilevel"/>
    <w:lvl w:ilvl="0">
      <w:lvlJc w:val="left"/>
      <w:lvlText w:val="%1"/>
      <w:numFmt w:val="upperLetter"/>
      <w:start w:val="1"/>
    </w:lvl>
    <w:lvl w:ilvl="1">
      <w:lvlJc w:val="left"/>
      <w:lvlText w:val="(%2)"/>
      <w:numFmt w:val="lowerLetter"/>
      <w:start w:val="1"/>
    </w:lvl>
  </w:abstractNum>
  <w:abstractNum w:abstractNumId="253">
    <w:nsid w:val="4252C2DA"/>
    <w:multiLevelType w:val="hybridMultilevel"/>
    <w:lvl w:ilvl="0">
      <w:lvlJc w:val="left"/>
      <w:lvlText w:val="(%1)"/>
      <w:numFmt w:val="upperLetter"/>
      <w:start w:val="2"/>
    </w:lvl>
    <w:lvl w:ilvl="1">
      <w:lvlJc w:val="left"/>
      <w:lvlText w:val="%2"/>
      <w:numFmt w:val="lowerLetter"/>
      <w:start w:val="1"/>
    </w:lvl>
  </w:abstractNum>
  <w:abstractNum w:abstractNumId="254">
    <w:nsid w:val="6A92EF4C"/>
    <w:multiLevelType w:val="hybridMultilevel"/>
    <w:lvl w:ilvl="0">
      <w:lvlJc w:val="left"/>
      <w:lvlText w:val="(%1)"/>
      <w:numFmt w:val="lowerLetter"/>
      <w:start w:val="6"/>
    </w:lvl>
  </w:abstractNum>
  <w:abstractNum w:abstractNumId="255">
    <w:nsid w:val="41ED20D7"/>
    <w:multiLevelType w:val="hybridMultilevel"/>
    <w:lvl w:ilvl="0">
      <w:lvlJc w:val="left"/>
      <w:lvlText w:val="(%1)"/>
      <w:numFmt w:val="lowerLetter"/>
      <w:start w:val="9"/>
    </w:lvl>
  </w:abstractNum>
  <w:abstractNum w:abstractNumId="256">
    <w:nsid w:val="E6B3F6A"/>
    <w:multiLevelType w:val="hybridMultilevel"/>
    <w:lvl w:ilvl="0">
      <w:lvlJc w:val="left"/>
      <w:lvlText w:val="(%1)"/>
      <w:numFmt w:val="lowerLetter"/>
      <w:start w:val="1"/>
    </w:lvl>
  </w:abstractNum>
  <w:abstractNum w:abstractNumId="257">
    <w:nsid w:val="3EB21819"/>
    <w:multiLevelType w:val="hybridMultilevel"/>
    <w:lvl w:ilvl="0">
      <w:lvlJc w:val="left"/>
      <w:lvlText w:val="(%1)"/>
      <w:numFmt w:val="lowerLetter"/>
      <w:start w:val="1"/>
    </w:lvl>
  </w:abstractNum>
  <w:abstractNum w:abstractNumId="258">
    <w:nsid w:val="41531DED"/>
    <w:multiLevelType w:val="hybridMultilevel"/>
    <w:lvl w:ilvl="0">
      <w:lvlJc w:val="left"/>
      <w:lvlText w:val="(%1)"/>
      <w:numFmt w:val="lowerLetter"/>
      <w:start w:val="3"/>
    </w:lvl>
  </w:abstractNum>
  <w:abstractNum w:abstractNumId="259">
    <w:nsid w:val="6353CD2"/>
    <w:multiLevelType w:val="hybridMultilevel"/>
    <w:lvl w:ilvl="0">
      <w:lvlJc w:val="left"/>
      <w:lvlText w:val="(%1)"/>
      <w:numFmt w:val="lowerLetter"/>
      <w:start w:val="2"/>
    </w:lvl>
  </w:abstractNum>
  <w:abstractNum w:abstractNumId="260">
    <w:nsid w:val="683CAAD3"/>
    <w:multiLevelType w:val="hybridMultilevel"/>
    <w:lvl w:ilvl="0">
      <w:lvlJc w:val="left"/>
      <w:lvlText w:val="(%1)"/>
      <w:numFmt w:val="lowerLetter"/>
      <w:start w:val="4"/>
    </w:lvl>
  </w:abstractNum>
  <w:abstractNum w:abstractNumId="261">
    <w:nsid w:val="313C7C99"/>
    <w:multiLevelType w:val="hybridMultilevel"/>
    <w:lvl w:ilvl="0">
      <w:lvlJc w:val="left"/>
      <w:lvlText w:val="(%1)"/>
      <w:numFmt w:val="lowerLetter"/>
      <w:start w:val="1"/>
    </w:lvl>
  </w:abstractNum>
  <w:abstractNum w:abstractNumId="262">
    <w:nsid w:val="519EB94C"/>
    <w:multiLevelType w:val="hybridMultilevel"/>
    <w:lvl w:ilvl="0">
      <w:lvlJc w:val="left"/>
      <w:lvlText w:val="(%1)"/>
      <w:numFmt w:val="lowerLetter"/>
      <w:start w:val="1"/>
    </w:lvl>
  </w:abstractNum>
  <w:abstractNum w:abstractNumId="263">
    <w:nsid w:val="39DF2579"/>
    <w:multiLevelType w:val="hybridMultilevel"/>
    <w:lvl w:ilvl="0">
      <w:lvlJc w:val="left"/>
      <w:lvlText w:val="(%1)"/>
      <w:numFmt w:val="lowerLetter"/>
      <w:start w:val="1"/>
    </w:lvl>
  </w:abstractNum>
  <w:abstractNum w:abstractNumId="264">
    <w:nsid w:val="126E008B"/>
    <w:multiLevelType w:val="hybridMultilevel"/>
    <w:lvl w:ilvl="0">
      <w:lvlJc w:val="left"/>
      <w:lvlText w:val="(%1)"/>
      <w:numFmt w:val="lowerLetter"/>
      <w:start w:val="3"/>
    </w:lvl>
  </w:abstractNum>
  <w:abstractNum w:abstractNumId="265">
    <w:nsid w:val="34DFBC00"/>
    <w:multiLevelType w:val="hybridMultilevel"/>
    <w:lvl w:ilvl="0">
      <w:lvlJc w:val="left"/>
      <w:lvlText w:val="(%1)"/>
      <w:numFmt w:val="lowerLetter"/>
      <w:start w:val="6"/>
    </w:lvl>
  </w:abstractNum>
  <w:abstractNum w:abstractNumId="266">
    <w:nsid w:val="1F9EC322"/>
    <w:multiLevelType w:val="hybridMultilevel"/>
    <w:lvl w:ilvl="0">
      <w:lvlJc w:val="left"/>
      <w:lvlText w:val="(%1)"/>
      <w:numFmt w:val="lowerRoman"/>
      <w:start w:val="2"/>
    </w:lvl>
  </w:abstractNum>
  <w:abstractNum w:abstractNumId="267">
    <w:nsid w:val="3410ED56"/>
    <w:multiLevelType w:val="hybridMultilevel"/>
    <w:lvl w:ilvl="0">
      <w:lvlJc w:val="left"/>
      <w:lvlText w:val="(%1)"/>
      <w:numFmt w:val="lowerLetter"/>
      <w:start w:val="1"/>
    </w:lvl>
    <w:lvl w:ilvl="1">
      <w:lvlJc w:val="left"/>
      <w:lvlText w:val="(%2)"/>
      <w:numFmt w:val="lowerRoman"/>
      <w:start w:val="1"/>
    </w:lvl>
  </w:abstractNum>
  <w:abstractNum w:abstractNumId="268">
    <w:nsid w:val="23C049A"/>
    <w:multiLevelType w:val="hybridMultilevel"/>
    <w:lvl w:ilvl="0">
      <w:lvlJc w:val="left"/>
      <w:lvlText w:val="(%1)"/>
      <w:numFmt w:val="lowerLetter"/>
      <w:start w:val="2"/>
    </w:lvl>
  </w:abstractNum>
  <w:abstractNum w:abstractNumId="269">
    <w:nsid w:val="5BDA35D4"/>
    <w:multiLevelType w:val="hybridMultilevel"/>
    <w:lvl w:ilvl="0">
      <w:lvlJc w:val="left"/>
      <w:lvlText w:val="(%1)"/>
      <w:numFmt w:val="lowerLetter"/>
      <w:start w:val="3"/>
    </w:lvl>
  </w:abstractNum>
  <w:abstractNum w:abstractNumId="270">
    <w:nsid w:val="496FB218"/>
    <w:multiLevelType w:val="hybridMultilevel"/>
    <w:lvl w:ilvl="0">
      <w:lvlJc w:val="left"/>
      <w:lvlText w:val="(%1)"/>
      <w:numFmt w:val="lowerLetter"/>
      <w:start w:val="5"/>
    </w:lvl>
  </w:abstractNum>
  <w:abstractNum w:abstractNumId="271">
    <w:nsid w:val="680EA5D1"/>
    <w:multiLevelType w:val="hybridMultilevel"/>
    <w:lvl w:ilvl="0">
      <w:lvlJc w:val="left"/>
      <w:lvlText w:val="(%1)"/>
      <w:numFmt w:val="lowerLetter"/>
      <w:start w:val="4"/>
    </w:lvl>
  </w:abstractNum>
  <w:abstractNum w:abstractNumId="272">
    <w:nsid w:val="4A9554FE"/>
    <w:multiLevelType w:val="hybridMultilevel"/>
    <w:lvl w:ilvl="0">
      <w:lvlJc w:val="left"/>
      <w:lvlText w:val="(%1)"/>
      <w:numFmt w:val="lowerLetter"/>
      <w:start w:val="1"/>
    </w:lvl>
  </w:abstractNum>
  <w:abstractNum w:abstractNumId="273">
    <w:nsid w:val="392EDBE4"/>
    <w:multiLevelType w:val="hybridMultilevel"/>
    <w:lvl w:ilvl="0">
      <w:lvlJc w:val="left"/>
      <w:lvlText w:val="%1"/>
      <w:numFmt w:val="lowerLetter"/>
      <w:start w:val="1"/>
    </w:lvl>
    <w:lvl w:ilvl="1">
      <w:lvlJc w:val="left"/>
      <w:lvlText w:val="(%2)"/>
      <w:numFmt w:val="lowerLetter"/>
      <w:start w:val="3"/>
    </w:lvl>
  </w:abstractNum>
  <w:abstractNum w:abstractNumId="274">
    <w:nsid w:val="3D1A2DD9"/>
    <w:multiLevelType w:val="hybridMultilevel"/>
    <w:lvl w:ilvl="0">
      <w:lvlJc w:val="left"/>
      <w:lvlText w:val="(%1)"/>
      <w:numFmt w:val="lowerLetter"/>
      <w:start w:val="2"/>
    </w:lvl>
    <w:lvl w:ilvl="1">
      <w:lvlJc w:val="left"/>
      <w:lvlText w:val="(%2)"/>
      <w:numFmt w:val="lowerLetter"/>
      <w:start w:val="4"/>
    </w:lvl>
  </w:abstractNum>
  <w:abstractNum w:abstractNumId="275">
    <w:nsid w:val="7F618FCD"/>
    <w:multiLevelType w:val="hybridMultilevel"/>
    <w:lvl w:ilvl="0">
      <w:lvlJc w:val="left"/>
      <w:lvlText w:val="(%1)"/>
      <w:numFmt w:val="lowerLetter"/>
      <w:start w:val="5"/>
    </w:lvl>
  </w:abstractNum>
  <w:abstractNum w:abstractNumId="276">
    <w:nsid w:val="7843E45"/>
    <w:multiLevelType w:val="hybridMultilevel"/>
    <w:lvl w:ilvl="0">
      <w:lvlJc w:val="left"/>
      <w:lvlText w:val="(%1)"/>
      <w:numFmt w:val="lowerLetter"/>
      <w:start w:val="1"/>
    </w:lvl>
  </w:abstractNum>
  <w:abstractNum w:abstractNumId="277">
    <w:nsid w:val="9815DA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8">
    <w:nsid w:val="5204A19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79">
    <w:nsid w:val="4C73A9C6"/>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80">
    <w:nsid w:val="1C7E3C01"/>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281">
    <w:nsid w:val="1C2201FF"/>
    <w:multiLevelType w:val="hybridMultilevel"/>
    <w:lvl w:ilvl="0">
      <w:lvlJc w:val="left"/>
      <w:lvlText w:val="(%1)"/>
      <w:numFmt w:val="lowerLetter"/>
      <w:start w:val="3"/>
    </w:lvl>
  </w:abstractNum>
  <w:abstractNum w:abstractNumId="282">
    <w:nsid w:val="50ABCEC9"/>
    <w:multiLevelType w:val="hybridMultilevel"/>
    <w:lvl w:ilvl="0">
      <w:lvlJc w:val="left"/>
      <w:lvlText w:val="(%1)"/>
      <w:numFmt w:val="lowerLetter"/>
      <w:start w:val="5"/>
    </w:lvl>
  </w:abstractNum>
  <w:abstractNum w:abstractNumId="283">
    <w:nsid w:val="7635AA2A"/>
    <w:multiLevelType w:val="hybridMultilevel"/>
    <w:lvl w:ilvl="0">
      <w:lvlJc w:val="left"/>
      <w:lvlText w:val="%1"/>
      <w:numFmt w:val="lowerLetter"/>
      <w:start w:val="1"/>
    </w:lvl>
    <w:lvl w:ilvl="1">
      <w:lvlJc w:val="left"/>
      <w:lvlText w:val="(%2)"/>
      <w:numFmt w:val="lowerLetter"/>
      <w:start w:val="6"/>
    </w:lvl>
  </w:abstractNum>
  <w:abstractNum w:abstractNumId="284">
    <w:nsid w:val="5E74C4D9"/>
    <w:multiLevelType w:val="hybridMultilevel"/>
    <w:lvl w:ilvl="0">
      <w:lvlJc w:val="left"/>
      <w:lvlText w:val="(%1)"/>
      <w:numFmt w:val="lowerLetter"/>
      <w:start w:val="1"/>
    </w:lvl>
    <w:lvl w:ilvl="1">
      <w:lvlJc w:val="left"/>
      <w:lvlText w:val="%2"/>
      <w:numFmt w:val="lowerLetter"/>
      <w:start w:val="1"/>
    </w:lvl>
  </w:abstractNum>
  <w:abstractNum w:abstractNumId="285">
    <w:nsid w:val="3B3EBE15"/>
    <w:multiLevelType w:val="hybridMultilevel"/>
    <w:lvl w:ilvl="0">
      <w:lvlJc w:val="left"/>
      <w:lvlText w:val="(%1)"/>
      <w:numFmt w:val="lowerLetter"/>
      <w:start w:val="7"/>
    </w:lvl>
  </w:abstractNum>
  <w:abstractNum w:abstractNumId="286">
    <w:nsid w:val="3822CB01"/>
    <w:multiLevelType w:val="hybridMultilevel"/>
    <w:lvl w:ilvl="0">
      <w:lvlJc w:val="left"/>
      <w:lvlText w:val="(%1)"/>
      <w:numFmt w:val="lowerLetter"/>
      <w:start w:val="1"/>
    </w:lvl>
  </w:abstractNum>
  <w:abstractNum w:abstractNumId="287">
    <w:nsid w:val="6CE00443"/>
    <w:multiLevelType w:val="hybridMultilevel"/>
    <w:lvl w:ilvl="0">
      <w:lvlJc w:val="left"/>
      <w:lvlText w:val="(%1)"/>
      <w:numFmt w:val="lowerLetter"/>
      <w:start w:val="1"/>
    </w:lvl>
  </w:abstractNum>
  <w:abstractNum w:abstractNumId="288">
    <w:nsid w:val="79F0D62F"/>
    <w:multiLevelType w:val="hybridMultilevel"/>
    <w:lvl w:ilvl="0">
      <w:lvlJc w:val="left"/>
      <w:lvlText w:val="(%1)"/>
      <w:numFmt w:val="lowerLetter"/>
      <w:start w:val="4"/>
    </w:lvl>
  </w:abstractNum>
  <w:abstractNum w:abstractNumId="289">
    <w:nsid w:val="7975E8EE"/>
    <w:multiLevelType w:val="hybridMultilevel"/>
    <w:lvl w:ilvl="0">
      <w:lvlJc w:val="left"/>
      <w:lvlText w:val="(%1)"/>
      <w:numFmt w:val="lowerLetter"/>
      <w:start w:val="1"/>
    </w:lvl>
  </w:abstractNum>
  <w:abstractNum w:abstractNumId="290">
    <w:nsid w:val="73154115"/>
    <w:multiLevelType w:val="hybridMultilevel"/>
    <w:lvl w:ilvl="0">
      <w:lvlJc w:val="left"/>
      <w:lvlText w:val="(%1)"/>
      <w:numFmt w:val="lowerLetter"/>
      <w:start w:val="2"/>
    </w:lvl>
  </w:abstractNum>
  <w:abstractNum w:abstractNumId="291">
    <w:nsid w:val="622D8102"/>
    <w:multiLevelType w:val="hybridMultilevel"/>
    <w:lvl w:ilvl="0">
      <w:lvlJc w:val="left"/>
      <w:lvlText w:val="(%1)"/>
      <w:numFmt w:val="lowerRoman"/>
      <w:start w:val="3"/>
    </w:lvl>
  </w:abstractNum>
  <w:abstractNum w:abstractNumId="292">
    <w:nsid w:val="2AB26587"/>
    <w:multiLevelType w:val="hybridMultilevel"/>
    <w:lvl w:ilvl="0">
      <w:lvlJc w:val="left"/>
      <w:lvlText w:val="(%1)"/>
      <w:numFmt w:val="decimal"/>
      <w:start w:val="952"/>
    </w:lvl>
  </w:abstractNum>
  <w:abstractNum w:abstractNumId="293">
    <w:nsid w:val="44B3FA61"/>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2019-12-05T20:15:26Z</dcterms:created>
  <dcterms:modified xsi:type="dcterms:W3CDTF">2019-12-05T20:15:26Z</dcterms:modified>
</cp:coreProperties>
</file>