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354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3544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972"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Grams Blake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03/08/2013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VP, Corporate Controller</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972"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972"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4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48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40"/>
              <w:spacing w:after="0"/>
              <w:rPr>
                <w:sz w:val="20"/>
                <w:szCs w:val="20"/>
                <w:color w:val="auto"/>
              </w:rPr>
            </w:pPr>
            <w:r>
              <w:rPr>
                <w:rFonts w:ascii="Arial" w:cs="Arial" w:eastAsia="Arial" w:hAnsi="Arial"/>
                <w:sz w:val="18"/>
                <w:szCs w:val="18"/>
                <w:color w:val="0000FF"/>
              </w:rPr>
              <w:t>03/08/2013</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M</w:t>
            </w: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5,800</w:t>
            </w:r>
          </w:p>
        </w:tc>
        <w:tc>
          <w:tcPr>
            <w:tcW w:w="52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A</w:t>
            </w:r>
          </w:p>
        </w:tc>
        <w:tc>
          <w:tcPr>
            <w:tcW w:w="780" w:type="dxa"/>
            <w:vAlign w:val="bottom"/>
            <w:tcBorders>
              <w:bottom w:val="single" w:sz="8" w:color="2C2C2C"/>
            </w:tcBorders>
          </w:tcPr>
          <w:p>
            <w:pPr>
              <w:jc w:val="center"/>
              <w:ind w:right="7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14.31</w:t>
            </w:r>
          </w:p>
        </w:tc>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5"/>
              </w:rPr>
              <w:t>9,891.571</w:t>
            </w:r>
            <w:r>
              <w:rPr>
                <w:rFonts w:ascii="Arial" w:cs="Arial" w:eastAsia="Arial" w:hAnsi="Arial"/>
                <w:sz w:val="22"/>
                <w:szCs w:val="22"/>
                <w:color w:val="008000"/>
                <w:w w:val="85"/>
                <w:vertAlign w:val="superscript"/>
              </w:rPr>
              <w:t>(1)</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40"/>
              <w:spacing w:after="0"/>
              <w:rPr>
                <w:sz w:val="20"/>
                <w:szCs w:val="20"/>
                <w:color w:val="auto"/>
              </w:rPr>
            </w:pPr>
            <w:r>
              <w:rPr>
                <w:rFonts w:ascii="Arial" w:cs="Arial" w:eastAsia="Arial" w:hAnsi="Arial"/>
                <w:sz w:val="18"/>
                <w:szCs w:val="18"/>
                <w:color w:val="0000FF"/>
              </w:rPr>
              <w:t>03/08/2013</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60"/>
              <w:spacing w:after="0"/>
              <w:rPr>
                <w:sz w:val="20"/>
                <w:szCs w:val="20"/>
                <w:color w:val="auto"/>
              </w:rPr>
            </w:pPr>
            <w:r>
              <w:rPr>
                <w:rFonts w:ascii="Arial" w:cs="Arial" w:eastAsia="Arial" w:hAnsi="Arial"/>
                <w:sz w:val="14"/>
                <w:szCs w:val="14"/>
                <w:color w:val="0000FF"/>
              </w:rPr>
              <w:t>S</w:t>
            </w: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5,800</w:t>
            </w:r>
          </w:p>
        </w:tc>
        <w:tc>
          <w:tcPr>
            <w:tcW w:w="52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47.147</w:t>
            </w:r>
            <w:r>
              <w:rPr>
                <w:rFonts w:ascii="Arial" w:cs="Arial" w:eastAsia="Arial" w:hAnsi="Arial"/>
                <w:sz w:val="22"/>
                <w:szCs w:val="22"/>
                <w:color w:val="008000"/>
                <w:w w:val="86"/>
                <w:vertAlign w:val="superscript"/>
              </w:rPr>
              <w:t>(2)</w:t>
            </w:r>
          </w:p>
        </w:tc>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4,091.571</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5"/>
              </w:rPr>
              <w:t>2,921.214</w:t>
            </w:r>
            <w:r>
              <w:rPr>
                <w:rFonts w:ascii="Arial" w:cs="Arial" w:eastAsia="Arial" w:hAnsi="Arial"/>
                <w:sz w:val="22"/>
                <w:szCs w:val="22"/>
                <w:color w:val="008000"/>
                <w:w w:val="85"/>
                <w:vertAlign w:val="superscript"/>
              </w:rPr>
              <w:t>(3)</w:t>
            </w:r>
          </w:p>
        </w:tc>
        <w:tc>
          <w:tcPr>
            <w:tcW w:w="320" w:type="dxa"/>
            <w:vAlign w:val="bottom"/>
          </w:tcPr>
          <w:p>
            <w:pPr>
              <w:spacing w:after="0"/>
              <w:rPr>
                <w:sz w:val="18"/>
                <w:szCs w:val="18"/>
                <w:color w:val="auto"/>
              </w:rPr>
            </w:pPr>
          </w:p>
        </w:tc>
        <w:tc>
          <w:tcPr>
            <w:tcW w:w="600" w:type="dxa"/>
            <w:vAlign w:val="bottom"/>
          </w:tcPr>
          <w:p>
            <w:pPr>
              <w:jc w:val="center"/>
              <w:ind w:right="309"/>
              <w:spacing w:after="0"/>
              <w:rPr>
                <w:sz w:val="20"/>
                <w:szCs w:val="20"/>
                <w:color w:val="auto"/>
              </w:rPr>
            </w:pPr>
            <w:r>
              <w:rPr>
                <w:rFonts w:ascii="Arial" w:cs="Arial" w:eastAsia="Arial" w:hAnsi="Arial"/>
                <w:sz w:val="18"/>
                <w:szCs w:val="18"/>
                <w:color w:val="0000FF"/>
              </w:rPr>
              <w:t>I</w:t>
            </w: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1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5"/>
              </w:rPr>
              <w:t>10,257.007</w:t>
            </w:r>
            <w:r>
              <w:rPr>
                <w:rFonts w:ascii="Arial" w:cs="Arial" w:eastAsia="Arial" w:hAnsi="Arial"/>
                <w:sz w:val="22"/>
                <w:szCs w:val="22"/>
                <w:color w:val="008000"/>
                <w:w w:val="85"/>
                <w:vertAlign w:val="superscript"/>
              </w:rPr>
              <w:t>(4)</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2"/>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0" w:type="dxa"/>
            <w:vAlign w:val="bottom"/>
            <w:gridSpan w:val="10"/>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spacing w:after="0"/>
              <w:rPr>
                <w:sz w:val="11"/>
                <w:szCs w:val="11"/>
                <w:color w:val="auto"/>
              </w:rPr>
            </w:pPr>
          </w:p>
        </w:tc>
        <w:tc>
          <w:tcPr>
            <w:tcW w:w="4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2"/>
              </w:rPr>
              <w:t>(Instr.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gridSpan w:val="2"/>
          </w:tcPr>
          <w:p>
            <w:pPr>
              <w:ind w:left="2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80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800" w:type="dxa"/>
            <w:vAlign w:val="bottom"/>
            <w:gridSpan w:val="2"/>
          </w:tcPr>
          <w:p>
            <w:pPr>
              <w:ind w:left="24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Qualified</w:t>
            </w:r>
          </w:p>
        </w:tc>
        <w:tc>
          <w:tcPr>
            <w:tcW w:w="82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14.31</w:t>
            </w:r>
          </w:p>
        </w:tc>
        <w:tc>
          <w:tcPr>
            <w:tcW w:w="1140" w:type="dxa"/>
            <w:vAlign w:val="bottom"/>
          </w:tcPr>
          <w:p>
            <w:pPr>
              <w:ind w:left="260"/>
              <w:spacing w:after="0"/>
              <w:rPr>
                <w:sz w:val="20"/>
                <w:szCs w:val="20"/>
                <w:color w:val="auto"/>
              </w:rPr>
            </w:pPr>
            <w:r>
              <w:rPr>
                <w:rFonts w:ascii="Arial" w:cs="Arial" w:eastAsia="Arial" w:hAnsi="Arial"/>
                <w:sz w:val="14"/>
                <w:szCs w:val="14"/>
                <w:color w:val="0000FF"/>
              </w:rPr>
              <w:t>03/08/2013</w:t>
            </w:r>
          </w:p>
        </w:tc>
        <w:tc>
          <w:tcPr>
            <w:tcW w:w="1140" w:type="dxa"/>
            <w:vAlign w:val="bottom"/>
          </w:tcPr>
          <w:p>
            <w:pPr>
              <w:spacing w:after="0"/>
              <w:rPr>
                <w:sz w:val="17"/>
                <w:szCs w:val="17"/>
                <w:color w:val="auto"/>
              </w:rPr>
            </w:pPr>
          </w:p>
        </w:tc>
        <w:tc>
          <w:tcPr>
            <w:tcW w:w="400" w:type="dxa"/>
            <w:vAlign w:val="bottom"/>
          </w:tcPr>
          <w:p>
            <w:pPr>
              <w:ind w:left="160"/>
              <w:spacing w:after="0"/>
              <w:rPr>
                <w:sz w:val="20"/>
                <w:szCs w:val="20"/>
                <w:color w:val="auto"/>
              </w:rPr>
            </w:pPr>
            <w:r>
              <w:rPr>
                <w:rFonts w:ascii="Arial" w:cs="Arial" w:eastAsia="Arial" w:hAnsi="Arial"/>
                <w:sz w:val="14"/>
                <w:szCs w:val="14"/>
                <w:color w:val="0000FF"/>
              </w:rPr>
              <w:t>M</w:t>
            </w:r>
          </w:p>
        </w:tc>
        <w:tc>
          <w:tcPr>
            <w:tcW w:w="440" w:type="dxa"/>
            <w:vAlign w:val="bottom"/>
          </w:tcPr>
          <w:p>
            <w:pPr>
              <w:spacing w:after="0"/>
              <w:rPr>
                <w:sz w:val="17"/>
                <w:szCs w:val="17"/>
                <w:color w:val="auto"/>
              </w:rPr>
            </w:pPr>
          </w:p>
        </w:tc>
        <w:tc>
          <w:tcPr>
            <w:tcW w:w="700" w:type="dxa"/>
            <w:vAlign w:val="bottom"/>
            <w:gridSpan w:val="2"/>
          </w:tcPr>
          <w:p>
            <w:pPr>
              <w:ind w:left="380"/>
              <w:spacing w:after="0"/>
              <w:rPr>
                <w:sz w:val="20"/>
                <w:szCs w:val="20"/>
                <w:color w:val="auto"/>
              </w:rPr>
            </w:pPr>
            <w:r>
              <w:rPr>
                <w:rFonts w:ascii="Arial" w:cs="Arial" w:eastAsia="Arial" w:hAnsi="Arial"/>
                <w:sz w:val="14"/>
                <w:szCs w:val="14"/>
                <w:color w:val="0000FF"/>
                <w:w w:val="85"/>
              </w:rPr>
              <w:t>5,800</w:t>
            </w:r>
          </w:p>
        </w:tc>
        <w:tc>
          <w:tcPr>
            <w:tcW w:w="820" w:type="dxa"/>
            <w:vAlign w:val="bottom"/>
          </w:tcPr>
          <w:p>
            <w:pPr>
              <w:ind w:left="160"/>
              <w:spacing w:after="0"/>
              <w:rPr>
                <w:sz w:val="20"/>
                <w:szCs w:val="20"/>
                <w:color w:val="auto"/>
              </w:rPr>
            </w:pPr>
            <w:r>
              <w:rPr>
                <w:rFonts w:ascii="Arial" w:cs="Arial" w:eastAsia="Arial" w:hAnsi="Arial"/>
                <w:sz w:val="14"/>
                <w:szCs w:val="14"/>
                <w:color w:val="0000FF"/>
                <w:w w:val="91"/>
              </w:rPr>
              <w:t>12/03/2009</w:t>
            </w:r>
          </w:p>
        </w:tc>
        <w:tc>
          <w:tcPr>
            <w:tcW w:w="780" w:type="dxa"/>
            <w:vAlign w:val="bottom"/>
          </w:tcPr>
          <w:p>
            <w:pPr>
              <w:ind w:left="140"/>
              <w:spacing w:after="0"/>
              <w:rPr>
                <w:sz w:val="20"/>
                <w:szCs w:val="20"/>
                <w:color w:val="auto"/>
              </w:rPr>
            </w:pPr>
            <w:r>
              <w:rPr>
                <w:rFonts w:ascii="Arial" w:cs="Arial" w:eastAsia="Arial" w:hAnsi="Arial"/>
                <w:sz w:val="14"/>
                <w:szCs w:val="14"/>
                <w:color w:val="0000FF"/>
                <w:w w:val="88"/>
              </w:rPr>
              <w:t>12/03/2018</w:t>
            </w:r>
          </w:p>
        </w:tc>
        <w:tc>
          <w:tcPr>
            <w:tcW w:w="1320" w:type="dxa"/>
            <w:vAlign w:val="bottom"/>
            <w:gridSpan w:val="3"/>
          </w:tcPr>
          <w:p>
            <w:pPr>
              <w:ind w:left="120"/>
              <w:spacing w:after="0" w:line="200" w:lineRule="exact"/>
              <w:rPr>
                <w:sz w:val="20"/>
                <w:szCs w:val="20"/>
                <w:color w:val="auto"/>
              </w:rPr>
            </w:pPr>
            <w:r>
              <w:rPr>
                <w:rFonts w:ascii="Arial" w:cs="Arial" w:eastAsia="Arial" w:hAnsi="Arial"/>
                <w:sz w:val="11"/>
                <w:szCs w:val="11"/>
                <w:color w:val="0000FF"/>
              </w:rPr>
              <w:t xml:space="preserve">Common   </w:t>
            </w:r>
            <w:r>
              <w:rPr>
                <w:rFonts w:ascii="Arial" w:cs="Arial" w:eastAsia="Arial" w:hAnsi="Arial"/>
                <w:sz w:val="23"/>
                <w:szCs w:val="23"/>
                <w:color w:val="0000FF"/>
                <w:vertAlign w:val="subscript"/>
              </w:rPr>
              <w:t>5,800</w:t>
            </w:r>
          </w:p>
        </w:tc>
        <w:tc>
          <w:tcPr>
            <w:tcW w:w="76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480" w:type="dxa"/>
            <w:vAlign w:val="bottom"/>
          </w:tcPr>
          <w:p>
            <w:pPr>
              <w:ind w:left="400"/>
              <w:spacing w:after="0"/>
              <w:rPr>
                <w:sz w:val="20"/>
                <w:szCs w:val="20"/>
                <w:color w:val="auto"/>
              </w:rPr>
            </w:pPr>
            <w:r>
              <w:rPr>
                <w:rFonts w:ascii="Arial" w:cs="Arial" w:eastAsia="Arial" w:hAnsi="Arial"/>
                <w:sz w:val="14"/>
                <w:szCs w:val="14"/>
                <w:color w:val="0000FF"/>
                <w:w w:val="76"/>
              </w:rPr>
              <w:t>0</w:t>
            </w:r>
          </w:p>
        </w:tc>
        <w:tc>
          <w:tcPr>
            <w:tcW w:w="320" w:type="dxa"/>
            <w:vAlign w:val="bottom"/>
          </w:tcPr>
          <w:p>
            <w:pPr>
              <w:spacing w:after="0"/>
              <w:rPr>
                <w:sz w:val="17"/>
                <w:szCs w:val="17"/>
                <w:color w:val="auto"/>
              </w:rPr>
            </w:pPr>
          </w:p>
        </w:tc>
        <w:tc>
          <w:tcPr>
            <w:tcW w:w="600" w:type="dxa"/>
            <w:vAlign w:val="bottom"/>
          </w:tcPr>
          <w:p>
            <w:pPr>
              <w:ind w:left="460"/>
              <w:spacing w:after="0"/>
              <w:rPr>
                <w:sz w:val="20"/>
                <w:szCs w:val="20"/>
                <w:color w:val="auto"/>
              </w:rPr>
            </w:pPr>
            <w:r>
              <w:rPr>
                <w:rFonts w:ascii="Arial" w:cs="Arial" w:eastAsia="Arial" w:hAnsi="Arial"/>
                <w:sz w:val="14"/>
                <w:szCs w:val="14"/>
                <w:color w:val="0000FF"/>
              </w:rPr>
              <w:t>D</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2"/>
                <w:szCs w:val="12"/>
                <w:color w:val="0000FF"/>
              </w:rPr>
              <w:t>Stock</w:t>
            </w: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ind w:left="200"/>
              <w:spacing w:after="0" w:line="110" w:lineRule="exact"/>
              <w:rPr>
                <w:sz w:val="20"/>
                <w:szCs w:val="20"/>
                <w:color w:val="auto"/>
              </w:rPr>
            </w:pPr>
            <w:r>
              <w:rPr>
                <w:rFonts w:ascii="Arial" w:cs="Arial" w:eastAsia="Arial" w:hAnsi="Arial"/>
                <w:sz w:val="12"/>
                <w:szCs w:val="12"/>
                <w:color w:val="0000FF"/>
                <w:w w:val="99"/>
              </w:rPr>
              <w:t>Stock</w:t>
            </w: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4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13.296 shares of common stock acquired by the reporting person since the date of his last report under The Toro Company Dividend Reinvestment Plan (the "DRIP") on 4,078.275 shares of restricted stock and related DRIP shares. The restricted stock and all related DRIP shares vest in full on the third anniversary of the date of grant, which was March 30, 2011.</w:t>
      </w:r>
    </w:p>
    <w:p>
      <w:pPr>
        <w:ind w:left="40" w:right="2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of common stock were sold in multiple transactions at prices ranging from $47.13 to $47.25,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9.522 shares of common stock acquired by the reporting person under the dividend reinvestment feature of The Toro Company Investment, Savings &amp; ESOP since the date of his last report.</w:t>
      </w:r>
    </w:p>
    <w:p>
      <w:pPr>
        <w:spacing w:after="0" w:line="64" w:lineRule="exact"/>
        <w:rPr>
          <w:rFonts w:ascii="Arial" w:cs="Arial" w:eastAsia="Arial" w:hAnsi="Arial"/>
          <w:sz w:val="12"/>
          <w:szCs w:val="12"/>
          <w:color w:val="008000"/>
        </w:rPr>
      </w:pPr>
    </w:p>
    <w:p>
      <w:pPr>
        <w:ind w:left="40" w:right="3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33.468 performance share units acquired by the reporting person under the dividend reinvestment feature of the The Toro Company Deferred Compensation Plan for Officers since the date of his last report.</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03/12/2013</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97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50880"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2019-12-17T01:11:16Z</dcterms:created>
  <dcterms:modified xsi:type="dcterms:W3CDTF">2019-12-17T01:11:16Z</dcterms:modified>
</cp:coreProperties>
</file>