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460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4604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Funk Edric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Group VP, Golf, Grounds &amp; Irr</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1"/>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7"/>
            <w:vMerge w:val="continue"/>
          </w:tcPr>
          <w:p>
            <w:pPr>
              <w:spacing w:after="0"/>
              <w:rPr>
                <w:sz w:val="7"/>
                <w:szCs w:val="7"/>
                <w:color w:val="auto"/>
              </w:rPr>
            </w:pPr>
          </w:p>
        </w:tc>
        <w:tc>
          <w:tcPr>
            <w:tcW w:w="374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2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8"/>
          </w:tcPr>
          <w:p>
            <w:pPr>
              <w:ind w:left="22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2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06/09/2025</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center"/>
              <w:ind w:right="199"/>
              <w:spacing w:after="0"/>
              <w:rPr>
                <w:sz w:val="20"/>
                <w:szCs w:val="20"/>
                <w:color w:val="auto"/>
              </w:rPr>
            </w:pPr>
            <w:r>
              <w:rPr>
                <w:rFonts w:ascii="Times New Roman" w:cs="Times New Roman" w:eastAsia="Times New Roman" w:hAnsi="Times New Roman"/>
                <w:sz w:val="13"/>
                <w:szCs w:val="13"/>
                <w:color w:val="0000FF"/>
                <w:w w:val="82"/>
              </w:rPr>
              <w:t>P</w:t>
            </w:r>
          </w:p>
        </w:tc>
        <w:tc>
          <w:tcPr>
            <w:tcW w:w="64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0000FF"/>
                <w:w w:val="93"/>
              </w:rPr>
              <w:t>100</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69.64</w:t>
            </w:r>
          </w:p>
        </w:tc>
        <w:tc>
          <w:tcPr>
            <w:tcW w:w="60" w:type="dxa"/>
            <w:vAlign w:val="bottom"/>
          </w:tcPr>
          <w:p>
            <w:pPr>
              <w:spacing w:after="0"/>
              <w:rPr>
                <w:sz w:val="22"/>
                <w:szCs w:val="22"/>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461.241</w:t>
            </w:r>
          </w:p>
        </w:tc>
        <w:tc>
          <w:tcPr>
            <w:tcW w:w="34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06/09/2025</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center"/>
              <w:ind w:right="199"/>
              <w:spacing w:after="0"/>
              <w:rPr>
                <w:sz w:val="20"/>
                <w:szCs w:val="20"/>
                <w:color w:val="auto"/>
              </w:rPr>
            </w:pPr>
            <w:r>
              <w:rPr>
                <w:rFonts w:ascii="Times New Roman" w:cs="Times New Roman" w:eastAsia="Times New Roman" w:hAnsi="Times New Roman"/>
                <w:sz w:val="13"/>
                <w:szCs w:val="13"/>
                <w:color w:val="0000FF"/>
                <w:w w:val="82"/>
              </w:rPr>
              <w:t>P</w:t>
            </w:r>
          </w:p>
        </w:tc>
        <w:tc>
          <w:tcPr>
            <w:tcW w:w="64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0000FF"/>
                <w:w w:val="93"/>
              </w:rPr>
              <w:t>15</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69.655</w:t>
            </w:r>
          </w:p>
        </w:tc>
        <w:tc>
          <w:tcPr>
            <w:tcW w:w="60" w:type="dxa"/>
            <w:vAlign w:val="bottom"/>
          </w:tcPr>
          <w:p>
            <w:pPr>
              <w:spacing w:after="0"/>
              <w:rPr>
                <w:sz w:val="22"/>
                <w:szCs w:val="22"/>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476.241</w:t>
            </w:r>
          </w:p>
        </w:tc>
        <w:tc>
          <w:tcPr>
            <w:tcW w:w="340" w:type="dxa"/>
            <w:vAlign w:val="bottom"/>
          </w:tcPr>
          <w:p>
            <w:pPr>
              <w:spacing w:after="0"/>
              <w:rPr>
                <w:sz w:val="22"/>
                <w:szCs w:val="22"/>
                <w:color w:val="auto"/>
              </w:rPr>
            </w:pPr>
          </w:p>
        </w:tc>
        <w:tc>
          <w:tcPr>
            <w:tcW w:w="54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740" w:type="dxa"/>
            <w:vAlign w:val="bottom"/>
            <w:gridSpan w:val="3"/>
            <w:vMerge w:val="restart"/>
          </w:tcPr>
          <w:p>
            <w:pPr>
              <w:ind w:left="780"/>
              <w:spacing w:after="0"/>
              <w:rPr>
                <w:sz w:val="20"/>
                <w:szCs w:val="20"/>
                <w:color w:val="auto"/>
              </w:rPr>
            </w:pPr>
            <w:r>
              <w:rPr>
                <w:rFonts w:ascii="Times New Roman" w:cs="Times New Roman" w:eastAsia="Times New Roman" w:hAnsi="Times New Roman"/>
                <w:sz w:val="17"/>
                <w:szCs w:val="17"/>
                <w:color w:val="0000FF"/>
              </w:rPr>
              <w:t>06/10/2025</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3"/>
                <w:szCs w:val="13"/>
                <w:color w:val="0000FF"/>
              </w:rPr>
              <w:t>I</w:t>
            </w:r>
          </w:p>
        </w:tc>
        <w:tc>
          <w:tcPr>
            <w:tcW w:w="640" w:type="dxa"/>
            <w:vAlign w:val="bottom"/>
            <w:vMerge w:val="restart"/>
          </w:tcPr>
          <w:p>
            <w:pPr>
              <w:jc w:val="center"/>
              <w:ind w:left="214"/>
              <w:spacing w:after="0"/>
              <w:rPr>
                <w:sz w:val="20"/>
                <w:szCs w:val="20"/>
                <w:color w:val="auto"/>
              </w:rPr>
            </w:pPr>
            <w:r>
              <w:rPr>
                <w:rFonts w:ascii="Times New Roman" w:cs="Times New Roman" w:eastAsia="Times New Roman" w:hAnsi="Times New Roman"/>
                <w:sz w:val="17"/>
                <w:szCs w:val="17"/>
                <w:color w:val="0000FF"/>
                <w:w w:val="93"/>
              </w:rPr>
              <w:t>416</w:t>
            </w:r>
          </w:p>
        </w:tc>
        <w:tc>
          <w:tcPr>
            <w:tcW w:w="68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center"/>
              <w:ind w:left="1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71.72</w:t>
            </w:r>
          </w:p>
        </w:tc>
        <w:tc>
          <w:tcPr>
            <w:tcW w:w="60" w:type="dxa"/>
            <w:vAlign w:val="bottom"/>
          </w:tcPr>
          <w:p>
            <w:pPr>
              <w:spacing w:after="0"/>
              <w:rPr>
                <w:sz w:val="17"/>
                <w:szCs w:val="17"/>
                <w:color w:val="auto"/>
              </w:rPr>
            </w:pPr>
          </w:p>
        </w:tc>
        <w:tc>
          <w:tcPr>
            <w:tcW w:w="11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5,969.53</w:t>
            </w:r>
            <w:r>
              <w:rPr>
                <w:rFonts w:ascii="Times New Roman" w:cs="Times New Roman" w:eastAsia="Times New Roman" w:hAnsi="Times New Roman"/>
                <w:sz w:val="21"/>
                <w:szCs w:val="21"/>
                <w:color w:val="008000"/>
                <w:w w:val="94"/>
                <w:vertAlign w:val="superscript"/>
              </w:rPr>
              <w:t>(1)</w:t>
            </w:r>
          </w:p>
        </w:tc>
        <w:tc>
          <w:tcPr>
            <w:tcW w:w="340" w:type="dxa"/>
            <w:vAlign w:val="bottom"/>
          </w:tcPr>
          <w:p>
            <w:pPr>
              <w:spacing w:after="0"/>
              <w:rPr>
                <w:sz w:val="17"/>
                <w:szCs w:val="17"/>
                <w:color w:val="auto"/>
              </w:rPr>
            </w:pPr>
          </w:p>
        </w:tc>
        <w:tc>
          <w:tcPr>
            <w:tcW w:w="540" w:type="dxa"/>
            <w:vAlign w:val="bottom"/>
            <w:vMerge w:val="restart"/>
          </w:tcPr>
          <w:p>
            <w:pPr>
              <w:jc w:val="center"/>
              <w:ind w:right="289"/>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5"/>
              </w:rPr>
              <w:t>87.898</w:t>
            </w:r>
            <w:r>
              <w:rPr>
                <w:rFonts w:ascii="Times New Roman" w:cs="Times New Roman" w:eastAsia="Times New Roman" w:hAnsi="Times New Roman"/>
                <w:sz w:val="21"/>
                <w:szCs w:val="21"/>
                <w:color w:val="008000"/>
                <w:w w:val="95"/>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Roth IRA</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Health</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center"/>
              <w:ind w:left="386"/>
              <w:spacing w:after="0"/>
              <w:rPr>
                <w:sz w:val="20"/>
                <w:szCs w:val="20"/>
                <w:color w:val="auto"/>
              </w:rPr>
            </w:pPr>
            <w:r>
              <w:rPr>
                <w:rFonts w:ascii="Times New Roman" w:cs="Times New Roman" w:eastAsia="Times New Roman" w:hAnsi="Times New Roman"/>
                <w:sz w:val="17"/>
                <w:szCs w:val="17"/>
                <w:color w:val="0000FF"/>
                <w:w w:val="93"/>
              </w:rPr>
              <w:t>280</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1,464.359</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jc w:val="center"/>
              <w:ind w:right="39"/>
              <w:spacing w:after="0"/>
              <w:rPr>
                <w:sz w:val="20"/>
                <w:szCs w:val="20"/>
                <w:color w:val="auto"/>
              </w:rPr>
            </w:pPr>
            <w:r>
              <w:rPr>
                <w:rFonts w:ascii="Arial" w:cs="Arial" w:eastAsia="Arial" w:hAnsi="Arial"/>
                <w:sz w:val="12"/>
                <w:szCs w:val="12"/>
                <w:b w:val="1"/>
                <w:bCs w:val="1"/>
                <w:color w:val="auto"/>
                <w:w w:val="95"/>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764.081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764.081</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the following shares of common stock acquired by the reporting person since the date of his last report: 65.265 shares acquired through regular individual and issuer matching contributions to The Toro Company Retirement Plan ("Retirement Plan"); and 30.412 net shares acquired under the dividend reinvestment feature of the Retirement Plan less quarterly non-discretionary administrative fees.</w:t>
      </w:r>
    </w:p>
    <w:p>
      <w:pPr>
        <w:spacing w:after="0" w:line="1" w:lineRule="exact"/>
        <w:rPr>
          <w:rFonts w:ascii="Times New Roman" w:cs="Times New Roman" w:eastAsia="Times New Roman" w:hAnsi="Times New Roman"/>
          <w:sz w:val="12"/>
          <w:szCs w:val="12"/>
          <w:color w:val="008000"/>
        </w:rPr>
      </w:pPr>
    </w:p>
    <w:p>
      <w:pPr>
        <w:ind w:left="40" w:right="2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0.722 shares of common stock acquired by the reporting person since the date of his last report under the dividend reinvestment feature of the account in which the shares are held. The balance also reflects an increase of 0.009 shares of common stock to correct an administrative error reported on the Form 4 as filed on March 13, 2025.</w:t>
      </w:r>
    </w:p>
    <w:p>
      <w:pPr>
        <w:spacing w:after="0" w:line="16" w:lineRule="exact"/>
        <w:rPr>
          <w:rFonts w:ascii="Times New Roman" w:cs="Times New Roman" w:eastAsia="Times New Roman" w:hAnsi="Times New Roman"/>
          <w:sz w:val="13"/>
          <w:szCs w:val="13"/>
          <w:color w:val="008000"/>
        </w:rPr>
      </w:pPr>
    </w:p>
    <w:p>
      <w:pPr>
        <w:ind w:left="40" w:right="5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8.075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November 1, 2022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06/11/2025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90"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09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2025-06-11T10:18:13Z</dcterms:created>
  <dcterms:modified xsi:type="dcterms:W3CDTF">2025-06-11T10:18:13Z</dcterms:modified>
</cp:coreProperties>
</file>