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2000"/>
        <w:spacing w:after="0"/>
        <w:rPr>
          <w:sz w:val="20"/>
          <w:szCs w:val="20"/>
          <w:color w:val="auto"/>
        </w:rPr>
      </w:pPr>
      <w:r>
        <w:rPr>
          <w:rFonts w:ascii="Arial" w:cs="Arial" w:eastAsia="Arial" w:hAnsi="Arial"/>
          <w:sz w:val="18"/>
          <w:szCs w:val="18"/>
          <w:color w:val="auto"/>
        </w:rPr>
        <w:t>As filed with the Securities and Exchange Commission on June 2, 2003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333-100004</w:t>
      </w:r>
    </w:p>
    <w:p>
      <w:pPr>
        <w:spacing w:after="0" w:line="20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SECURITIES AND EXCHANGE COMMISSION</w:t>
      </w:r>
    </w:p>
    <w:p>
      <w:pPr>
        <w:spacing w:after="0" w:line="225" w:lineRule="exact"/>
        <w:rPr>
          <w:sz w:val="20"/>
          <w:szCs w:val="20"/>
          <w:color w:val="auto"/>
        </w:rPr>
      </w:pPr>
    </w:p>
    <w:p>
      <w:pPr>
        <w:ind w:left="3200"/>
        <w:spacing w:after="0"/>
        <w:rPr>
          <w:sz w:val="20"/>
          <w:szCs w:val="20"/>
          <w:color w:val="auto"/>
        </w:rPr>
      </w:pPr>
      <w:r>
        <w:rPr>
          <w:rFonts w:ascii="Arial" w:cs="Arial" w:eastAsia="Arial" w:hAnsi="Arial"/>
          <w:sz w:val="22"/>
          <w:szCs w:val="22"/>
          <w:b w:val="1"/>
          <w:bCs w:val="1"/>
          <w:color w:val="auto"/>
        </w:rPr>
        <w:t>WASHINGTON, D.C. 20549</w:t>
      </w:r>
    </w:p>
    <w:p>
      <w:pPr>
        <w:spacing w:after="0" w:line="206" w:lineRule="exact"/>
        <w:rPr>
          <w:sz w:val="20"/>
          <w:szCs w:val="20"/>
          <w:color w:val="auto"/>
        </w:rPr>
      </w:pPr>
    </w:p>
    <w:p>
      <w:pPr>
        <w:ind w:left="2540"/>
        <w:spacing w:after="0"/>
        <w:rPr>
          <w:sz w:val="20"/>
          <w:szCs w:val="20"/>
          <w:color w:val="auto"/>
        </w:rPr>
      </w:pPr>
      <w:r>
        <w:rPr>
          <w:rFonts w:ascii="Arial" w:cs="Arial" w:eastAsia="Arial" w:hAnsi="Arial"/>
          <w:sz w:val="22"/>
          <w:szCs w:val="22"/>
          <w:b w:val="1"/>
          <w:bCs w:val="1"/>
          <w:color w:val="auto"/>
        </w:rPr>
        <w:t>POST-EFFECTIVE AMENDMENT NO. 1</w:t>
      </w:r>
    </w:p>
    <w:p>
      <w:pPr>
        <w:spacing w:after="0" w:line="14" w:lineRule="exact"/>
        <w:rPr>
          <w:sz w:val="20"/>
          <w:szCs w:val="20"/>
          <w:color w:val="auto"/>
        </w:rPr>
      </w:pPr>
    </w:p>
    <w:p>
      <w:pPr>
        <w:jc w:val="center"/>
        <w:ind w:right="1180"/>
        <w:spacing w:after="0"/>
        <w:rPr>
          <w:sz w:val="20"/>
          <w:szCs w:val="20"/>
          <w:color w:val="auto"/>
        </w:rPr>
      </w:pPr>
      <w:r>
        <w:rPr>
          <w:rFonts w:ascii="Arial" w:cs="Arial" w:eastAsia="Arial" w:hAnsi="Arial"/>
          <w:sz w:val="22"/>
          <w:szCs w:val="22"/>
          <w:b w:val="1"/>
          <w:bCs w:val="1"/>
          <w:color w:val="auto"/>
        </w:rPr>
        <w:t>TO</w:t>
      </w:r>
    </w:p>
    <w:p>
      <w:pPr>
        <w:spacing w:after="0" w:line="168" w:lineRule="exact"/>
        <w:rPr>
          <w:sz w:val="20"/>
          <w:szCs w:val="20"/>
          <w:color w:val="auto"/>
        </w:rPr>
      </w:pPr>
    </w:p>
    <w:p>
      <w:pPr>
        <w:jc w:val="center"/>
        <w:ind w:right="1180"/>
        <w:spacing w:after="0"/>
        <w:rPr>
          <w:sz w:val="20"/>
          <w:szCs w:val="20"/>
          <w:color w:val="auto"/>
        </w:rPr>
      </w:pPr>
      <w:r>
        <w:rPr>
          <w:rFonts w:ascii="Arial" w:cs="Arial" w:eastAsia="Arial" w:hAnsi="Arial"/>
          <w:sz w:val="32"/>
          <w:szCs w:val="32"/>
          <w:b w:val="1"/>
          <w:bCs w:val="1"/>
          <w:color w:val="auto"/>
        </w:rPr>
        <w:t>FORM S-8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REGISTRATION STATEMENT</w:t>
      </w:r>
    </w:p>
    <w:p>
      <w:pPr>
        <w:spacing w:after="0" w:line="36"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UNDER</w:t>
      </w:r>
    </w:p>
    <w:p>
      <w:pPr>
        <w:spacing w:after="0" w:line="8" w:lineRule="exact"/>
        <w:rPr>
          <w:sz w:val="20"/>
          <w:szCs w:val="20"/>
          <w:color w:val="auto"/>
        </w:rPr>
      </w:pPr>
    </w:p>
    <w:p>
      <w:pPr>
        <w:jc w:val="center"/>
        <w:ind w:right="1180"/>
        <w:spacing w:after="0"/>
        <w:rPr>
          <w:sz w:val="20"/>
          <w:szCs w:val="20"/>
          <w:color w:val="auto"/>
        </w:rPr>
      </w:pPr>
      <w:r>
        <w:rPr>
          <w:rFonts w:ascii="Arial" w:cs="Arial" w:eastAsia="Arial" w:hAnsi="Arial"/>
          <w:sz w:val="24"/>
          <w:szCs w:val="24"/>
          <w:b w:val="1"/>
          <w:bCs w:val="1"/>
          <w:color w:val="auto"/>
        </w:rPr>
        <w:t>THE SECURITIES ACT OF 1933</w:t>
      </w:r>
    </w:p>
    <w:p>
      <w:pPr>
        <w:spacing w:after="0" w:line="181" w:lineRule="exact"/>
        <w:rPr>
          <w:sz w:val="20"/>
          <w:szCs w:val="20"/>
          <w:color w:val="auto"/>
        </w:rPr>
      </w:pPr>
    </w:p>
    <w:p>
      <w:pPr>
        <w:ind w:left="2200"/>
        <w:spacing w:after="0"/>
        <w:rPr>
          <w:sz w:val="20"/>
          <w:szCs w:val="20"/>
          <w:color w:val="auto"/>
        </w:rPr>
      </w:pPr>
      <w:r>
        <w:rPr>
          <w:rFonts w:ascii="Arial" w:cs="Arial" w:eastAsia="Arial" w:hAnsi="Arial"/>
          <w:sz w:val="43"/>
          <w:szCs w:val="43"/>
          <w:b w:val="1"/>
          <w:bCs w:val="1"/>
          <w:color w:val="auto"/>
        </w:rPr>
        <w:t>THE TORO COMPANY</w:t>
      </w:r>
    </w:p>
    <w:p>
      <w:pPr>
        <w:spacing w:after="0" w:line="256"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20"/>
          </w:cols>
          <w:pgMar w:left="1440" w:top="644" w:right="239" w:bottom="1440" w:gutter="0" w:footer="0" w:header="0"/>
        </w:sectPr>
      </w:pPr>
    </w:p>
    <w:p>
      <w:pPr>
        <w:spacing w:after="0" w:line="252" w:lineRule="exact"/>
        <w:rPr>
          <w:sz w:val="20"/>
          <w:szCs w:val="20"/>
          <w:color w:val="auto"/>
        </w:rPr>
      </w:pPr>
    </w:p>
    <w:p>
      <w:pPr>
        <w:jc w:val="center"/>
        <w:ind w:right="2760"/>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jc w:val="center"/>
        <w:ind w:right="2740"/>
        <w:spacing w:after="0"/>
        <w:rPr>
          <w:sz w:val="20"/>
          <w:szCs w:val="20"/>
          <w:color w:val="auto"/>
        </w:rPr>
      </w:pPr>
      <w:r>
        <w:rPr>
          <w:rFonts w:ascii="Arial" w:cs="Arial" w:eastAsia="Arial" w:hAnsi="Arial"/>
          <w:sz w:val="18"/>
          <w:szCs w:val="18"/>
          <w:color w:val="auto"/>
        </w:rPr>
        <w:t>(State or other jurisdiction</w:t>
      </w:r>
    </w:p>
    <w:p>
      <w:pPr>
        <w:spacing w:after="0" w:line="9" w:lineRule="exact"/>
        <w:rPr>
          <w:sz w:val="20"/>
          <w:szCs w:val="20"/>
          <w:color w:val="auto"/>
        </w:rPr>
      </w:pPr>
    </w:p>
    <w:p>
      <w:pPr>
        <w:jc w:val="center"/>
        <w:ind w:right="27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41-0580470</w:t>
      </w:r>
    </w:p>
    <w:p>
      <w:pPr>
        <w:spacing w:after="0" w:line="15" w:lineRule="exact"/>
        <w:rPr>
          <w:sz w:val="20"/>
          <w:szCs w:val="20"/>
          <w:color w:val="auto"/>
        </w:rPr>
      </w:pPr>
    </w:p>
    <w:p>
      <w:pPr>
        <w:jc w:val="center"/>
        <w:ind w:right="1700"/>
        <w:spacing w:after="0"/>
        <w:rPr>
          <w:sz w:val="20"/>
          <w:szCs w:val="20"/>
          <w:color w:val="auto"/>
        </w:rPr>
      </w:pPr>
      <w:r>
        <w:rPr>
          <w:rFonts w:ascii="Arial" w:cs="Arial" w:eastAsia="Arial" w:hAnsi="Arial"/>
          <w:sz w:val="18"/>
          <w:szCs w:val="18"/>
          <w:color w:val="auto"/>
        </w:rPr>
        <w:t>(I.R.S. Employer</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6"/>
          <w:szCs w:val="16"/>
          <w:color w:val="auto"/>
        </w:rPr>
        <w:t>Identification Number)</w:t>
      </w:r>
    </w:p>
    <w:p>
      <w:pPr>
        <w:spacing w:after="0" w:line="200" w:lineRule="exact"/>
        <w:rPr>
          <w:sz w:val="20"/>
          <w:szCs w:val="20"/>
          <w:color w:val="auto"/>
        </w:rPr>
      </w:pPr>
    </w:p>
    <w:p>
      <w:pPr>
        <w:sectPr>
          <w:pgSz w:w="11900" w:h="16838" w:orient="portrait"/>
          <w:cols w:equalWidth="0" w:num="2">
            <w:col w:w="6180" w:space="720"/>
            <w:col w:w="3320"/>
          </w:cols>
          <w:pgMar w:left="1440" w:top="644" w:right="239" w:bottom="1440" w:gutter="0" w:footer="0" w:header="0"/>
          <w:type w:val="continuous"/>
        </w:sectPr>
      </w:pPr>
    </w:p>
    <w:p>
      <w:pPr>
        <w:spacing w:after="0" w:line="42"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8111 Lyndale Avenue South</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(Address of principal executive offices) (Zip Code)</w:t>
      </w:r>
    </w:p>
    <w:p>
      <w:pPr>
        <w:sectPr>
          <w:pgSz w:w="11900" w:h="16838" w:orient="portrait"/>
          <w:cols w:equalWidth="0" w:num="1">
            <w:col w:w="10220"/>
          </w:cols>
          <w:pgMar w:left="1440" w:top="644" w:right="239" w:bottom="1440" w:gutter="0" w:footer="0" w:header="0"/>
          <w:type w:val="continuous"/>
        </w:sectPr>
      </w:pPr>
    </w:p>
    <w:p>
      <w:pPr>
        <w:spacing w:after="0" w:line="222"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THE TORO COMPANY</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INVESTMENT, SAVINGS AND EMPLOYEE STOCK OWNERSHIP PLAN</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(Full title of the plan)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 Lawrence McIntyre, Esquire</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Vice President, Secretary and General Counsel</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Toro Company</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Bloomington, Minnesota 55420</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Telephone number: (952) 888-8801</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(Name, address and telephone number of agent for service)</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Copy to:</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Helen P. Starr, Esquire</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Perkins Coie LLP</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607 Fourteenth Street, NW</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416560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644" w:right="23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This Post-Effective Amendment No. 1 (the “Amendment”) to Registrant’s Registration Statement on Form S-8, No. 333-100004 (filed with the Securities and Exchange Commission on September 23, 2002) also relates to Registrant’s Registration Statement No. 033-59563 (filed with the Commission on May 24, 1995) and No. 333-11860 (filed with the Commission on June 30, 1999). Under these three Registration Statements, Registrant registered a total of 1,500,000 shares of Common Stock, par value $1.00 per share, and related Preferred Share Purchase Rights, to be offered and sold in connection with The Toro Company Investment, Savings and Employee Stock Ownership Plan (the “Plan”). The contents of Registrant’s Registration Statements on Form S-8 (Nos. 333-100004, 333-11860 and 033-59563) are incorporated by reference in this Amendment.</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permitted by the instructions to Form S-8, this Amendment omits the information specified in Part I of Form S-8.</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 TO REFLECT SHARES AUTHORIZED IN STOCK SPLIT</w:t>
      </w:r>
    </w:p>
    <w:p>
      <w:pPr>
        <w:spacing w:after="0" w:line="231"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On March 20, 2003, the Board of Directors of Registrant approved a 2 for 1 stock split of the Common Stock, which was effected in the form of a 100% stock dividend. In connection with the stock split, the Board approved the adjustment of the total number of shares authorized for issuance under the Plan, from 1,500,000 to 3,000,000, to reflect the stock split. The stock split was effective April 14, 2003.</w:t>
      </w:r>
    </w:p>
    <w:p>
      <w:pPr>
        <w:spacing w:after="0" w:line="194"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color w:val="auto"/>
        </w:rPr>
        <w:t>Of the 1,500,000 shares authorized for issuance under the Plan at the April 1, 2003 record date for the split, 308,902 remained unissued. The shares remaining available were adjusted to reflect the 2 for 1 stock split. This Amendment is filed in accordance with Rule 416(b) under the Securities Act of 1933 to reflect those additional shares of Common Stock authorized for issuance under the plan as a result of adjustments for the 2 for 1 stock split. Pursuant to Rule 416(a) under the Securities Act of 1933, this Amendment also covers an indeterminate number of shares that may be issued in respect of stock splits, stock dividends and similar transactions in the future. Pursuant to Rule 416(c) under the Securities Act of 1933, this Amendment also covers an indeterminate amount of interests to be offered pursuant to the Plan.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r>
        <w:rPr>
          <w:rFonts w:ascii="Arial" w:cs="Arial" w:eastAsia="Arial" w:hAnsi="Arial"/>
          <w:sz w:val="18"/>
          <w:szCs w:val="18"/>
          <w:color w:val="auto"/>
        </w:rPr>
        <w:t>.</w:t>
      </w:r>
    </w:p>
    <w:p>
      <w:pPr>
        <w:spacing w:after="0" w:line="231" w:lineRule="exact"/>
        <w:rPr>
          <w:sz w:val="20"/>
          <w:szCs w:val="20"/>
          <w:color w:val="auto"/>
        </w:rPr>
      </w:pPr>
    </w:p>
    <w:p>
      <w:pPr>
        <w:ind w:right="560" w:firstLine="216"/>
        <w:spacing w:after="0" w:line="305" w:lineRule="auto"/>
        <w:rPr>
          <w:sz w:val="20"/>
          <w:szCs w:val="20"/>
          <w:color w:val="auto"/>
        </w:rPr>
      </w:pPr>
      <w:r>
        <w:rPr>
          <w:rFonts w:ascii="Arial" w:cs="Arial" w:eastAsia="Arial" w:hAnsi="Arial"/>
          <w:sz w:val="15"/>
          <w:szCs w:val="15"/>
          <w:color w:val="auto"/>
        </w:rPr>
        <w:t>The opinion of counsel as to the legality of the securities being registered, which is Exhibit 5 to this Registration Statement, is rendered by J. Lawrence McIntyre, Vice President, Secretary and General Counsel of Registrant. Mr. McIntyre participates in this Plan. As of April 30, 2003, Mr. McIntyre owned</w:t>
      </w:r>
    </w:p>
    <w:p>
      <w:pPr>
        <w:ind w:right="40"/>
        <w:spacing w:after="0" w:line="323" w:lineRule="auto"/>
        <w:rPr>
          <w:sz w:val="20"/>
          <w:szCs w:val="20"/>
          <w:color w:val="auto"/>
        </w:rPr>
      </w:pPr>
      <w:r>
        <w:rPr>
          <w:rFonts w:ascii="Arial" w:cs="Arial" w:eastAsia="Arial" w:hAnsi="Arial"/>
          <w:sz w:val="16"/>
          <w:szCs w:val="16"/>
          <w:color w:val="auto"/>
        </w:rPr>
        <w:t>10,964.771 shares of Toro Common Stock and held options to purchase 66,400 shares. He also holds Performance Share Awards, which are based on the value of the Common Stock and has 43,181.386 Common Stock units credited to his account under a deferred compensation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r>
        <w:rPr>
          <w:rFonts w:ascii="Arial" w:cs="Arial" w:eastAsia="Arial" w:hAnsi="Arial"/>
          <w:sz w:val="18"/>
          <w:szCs w:val="18"/>
          <w:color w:val="auto"/>
        </w:rPr>
        <w:t>.</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exhibits are listed in the 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220"/>
        <w:spacing w:after="0" w:line="310" w:lineRule="auto"/>
        <w:rPr>
          <w:sz w:val="20"/>
          <w:szCs w:val="20"/>
          <w:color w:val="auto"/>
        </w:rPr>
      </w:pPr>
      <w:r>
        <w:rPr>
          <w:rFonts w:ascii="Arial" w:cs="Arial" w:eastAsia="Arial" w:hAnsi="Arial"/>
          <w:sz w:val="16"/>
          <w:szCs w:val="16"/>
          <w:b w:val="1"/>
          <w:bCs w:val="1"/>
          <w:color w:val="auto"/>
        </w:rPr>
        <w:t>The Registrant</w:t>
      </w:r>
      <w:r>
        <w:rPr>
          <w:rFonts w:ascii="Arial" w:cs="Arial" w:eastAsia="Arial" w:hAnsi="Arial"/>
          <w:sz w:val="16"/>
          <w:szCs w:val="16"/>
          <w:color w:val="auto"/>
        </w:rPr>
        <w:t>. Pursuant to the requirements of the Securities Act of 1933, Registrant certifies that it has reasonable grounds to believe that it meets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for filing on Form S-8 and has duly caused this Post-Effective Amendment No. 1 to its Registration Statement to be signed on its behalf by the undersigned, thereunto duly authorized, in the City of Bloomington, State of Minnesota on May 29, 2003.</w:t>
      </w:r>
    </w:p>
    <w:p>
      <w:pPr>
        <w:spacing w:after="0" w:line="394"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THE TORO COMPANY</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ectPr>
          <w:pgSz w:w="11900" w:h="16838" w:orient="portrait"/>
          <w:cols w:equalWidth="0" w:num="1">
            <w:col w:w="11420"/>
          </w:cols>
          <w:pgMar w:left="240" w:top="935" w:right="239" w:bottom="1440" w:gutter="0" w:footer="0" w:header="0"/>
        </w:sectPr>
      </w:pPr>
    </w:p>
    <w:p>
      <w:pPr>
        <w:spacing w:after="0" w:line="2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J. LAWRENCE MCINTYRE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 Lawrence McIntyre, Vice President,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Secretary and General Counsel</w:t>
      </w:r>
    </w:p>
    <w:p>
      <w:pPr>
        <w:spacing w:after="0" w:line="200" w:lineRule="exact"/>
        <w:rPr>
          <w:sz w:val="20"/>
          <w:szCs w:val="20"/>
          <w:color w:val="auto"/>
        </w:rPr>
      </w:pPr>
    </w:p>
    <w:p>
      <w:pPr>
        <w:sectPr>
          <w:pgSz w:w="11900" w:h="16838" w:orient="portrait"/>
          <w:cols w:equalWidth="0" w:num="2">
            <w:col w:w="5860" w:space="420"/>
            <w:col w:w="5140"/>
          </w:cols>
          <w:pgMar w:left="240" w:top="935" w:right="239" w:bottom="1440" w:gutter="0" w:footer="0" w:header="0"/>
          <w:type w:val="continuous"/>
        </w:sectPr>
      </w:pPr>
    </w:p>
    <w:p>
      <w:pPr>
        <w:spacing w:after="0" w:line="19" w:lineRule="exact"/>
        <w:rPr>
          <w:sz w:val="20"/>
          <w:szCs w:val="20"/>
          <w:color w:val="auto"/>
        </w:rPr>
      </w:pPr>
    </w:p>
    <w:p>
      <w:pPr>
        <w:ind w:right="660" w:firstLine="220"/>
        <w:spacing w:after="0" w:line="268"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and on the dates indicated.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ind w:left="1320"/>
              <w:spacing w:after="0"/>
              <w:rPr>
                <w:sz w:val="20"/>
                <w:szCs w:val="20"/>
                <w:color w:val="auto"/>
              </w:rPr>
            </w:pPr>
            <w:r>
              <w:rPr>
                <w:rFonts w:ascii="Arial" w:cs="Arial" w:eastAsia="Arial" w:hAnsi="Arial"/>
                <w:sz w:val="14"/>
                <w:szCs w:val="14"/>
                <w:b w:val="1"/>
                <w:bCs w:val="1"/>
                <w:color w:val="auto"/>
              </w:rPr>
              <w:t>SIGNATURE</w:t>
            </w:r>
          </w:p>
        </w:tc>
        <w:tc>
          <w:tcPr>
            <w:tcW w:w="58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3440" w:type="dxa"/>
            <w:vAlign w:val="bottom"/>
            <w:tcBorders>
              <w:bottom w:val="single" w:sz="8" w:color="808080"/>
            </w:tcBorders>
          </w:tcPr>
          <w:p>
            <w:pPr>
              <w:spacing w:after="0"/>
              <w:rPr>
                <w:sz w:val="8"/>
                <w:szCs w:val="8"/>
                <w:color w:val="auto"/>
              </w:rPr>
            </w:pPr>
          </w:p>
        </w:tc>
        <w:tc>
          <w:tcPr>
            <w:tcW w:w="58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Chairman, Chief Executive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Kendrick B. Melrose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Officer, President and Director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Executive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Finance</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Stephen P. Wolfe</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and Chief Financial Officer</w:t>
            </w:r>
          </w:p>
        </w:tc>
        <w:tc>
          <w:tcPr>
            <w:tcW w:w="56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Financial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Vice President and Controller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Randy B. James</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(Principal Accounting Officer)</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Ronald O. Baukol</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Robert C. Buhrmaster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Winslow H. Buxton</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3440" w:type="dxa"/>
            <w:vAlign w:val="bottom"/>
          </w:tcPr>
          <w:p>
            <w:pPr>
              <w:jc w:val="right"/>
              <w:ind w:right="2734"/>
              <w:spacing w:after="0"/>
              <w:rPr>
                <w:sz w:val="20"/>
                <w:szCs w:val="20"/>
                <w:color w:val="auto"/>
              </w:rPr>
            </w:pPr>
            <w:r>
              <w:rPr>
                <w:rFonts w:ascii="Arial" w:cs="Arial" w:eastAsia="Arial" w:hAnsi="Arial"/>
                <w:sz w:val="18"/>
                <w:szCs w:val="18"/>
                <w:color w:val="auto"/>
              </w:rPr>
              <w:t>*</w:t>
            </w:r>
          </w:p>
        </w:tc>
        <w:tc>
          <w:tcPr>
            <w:tcW w:w="4000" w:type="dxa"/>
            <w:vAlign w:val="bottom"/>
            <w:gridSpan w:val="2"/>
          </w:tcPr>
          <w:p>
            <w:pPr>
              <w:ind w:left="58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3440" w:type="dxa"/>
            <w:vAlign w:val="bottom"/>
          </w:tcPr>
          <w:p>
            <w:pPr>
              <w:spacing w:after="0"/>
              <w:rPr>
                <w:sz w:val="20"/>
                <w:szCs w:val="20"/>
                <w:color w:val="auto"/>
              </w:rPr>
            </w:pPr>
            <w:r>
              <w:rPr>
                <w:rFonts w:ascii="Arial" w:cs="Arial" w:eastAsia="Arial" w:hAnsi="Arial"/>
                <w:sz w:val="18"/>
                <w:szCs w:val="18"/>
                <w:color w:val="auto"/>
              </w:rPr>
              <w:t>Janet K. Cooper</w:t>
            </w:r>
          </w:p>
        </w:tc>
        <w:tc>
          <w:tcPr>
            <w:tcW w:w="5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661"/>
        </w:trPr>
        <w:tc>
          <w:tcPr>
            <w:tcW w:w="344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4"/>
        </w:trPr>
        <w:tc>
          <w:tcPr>
            <w:tcW w:w="2920" w:type="dxa"/>
            <w:vAlign w:val="bottom"/>
          </w:tcPr>
          <w:p>
            <w:pPr>
              <w:jc w:val="right"/>
              <w:ind w:right="714"/>
              <w:spacing w:after="0"/>
              <w:rPr>
                <w:sz w:val="20"/>
                <w:szCs w:val="20"/>
                <w:color w:val="auto"/>
              </w:rPr>
            </w:pPr>
            <w:r>
              <w:rPr>
                <w:rFonts w:ascii="Arial" w:cs="Arial" w:eastAsia="Arial" w:hAnsi="Arial"/>
                <w:sz w:val="14"/>
                <w:szCs w:val="14"/>
                <w:b w:val="1"/>
                <w:bCs w:val="1"/>
                <w:color w:val="auto"/>
              </w:rPr>
              <w:t>SIGNATURE</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Pr>
          <w:p>
            <w:pPr>
              <w:ind w:left="1500"/>
              <w:spacing w:after="0"/>
              <w:rPr>
                <w:sz w:val="20"/>
                <w:szCs w:val="20"/>
                <w:color w:val="auto"/>
              </w:rPr>
            </w:pPr>
            <w:r>
              <w:rPr>
                <w:rFonts w:ascii="Arial" w:cs="Arial" w:eastAsia="Arial" w:hAnsi="Arial"/>
                <w:sz w:val="14"/>
                <w:szCs w:val="14"/>
                <w:b w:val="1"/>
                <w:bCs w:val="1"/>
                <w:color w:val="auto"/>
              </w:rPr>
              <w:t>TITLE</w:t>
            </w:r>
          </w:p>
        </w:tc>
        <w:tc>
          <w:tcPr>
            <w:tcW w:w="560" w:type="dxa"/>
            <w:vAlign w:val="bottom"/>
          </w:tcPr>
          <w:p>
            <w:pPr>
              <w:spacing w:after="0"/>
              <w:rPr>
                <w:sz w:val="15"/>
                <w:szCs w:val="15"/>
                <w:color w:val="auto"/>
              </w:rPr>
            </w:pPr>
          </w:p>
        </w:tc>
        <w:tc>
          <w:tcPr>
            <w:tcW w:w="3420" w:type="dxa"/>
            <w:vAlign w:val="bottom"/>
          </w:tcPr>
          <w:p>
            <w:pPr>
              <w:ind w:left="1520"/>
              <w:spacing w:after="0"/>
              <w:rPr>
                <w:sz w:val="20"/>
                <w:szCs w:val="20"/>
                <w:color w:val="auto"/>
              </w:rPr>
            </w:pPr>
            <w:r>
              <w:rPr>
                <w:rFonts w:ascii="Arial" w:cs="Arial" w:eastAsia="Arial" w:hAnsi="Arial"/>
                <w:sz w:val="14"/>
                <w:szCs w:val="14"/>
                <w:b w:val="1"/>
                <w:bCs w:val="1"/>
                <w:color w:val="auto"/>
              </w:rPr>
              <w:t>DATE</w:t>
            </w:r>
          </w:p>
        </w:tc>
      </w:tr>
      <w:tr>
        <w:trPr>
          <w:trHeight w:val="95"/>
        </w:trPr>
        <w:tc>
          <w:tcPr>
            <w:tcW w:w="29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c>
          <w:tcPr>
            <w:tcW w:w="3420" w:type="dxa"/>
            <w:vAlign w:val="bottom"/>
            <w:tcBorders>
              <w:bottom w:val="single" w:sz="8" w:color="808080"/>
            </w:tcBorders>
          </w:tcPr>
          <w:p>
            <w:pPr>
              <w:spacing w:after="0"/>
              <w:rPr>
                <w:sz w:val="8"/>
                <w:szCs w:val="8"/>
                <w:color w:val="auto"/>
              </w:rPr>
            </w:pPr>
          </w:p>
        </w:tc>
      </w:tr>
      <w:tr>
        <w:trPr>
          <w:trHeight w:val="309"/>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Katherine J. Harless</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Robert H. Nassau</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Dale R. Olseth</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Christopher A. Twomey</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Gregg W. Steinhafel</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26"/>
        </w:trPr>
        <w:tc>
          <w:tcPr>
            <w:tcW w:w="2920" w:type="dxa"/>
            <w:vAlign w:val="bottom"/>
          </w:tcPr>
          <w:p>
            <w:pPr>
              <w:jc w:val="right"/>
              <w:ind w:right="2214"/>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2"/>
          </w:tcPr>
          <w:p>
            <w:pPr>
              <w:ind w:left="340"/>
              <w:spacing w:after="0"/>
              <w:rPr>
                <w:sz w:val="20"/>
                <w:szCs w:val="20"/>
                <w:color w:val="auto"/>
              </w:rPr>
            </w:pPr>
            <w:r>
              <w:rPr>
                <w:rFonts w:ascii="Arial" w:cs="Arial" w:eastAsia="Arial" w:hAnsi="Arial"/>
                <w:sz w:val="18"/>
                <w:szCs w:val="18"/>
                <w:color w:val="auto"/>
              </w:rPr>
              <w:t>Director</w:t>
            </w:r>
          </w:p>
        </w:tc>
        <w:tc>
          <w:tcPr>
            <w:tcW w:w="56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May 29, 2003</w:t>
            </w:r>
          </w:p>
        </w:tc>
      </w:tr>
      <w:tr>
        <w:trPr>
          <w:trHeight w:val="222"/>
        </w:trPr>
        <w:tc>
          <w:tcPr>
            <w:tcW w:w="2920" w:type="dxa"/>
            <w:vAlign w:val="bottom"/>
          </w:tcPr>
          <w:p>
            <w:pPr>
              <w:spacing w:after="0"/>
              <w:rPr>
                <w:sz w:val="20"/>
                <w:szCs w:val="20"/>
                <w:color w:val="auto"/>
              </w:rPr>
            </w:pPr>
            <w:r>
              <w:rPr>
                <w:rFonts w:ascii="Arial" w:cs="Arial" w:eastAsia="Arial" w:hAnsi="Arial"/>
                <w:sz w:val="18"/>
                <w:szCs w:val="18"/>
                <w:color w:val="auto"/>
              </w:rPr>
              <w:t>Edwin H. Wingate</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453"/>
        </w:trPr>
        <w:tc>
          <w:tcPr>
            <w:tcW w:w="292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By:</w:t>
            </w: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J. LAWRENCE MCINTYRE</w:t>
            </w:r>
          </w:p>
        </w:tc>
        <w:tc>
          <w:tcPr>
            <w:tcW w:w="5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16"/>
        </w:trPr>
        <w:tc>
          <w:tcPr>
            <w:tcW w:w="2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740" w:type="dxa"/>
            <w:vAlign w:val="bottom"/>
            <w:gridSpan w:val="4"/>
          </w:tcPr>
          <w:p>
            <w:pPr>
              <w:ind w:left="220"/>
              <w:spacing w:after="0"/>
              <w:rPr>
                <w:sz w:val="20"/>
                <w:szCs w:val="20"/>
                <w:color w:val="auto"/>
              </w:rPr>
            </w:pPr>
            <w:r>
              <w:rPr>
                <w:rFonts w:ascii="Arial" w:cs="Arial" w:eastAsia="Arial" w:hAnsi="Arial"/>
                <w:sz w:val="18"/>
                <w:szCs w:val="18"/>
                <w:color w:val="auto"/>
              </w:rPr>
              <w:t>J. Lawrence McIntyre, attorney-in-fact pursuant to a Power</w:t>
            </w:r>
          </w:p>
        </w:tc>
      </w:tr>
      <w:tr>
        <w:trPr>
          <w:trHeight w:val="222"/>
        </w:trPr>
        <w:tc>
          <w:tcPr>
            <w:tcW w:w="2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760" w:type="dxa"/>
            <w:vAlign w:val="bottom"/>
            <w:gridSpan w:val="2"/>
          </w:tcPr>
          <w:p>
            <w:pPr>
              <w:ind w:left="220"/>
              <w:spacing w:after="0"/>
              <w:rPr>
                <w:sz w:val="20"/>
                <w:szCs w:val="20"/>
                <w:color w:val="auto"/>
              </w:rPr>
            </w:pPr>
            <w:r>
              <w:rPr>
                <w:rFonts w:ascii="Arial" w:cs="Arial" w:eastAsia="Arial" w:hAnsi="Arial"/>
                <w:sz w:val="18"/>
                <w:szCs w:val="18"/>
                <w:color w:val="auto"/>
              </w:rPr>
              <w:t>of Attorney dated May 29, 2003</w:t>
            </w:r>
          </w:p>
        </w:tc>
        <w:tc>
          <w:tcPr>
            <w:tcW w:w="56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pacing w:after="0" w:line="21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May 29,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5" w:name="page6"/>
    <w:bookmarkEnd w:id="5"/>
    <w:p>
      <w:pPr>
        <w:ind w:right="60" w:firstLine="220"/>
        <w:spacing w:after="0" w:line="262" w:lineRule="auto"/>
        <w:rPr>
          <w:sz w:val="20"/>
          <w:szCs w:val="20"/>
          <w:color w:val="auto"/>
        </w:rPr>
      </w:pPr>
      <w:r>
        <w:rPr>
          <w:rFonts w:ascii="Arial" w:cs="Arial" w:eastAsia="Arial" w:hAnsi="Arial"/>
          <w:sz w:val="18"/>
          <w:szCs w:val="18"/>
          <w:b w:val="1"/>
          <w:bCs w:val="1"/>
          <w:color w:val="auto"/>
        </w:rPr>
        <w:t>The Plan</w:t>
      </w:r>
      <w:r>
        <w:rPr>
          <w:rFonts w:ascii="Arial" w:cs="Arial" w:eastAsia="Arial" w:hAnsi="Arial"/>
          <w:sz w:val="18"/>
          <w:szCs w:val="18"/>
          <w:color w:val="auto"/>
        </w:rPr>
        <w:t>. Pursuant to the requirements of the Securities Act of 1933, the trustees (or other persons who administer the employee benefit plan) have duly</w:t>
      </w:r>
      <w:r>
        <w:rPr>
          <w:rFonts w:ascii="Arial" w:cs="Arial" w:eastAsia="Arial" w:hAnsi="Arial"/>
          <w:sz w:val="18"/>
          <w:szCs w:val="18"/>
          <w:b w:val="1"/>
          <w:bCs w:val="1"/>
          <w:color w:val="auto"/>
        </w:rPr>
        <w:t xml:space="preserve"> </w:t>
      </w:r>
      <w:r>
        <w:rPr>
          <w:rFonts w:ascii="Arial" w:cs="Arial" w:eastAsia="Arial" w:hAnsi="Arial"/>
          <w:sz w:val="18"/>
          <w:szCs w:val="18"/>
          <w:color w:val="auto"/>
        </w:rPr>
        <w:t>caused this Post-Effective Amendment No. 1 to the Registration Statement to be signed on its behalf by the undersigned, thereunto duly authorized, in the City of Bloomington, State of Minnesota, on May 29, 2003.</w:t>
      </w:r>
    </w:p>
    <w:p>
      <w:pPr>
        <w:spacing w:after="0" w:line="18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AND EMPLOYEE STOCK OWNERSHIP PLAN</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(Plan)</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ind w:left="5500"/>
              <w:spacing w:after="0"/>
              <w:rPr>
                <w:sz w:val="20"/>
                <w:szCs w:val="20"/>
                <w:color w:val="auto"/>
              </w:rPr>
            </w:pPr>
            <w:r>
              <w:rPr>
                <w:rFonts w:ascii="Arial" w:cs="Arial" w:eastAsia="Arial" w:hAnsi="Arial"/>
                <w:sz w:val="18"/>
                <w:szCs w:val="18"/>
                <w:color w:val="auto"/>
              </w:rPr>
              <w:t>By:</w:t>
            </w:r>
          </w:p>
        </w:tc>
        <w:tc>
          <w:tcPr>
            <w:tcW w:w="5460" w:type="dxa"/>
            <w:vAlign w:val="bottom"/>
          </w:tcPr>
          <w:p>
            <w:pPr>
              <w:ind w:left="220"/>
              <w:spacing w:after="0"/>
              <w:rPr>
                <w:sz w:val="20"/>
                <w:szCs w:val="20"/>
                <w:color w:val="auto"/>
              </w:rPr>
            </w:pPr>
            <w:r>
              <w:rPr>
                <w:rFonts w:ascii="Arial" w:cs="Arial" w:eastAsia="Arial" w:hAnsi="Arial"/>
                <w:sz w:val="18"/>
                <w:szCs w:val="18"/>
                <w:color w:val="auto"/>
              </w:rPr>
              <w:t>J. LAWRENCE MCINTYRE</w:t>
            </w:r>
          </w:p>
        </w:tc>
      </w:tr>
      <w:tr>
        <w:trPr>
          <w:trHeight w:val="216"/>
        </w:trPr>
        <w:tc>
          <w:tcPr>
            <w:tcW w:w="5960" w:type="dxa"/>
            <w:vAlign w:val="bottom"/>
          </w:tcPr>
          <w:p>
            <w:pPr>
              <w:spacing w:after="0"/>
              <w:rPr>
                <w:sz w:val="18"/>
                <w:szCs w:val="18"/>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J. Lawrence McIntyre, Vice President,</w:t>
            </w:r>
          </w:p>
        </w:tc>
      </w:tr>
      <w:tr>
        <w:trPr>
          <w:trHeight w:val="222"/>
        </w:trPr>
        <w:tc>
          <w:tcPr>
            <w:tcW w:w="596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Arial" w:cs="Arial" w:eastAsia="Arial" w:hAnsi="Arial"/>
                <w:sz w:val="18"/>
                <w:szCs w:val="18"/>
                <w:color w:val="auto"/>
              </w:rPr>
              <w:t>Secretary and General Counsel</w:t>
            </w:r>
          </w:p>
        </w:tc>
      </w:tr>
      <w:tr>
        <w:trPr>
          <w:trHeight w:val="661"/>
        </w:trPr>
        <w:tc>
          <w:tcPr>
            <w:tcW w:w="5960" w:type="dxa"/>
            <w:vAlign w:val="bottom"/>
            <w:tcBorders>
              <w:bottom w:val="single" w:sz="8" w:color="808080"/>
            </w:tcBorders>
          </w:tcPr>
          <w:p>
            <w:pPr>
              <w:spacing w:after="0"/>
              <w:rPr>
                <w:sz w:val="24"/>
                <w:szCs w:val="24"/>
                <w:color w:val="auto"/>
              </w:rPr>
            </w:pPr>
          </w:p>
        </w:tc>
        <w:tc>
          <w:tcPr>
            <w:tcW w:w="5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EXHIBIT LIST</w:t>
      </w:r>
    </w:p>
    <w:p>
      <w:pPr>
        <w:sectPr>
          <w:pgSz w:w="11900" w:h="16838" w:orient="portrait"/>
          <w:cols w:equalWidth="0" w:num="1">
            <w:col w:w="11400"/>
          </w:cols>
          <w:pgMar w:left="240" w:top="935" w:right="25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8058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83185</wp:posOffset>
            </wp:positionV>
            <wp:extent cx="62261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26175" cy="889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5320" w:space="720"/>
            <w:col w:w="5360"/>
          </w:cols>
          <w:pgMar w:left="240" w:top="935" w:right="259" w:bottom="1440" w:gutter="0" w:footer="0" w:header="0"/>
          <w:type w:val="continuous"/>
        </w:sectPr>
      </w:pPr>
    </w:p>
    <w:p>
      <w:pPr>
        <w:spacing w:after="0" w:line="31" w:lineRule="exact"/>
        <w:rPr>
          <w:sz w:val="20"/>
          <w:szCs w:val="20"/>
          <w:color w:val="auto"/>
        </w:rPr>
      </w:pPr>
    </w:p>
    <w:p>
      <w:pPr>
        <w:ind w:left="940" w:hanging="932"/>
        <w:spacing w:after="0"/>
        <w:tabs>
          <w:tab w:leader="none" w:pos="9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Instruments defining the rights of security holders, including indentures:</w:t>
      </w:r>
    </w:p>
    <w:p>
      <w:pPr>
        <w:spacing w:after="0" w:line="225" w:lineRule="exact"/>
        <w:rPr>
          <w:rFonts w:ascii="Arial" w:cs="Arial" w:eastAsia="Arial" w:hAnsi="Arial"/>
          <w:sz w:val="18"/>
          <w:szCs w:val="18"/>
          <w:color w:val="auto"/>
        </w:rPr>
      </w:pPr>
    </w:p>
    <w:p>
      <w:pPr>
        <w:ind w:left="1620" w:right="100" w:hanging="675"/>
        <w:spacing w:after="0" w:line="268" w:lineRule="auto"/>
        <w:rPr>
          <w:rFonts w:ascii="Arial" w:cs="Arial" w:eastAsia="Arial" w:hAnsi="Arial"/>
          <w:sz w:val="18"/>
          <w:szCs w:val="18"/>
          <w:color w:val="auto"/>
        </w:rPr>
      </w:pPr>
      <w:r>
        <w:rPr>
          <w:rFonts w:ascii="Arial" w:cs="Arial" w:eastAsia="Arial" w:hAnsi="Arial"/>
          <w:sz w:val="18"/>
          <w:szCs w:val="18"/>
          <w:color w:val="auto"/>
        </w:rPr>
        <w:t>4(a)Specimen form of Common Stock certificate (incorporated by reference to Exhibit 4(c) to Registrant’s Registration Statement on Form S-8, Registration No. 2-94417).</w:t>
      </w:r>
    </w:p>
    <w:p>
      <w:pPr>
        <w:spacing w:after="0" w:line="185" w:lineRule="exact"/>
        <w:rPr>
          <w:rFonts w:ascii="Arial" w:cs="Arial" w:eastAsia="Arial" w:hAnsi="Arial"/>
          <w:sz w:val="18"/>
          <w:szCs w:val="18"/>
          <w:color w:val="auto"/>
        </w:rPr>
      </w:pPr>
    </w:p>
    <w:p>
      <w:pPr>
        <w:ind w:left="1620" w:right="340" w:hanging="675"/>
        <w:spacing w:after="0" w:line="268" w:lineRule="auto"/>
        <w:rPr>
          <w:rFonts w:ascii="Arial" w:cs="Arial" w:eastAsia="Arial" w:hAnsi="Arial"/>
          <w:sz w:val="18"/>
          <w:szCs w:val="18"/>
          <w:color w:val="auto"/>
        </w:rPr>
      </w:pPr>
      <w:r>
        <w:rPr>
          <w:rFonts w:ascii="Arial" w:cs="Arial" w:eastAsia="Arial" w:hAnsi="Arial"/>
          <w:sz w:val="18"/>
          <w:szCs w:val="18"/>
          <w:color w:val="auto"/>
        </w:rPr>
        <w:t>4(b)Amended and Restated Certificate of Incorporation of the Registrant (incorporated by reference to Exhibit 4(b) to Registrant’s Current Report on Form 8-K dated May 28, 2003, Commission File No. 1-8649).</w:t>
      </w:r>
    </w:p>
    <w:p>
      <w:pPr>
        <w:spacing w:after="0" w:line="185" w:lineRule="exact"/>
        <w:rPr>
          <w:rFonts w:ascii="Arial" w:cs="Arial" w:eastAsia="Arial" w:hAnsi="Arial"/>
          <w:sz w:val="18"/>
          <w:szCs w:val="18"/>
          <w:color w:val="auto"/>
        </w:rPr>
      </w:pPr>
    </w:p>
    <w:p>
      <w:pPr>
        <w:ind w:left="1620" w:right="20" w:hanging="675"/>
        <w:spacing w:after="0" w:line="268" w:lineRule="auto"/>
        <w:rPr>
          <w:rFonts w:ascii="Arial" w:cs="Arial" w:eastAsia="Arial" w:hAnsi="Arial"/>
          <w:sz w:val="18"/>
          <w:szCs w:val="18"/>
          <w:color w:val="auto"/>
        </w:rPr>
      </w:pPr>
      <w:r>
        <w:rPr>
          <w:rFonts w:ascii="Arial" w:cs="Arial" w:eastAsia="Arial" w:hAnsi="Arial"/>
          <w:sz w:val="18"/>
          <w:szCs w:val="18"/>
          <w:color w:val="auto"/>
        </w:rPr>
        <w:t>4(c)Bylaws of Registrant, as amended (incorporated by reference to Exhibit 4(c) to Registrant’s Current Report Form 8-K dated May 28, 2003, Commission File No. 1-8649).</w:t>
      </w:r>
    </w:p>
    <w:p>
      <w:pPr>
        <w:spacing w:after="0" w:line="185" w:lineRule="exact"/>
        <w:rPr>
          <w:rFonts w:ascii="Arial" w:cs="Arial" w:eastAsia="Arial" w:hAnsi="Arial"/>
          <w:sz w:val="18"/>
          <w:szCs w:val="18"/>
          <w:color w:val="auto"/>
        </w:rPr>
      </w:pPr>
    </w:p>
    <w:p>
      <w:pPr>
        <w:ind w:left="1620" w:right="60" w:hanging="675"/>
        <w:spacing w:after="0" w:line="259" w:lineRule="auto"/>
        <w:rPr>
          <w:rFonts w:ascii="Arial" w:cs="Arial" w:eastAsia="Arial" w:hAnsi="Arial"/>
          <w:sz w:val="18"/>
          <w:szCs w:val="18"/>
          <w:color w:val="auto"/>
        </w:rPr>
      </w:pPr>
      <w:r>
        <w:rPr>
          <w:rFonts w:ascii="Arial" w:cs="Arial" w:eastAsia="Arial" w:hAnsi="Arial"/>
          <w:sz w:val="18"/>
          <w:szCs w:val="18"/>
          <w:color w:val="auto"/>
        </w:rPr>
        <w:t>4(d)Rights Agreement dated as of May 20, 1998, between the Registrant and Wells Fargo Bank Minnesota, N.A., relating to rights to purchase Series B Junior Participating Voting Preferred Stock (incorporated by reference to Exhibit (1) to Registrant’s Current Report on Form 8-K dated May 27, 1998, Commission File No. 1-8649).</w:t>
      </w:r>
    </w:p>
    <w:p>
      <w:pPr>
        <w:spacing w:after="0" w:line="194" w:lineRule="exact"/>
        <w:rPr>
          <w:rFonts w:ascii="Arial" w:cs="Arial" w:eastAsia="Arial" w:hAnsi="Arial"/>
          <w:sz w:val="18"/>
          <w:szCs w:val="18"/>
          <w:color w:val="auto"/>
        </w:rPr>
      </w:pPr>
    </w:p>
    <w:p>
      <w:pPr>
        <w:ind w:left="1620" w:right="240" w:hanging="675"/>
        <w:spacing w:after="0" w:line="306" w:lineRule="auto"/>
        <w:rPr>
          <w:rFonts w:ascii="Arial" w:cs="Arial" w:eastAsia="Arial" w:hAnsi="Arial"/>
          <w:sz w:val="18"/>
          <w:szCs w:val="18"/>
          <w:color w:val="auto"/>
        </w:rPr>
      </w:pPr>
      <w:r>
        <w:rPr>
          <w:rFonts w:ascii="Arial" w:cs="Arial" w:eastAsia="Arial" w:hAnsi="Arial"/>
          <w:sz w:val="18"/>
          <w:szCs w:val="18"/>
          <w:color w:val="auto"/>
        </w:rPr>
        <w:t>4(e)</w:t>
      </w:r>
      <w:r>
        <w:rPr>
          <w:rFonts w:ascii="Arial" w:cs="Arial" w:eastAsia="Arial" w:hAnsi="Arial"/>
          <w:sz w:val="16"/>
          <w:szCs w:val="16"/>
          <w:color w:val="auto"/>
        </w:rPr>
        <w:t>Certificate of Adjusted Purchase Price or Number of Shares dated April 14, 2003 filed by Registrant with Wells Fargo Bank Minnesota, N.A., as Rights Agent, in connection with Rights Agreement dated as of May 20, 1998 (incorporated by reference to Exhibit 2 to Registrant’s Amendment No. 1 to Registration Statement on Form 8-A/A dated April 14, 2003, Commission File No. 1-8649).</w:t>
      </w:r>
    </w:p>
    <w:p>
      <w:pPr>
        <w:spacing w:after="0" w:line="161" w:lineRule="exact"/>
        <w:rPr>
          <w:sz w:val="20"/>
          <w:szCs w:val="20"/>
          <w:color w:val="auto"/>
        </w:rPr>
      </w:pPr>
    </w:p>
    <w:p>
      <w:pPr>
        <w:ind w:left="1620" w:hanging="679"/>
        <w:spacing w:after="0" w:line="259" w:lineRule="auto"/>
        <w:tabs>
          <w:tab w:leader="none" w:pos="160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Indenture dated as of January 31, 1997 between Registrant and First National Trust Association, as Trustee, relating to Registrant’s 7.125% Notes due June 15, 2007 and its 7.80% Debentures due June 15, 2027 (incorporated by reference Exhibit 4(a) to Registrant’s Current Report on Form 8-K for June 24, 1997, Commission File No. 1-8649).</w:t>
      </w:r>
    </w:p>
    <w:p>
      <w:pPr>
        <w:spacing w:after="0" w:line="194" w:lineRule="exact"/>
        <w:rPr>
          <w:sz w:val="20"/>
          <w:szCs w:val="20"/>
          <w:color w:val="auto"/>
        </w:rPr>
      </w:pPr>
    </w:p>
    <w:p>
      <w:pPr>
        <w:ind w:left="940" w:hanging="932"/>
        <w:spacing w:after="0"/>
        <w:tabs>
          <w:tab w:leader="none" w:pos="94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Opinion of counsel regarding legality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23(a)</w:t>
      </w:r>
      <w:r>
        <w:rPr>
          <w:rFonts w:ascii="Arial" w:cs="Arial" w:eastAsia="Arial" w:hAnsi="Arial"/>
          <w:sz w:val="16"/>
          <w:szCs w:val="16"/>
          <w:color w:val="auto"/>
        </w:rPr>
        <w:t>Consent of counsel (</w:t>
      </w:r>
      <w:r>
        <w:rPr>
          <w:rFonts w:ascii="Arial" w:cs="Arial" w:eastAsia="Arial" w:hAnsi="Arial"/>
          <w:sz w:val="16"/>
          <w:szCs w:val="16"/>
          <w:i w:val="1"/>
          <w:iCs w:val="1"/>
          <w:color w:val="auto"/>
        </w:rPr>
        <w:t>contained in Exhibit 5</w:t>
      </w:r>
      <w:r>
        <w:rPr>
          <w:rFonts w:ascii="Arial" w:cs="Arial" w:eastAsia="Arial" w:hAnsi="Arial"/>
          <w:sz w:val="16"/>
          <w:szCs w:val="16"/>
          <w:color w:val="auto"/>
        </w:rPr>
        <w: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23(b)</w:t>
      </w:r>
      <w:r>
        <w:rPr>
          <w:rFonts w:ascii="Arial" w:cs="Arial" w:eastAsia="Arial" w:hAnsi="Arial"/>
          <w:sz w:val="16"/>
          <w:szCs w:val="16"/>
          <w:color w:val="auto"/>
        </w:rPr>
        <w:t>Consent of KPMG LLP (</w:t>
      </w:r>
      <w:r>
        <w:rPr>
          <w:rFonts w:ascii="Arial" w:cs="Arial" w:eastAsia="Arial" w:hAnsi="Arial"/>
          <w:sz w:val="16"/>
          <w:szCs w:val="16"/>
          <w:i w:val="1"/>
          <w:iCs w:val="1"/>
          <w:color w:val="auto"/>
        </w:rPr>
        <w:t>filed electronically herewith</w:t>
      </w:r>
      <w:r>
        <w:rPr>
          <w:rFonts w:ascii="Arial" w:cs="Arial" w:eastAsia="Arial" w:hAnsi="Arial"/>
          <w:sz w:val="16"/>
          <w:szCs w:val="16"/>
          <w:color w:val="auto"/>
        </w:rPr>
        <w:t>).</w:t>
      </w:r>
    </w:p>
    <w:p>
      <w:pPr>
        <w:spacing w:after="0" w:line="225" w:lineRule="exact"/>
        <w:rPr>
          <w:sz w:val="20"/>
          <w:szCs w:val="20"/>
          <w:color w:val="auto"/>
        </w:rPr>
      </w:pPr>
    </w:p>
    <w:p>
      <w:pPr>
        <w:ind w:left="940" w:hanging="932"/>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Powers of Attorney (</w:t>
      </w:r>
      <w:r>
        <w:rPr>
          <w:rFonts w:ascii="Arial" w:cs="Arial" w:eastAsia="Arial" w:hAnsi="Arial"/>
          <w:sz w:val="18"/>
          <w:szCs w:val="18"/>
          <w:i w:val="1"/>
          <w:iCs w:val="1"/>
          <w:color w:val="auto"/>
        </w:rPr>
        <w:t>filed electronically herewith</w:t>
      </w:r>
      <w:r>
        <w:rPr>
          <w:rFonts w:ascii="Arial" w:cs="Arial" w:eastAsia="Arial" w:hAnsi="Arial"/>
          <w:sz w:val="18"/>
          <w:szCs w:val="18"/>
          <w:color w:val="auto"/>
        </w:rPr>
        <w:t>).</w:t>
      </w:r>
    </w:p>
    <w:p>
      <w:pPr>
        <w:sectPr>
          <w:pgSz w:w="11900" w:h="16838" w:orient="portrait"/>
          <w:cols w:equalWidth="0" w:num="1">
            <w:col w:w="11400"/>
          </w:cols>
          <w:pgMar w:left="240" w:top="935" w:right="25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8"/>
          <w:szCs w:val="18"/>
          <w:color w:val="auto"/>
        </w:rPr>
        <w:t>EXHIBIT 5 AND 23(a)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29,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8111 Lyndale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55420</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Post-Effective Amendment No. 1 to Registration Statement on Form S-8 (No. 333-100004) for The Toro Company Investment, Savings and Employee Stock Ownership Plan</w:t>
      </w:r>
    </w:p>
    <w:p>
      <w:pPr>
        <w:spacing w:after="0" w:line="186" w:lineRule="exact"/>
        <w:rPr>
          <w:sz w:val="20"/>
          <w:szCs w:val="20"/>
          <w:color w:val="auto"/>
        </w:rPr>
      </w:pPr>
    </w:p>
    <w:p>
      <w:pPr>
        <w:sectPr>
          <w:pgSz w:w="11900" w:h="16838" w:orient="portrait"/>
          <w:cols w:equalWidth="0" w:num="2">
            <w:col w:w="260" w:space="440"/>
            <w:col w:w="10720"/>
          </w:cols>
          <w:pgMar w:left="240" w:top="941" w:right="239" w:bottom="1440" w:gutter="0" w:footer="0" w:header="0"/>
          <w:type w:val="continuous"/>
        </w:sect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ind w:firstLine="220"/>
        <w:spacing w:after="0" w:line="294" w:lineRule="auto"/>
        <w:rPr>
          <w:sz w:val="20"/>
          <w:szCs w:val="20"/>
          <w:color w:val="auto"/>
        </w:rPr>
      </w:pPr>
      <w:r>
        <w:rPr>
          <w:rFonts w:ascii="Arial" w:cs="Arial" w:eastAsia="Arial" w:hAnsi="Arial"/>
          <w:sz w:val="16"/>
          <w:szCs w:val="16"/>
          <w:color w:val="auto"/>
        </w:rPr>
        <w:t>I am Vice President, Secretary and General Counsel of The Toro Company (the “Company”). In connection with Post-Effective Amendment No. 1 to the Registration Statement on Form S-8 noted above, relating to The Toro Company Investment, Savings and Employee Stock Ownership Plan, an additional 308,902 shares of Common Stock, $1.00 par value per share, and related Preferred Share Purchase Rights of the Company, may be issued as a result of a 2 for 1 stock split of the Common Stock, effective April 14, 2003. Please be advised that as counsel to the Company, upon examination of such corporate documents and records as I have deemed necessary or appropriate for the purpose of rendering this opinion, it is my opinion that:</w:t>
      </w:r>
    </w:p>
    <w:p>
      <w:pPr>
        <w:spacing w:after="0" w:line="170" w:lineRule="exact"/>
        <w:rPr>
          <w:sz w:val="20"/>
          <w:szCs w:val="20"/>
          <w:color w:val="auto"/>
        </w:rPr>
      </w:pPr>
    </w:p>
    <w:p>
      <w:pPr>
        <w:ind w:left="580" w:hanging="352"/>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shares of Common Stock when issued in accordance with proper corporate authorizations, will be legally issued, fully paid and non-assessable; and</w:t>
      </w:r>
    </w:p>
    <w:p>
      <w:pPr>
        <w:spacing w:after="0" w:line="248" w:lineRule="exact"/>
        <w:rPr>
          <w:rFonts w:ascii="Arial" w:cs="Arial" w:eastAsia="Arial" w:hAnsi="Arial"/>
          <w:sz w:val="16"/>
          <w:szCs w:val="16"/>
          <w:color w:val="auto"/>
        </w:rPr>
      </w:pPr>
    </w:p>
    <w:p>
      <w:pPr>
        <w:ind w:right="120" w:firstLine="228"/>
        <w:spacing w:after="0" w:line="335" w:lineRule="auto"/>
        <w:tabs>
          <w:tab w:leader="none" w:pos="561" w:val="left"/>
        </w:tabs>
        <w:numPr>
          <w:ilvl w:val="0"/>
          <w:numId w:val="4"/>
        </w:numPr>
        <w:rPr>
          <w:rFonts w:ascii="Arial" w:cs="Arial" w:eastAsia="Arial" w:hAnsi="Arial"/>
          <w:sz w:val="15"/>
          <w:szCs w:val="15"/>
          <w:color w:val="auto"/>
        </w:rPr>
      </w:pPr>
      <w:r>
        <w:rPr>
          <w:rFonts w:ascii="Arial" w:cs="Arial" w:eastAsia="Arial" w:hAnsi="Arial"/>
          <w:sz w:val="15"/>
          <w:szCs w:val="15"/>
          <w:color w:val="auto"/>
        </w:rPr>
        <w:t>Assuming that the Rights Agreement dated as of May 20, 1998, as modified by the Certificate of Adjusted Purchase Price or Number of Shares dated April 14, 2003, has been duly authorized, executed and delivered by the Rights Agent, the Rights, if and when issued as contemplated by the Rights Agreement, as it may be amended from time to time, will have been legally issued and entitled to the benefits of the Rights Agreement pursuant to which they will be issued.</w:t>
      </w:r>
    </w:p>
    <w:p>
      <w:pPr>
        <w:spacing w:after="0" w:line="142" w:lineRule="exact"/>
        <w:rPr>
          <w:sz w:val="20"/>
          <w:szCs w:val="20"/>
          <w:color w:val="auto"/>
        </w:rPr>
      </w:pPr>
    </w:p>
    <w:p>
      <w:pPr>
        <w:ind w:right="280" w:firstLine="216"/>
        <w:spacing w:after="0" w:line="268" w:lineRule="auto"/>
        <w:rPr>
          <w:sz w:val="20"/>
          <w:szCs w:val="20"/>
          <w:color w:val="auto"/>
        </w:rPr>
      </w:pPr>
      <w:r>
        <w:rPr>
          <w:rFonts w:ascii="Arial" w:cs="Arial" w:eastAsia="Arial" w:hAnsi="Arial"/>
          <w:sz w:val="18"/>
          <w:szCs w:val="18"/>
          <w:color w:val="auto"/>
        </w:rPr>
        <w:t>The foregoing opinion is limited to the federal laws of the United States and the General Corporation Law of the State of Delaware, and I am expressing no opinion as to the effect of the laws of any other jurisdiction.</w:t>
      </w:r>
    </w:p>
    <w:p>
      <w:pPr>
        <w:spacing w:after="0" w:line="186" w:lineRule="exact"/>
        <w:rPr>
          <w:sz w:val="20"/>
          <w:szCs w:val="20"/>
          <w:color w:val="auto"/>
        </w:rPr>
      </w:pPr>
    </w:p>
    <w:p>
      <w:pPr>
        <w:ind w:right="60" w:firstLine="220"/>
        <w:spacing w:after="0" w:line="259" w:lineRule="auto"/>
        <w:rPr>
          <w:sz w:val="20"/>
          <w:szCs w:val="20"/>
          <w:color w:val="auto"/>
        </w:rPr>
      </w:pPr>
      <w:r>
        <w:rPr>
          <w:rFonts w:ascii="Arial" w:cs="Arial" w:eastAsia="Arial" w:hAnsi="Arial"/>
          <w:sz w:val="18"/>
          <w:szCs w:val="18"/>
          <w:color w:val="auto"/>
        </w:rPr>
        <w:t>I hereby consent to the filing of this opinion as an exhibit to the above-captioned Amendment, and to the reference to my name under the heading “Interests of Named Experts and Counsel” contained in the Registration Statement. In giving such consent, I do not hereby admit that I am in the category of persons whose consent is required under Section 7 of the Act.</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J. Lawrence McIntyre</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 Lawrence McIntyre</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ectPr>
          <w:pgSz w:w="11900" w:h="16838" w:orient="portrait"/>
          <w:cols w:equalWidth="0" w:num="1">
            <w:col w:w="11420"/>
          </w:cols>
          <w:pgMar w:left="240" w:top="941" w:right="239" w:bottom="1440" w:gutter="0" w:footer="0" w:header="0"/>
          <w:type w:val="continuous"/>
        </w:sectPr>
      </w:pPr>
    </w:p>
    <w:bookmarkStart w:id="8" w:name="page9"/>
    <w:bookmarkEnd w:id="8"/>
    <w:p>
      <w:pPr>
        <w:jc w:val="right"/>
        <w:spacing w:after="0"/>
        <w:rPr>
          <w:sz w:val="20"/>
          <w:szCs w:val="20"/>
          <w:color w:val="auto"/>
        </w:rPr>
      </w:pPr>
      <w:r>
        <w:rPr>
          <w:rFonts w:ascii="Arial" w:cs="Arial" w:eastAsia="Arial" w:hAnsi="Arial"/>
          <w:sz w:val="18"/>
          <w:szCs w:val="18"/>
          <w:color w:val="auto"/>
        </w:rPr>
        <w:t>EXHIBIT 23(b)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use of our report dated December 9, 2002, incorporated by reference in this Form S-8, as amended by this Post-Effective Amendment No 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Our report refers to the adoption of Statement of Financial Accounting Standards No. 142, Goodwill and Other Intangible Assets on November 1, 2001.</w:t>
      </w:r>
    </w:p>
    <w:p>
      <w:pPr>
        <w:spacing w:after="0" w:line="24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30, 2003</w:t>
      </w:r>
    </w:p>
    <w:p>
      <w:pPr>
        <w:sectPr>
          <w:pgSz w:w="11900" w:h="16838" w:orient="portrait"/>
          <w:cols w:equalWidth="0" w:num="1">
            <w:col w:w="11420"/>
          </w:cols>
          <w:pgMar w:left="240" w:top="941"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b w:val="1"/>
          <w:bCs w:val="1"/>
          <w:color w:val="auto"/>
        </w:rPr>
        <w:t>KNOW ALL MEN BY THESE PRESENTS</w:t>
      </w:r>
      <w:r>
        <w:rPr>
          <w:rFonts w:ascii="Arial" w:cs="Arial" w:eastAsia="Arial" w:hAnsi="Arial"/>
          <w:sz w:val="16"/>
          <w:szCs w:val="16"/>
          <w:color w:val="auto"/>
        </w:rPr>
        <w:t>, that each person whose signature appears below hereby constitutes and appoints Kendrick B. Melrose and J.</w:t>
      </w:r>
      <w:r>
        <w:rPr>
          <w:rFonts w:ascii="Arial" w:cs="Arial" w:eastAsia="Arial" w:hAnsi="Arial"/>
          <w:sz w:val="16"/>
          <w:szCs w:val="16"/>
          <w:b w:val="1"/>
          <w:bCs w:val="1"/>
          <w:color w:val="auto"/>
        </w:rPr>
        <w:t xml:space="preserve"> </w:t>
      </w:r>
      <w:r>
        <w:rPr>
          <w:rFonts w:ascii="Arial" w:cs="Arial" w:eastAsia="Arial" w:hAnsi="Arial"/>
          <w:sz w:val="16"/>
          <w:szCs w:val="16"/>
          <w:color w:val="auto"/>
        </w:rPr>
        <w:t>Lawrence McIntyre, or either of them, each with power to act without the other, his true and lawful attorney-in-fact and agent, with full power of substitution and resubstitution for him and in his name, place and stead, in any and all capacities, to sign any and/or all amendments to Registration Statement Nos. 333-10004, 333-89260, 333-89262, 333-57198, 333-47260, 333-36166, 333-44879, 333-03509 and/or 333-03505, and to file the same, or cause to be filed the same, with all exhibits thereto, and other documents in connection therewith, with the Securities and Exchange Commission granting unto said attorney-in-fact and agent full power to do and perform each and every act and thing requisite and necessary to be done in and about the premises, as fully to all intents and purposes as he or she might or could do in person, hereby approving and confirming all that said attorney-in-fact and agent or his substitute or substitutes may lawfully do or cause to be done by virtue hereof.</w:t>
      </w:r>
    </w:p>
    <w:p>
      <w:pPr>
        <w:spacing w:after="0" w:line="200" w:lineRule="exact"/>
        <w:rPr>
          <w:sz w:val="20"/>
          <w:szCs w:val="20"/>
          <w:color w:val="auto"/>
        </w:rPr>
      </w:pPr>
    </w:p>
    <w:p>
      <w:pPr>
        <w:spacing w:after="0" w:line="211" w:lineRule="exact"/>
        <w:rPr>
          <w:sz w:val="20"/>
          <w:szCs w:val="20"/>
          <w:color w:val="auto"/>
        </w:rPr>
      </w:pPr>
    </w:p>
    <w:tbl>
      <w:tblPr>
        <w:tblLayout w:type="fixed"/>
        <w:tblInd w:w="880" w:type="dxa"/>
        <w:tblCellMar>
          <w:top w:w="0" w:type="dxa"/>
          <w:left w:w="0" w:type="dxa"/>
          <w:bottom w:w="0" w:type="dxa"/>
          <w:right w:w="0" w:type="dxa"/>
        </w:tblCellMar>
      </w:tblPr>
      <w:tr>
        <w:trPr>
          <w:trHeight w:val="174"/>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480" w:type="dxa"/>
            <w:vAlign w:val="bottom"/>
          </w:tcPr>
          <w:p>
            <w:pPr>
              <w:spacing w:after="0"/>
              <w:rPr>
                <w:sz w:val="15"/>
                <w:szCs w:val="15"/>
                <w:color w:val="auto"/>
              </w:rPr>
            </w:pPr>
          </w:p>
        </w:tc>
        <w:tc>
          <w:tcPr>
            <w:tcW w:w="4380" w:type="dxa"/>
            <w:vAlign w:val="bottom"/>
          </w:tcPr>
          <w:p>
            <w:pPr>
              <w:ind w:left="2040"/>
              <w:spacing w:after="0"/>
              <w:rPr>
                <w:sz w:val="20"/>
                <w:szCs w:val="20"/>
                <w:color w:val="auto"/>
              </w:rPr>
            </w:pPr>
            <w:r>
              <w:rPr>
                <w:rFonts w:ascii="Arial" w:cs="Arial" w:eastAsia="Arial" w:hAnsi="Arial"/>
                <w:sz w:val="14"/>
                <w:szCs w:val="14"/>
                <w:b w:val="1"/>
                <w:bCs w:val="1"/>
                <w:color w:val="auto"/>
              </w:rPr>
              <w:t>Title</w:t>
            </w:r>
          </w:p>
        </w:tc>
        <w:tc>
          <w:tcPr>
            <w:tcW w:w="460" w:type="dxa"/>
            <w:vAlign w:val="bottom"/>
          </w:tcPr>
          <w:p>
            <w:pPr>
              <w:spacing w:after="0"/>
              <w:rPr>
                <w:sz w:val="15"/>
                <w:szCs w:val="15"/>
                <w:color w:val="auto"/>
              </w:rPr>
            </w:pPr>
          </w:p>
        </w:tc>
        <w:tc>
          <w:tcPr>
            <w:tcW w:w="1160" w:type="dxa"/>
            <w:vAlign w:val="bottom"/>
          </w:tcPr>
          <w:p>
            <w:pPr>
              <w:ind w:left="440"/>
              <w:spacing w:after="0"/>
              <w:rPr>
                <w:sz w:val="20"/>
                <w:szCs w:val="20"/>
                <w:color w:val="auto"/>
              </w:rPr>
            </w:pPr>
            <w:r>
              <w:rPr>
                <w:rFonts w:ascii="Arial" w:cs="Arial" w:eastAsia="Arial" w:hAnsi="Arial"/>
                <w:sz w:val="14"/>
                <w:szCs w:val="14"/>
                <w:b w:val="1"/>
                <w:bCs w:val="1"/>
                <w:color w:val="auto"/>
              </w:rPr>
              <w:t>Date</w:t>
            </w:r>
          </w:p>
        </w:tc>
      </w:tr>
      <w:tr>
        <w:trPr>
          <w:trHeight w:val="95"/>
        </w:trPr>
        <w:tc>
          <w:tcPr>
            <w:tcW w:w="320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438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r>
      <w:tr>
        <w:trPr>
          <w:trHeight w:val="309"/>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Chairman, Chief Executive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91"/>
              </w:rPr>
              <w:t>Kendrick B. Melrose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Officer, President and Director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Executive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Finance</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16"/>
        </w:trPr>
        <w:tc>
          <w:tcPr>
            <w:tcW w:w="3200" w:type="dxa"/>
            <w:vAlign w:val="bottom"/>
          </w:tcPr>
          <w:p>
            <w:pPr>
              <w:jc w:val="center"/>
              <w:spacing w:after="0"/>
              <w:rPr>
                <w:sz w:val="20"/>
                <w:szCs w:val="20"/>
                <w:color w:val="auto"/>
              </w:rPr>
            </w:pPr>
            <w:r>
              <w:rPr>
                <w:rFonts w:ascii="Arial" w:cs="Arial" w:eastAsia="Arial" w:hAnsi="Arial"/>
                <w:sz w:val="18"/>
                <w:szCs w:val="18"/>
                <w:color w:val="auto"/>
                <w:w w:val="85"/>
              </w:rPr>
              <w:t>Stephen P. Wolfe</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and Chief Financial Officer</w:t>
            </w: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2"/>
        </w:trPr>
        <w:tc>
          <w:tcPr>
            <w:tcW w:w="3200" w:type="dxa"/>
            <w:vAlign w:val="bottom"/>
          </w:tcPr>
          <w:p>
            <w:pPr>
              <w:spacing w:after="0"/>
              <w:rPr>
                <w:sz w:val="19"/>
                <w:szCs w:val="19"/>
                <w:color w:val="auto"/>
              </w:rPr>
            </w:pP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Financial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Vice President and Controller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Randy B. James</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(Principal Accounting Officer)</w:t>
            </w: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Ronald O. Baukol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Robert C. Buhrmaster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2"/>
              </w:rPr>
              <w:t>Winslow H. Buxton</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Janet K. Cooper</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7"/>
              </w:rPr>
              <w:t>Katherine J. Harless</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6"/>
              </w:rPr>
              <w:t>Robert H. Nassau</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Dale R. Olseth</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Christopher A. Twomey</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88"/>
              </w:rPr>
              <w:t>Gregg W. Steinhaffel</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26"/>
        </w:trPr>
        <w:tc>
          <w:tcPr>
            <w:tcW w:w="3200" w:type="dxa"/>
            <w:vAlign w:val="bottom"/>
          </w:tcPr>
          <w:p>
            <w:pPr>
              <w:jc w:val="center"/>
              <w:spacing w:after="0"/>
              <w:rPr>
                <w:sz w:val="20"/>
                <w:szCs w:val="20"/>
                <w:color w:val="auto"/>
              </w:rPr>
            </w:pPr>
            <w:r>
              <w:rPr>
                <w:rFonts w:ascii="Arial" w:cs="Arial" w:eastAsia="Arial" w:hAnsi="Arial"/>
                <w:sz w:val="18"/>
                <w:szCs w:val="18"/>
                <w:color w:val="auto"/>
              </w:rPr>
              <w:t>*</w:t>
            </w:r>
          </w:p>
        </w:tc>
        <w:tc>
          <w:tcPr>
            <w:tcW w:w="4860" w:type="dxa"/>
            <w:vAlign w:val="bottom"/>
            <w:gridSpan w:val="2"/>
          </w:tcPr>
          <w:p>
            <w:pPr>
              <w:ind w:left="480"/>
              <w:spacing w:after="0"/>
              <w:rPr>
                <w:sz w:val="20"/>
                <w:szCs w:val="20"/>
                <w:color w:val="auto"/>
              </w:rPr>
            </w:pPr>
            <w:r>
              <w:rPr>
                <w:rFonts w:ascii="Arial" w:cs="Arial" w:eastAsia="Arial" w:hAnsi="Arial"/>
                <w:sz w:val="18"/>
                <w:szCs w:val="18"/>
                <w:color w:val="auto"/>
              </w:rPr>
              <w:t>Director</w:t>
            </w:r>
          </w:p>
        </w:tc>
        <w:tc>
          <w:tcPr>
            <w:tcW w:w="1620" w:type="dxa"/>
            <w:vAlign w:val="bottom"/>
            <w:gridSpan w:val="2"/>
          </w:tcPr>
          <w:p>
            <w:pPr>
              <w:ind w:left="460"/>
              <w:spacing w:after="0"/>
              <w:rPr>
                <w:sz w:val="20"/>
                <w:szCs w:val="20"/>
                <w:color w:val="auto"/>
              </w:rPr>
            </w:pPr>
            <w:r>
              <w:rPr>
                <w:rFonts w:ascii="Arial" w:cs="Arial" w:eastAsia="Arial" w:hAnsi="Arial"/>
                <w:sz w:val="18"/>
                <w:szCs w:val="18"/>
                <w:color w:val="auto"/>
              </w:rPr>
              <w:t>May 29, 2003</w:t>
            </w:r>
          </w:p>
        </w:tc>
      </w:tr>
      <w:tr>
        <w:trPr>
          <w:trHeight w:val="222"/>
        </w:trPr>
        <w:tc>
          <w:tcPr>
            <w:tcW w:w="3200" w:type="dxa"/>
            <w:vAlign w:val="bottom"/>
          </w:tcPr>
          <w:p>
            <w:pPr>
              <w:jc w:val="center"/>
              <w:spacing w:after="0"/>
              <w:rPr>
                <w:sz w:val="20"/>
                <w:szCs w:val="20"/>
                <w:color w:val="auto"/>
              </w:rPr>
            </w:pPr>
            <w:r>
              <w:rPr>
                <w:rFonts w:ascii="Arial" w:cs="Arial" w:eastAsia="Arial" w:hAnsi="Arial"/>
                <w:sz w:val="18"/>
                <w:szCs w:val="18"/>
                <w:color w:val="auto"/>
                <w:w w:val="90"/>
              </w:rPr>
              <w:t>Edwin H. Wingate</w:t>
            </w:r>
          </w:p>
        </w:tc>
        <w:tc>
          <w:tcPr>
            <w:tcW w:w="4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4"/>
      <w:numFmt w:val="bullet"/>
      <w:start w:val="1"/>
    </w:lvl>
  </w:abstractNum>
  <w:abstractNum w:abstractNumId="1">
    <w:nsid w:val="19495CFF"/>
    <w:multiLevelType w:val="hybridMultilevel"/>
    <w:lvl w:ilvl="0">
      <w:lvlJc w:val="left"/>
      <w:lvlText w:val="5"/>
      <w:numFmt w:val="bullet"/>
      <w:start w:val="1"/>
    </w:lvl>
  </w:abstractNum>
  <w:abstractNum w:abstractNumId="2">
    <w:nsid w:val="2AE8944A"/>
    <w:multiLevelType w:val="hybridMultilevel"/>
    <w:lvl w:ilvl="0">
      <w:lvlJc w:val="left"/>
      <w:lvlText w:val="%1"/>
      <w:numFmt w:val="decimal"/>
      <w:start w:val="24"/>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2019-12-13T13:42:36Z</dcterms:created>
  <dcterms:modified xsi:type="dcterms:W3CDTF">2019-12-13T13:42:36Z</dcterms:modified>
</cp:coreProperties>
</file>