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4"/>
          <w:szCs w:val="24"/>
          <w:color w:val="auto"/>
        </w:rPr>
      </w:pPr>
    </w:p>
    <w:p>
      <w:pPr>
        <w:jc w:val="center"/>
        <w:ind w:right="3059"/>
        <w:spacing w:after="0"/>
        <w:tabs>
          <w:tab w:leader="none" w:pos="1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4"/>
          <w:szCs w:val="24"/>
          <w:color w:val="auto"/>
        </w:rPr>
      </w:pPr>
    </w:p>
    <w:p>
      <w:pPr>
        <w:ind w:left="3200"/>
        <w:spacing w:after="0"/>
        <w:rPr>
          <w:sz w:val="20"/>
          <w:szCs w:val="20"/>
          <w:color w:val="auto"/>
        </w:rPr>
      </w:pPr>
      <w:r>
        <w:rPr>
          <w:rFonts w:ascii="Courier New" w:cs="Courier New" w:eastAsia="Courier New" w:hAnsi="Courier New"/>
          <w:sz w:val="14"/>
          <w:szCs w:val="14"/>
          <w:color w:val="auto"/>
        </w:rPr>
        <w:t>FORM 10-K</w:t>
      </w:r>
    </w:p>
    <w:p>
      <w:pPr>
        <w:spacing w:after="0" w:line="338" w:lineRule="exact"/>
        <w:rPr>
          <w:sz w:val="24"/>
          <w:szCs w:val="24"/>
          <w:color w:val="auto"/>
        </w:rPr>
      </w:pPr>
    </w:p>
    <w:p>
      <w:pPr>
        <w:ind w:left="440" w:right="3599" w:hanging="439"/>
        <w:spacing w:after="0" w:line="250" w:lineRule="auto"/>
        <w:tabs>
          <w:tab w:leader="none" w:pos="420" w:val="left"/>
        </w:tabs>
        <w:rPr>
          <w:sz w:val="20"/>
          <w:szCs w:val="20"/>
          <w:color w:val="auto"/>
        </w:rPr>
      </w:pPr>
      <w:r>
        <w:rPr>
          <w:rFonts w:ascii="Courier New" w:cs="Courier New" w:eastAsia="Courier New" w:hAnsi="Courier New"/>
          <w:sz w:val="14"/>
          <w:szCs w:val="14"/>
          <w:color w:val="auto"/>
        </w:rPr>
        <w:t>/X/</w:t>
        <w:tab/>
        <w:t>Annual Report Pursuant to Section 13 or 15(d) of the Securities Exchange Act of 1934</w:t>
      </w: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Fiscal Year Ended October 31, 1997.</w:t>
      </w:r>
    </w:p>
    <w:p>
      <w:pPr>
        <w:spacing w:after="0" w:line="173" w:lineRule="exact"/>
        <w:rPr>
          <w:sz w:val="24"/>
          <w:szCs w:val="24"/>
          <w:color w:val="auto"/>
        </w:rPr>
      </w:pPr>
    </w:p>
    <w:p>
      <w:pPr>
        <w:ind w:left="440" w:right="4019" w:hanging="432"/>
        <w:spacing w:after="0" w:line="250" w:lineRule="auto"/>
        <w:tabs>
          <w:tab w:leader="none" w:pos="18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ectPr>
          <w:pgSz w:w="11900" w:h="16838" w:orient="portrait"/>
          <w:cols w:equalWidth="0" w:num="1">
            <w:col w:w="10239"/>
          </w:cols>
          <w:pgMar w:left="220" w:top="561" w:right="1440" w:bottom="1440" w:gutter="0" w:footer="0" w:header="0"/>
        </w:sectPr>
      </w:pPr>
    </w:p>
    <w:p>
      <w:pPr>
        <w:spacing w:after="0" w:line="1" w:lineRule="exact"/>
        <w:rPr>
          <w:sz w:val="24"/>
          <w:szCs w:val="24"/>
          <w:color w:val="auto"/>
        </w:rPr>
      </w:pPr>
    </w:p>
    <w:p>
      <w:pPr>
        <w:ind w:left="440"/>
        <w:spacing w:after="0"/>
        <w:tabs>
          <w:tab w:leader="none" w:pos="490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4"/>
          <w:szCs w:val="14"/>
          <w:color w:val="auto"/>
        </w:rPr>
        <w:t>to</w:t>
      </w:r>
    </w:p>
    <w:p>
      <w:pPr>
        <w:sectPr>
          <w:pgSz w:w="11900" w:h="16838" w:orient="portrait"/>
          <w:cols w:equalWidth="0" w:num="1">
            <w:col w:w="10239"/>
          </w:cols>
          <w:pgMar w:left="220" w:top="561" w:right="1440" w:bottom="1440" w:gutter="0" w:footer="0" w:header="0"/>
          <w:type w:val="continuous"/>
        </w:sectPr>
      </w:pPr>
    </w:p>
    <w:p>
      <w:pPr>
        <w:spacing w:after="0" w:line="7"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2">
            <w:col w:w="4840" w:space="340"/>
            <w:col w:w="5059"/>
          </w:cols>
          <w:pgMar w:left="220" w:top="561" w:right="1440" w:bottom="1440" w:gutter="0" w:footer="0" w:header="0"/>
          <w:type w:val="continuous"/>
        </w:sectPr>
      </w:pPr>
    </w:p>
    <w:p>
      <w:pPr>
        <w:ind w:left="224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1-8649</w:t>
      </w:r>
    </w:p>
    <w:p>
      <w:pPr>
        <w:spacing w:after="0" w:line="173" w:lineRule="exact"/>
        <w:rPr>
          <w:sz w:val="24"/>
          <w:szCs w:val="24"/>
          <w:color w:val="auto"/>
        </w:rPr>
      </w:pPr>
    </w:p>
    <w:p>
      <w:pPr>
        <w:sectPr>
          <w:pgSz w:w="11900" w:h="16838" w:orient="portrait"/>
          <w:cols w:equalWidth="0" w:num="2">
            <w:col w:w="4140" w:space="180"/>
            <w:col w:w="5919"/>
          </w:cols>
          <w:pgMar w:left="220" w:top="561" w:right="1440" w:bottom="1440" w:gutter="0" w:footer="0" w:header="0"/>
          <w:type w:val="continuous"/>
        </w:sectPr>
      </w:pPr>
    </w:p>
    <w:p>
      <w:pPr>
        <w:jc w:val="center"/>
        <w:ind w:right="297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type w:val="continuous"/>
        </w:sectPr>
      </w:pPr>
    </w:p>
    <w:p>
      <w:pPr>
        <w:spacing w:after="0" w:line="173"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73" w:lineRule="exact"/>
        <w:rPr>
          <w:sz w:val="24"/>
          <w:szCs w:val="24"/>
          <w:color w:val="auto"/>
        </w:rPr>
      </w:pPr>
    </w:p>
    <w:p>
      <w:pPr>
        <w:sectPr>
          <w:pgSz w:w="11900" w:h="16838" w:orient="portrait"/>
          <w:cols w:equalWidth="0" w:num="2">
            <w:col w:w="2740" w:space="720"/>
            <w:col w:w="6779"/>
          </w:cols>
          <w:pgMar w:left="220" w:top="561"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4"/>
          <w:szCs w:val="24"/>
          <w:color w:val="auto"/>
        </w:rPr>
      </w:pPr>
    </w:p>
    <w:p>
      <w:pPr>
        <w:ind w:left="2160"/>
        <w:spacing w:after="0"/>
        <w:tabs>
          <w:tab w:leader="none" w:pos="4200" w:val="left"/>
        </w:tabs>
        <w:rPr>
          <w:sz w:val="20"/>
          <w:szCs w:val="20"/>
          <w:color w:val="auto"/>
        </w:rPr>
      </w:pPr>
      <w:r>
        <w:rPr>
          <w:rFonts w:ascii="Courier New" w:cs="Courier New" w:eastAsia="Courier New" w:hAnsi="Courier New"/>
          <w:sz w:val="14"/>
          <w:szCs w:val="14"/>
          <w:color w:val="auto"/>
        </w:rPr>
        <w:t>BLOOMINGTON, MINNESOTA</w:t>
        <w:tab/>
        <w:t>55420-1196</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TELEPHONE NUMBER: (612) 888-8801</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(Address, including zip code, and telephone number, including area code, of</w:t>
      </w:r>
    </w:p>
    <w:p>
      <w:pPr>
        <w:spacing w:after="0" w:line="7"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registrant's principal executive offices)</w:t>
      </w:r>
    </w:p>
    <w:p>
      <w:pPr>
        <w:spacing w:after="0" w:line="173"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61" w:right="1440" w:bottom="1440" w:gutter="0" w:footer="0" w:header="0"/>
          <w:type w:val="continuous"/>
        </w:sectPr>
      </w:pPr>
    </w:p>
    <w:p>
      <w:pPr>
        <w:spacing w:after="0" w:line="33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7" w:lineRule="exact"/>
        <w:rPr>
          <w:sz w:val="24"/>
          <w:szCs w:val="24"/>
          <w:color w:val="auto"/>
        </w:rPr>
      </w:pPr>
    </w:p>
    <w:p>
      <w:pPr>
        <w:sectPr>
          <w:pgSz w:w="11900" w:h="16838" w:orient="portrait"/>
          <w:cols w:equalWidth="0" w:num="2">
            <w:col w:w="2640" w:space="720"/>
            <w:col w:w="6879"/>
          </w:cols>
          <w:pgMar w:left="220" w:top="56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Common Stock, par value $1.00</w:t>
      </w:r>
    </w:p>
    <w:p>
      <w:pPr>
        <w:sectPr>
          <w:pgSz w:w="11900" w:h="16838" w:orient="portrait"/>
          <w:cols w:equalWidth="0" w:num="1">
            <w:col w:w="10239"/>
          </w:cols>
          <w:pgMar w:left="220" w:top="561" w:right="1440" w:bottom="1440" w:gutter="0" w:footer="0" w:header="0"/>
          <w:type w:val="continuous"/>
        </w:sectPr>
      </w:pP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per share</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3" w:lineRule="exact"/>
        <w:rPr>
          <w:sz w:val="24"/>
          <w:szCs w:val="24"/>
          <w:color w:val="auto"/>
        </w:rPr>
      </w:pPr>
    </w:p>
    <w:p>
      <w:pPr>
        <w:sectPr>
          <w:pgSz w:w="11900" w:h="16838" w:orient="portrait"/>
          <w:cols w:equalWidth="0" w:num="2">
            <w:col w:w="2760" w:space="600"/>
            <w:col w:w="6879"/>
          </w:cols>
          <w:pgMar w:left="220" w:top="561" w:right="1440" w:bottom="1440" w:gutter="0" w:footer="0" w:header="0"/>
          <w:type w:val="continuous"/>
        </w:sectPr>
      </w:pPr>
    </w:p>
    <w:p>
      <w:pPr>
        <w:jc w:val="center"/>
        <w:ind w:right="307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4"/>
          <w:szCs w:val="24"/>
          <w:color w:val="auto"/>
        </w:rPr>
      </w:pPr>
    </w:p>
    <w:p>
      <w:pPr>
        <w:jc w:val="center"/>
        <w:ind w:right="299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4"/>
          <w:szCs w:val="24"/>
          <w:color w:val="auto"/>
        </w:rPr>
      </w:pPr>
    </w:p>
    <w:p>
      <w:pPr>
        <w:spacing w:after="0"/>
        <w:tabs>
          <w:tab w:leader="none" w:pos="420" w:val="left"/>
          <w:tab w:leader="none" w:pos="1280" w:val="left"/>
          <w:tab w:leader="none" w:pos="1720" w:val="left"/>
        </w:tabs>
        <w:rPr>
          <w:sz w:val="20"/>
          <w:szCs w:val="20"/>
          <w:color w:val="auto"/>
        </w:rPr>
      </w:pPr>
      <w:r>
        <w:rPr>
          <w:rFonts w:ascii="Courier New" w:cs="Courier New" w:eastAsia="Courier New" w:hAnsi="Courier New"/>
          <w:sz w:val="14"/>
          <w:szCs w:val="14"/>
          <w:color w:val="auto"/>
        </w:rPr>
        <w:t>Yes</w:t>
        <w:tab/>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3"/>
          <w:szCs w:val="13"/>
          <w:color w:val="auto"/>
        </w:rPr>
        <w:t>/ /</w:t>
      </w:r>
    </w:p>
    <w:p>
      <w:pPr>
        <w:spacing w:after="0" w:line="173"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328" w:lineRule="exact"/>
        <w:rPr>
          <w:sz w:val="24"/>
          <w:szCs w:val="24"/>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the Common Stock on January 16, 1998 as reported by the New York Stock Exchange, was approximately $499,841,000.</w:t>
      </w:r>
    </w:p>
    <w:p>
      <w:pPr>
        <w:spacing w:after="0" w:line="163" w:lineRule="exact"/>
        <w:rPr>
          <w:sz w:val="24"/>
          <w:szCs w:val="24"/>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January 16, 1998 was 12,823,964.</w:t>
      </w:r>
    </w:p>
    <w:p>
      <w:pPr>
        <w:spacing w:after="0" w:line="160"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Portions of the Registrant's Annual Report to Stockholders for the fiscal year ended October 31, 1997 are incorporated by reference into Parts I, II and IV.</w:t>
      </w:r>
    </w:p>
    <w:p>
      <w:pPr>
        <w:spacing w:after="0" w:line="160" w:lineRule="exact"/>
        <w:rPr>
          <w:sz w:val="24"/>
          <w:szCs w:val="24"/>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Portions of the Registrant's Proxy Statement for the Annual Meeting of Stockholders to be held March 18, 1998 are incorporated by reference into Part III.</w:t>
      </w:r>
    </w:p>
    <w:p>
      <w:pPr>
        <w:spacing w:after="0" w:line="163"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9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designs, manufactures and markets consumer and professional turf maintenance equipment, snow removal products and irrigation systems and provides landscaping and turf maintenance services. The company produced its first lawn mower for golf course fairways in 1922 and its first lawn mower for home use in 1939 and has continued to enhance its product lines ever since.</w:t>
      </w:r>
    </w:p>
    <w:p>
      <w:pPr>
        <w:spacing w:after="0" w:line="165"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 company emphasizes quality and innovation in its products, manufacturing and marketing. The company strives to provide well built, dependable products supported by an extensive service network. The company's substantial funding of research and development, as well as its acquisition strategy and its licensing and related agreements, have all contributed to its new product development efforts. Through these efforts the company also attempts to be responsive to trends which may affect its target markets, now and in the future. The company believes that a significant portion of its revenues in recent years have been attributable to its new and enhanced products. Examples of recently introduced products include Toro's Contour Deck for undulating terrain, the Toro-Registered Trademark-Wheel Horse-Registered Trademark- 5xi garden tractor which completed the redesign of the entire Toro riding product line and a new low emission snowthrower engine scheduled for introduction in 1998. Other new products include a new line of solar-powered and metal low voltage outdoor lighting for landscapes, a more powerful Toro-Registered Trademark- Super BlowerVac and a redesigned string trimmer line.</w:t>
      </w:r>
    </w:p>
    <w:p>
      <w:pPr>
        <w:spacing w:after="0" w:line="338"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The company has also expanded its product lines and services by making acquisitions and strategic alliances. See "Recent Developments" below.</w:t>
      </w:r>
    </w:p>
    <w:p>
      <w:pPr>
        <w:spacing w:after="0" w:line="160"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(612) 888-8801. Unless the context indicates otherwise, the terms "company" and "Toro" refer to The Toro Company and its subsidiaries. The company finances a significant portion of its receivables through Toro Credit Company ("Toro Credit"), its wholly-owned finance subsidiary.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OUTDOOR MAINTENANCE EQUIPMENT</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The company continues to be a leader in transforming advanced technologies into products and services that provide solutions for landscape and turf care maintenance and beautification demands. Following is a summary of Toro's product lines: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PRODUCTS</w:t>
      </w:r>
    </w:p>
    <w:p>
      <w:pPr>
        <w:spacing w:after="0" w:line="173" w:lineRule="exact"/>
        <w:rPr>
          <w:sz w:val="20"/>
          <w:szCs w:val="20"/>
          <w:color w:val="auto"/>
        </w:rPr>
      </w:pPr>
    </w:p>
    <w:p>
      <w:pPr>
        <w:ind w:left="440" w:right="3519"/>
        <w:spacing w:after="0" w:line="250" w:lineRule="auto"/>
        <w:rPr>
          <w:sz w:val="20"/>
          <w:szCs w:val="20"/>
          <w:color w:val="auto"/>
        </w:rPr>
      </w:pPr>
      <w:r>
        <w:rPr>
          <w:rFonts w:ascii="Courier New" w:cs="Courier New" w:eastAsia="Courier New" w:hAnsi="Courier New"/>
          <w:sz w:val="14"/>
          <w:szCs w:val="14"/>
          <w:color w:val="auto"/>
        </w:rPr>
        <w:t>WALK-BEHIND POWER MOWERS. The company has manufactured walk-behind power mowers for residential use since 1939. Its walk-behind power lawn mowers are gasoline and electric powered. The company manufactures numerous models of walk-behind power mowers under its brand names Toro-Registered Trademark- and Lawn-Boy-Registered Trademark-, including both four-cycle and two-cycle engine models, battery and electric models. Models differ as to cutting width, type of starter mechanism, type of bagging, controls and power sources, and are either self-propelled or push mowers. Certain of the lawn mowers are backed by the company's "Guaranteed To Start" program and some Lawn-Boy-Registered</w:t>
      </w:r>
    </w:p>
    <w:p>
      <w:pPr>
        <w:spacing w:after="0" w:line="4"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Trademark- models are equipped with a two-cycle engine manufactured by the company.</w:t>
      </w:r>
    </w:p>
    <w:p>
      <w:pPr>
        <w:spacing w:after="0" w:line="160" w:lineRule="exact"/>
        <w:rPr>
          <w:sz w:val="20"/>
          <w:szCs w:val="20"/>
          <w:color w:val="auto"/>
        </w:rPr>
      </w:pPr>
    </w:p>
    <w:p>
      <w:pPr>
        <w:ind w:left="440" w:right="3679"/>
        <w:spacing w:after="0" w:line="251" w:lineRule="auto"/>
        <w:rPr>
          <w:sz w:val="20"/>
          <w:szCs w:val="20"/>
          <w:color w:val="auto"/>
        </w:rPr>
      </w:pPr>
      <w:r>
        <w:rPr>
          <w:rFonts w:ascii="Courier New" w:cs="Courier New" w:eastAsia="Courier New" w:hAnsi="Courier New"/>
          <w:sz w:val="14"/>
          <w:szCs w:val="14"/>
          <w:color w:val="auto"/>
        </w:rPr>
        <w:t>RIDING MOWERS AND LAWN AND GARDEN TRACTORS. The company manufactures riding lawn mowers and lawn and garden tractors under its brand name Toro-Registered Trademark-Wheel Horse-Registered Trademark- which range from an eight horsepower, 25 inch deck, rear engine model to a 23 horsepower, front engine, air and liquid cooled, gas and diesel models. The front engine model is available with a variety of decks and accessories. Recycler technology is available in select models. Some models are equipped with hydrostatic transmissions and/or low emission engines. The company introduced in 1997 the new Toro-Registered Trademark-Wheel Horse-Registered Trademark- 5xi garden tractor which completed the redesign of the entire Toro riding product line.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ind w:left="440" w:right="3519"/>
        <w:spacing w:after="0" w:line="251" w:lineRule="auto"/>
        <w:rPr>
          <w:sz w:val="20"/>
          <w:szCs w:val="20"/>
          <w:color w:val="auto"/>
        </w:rPr>
      </w:pPr>
      <w:r>
        <w:rPr>
          <w:rFonts w:ascii="Courier New" w:cs="Courier New" w:eastAsia="Courier New" w:hAnsi="Courier New"/>
          <w:sz w:val="14"/>
          <w:szCs w:val="14"/>
          <w:color w:val="auto"/>
        </w:rPr>
        <w:t>HOME SOLUTIONS PRODUCTS. The company designs and markets electrical and gas products under the Toro-Registered Trademark- brand name for dealers, mass merchandisers and "do-it-yourself" home improvement markets. These products, which include homeowner-installed, plastic and metal low voltage and solar lighting, flexible line trimmers and electric blowers, are intended to require little or no after sales service. Among recently introduced products include a new line of solar-powered and metal low voltage outdoor lighting, a more powerful Toro-Registered Trademark- Super BlowerVac and a redesigned string trimmer line.</w:t>
      </w:r>
    </w:p>
    <w:p>
      <w:pPr>
        <w:spacing w:after="0" w:line="164" w:lineRule="exact"/>
        <w:rPr>
          <w:sz w:val="20"/>
          <w:szCs w:val="20"/>
          <w:color w:val="auto"/>
        </w:rPr>
      </w:pPr>
    </w:p>
    <w:p>
      <w:pPr>
        <w:ind w:left="440" w:right="3599"/>
        <w:spacing w:after="0" w:line="251" w:lineRule="auto"/>
        <w:rPr>
          <w:sz w:val="20"/>
          <w:szCs w:val="20"/>
          <w:color w:val="auto"/>
        </w:rPr>
      </w:pPr>
      <w:r>
        <w:rPr>
          <w:rFonts w:ascii="Courier New" w:cs="Courier New" w:eastAsia="Courier New" w:hAnsi="Courier New"/>
          <w:sz w:val="14"/>
          <w:szCs w:val="14"/>
          <w:color w:val="auto"/>
        </w:rPr>
        <w:t>SNOW REMOVAL PRODUCTS. The company manufactures and markets lightweight and larger self-propelled walk-behind snowthrowers and electric Power Shovel snowthrowers under the Toro-Registered Trademark-and Lawn-Boy-Registered Trademark- brand names. Single-stage snowthrowers, developed by the company and first introduced in 1965, are walk-behind units with a lightweight gasoline engine or electric motor and the Power Curve-Registered Trademark- snowthrower technology for general residential use. Two-stage snowthrowers are designed for relatively large areas with engines ranging from five to 12 horsepower. Units with eight horsepower and above can be equipped with the Power Shift-Registered Trademark- snowthrower technology.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TURF PRODUCTS</w:t>
      </w:r>
    </w:p>
    <w:p>
      <w:pPr>
        <w:spacing w:after="0" w:line="173" w:lineRule="exact"/>
        <w:rPr>
          <w:sz w:val="20"/>
          <w:szCs w:val="20"/>
          <w:color w:val="auto"/>
        </w:rPr>
      </w:pPr>
    </w:p>
    <w:p>
      <w:pPr>
        <w:ind w:left="440" w:right="3519"/>
        <w:spacing w:after="0" w:line="251" w:lineRule="auto"/>
        <w:rPr>
          <w:sz w:val="20"/>
          <w:szCs w:val="20"/>
          <w:color w:val="auto"/>
        </w:rPr>
      </w:pPr>
      <w:r>
        <w:rPr>
          <w:rFonts w:ascii="Courier New" w:cs="Courier New" w:eastAsia="Courier New" w:hAnsi="Courier New"/>
          <w:sz w:val="14"/>
          <w:szCs w:val="14"/>
          <w:color w:val="auto"/>
        </w:rPr>
        <w:t>COMMERCIAL PRODUCTS. Professional turf maintenance equipment marketed under the Toro-Registered Trademark- brand name is the company's oldest product line, which began in 1922 with the sale of tractor-pulled reel mowers to golf courses. Today the company's expanded product line includes products designed for the large turf areas of schools, parks, cemeteries, sports fields, plant sites, apartment buildings and townhouse complexes, as well as golf courses. Management believes that golf courses will continue to be a significant market for turf maintenance equipment as new golf course construction continues throughout the world. Increasing emphasis is being placed on the sports field and landscape contractor markets.</w:t>
      </w:r>
    </w:p>
    <w:p>
      <w:pPr>
        <w:spacing w:after="0" w:line="163" w:lineRule="exact"/>
        <w:rPr>
          <w:sz w:val="20"/>
          <w:szCs w:val="20"/>
          <w:color w:val="auto"/>
        </w:rPr>
      </w:pPr>
    </w:p>
    <w:p>
      <w:pPr>
        <w:ind w:left="440" w:right="3519"/>
        <w:spacing w:after="0" w:line="252" w:lineRule="auto"/>
        <w:rPr>
          <w:sz w:val="20"/>
          <w:szCs w:val="20"/>
          <w:color w:val="auto"/>
        </w:rPr>
      </w:pPr>
      <w:r>
        <w:rPr>
          <w:rFonts w:ascii="Courier New" w:cs="Courier New" w:eastAsia="Courier New" w:hAnsi="Courier New"/>
          <w:sz w:val="14"/>
          <w:szCs w:val="14"/>
          <w:color w:val="auto"/>
        </w:rPr>
        <w:t>Products for the golf course include turf sprayer equipment, riding and walk-behind reel mowers for the putting green, and riding and pull-behind large reel products for the fairway, rough and trim cutting, turf aeration and sandtrap/bunker maintenance.</w:t>
      </w:r>
    </w:p>
    <w:p>
      <w:pPr>
        <w:spacing w:after="0" w:line="162" w:lineRule="exact"/>
        <w:rPr>
          <w:sz w:val="20"/>
          <w:szCs w:val="20"/>
          <w:color w:val="auto"/>
        </w:rPr>
      </w:pPr>
    </w:p>
    <w:p>
      <w:pPr>
        <w:ind w:left="440" w:right="3939"/>
        <w:spacing w:after="0" w:line="252" w:lineRule="auto"/>
        <w:rPr>
          <w:sz w:val="20"/>
          <w:szCs w:val="20"/>
          <w:color w:val="auto"/>
        </w:rPr>
      </w:pPr>
      <w:r>
        <w:rPr>
          <w:rFonts w:ascii="Courier New" w:cs="Courier New" w:eastAsia="Courier New" w:hAnsi="Courier New"/>
          <w:sz w:val="14"/>
          <w:szCs w:val="14"/>
          <w:color w:val="auto"/>
        </w:rPr>
        <w:t>Exmark, one of the company's recent acquisitions, produces mid-sized walk-behind power mowers and zero-turning-radius riding mowers for professional contractors.</w:t>
      </w:r>
    </w:p>
    <w:p>
      <w:pPr>
        <w:spacing w:after="0" w:line="163" w:lineRule="exact"/>
        <w:rPr>
          <w:sz w:val="20"/>
          <w:szCs w:val="20"/>
          <w:color w:val="auto"/>
        </w:rPr>
      </w:pPr>
    </w:p>
    <w:p>
      <w:pPr>
        <w:ind w:left="440" w:right="3519"/>
        <w:spacing w:after="0" w:line="251" w:lineRule="auto"/>
        <w:rPr>
          <w:sz w:val="20"/>
          <w:szCs w:val="20"/>
          <w:color w:val="auto"/>
        </w:rPr>
      </w:pPr>
      <w:r>
        <w:rPr>
          <w:rFonts w:ascii="Courier New" w:cs="Courier New" w:eastAsia="Courier New" w:hAnsi="Courier New"/>
          <w:sz w:val="14"/>
          <w:szCs w:val="14"/>
          <w:color w:val="auto"/>
        </w:rPr>
        <w:t>Other products which service all commercial markets include riding rotary units with out-front cutting decks ranging from 52 inches to 16 feet widths of cut, turf sweepers and multipurpose vehicles and attachments designed for flexibility. Among recently introduced products include the Toro Contour Deck and a small liquid-cooled riding rotary.</w:t>
      </w:r>
    </w:p>
    <w:p>
      <w:pPr>
        <w:spacing w:after="0" w:line="165" w:lineRule="exact"/>
        <w:rPr>
          <w:sz w:val="20"/>
          <w:szCs w:val="20"/>
          <w:color w:val="auto"/>
        </w:rPr>
      </w:pPr>
    </w:p>
    <w:p>
      <w:pPr>
        <w:ind w:left="440" w:right="3519"/>
        <w:spacing w:after="0" w:line="250" w:lineRule="auto"/>
        <w:rPr>
          <w:sz w:val="20"/>
          <w:szCs w:val="20"/>
          <w:color w:val="auto"/>
        </w:rPr>
      </w:pPr>
      <w:r>
        <w:rPr>
          <w:rFonts w:ascii="Courier New" w:cs="Courier New" w:eastAsia="Courier New" w:hAnsi="Courier New"/>
          <w:sz w:val="14"/>
          <w:szCs w:val="14"/>
          <w:color w:val="auto"/>
        </w:rPr>
        <w:t>IRRIGATION PRODUCTS. Turf irrigation products marketed under the Toro-Registered Trademark- and Irritrol-Registered Trademark- Systems brand names include sprinkler heads and electric and hydraulic control devices designed to be used in turf irrigation systems for residential, commercial and golf course use. These products are installed in new systems and can also be used to replace or retrofit existing systems. Most of the product line is designed for underground irrigation systems. Control valves activate the sprinkler heads and controllers typically activate electric or hydraulic lines to control the valves and sprinkler heads. The acquisition of the James Hardie Irrigation Group enhanced Toro's product line for residential and commercial irrigation systems and provided products for the agricultural micro-irrigation segment, including drip tape, hose, emitters and other micro-irrigation products. Recently introduced products include more efficient sprinkler heads and automatic electronic controllers for residential, commercial and golf course irrigation systems. Specific introductions in 1997 included the SitePro-TM- central controller which has made computer technology an easy and effective way for superintendents to manage the irrigation lifeblood of a golf course. The company's irrigation products are used in 75 of the golf courses rated among the top 100 courses in the United States by GOLF DIGEST.</w:t>
      </w:r>
    </w:p>
    <w:p>
      <w:pPr>
        <w:spacing w:after="0" w:line="34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right="3599"/>
        <w:spacing w:after="0" w:line="251" w:lineRule="auto"/>
        <w:rPr>
          <w:sz w:val="20"/>
          <w:szCs w:val="20"/>
          <w:color w:val="auto"/>
        </w:rPr>
      </w:pPr>
      <w:r>
        <w:rPr>
          <w:rFonts w:ascii="Courier New" w:cs="Courier New" w:eastAsia="Courier New" w:hAnsi="Courier New"/>
          <w:sz w:val="14"/>
          <w:szCs w:val="14"/>
          <w:color w:val="auto"/>
        </w:rPr>
        <w:t>See the table entitled "Net Sales By Product Line" under the caption "Results of Operations" in the section entitled "Management's Discussion and Analysis of Financial Condition and Results of Operations" on page 16 of the company's Annual Report to Stockholders for the fiscal year ended October 31, 1997 for information regarding revenues in the consumer, commercial and irrigation product lines, which information is incorporated herein by reference.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The company currently distributes its products worldwide with sales and/or distribution offices in Canada, Belgium, the United Kingdom, Australia, Singapore, Japan, Italy and Greece.</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New product development is primarily pursued in the United States. Products marketed outside of North America are sold in compliance with local safety standards. All products shipped to Europe conform to the European Community Certification standards.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addition to developing new market-specific products, the International</w:t>
      </w:r>
    </w:p>
    <w:p>
      <w:pPr>
        <w:spacing w:after="0" w:line="7"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4"/>
          <w:szCs w:val="14"/>
          <w:color w:val="auto"/>
        </w:rPr>
        <w:t>business is adding customers in new regions.</w:t>
        <w:tab/>
        <w:t>Emerging markets in Eastern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Europe (such as the Czech Republic, Slovakia and Hungary) and in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(such as Argentina) have recently been added to the distribution base.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On December 1, 1996 the company acquired James Hardie Irrigation Group (Hardie) from James Hardie Industries Limited of Australia (JHI Limited). Hardie is a worldwide leader in the production of irrigation systems to the commercial landscape market. Hardie manufactures products for all major segments of the irrigation market, except for the golf market, and sells to distributors and retailers worldwide. Hardie offers a broad range of irrigation products and has leading positions in valves and controllers worldwide. In Australia, Hardie has a leading position in hose, hose-end and micro-irrigation products. Hardie products are marketed under the Irritrol-Registered Trademark- Systems brand through Hardie's existing global distribution network. Toro and Hardie's Lawn Genie-Registered Trademark-brand for the mass merchant retail market is expected to become a leading presence in do-it-yourself home irrigation.</w:t>
      </w:r>
    </w:p>
    <w:p>
      <w:pPr>
        <w:spacing w:after="0" w:line="329"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Effective November 1, 1997 the company acquired Exmark Manufacturing Company Incorporated (Exmark), a leading manufacturer of equipment for the professional landscape contractor industry. Exmark is headquartered in Beatrice, Nebraska and produces mid-sized walk-behind power mowers and zero-turning-radius riding mowers for professional contractors. Exmark employs approximately 280 people in a 164,000 square-foot facility.</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September 1997, the company acquired the manufacturing, sales and distribution rights to Dingo Digging Systems (Dingo). The Dingo utility loader is the cornerstone product for the newly established Toro Sitework-TM-Systems product line. The Dingo is a rugged, compact and powerful piece of equipment with more than 35 attachments that dramatically increase productivity. The company will manufacture and sell Dingo landscape products under the Toro Siteworks-TM- brand name for North and South American markets. Dingo began distributing its products in North America in 1995 under an agreement with Dingo Mini Diggers of Australia. These products will be manufactured at the company's manufacturing facility in Tomah, Wisconsin.</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also completed several other alliances in key business areas. Product alliances with Bluebird International and Parker Sweeper Company contributed to development of the company's landscape contractor business. The company also formed alliances with Pinehurst Resort, home of the 1999 U.S. Men's Open, and Whitbread-Marriott, a European chain of golfing resorts. As the official turf maintenance provider to Disney's Wide World of Sports complex in central Florida, the company's scientists and engineers developed "tomorrowland" turf solutions for Disney's new complex. The Wide World of Sports and the Toro Town Green, centerpiece of the complex, opened in 1997 and featured the latest in Toro equipment, irrigation systems and organic nutrient applications utilizing the company's "fertigation" technology.</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right="3599"/>
        <w:spacing w:after="0" w:line="251" w:lineRule="auto"/>
        <w:rPr>
          <w:sz w:val="20"/>
          <w:szCs w:val="20"/>
          <w:color w:val="auto"/>
        </w:rPr>
      </w:pPr>
      <w:r>
        <w:rPr>
          <w:rFonts w:ascii="Courier New" w:cs="Courier New" w:eastAsia="Courier New" w:hAnsi="Courier New"/>
          <w:sz w:val="14"/>
          <w:szCs w:val="14"/>
          <w:color w:val="auto"/>
        </w:rPr>
        <w:t>In 1997, the company launched a major initiative to increase the speed, efficiency and cost effectiveness of its supply chain, including raw material procurement, customer ordering, manufacturing, distribution and product delivery. The company focused on reducing costs and realizing synergies and efficiencies of combined resources. The company transferred valve and controller production to El Paso, Texas and sprinkler head production to Riverside, California to take advantage of each plant's expertise. The company also closed a facility and moved consumer electric product manufacturing to the El Paso plant and other manufacturing facilities.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New innovations like Toro's Contour Deck for undulating terrain were developed from the company's longstanding knowledge and understanding of the golf course superintendent. The Toro-Registered Trademark- Wheel Horse-Registered Trademark- 5xi garden tractor completed the redesign of the entire Toro riding product line and received acclaim from national news media for breakthrough technology. A new, low emission snowthrower engine is scheduled for 1998 introduction. Other new products include a new line of solar-powered and metal low voltage outdoor lighting for landscapes, a more powerful Toro-Registered Trademark- Super BlowerVac, and a redesigned string trimmer line.</w:t>
      </w:r>
    </w:p>
    <w:p>
      <w:pPr>
        <w:spacing w:after="0" w:line="329"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 1997, the company completed the second year of an enterprise-wide software system implementation that consolidates and integrates all of the company's operations. ISO 9000 continues to be a high priority for the company. Facilities at Riverside, California, Tomah, Wisconsin and Shakopee, Minnesota were again certified in 1997 and Sardis and Oxford, Mississippi and Windom, Minnesota are working toward ISO 9000 certification in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MANUFACTURING</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company's consumer spring and summer products are generally manufactured in the winter and spring months and its consumer fall and winter products are generally manufactured in the summer and fall months. The company's irrigation and commercial products are manufactured throughout the year.</w:t>
      </w:r>
    </w:p>
    <w:p>
      <w:pPr>
        <w:spacing w:after="0" w:line="16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In some areas of its business the company is primarily an assembler while in others it is a fully integrated manufacturer. Most of the components for the company's products are commercially available from a number of sources and the company is generally not dependent on any one supplier. The largest component costs are generally engines, transmissions and electric motors. The company purchases most of its engines and motors for consumer and</w:t>
      </w:r>
    </w:p>
    <w:p>
      <w:pPr>
        <w:spacing w:after="0" w:line="3"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commercial products from several suppliers.</w:t>
        <w:tab/>
        <w:t>In addition,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manufactures two types of two-cycle engines for its consumer products.</w:t>
      </w:r>
    </w:p>
    <w:p>
      <w:pPr>
        <w:spacing w:after="0" w:line="173" w:lineRule="exact"/>
        <w:rPr>
          <w:sz w:val="20"/>
          <w:szCs w:val="20"/>
          <w:color w:val="auto"/>
        </w:rPr>
      </w:pPr>
    </w:p>
    <w:p>
      <w:pPr>
        <w:ind w:right="3679"/>
        <w:spacing w:after="0" w:line="253" w:lineRule="auto"/>
        <w:rPr>
          <w:sz w:val="20"/>
          <w:szCs w:val="20"/>
          <w:color w:val="auto"/>
        </w:rPr>
      </w:pPr>
      <w:r>
        <w:rPr>
          <w:rFonts w:ascii="Courier New" w:cs="Courier New" w:eastAsia="Courier New" w:hAnsi="Courier New"/>
          <w:sz w:val="14"/>
          <w:szCs w:val="14"/>
          <w:color w:val="auto"/>
        </w:rPr>
        <w:t>Management continues to seek greater efficiencies and improve work processes throughout the company. Toro's total quality process is focused upon improving product quality, customer response time and reducing overall product cost.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Products manufactured by the company are nationally advertised and sold at the retail level under the trademarks Toro-Registered Trademark-, Wheel Horse-Registered Trademark-, Lawn-Boy-Registered Trademark- and Irritrol-Registered Trademark- Systems, all of which are registered in the United States and in the principal foreign countries in which the company markets its products. The company holds patents in the United States and foreign countries and applies for patents as applicable. Although management believes patents have value to the company, patent protection does not deter competitors from attempting to develop similar products. Although patent protection is considered to be very beneficial, the company is not materially dependent on any one or more of its patents.</w:t>
      </w:r>
    </w:p>
    <w:p>
      <w:pPr>
        <w:spacing w:after="0" w:line="16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In connection with the acquisition of Hardie, the following brand names were acquired: Lawn Genie-Registered Trademark-, Irritrol-Registered Trademark-, Richdel-Registered Trademark-, Pope, Blue Stripe, and Aqua-Traxx. The company agreed to discontinue use of the name "Hardie" or any similar name within one year after the acquisition and therefore, Toro will now market former Hardie brand name products under the Irritrol-Registered Trademark-brand name. Inventory manufactured prior to that one year may continue to carry the name "Hardie" or similar name.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right="3599"/>
        <w:spacing w:after="0" w:line="252" w:lineRule="auto"/>
        <w:rPr>
          <w:sz w:val="20"/>
          <w:szCs w:val="20"/>
          <w:color w:val="auto"/>
        </w:rPr>
      </w:pPr>
      <w:r>
        <w:rPr>
          <w:rFonts w:ascii="Courier New" w:cs="Courier New" w:eastAsia="Courier New" w:hAnsi="Courier New"/>
          <w:sz w:val="14"/>
          <w:szCs w:val="14"/>
          <w:color w:val="auto"/>
        </w:rPr>
        <w:t>With the recent acquisition of Exmark, the company acquired the Exmark brand name. The company will also manufacture and sell Dingo landscape products under the Toro Siteworks-Registered Trademark- brand name for North and South American markets.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of the company's consumer products, which accounted for approximately 43% of total sales in fiscal 1997, are seasonal with greater sales of consumer products, excluding snow removal equipment, occurring between February and April and snow removal equipment between August and January. Opposite seasons in some global markets somewhat moderate this seasonality in consumer product sales. Seasonality in irrigation and commercial product sales also exists, but is tempered because the selling season in west coast and southern states continues for a longer portion of the year than in northern states. Overall, worldwide sales levels are highest in the second quarter. Historically, accounts receivable balances increase between January and March as a result of extended payment terms made available to the company's customers. Accounts receivable balances decrease between April and July when payments are made. The seasonal requirements of the business are financed from operations and with short-term bank lines of credit.</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AND MARKETING</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 company markets the majority of its Toro branded products principally through approximately 40 domestic and 96 foreign distributors and a number of mass merchandisers worldwide. Toro-Registered Trademark- and Lawn-Boy-Registered Trademark- consumer products such as walk-behind power mowers, riding mowers and snowthrowers are sold to distributors for resale to retail dealers throughout the United States. Home solutions products and most Lawn-Boy-Registered Trademark- products are sold directly to mass merchandisers and "do-it-yourself" home improvement retailers. Commercial and irrigation products are sold to distributors for resale to irrigation contractors and golf courses. Irrigation products are also sold through distributors to irrigation dealers and direct to irrigation dealers, mass merchandisers and "do-it-yourself" home improvement retailers for resale to contractors, golf courses and end-users. Internationally, consumer products are sold to distributors for resale to retail dealers and mass merchandisers outside the United States, principally in Canada and Western Europe. Some irrigation and consumer products are sold directly to retail dealers in Canada, Australia and Western Europe.</w:t>
      </w:r>
    </w:p>
    <w:p>
      <w:pPr>
        <w:spacing w:after="0" w:line="338"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company's current marketing strategy is to maintain distinct and separate brands and brand identification for Toro-Registered Trademark-, Toro-Registered Trademark- Wheel Horse-Registered Trademark- and Lawn-Boy-Registered Trademark- products and the recently acquired Hardie and Exmark products. The product lines included in the acquisition of Hardie have been branded Irritrol and are distributed through both Toro and non-Toro irrigation dealers. The Exmark brand is distributed through approximately 25 distributors for resale to retail dealers throughout North America.</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company's distribution systems for the sale of its products are intended to assure quality of sales and market presence as well as effective after-market service. The company considers its distribution network to be a significant competitive asset in marketing Toro-Registered Trademark-, Toro-Registered Trademark- Wheel Horse-Registered Trademark-, Lawn-Boy-Registered Trademark-, Irritrol and Exmark products.</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advertises its products during appropriate seasons throughout the year on television, radio and in print. Most of the company's advertising emphasizes its brand names. Advertising is directly paid by the company as well as through cooperative programs with distributors, dealers and mass merchants.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 OF ORDERS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approximate backlog of orders believed to be firm at October 31, 1997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272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1997</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1820" w:type="dxa"/>
            <w:vAlign w:val="bottom"/>
          </w:tcPr>
          <w:p>
            <w:pPr>
              <w:spacing w:after="0"/>
              <w:rPr>
                <w:sz w:val="14"/>
                <w:szCs w:val="14"/>
                <w:color w:val="auto"/>
              </w:rPr>
            </w:pP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$ 21,729,000</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$ 51,373,000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38,695,000</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55,138,000</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8,101,000</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4,333,000</w:t>
            </w:r>
          </w:p>
        </w:tc>
      </w:tr>
      <w:tr>
        <w:trPr>
          <w:trHeight w:val="497"/>
        </w:trPr>
        <w:tc>
          <w:tcPr>
            <w:tcW w:w="1820" w:type="dxa"/>
            <w:vAlign w:val="bottom"/>
          </w:tcPr>
          <w:p>
            <w:pPr>
              <w:spacing w:after="0"/>
              <w:rPr>
                <w:sz w:val="24"/>
                <w:szCs w:val="24"/>
                <w:color w:val="auto"/>
              </w:rPr>
            </w:pPr>
          </w:p>
        </w:tc>
        <w:tc>
          <w:tcPr>
            <w:tcW w:w="2720" w:type="dxa"/>
            <w:vAlign w:val="bottom"/>
          </w:tcPr>
          <w:p>
            <w:pPr>
              <w:jc w:val="right"/>
              <w:ind w:right="1108"/>
              <w:spacing w:after="0"/>
              <w:rPr>
                <w:sz w:val="20"/>
                <w:szCs w:val="20"/>
                <w:color w:val="auto"/>
              </w:rPr>
            </w:pPr>
            <w:r>
              <w:rPr>
                <w:rFonts w:ascii="Courier New" w:cs="Courier New" w:eastAsia="Courier New" w:hAnsi="Courier New"/>
                <w:sz w:val="14"/>
                <w:szCs w:val="14"/>
                <w:color w:val="auto"/>
              </w:rPr>
              <w:t>6</w:t>
            </w:r>
          </w:p>
        </w:tc>
        <w:tc>
          <w:tcPr>
            <w:tcW w:w="17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 w:name="page7"/>
    <w:bookmarkEnd w:id="6"/>
    <w:p>
      <w:pPr>
        <w:ind w:right="3599"/>
        <w:spacing w:after="0" w:line="251" w:lineRule="auto"/>
        <w:rPr>
          <w:sz w:val="20"/>
          <w:szCs w:val="20"/>
          <w:color w:val="auto"/>
        </w:rPr>
      </w:pPr>
      <w:r>
        <w:rPr>
          <w:rFonts w:ascii="Courier New" w:cs="Courier New" w:eastAsia="Courier New" w:hAnsi="Courier New"/>
          <w:sz w:val="14"/>
          <w:szCs w:val="14"/>
          <w:color w:val="auto"/>
        </w:rPr>
        <w:t>The decline in the consumer product backlog resulted primarily from a reduction in the overall snow sales for the current season. In addition, with the increase in sales to mass merchants as some sales have shifted from dealers to mass merchants, there has been a reduction in order lead time. The reduction in commercial backlog was caused by a change in the way orders are taken, from an order covering a three month period to an order covering a one month period. Irrigation backlog is up due to increased sales from the Hardie acquisition. The company expects that all of the existing backlog can be filled in fiscal 1998.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principal competitive factors in the company's markets are product innovation, quality, service and pricing. Management believes the company offers high quality products with the latest technology and design innovations. Also, by selling Toro-Registered Trademark-, Toro-Registered Trademark-Wheel Horse-Registered Trademark-, Lawn-Boy-Registered Trademark- and Irritrol-Registered Trademark- Systems brand products through a network of distributors, dealers and mass merchants who provide service, the company offers competitive service during and after the relevant warranty period.</w:t>
      </w:r>
    </w:p>
    <w:p>
      <w:pPr>
        <w:spacing w:after="0" w:line="164"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The company competes in all product lines with numerous manufacturers, many of which have substantially greater financial resources than the company. Management believes that its commitment to product innovation, its distribution systems and its focus on target markets, position it well to compete in these various markets.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The company's principal competitors for mowing and snow equipment are Frigidaire Home Products, Inc. (a subsidiary of Electrolux AB), Deere &amp; Company, Honda Motor Co., Ltd., MTD Products, Inc., Murray Ohio Manufacturing Co., Inc. (a subsidiary of Tompkins Corp.), Sears, Roebuck and Co., Snapper Power Equipment (a division of Metro Media), Ariens Company, Garden Way, Incorporated and Simplicity Manufacturing Company. The principal competitors in home solutions products are The Black and Decker Corporation, Malibu Lighting (a registered trademark of Intermatic, Inc.), Poulan/Weed Eater and Homelite(a division of Deere &amp; Company).</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w:t>
      </w:r>
    </w:p>
    <w:p>
      <w:pPr>
        <w:spacing w:after="0" w:line="7"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The company's commercial products compete with products from numerous manufacturers, but the principal competitors across most of the company's commercial product lines are Deere &amp; Company, American Honda Motor Co., Inc., Echo Inc., Stihl Inc., Scag Power Equipment, Shindaiwa Inc., Snapper Inc., Gravely International, Lesco Inc., Walker Manufacturing Co., Cub Cadet Power Equipment, American Yard Products, Husqvarna Forest and Garden Co., The Ariens Co., MTD Products Inc., Textron Jacobsen and Ransomes Sims &amp; Jefferies PLC (based in the United Kingdom).</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IRRIGATION</w:t>
      </w:r>
    </w:p>
    <w:p>
      <w:pPr>
        <w:spacing w:after="0" w:line="7" w:lineRule="exact"/>
        <w:rPr>
          <w:sz w:val="20"/>
          <w:szCs w:val="20"/>
          <w:color w:val="auto"/>
        </w:rPr>
      </w:pPr>
    </w:p>
    <w:p>
      <w:pPr>
        <w:ind w:left="440" w:right="3859"/>
        <w:spacing w:after="0" w:line="255" w:lineRule="auto"/>
        <w:rPr>
          <w:sz w:val="20"/>
          <w:szCs w:val="20"/>
          <w:color w:val="auto"/>
        </w:rPr>
      </w:pPr>
      <w:r>
        <w:rPr>
          <w:rFonts w:ascii="Courier New" w:cs="Courier New" w:eastAsia="Courier New" w:hAnsi="Courier New"/>
          <w:sz w:val="14"/>
          <w:szCs w:val="14"/>
          <w:color w:val="auto"/>
        </w:rPr>
        <w:t>The company's principal competitors in irrigation products are Hunter Industries and Rain Bird Sprinkler Manufacturing Corporation.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INTERNATIONAL</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international market is generally fragmented so that the degree of competition varies among the different countries in which the company markets its consumer, commercial and irrigation products. Most competitors in the irrigation and commercial product lines are based in the United States. Consumer product lines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540" w:type="dxa"/>
            <w:vAlign w:val="bottom"/>
            <w:gridSpan w:val="4"/>
          </w:tcPr>
          <w:p>
            <w:pPr>
              <w:spacing w:after="0"/>
              <w:rPr>
                <w:sz w:val="20"/>
                <w:szCs w:val="20"/>
                <w:color w:val="auto"/>
              </w:rPr>
            </w:pPr>
            <w:r>
              <w:rPr>
                <w:rFonts w:ascii="Courier New" w:cs="Courier New" w:eastAsia="Courier New" w:hAnsi="Courier New"/>
                <w:sz w:val="14"/>
                <w:szCs w:val="14"/>
                <w:color w:val="auto"/>
              </w:rPr>
              <w:t>RESEARCH AND DEVELOPMENT</w:t>
            </w:r>
          </w:p>
        </w:tc>
        <w:tc>
          <w:tcPr>
            <w:tcW w:w="410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15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conducts research</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and development activities in an effort to</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improve existing</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products and</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develop new products.  Amounts expended on such</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activities,</w:t>
            </w:r>
          </w:p>
        </w:tc>
        <w:tc>
          <w:tcPr>
            <w:tcW w:w="564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including engineering costs, aggregated approximately $36.6</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million, or</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net sales</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for the year ended October 31, 1997, $31.3</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million, or</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net sales</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for the year ended October 31, 1996,  $6.9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million, or</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3.6%</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860" w:type="dxa"/>
            <w:vAlign w:val="bottom"/>
          </w:tcPr>
          <w:p>
            <w:pPr>
              <w:ind w:left="60"/>
              <w:spacing w:after="0"/>
              <w:rPr>
                <w:sz w:val="20"/>
                <w:szCs w:val="20"/>
                <w:color w:val="auto"/>
              </w:rPr>
            </w:pPr>
            <w:r>
              <w:rPr>
                <w:rFonts w:ascii="Courier New" w:cs="Courier New" w:eastAsia="Courier New" w:hAnsi="Courier New"/>
                <w:sz w:val="14"/>
                <w:szCs w:val="14"/>
                <w:color w:val="auto"/>
              </w:rPr>
              <w:t>net sales</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for the 3 months ended October 31, 1995 and</w:t>
            </w:r>
          </w:p>
        </w:tc>
      </w:tr>
      <w:tr>
        <w:trPr>
          <w:trHeight w:val="166"/>
        </w:trPr>
        <w:tc>
          <w:tcPr>
            <w:tcW w:w="2540" w:type="dxa"/>
            <w:vAlign w:val="bottom"/>
            <w:gridSpan w:val="4"/>
          </w:tcPr>
          <w:p>
            <w:pPr>
              <w:spacing w:after="0"/>
              <w:rPr>
                <w:sz w:val="20"/>
                <w:szCs w:val="20"/>
                <w:color w:val="auto"/>
              </w:rPr>
            </w:pPr>
            <w:r>
              <w:rPr>
                <w:rFonts w:ascii="Courier New" w:cs="Courier New" w:eastAsia="Courier New" w:hAnsi="Courier New"/>
                <w:sz w:val="14"/>
                <w:szCs w:val="14"/>
                <w:color w:val="auto"/>
              </w:rPr>
              <w:t>$26.5 million, or 2.8% of net</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sales for the year ended July 31, 1995.</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Management believes</w:t>
            </w: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that the company's research and development efforts are</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important to the</w:t>
            </w:r>
          </w:p>
        </w:tc>
        <w:tc>
          <w:tcPr>
            <w:tcW w:w="1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quality, mix</w:t>
            </w:r>
          </w:p>
        </w:tc>
        <w:tc>
          <w:tcPr>
            <w:tcW w:w="4100" w:type="dxa"/>
            <w:vAlign w:val="bottom"/>
          </w:tcPr>
          <w:p>
            <w:pPr>
              <w:ind w:left="60"/>
              <w:spacing w:after="0"/>
              <w:rPr>
                <w:sz w:val="20"/>
                <w:szCs w:val="20"/>
                <w:color w:val="auto"/>
              </w:rPr>
            </w:pPr>
            <w:r>
              <w:rPr>
                <w:rFonts w:ascii="Courier New" w:cs="Courier New" w:eastAsia="Courier New" w:hAnsi="Courier New"/>
                <w:sz w:val="14"/>
                <w:szCs w:val="14"/>
                <w:color w:val="auto"/>
              </w:rPr>
              <w:t>and growth of its businesses and plans to</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continue its strong</w:t>
            </w:r>
          </w:p>
        </w:tc>
        <w:tc>
          <w:tcPr>
            <w:tcW w:w="4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commitment to such activities.</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GOVERNMENTAL REGULATION</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company's products are subject to various federal statutes designed to protect consumers and are subject to the administrative jurisdiction of the Consumer Product Safety Commission. The company is also subject to certain federal and state environmental, occupational safety, transportation and other regulations, none of which has had a material adverse affect on its operations or business. Management believes the company is in substantial compliance with all such regulations. The Environmental Protection Agency (EPA) released Phase I regulations for all gas engines under 25 horsepower in June of 1995. Toro's four-cycle engine suppliers are currently in compliance with these regulations. The company received certification in January 1998 on its own two-cycle walk-behind power mower engines and earlier on the two-cycle walk-behind power snowthrowers engines. Both now comply with Phase I regulations. This will allow the company to continue producing its two-cycle walk-behind power mower engines at its Oxford, Mississippi plant through the year 2002.</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During fiscal 1997 the company employed an average of 3,911 employees. The total number of employees at October 31, 1997 was 3,908. Approximately 20 % of these employees are covered by four collective bargaining agreements, one expiring in May 2000, two expiring in September 2000 and one expiring in October 1999.</w:t>
      </w:r>
    </w:p>
    <w:p>
      <w:pPr>
        <w:spacing w:after="0" w:line="165"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As a result of the acquisition of Hardie, the company added approximately 1,070 employees. Hardie's Australian employees have three local agreements with the National Union of Workers and the Australian Workers Union which cover approximately 15% of all Hardie employees. These agreements will expire in June 2000. None of the Hardie U.S. employees are represented by unions.</w:t>
      </w:r>
    </w:p>
    <w:p>
      <w:pPr>
        <w:spacing w:after="0" w:line="16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As a result of the acquisition of Exmark, the company added approximately 260 employees, none of which are represented by a union.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considers its overall relations with its employees to be good.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ABOUT FOREIGN AND DOMESTIC OPERATIONS</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With the exception of the Hardie production facilities in Australia, all of the company's production facilities are located within the United States. Except for the sales of the company's foreign subsidiaries, which are not significant when compared to total company sales, substantially all financial transactions have been made in U.S. dollars. Consequently, although the Hardie acquisition has brought an increase in transactions denominated in Australian dollars, the company did not realize any significant impact to earnings due to fluctuations in foreign currencies during the fiscal year ended October 31, 1997.</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foreign currency exchange contracts. These contracts are designed to hedge firm and anticipated foreign currency transactions.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Export sales were $161,836,000 for the year ended October 31, 1997,</w:t>
      </w:r>
    </w:p>
    <w:p>
      <w:pPr>
        <w:spacing w:after="0" w:line="7"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$140,919,000 for the year ended October 31, 1996, $18,557,000 for the 3 months ended October 31, 1995, and $126,560,000 for the year ended July 31 1995. The identifiable assets attributable to foreign operations were not significant as of October 31, 1997.</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 w:name="page9"/>
    <w:bookmarkEnd w:id="8"/>
    <w:p>
      <w:pPr>
        <w:ind w:right="5080"/>
        <w:spacing w:after="0" w:line="252" w:lineRule="auto"/>
        <w:rPr>
          <w:sz w:val="20"/>
          <w:szCs w:val="20"/>
          <w:color w:val="auto"/>
        </w:rPr>
      </w:pPr>
      <w:r>
        <w:rPr>
          <w:rFonts w:ascii="Courier New" w:cs="Courier New" w:eastAsia="Courier New" w:hAnsi="Courier New"/>
          <w:sz w:val="14"/>
          <w:szCs w:val="14"/>
          <w:color w:val="auto"/>
        </w:rPr>
        <w:t>See Notes to the Consolidated Financial Statements of the company contained in the company's Annual Report to Stockholders for the fiscal year ended October 31, 1997 for additional information relating to international and export sales, which information is incorporated herein by reference.</w:t>
      </w:r>
    </w:p>
    <w:p>
      <w:pPr>
        <w:spacing w:after="0" w:line="162"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4900"/>
        <w:spacing w:after="0" w:line="251" w:lineRule="auto"/>
        <w:rPr>
          <w:sz w:val="20"/>
          <w:szCs w:val="20"/>
          <w:color w:val="auto"/>
        </w:rPr>
      </w:pPr>
      <w:r>
        <w:rPr>
          <w:rFonts w:ascii="Courier New" w:cs="Courier New" w:eastAsia="Courier New" w:hAnsi="Courier New"/>
          <w:sz w:val="14"/>
          <w:szCs w:val="14"/>
          <w:color w:val="auto"/>
        </w:rPr>
        <w:t>The company utilizes manufacturing and office facilities which total approximately 4,115,000 square feet of space. The manufacturing facilities, excluding Hardie, operated at about 57% of total plant capacity in fiscal 1997. Actual plant utilization varies during the year depending upon the production cycle. In fiscal 1997, the company announced the closing of its production facility at Mound, Minnesota. Management believes that its current facilities are sufficient for current production needs. The following schedule outlines the company's facilities by location, plant size, ownership and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40"/>
        <w:spacing w:after="0"/>
        <w:tabs>
          <w:tab w:leader="none" w:pos="2740" w:val="left"/>
          <w:tab w:leader="none" w:pos="4560" w:val="left"/>
          <w:tab w:leader="none" w:pos="714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Square Feet</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Products Manufactured /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Plymouth,</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WI</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420,000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Parts distribution center, office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Windom, MN</w:t>
            </w:r>
          </w:p>
        </w:tc>
        <w:tc>
          <w:tcPr>
            <w:tcW w:w="154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305,000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Consumer components and products</w:t>
            </w:r>
          </w:p>
        </w:tc>
      </w:tr>
      <w:tr>
        <w:trPr>
          <w:trHeight w:val="166"/>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Lakeville, MN</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304,000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Leased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Finished Goods distribution center, office</w:t>
            </w:r>
          </w:p>
        </w:tc>
      </w:tr>
      <w:tr>
        <w:trPr>
          <w:trHeight w:val="166"/>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Bloomington, MN</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Corporate headquarters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Tomah, WI</w:t>
            </w:r>
          </w:p>
        </w:tc>
        <w:tc>
          <w:tcPr>
            <w:tcW w:w="154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274,000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Consumer and Commercial products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Sardis, MS</w:t>
            </w:r>
          </w:p>
        </w:tc>
        <w:tc>
          <w:tcPr>
            <w:tcW w:w="154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245,000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Consumer products and Finished Goods distribution center, office</w:t>
            </w:r>
          </w:p>
        </w:tc>
      </w:tr>
      <w:tr>
        <w:trPr>
          <w:trHeight w:val="166"/>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Baraboo, WI</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228,000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Leased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Finished Goods distribution center, office</w:t>
            </w:r>
          </w:p>
        </w:tc>
      </w:tr>
      <w:tr>
        <w:trPr>
          <w:trHeight w:val="166"/>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Riverside, CA</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217,000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Irrigation and Consumer products</w:t>
            </w:r>
          </w:p>
        </w:tc>
      </w:tr>
      <w:tr>
        <w:trPr>
          <w:trHeight w:val="166"/>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Evansville, IN</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178,000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Leased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Consumer and Commercial products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Beatrice,</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NE</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164,000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Commercial products, office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Olathe, KS</w:t>
            </w:r>
          </w:p>
        </w:tc>
        <w:tc>
          <w:tcPr>
            <w:tcW w:w="154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Leased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Commercial products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Mound, MN</w:t>
            </w:r>
          </w:p>
        </w:tc>
        <w:tc>
          <w:tcPr>
            <w:tcW w:w="154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162,000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Leased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Plant to be closed and production moved to other manufacturing</w:t>
            </w:r>
          </w:p>
        </w:tc>
      </w:tr>
      <w:tr>
        <w:trPr>
          <w:trHeight w:val="166"/>
        </w:trPr>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plants in fiscal 1998.</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Shakopee,</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MN</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146,000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Components for consumer and commercial products</w:t>
            </w:r>
          </w:p>
        </w:tc>
      </w:tr>
      <w:tr>
        <w:trPr>
          <w:trHeight w:val="166"/>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El Paso, TX</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143,000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Hardie irrigation products and warehouse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Braeside,</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Australia</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47,000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Leased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Hardie irrigation products warehouse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Beverley,</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Australia</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109,000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Hardie Corporate office and distribution center</w:t>
            </w:r>
          </w:p>
        </w:tc>
      </w:tr>
      <w:tr>
        <w:trPr>
          <w:trHeight w:val="166"/>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Murray Bridge, Australia</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101,000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Hardie irrigation products and warehouse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El Cajon,</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Hardie irrigation products and warehouse</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Oxford, MS</w:t>
            </w:r>
          </w:p>
        </w:tc>
        <w:tc>
          <w:tcPr>
            <w:tcW w:w="1540" w:type="dxa"/>
            <w:vAlign w:val="bottom"/>
          </w:tcPr>
          <w:p>
            <w:pPr>
              <w:spacing w:after="0"/>
              <w:rPr>
                <w:sz w:val="14"/>
                <w:szCs w:val="14"/>
                <w:color w:val="auto"/>
              </w:rPr>
            </w:pP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67,000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Components for consumer products</w:t>
            </w:r>
          </w:p>
        </w:tc>
      </w:tr>
      <w:tr>
        <w:trPr>
          <w:trHeight w:val="166"/>
        </w:trPr>
        <w:tc>
          <w:tcPr>
            <w:tcW w:w="2400" w:type="dxa"/>
            <w:vAlign w:val="bottom"/>
            <w:gridSpan w:val="2"/>
          </w:tcPr>
          <w:p>
            <w:pPr>
              <w:spacing w:after="0"/>
              <w:rPr>
                <w:sz w:val="20"/>
                <w:szCs w:val="20"/>
                <w:color w:val="auto"/>
              </w:rPr>
            </w:pPr>
            <w:r>
              <w:rPr>
                <w:rFonts w:ascii="Courier New" w:cs="Courier New" w:eastAsia="Courier New" w:hAnsi="Courier New"/>
                <w:sz w:val="14"/>
                <w:szCs w:val="14"/>
                <w:color w:val="auto"/>
              </w:rPr>
              <w:t>Oevel, Belgium</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63,000</w:t>
            </w:r>
          </w:p>
        </w:tc>
        <w:tc>
          <w:tcPr>
            <w:tcW w:w="1420" w:type="dxa"/>
            <w:vAlign w:val="bottom"/>
          </w:tcPr>
          <w:p>
            <w:pPr>
              <w:ind w:left="600"/>
              <w:spacing w:after="0"/>
              <w:rPr>
                <w:sz w:val="20"/>
                <w:szCs w:val="20"/>
                <w:color w:val="auto"/>
              </w:rPr>
            </w:pPr>
            <w:r>
              <w:rPr>
                <w:rFonts w:ascii="Courier New" w:cs="Courier New" w:eastAsia="Courier New" w:hAnsi="Courier New"/>
                <w:sz w:val="14"/>
                <w:szCs w:val="14"/>
                <w:color w:val="auto"/>
              </w:rPr>
              <w:t>Owned</w:t>
            </w:r>
          </w:p>
        </w:tc>
        <w:tc>
          <w:tcPr>
            <w:tcW w:w="5820" w:type="dxa"/>
            <w:vAlign w:val="bottom"/>
          </w:tcPr>
          <w:p>
            <w:pPr>
              <w:ind w:left="300"/>
              <w:spacing w:after="0"/>
              <w:rPr>
                <w:sz w:val="20"/>
                <w:szCs w:val="20"/>
                <w:color w:val="auto"/>
              </w:rPr>
            </w:pPr>
            <w:r>
              <w:rPr>
                <w:rFonts w:ascii="Courier New" w:cs="Courier New" w:eastAsia="Courier New" w:hAnsi="Courier New"/>
                <w:sz w:val="14"/>
                <w:szCs w:val="14"/>
                <w:color w:val="auto"/>
              </w:rPr>
              <w:t>Finished goods distribution center, office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Total Square Feet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3,663,000</w:t>
            </w:r>
          </w:p>
        </w:tc>
      </w:tr>
    </w:tbl>
    <w:p>
      <w:pPr>
        <w:spacing w:after="0" w:line="200" w:lineRule="exact"/>
        <w:rPr>
          <w:sz w:val="20"/>
          <w:szCs w:val="20"/>
          <w:color w:val="auto"/>
        </w:rPr>
      </w:pPr>
    </w:p>
    <w:p>
      <w:pPr>
        <w:spacing w:after="0" w:line="301"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Other leased office and warehouse space located in various cities in the United States, Australia, Canada, France, Singapore, Japan and the United Kingdom totaled approximately 452,000 square feet.</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1540"/>
          </w:cols>
          <w:pgMar w:left="220" w:top="616" w:right="139" w:bottom="1440" w:gutter="0" w:footer="0" w:header="0"/>
        </w:sectPr>
      </w:pPr>
    </w:p>
    <w:bookmarkStart w:id="9" w:name="page10"/>
    <w:bookmarkEnd w:id="9"/>
    <w:p>
      <w:pPr>
        <w:ind w:left="2500"/>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is a party to litigation in the ordinary course of its business. Ongoing litigation primarily involves claims for damages arising out of the use of the company's products, some of which include claims for punitive as well as compensatory damages. The company is also subject to administrative proceedings in respect to certain claims involving the discharge of hazardous substances into the environment. Certain of these claims assert damages and liability for remedial investigations and clean up costs. Management is of the opinion that the amounts which may be awarded or assessed in connection with these matters will not have a material effect on the company's financial position. Further, the company maintains insurance against product liability losses. Such insurance presently covers claims in excess of $1,000,000 per claim or $2,000,000 in the aggregate during any fiscal year. The company regularly reviews these dollar limits.</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4. SUBMISSIONS OF MATTERS TO A VOTE OF THE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list below identifies those persons deemed to be executive officers of the company, discloses their age and position with the company as of January 21, 1998 and positions held by them during the last five years. Officers are elected or appointed annually. A complete list of all officers of the company is found on the inside back cover of the company's Annual Report to Stockholders for the year ended October 31, 1997.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ind w:left="260"/>
              <w:spacing w:after="0"/>
              <w:rPr>
                <w:sz w:val="20"/>
                <w:szCs w:val="20"/>
                <w:color w:val="auto"/>
              </w:rPr>
            </w:pPr>
            <w:r>
              <w:rPr>
                <w:rFonts w:ascii="Courier New" w:cs="Courier New" w:eastAsia="Courier New" w:hAnsi="Courier New"/>
                <w:sz w:val="14"/>
                <w:szCs w:val="14"/>
                <w:color w:val="auto"/>
              </w:rPr>
              <w:t>Name, Age and Position with</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Business Experience During the Last Five Years</w:t>
            </w:r>
          </w:p>
        </w:tc>
      </w:tr>
      <w:tr>
        <w:trPr>
          <w:trHeight w:val="166"/>
        </w:trPr>
        <w:tc>
          <w:tcPr>
            <w:tcW w:w="2800" w:type="dxa"/>
            <w:vAlign w:val="bottom"/>
          </w:tcPr>
          <w:p>
            <w:pPr>
              <w:ind w:left="360"/>
              <w:spacing w:after="0"/>
              <w:rPr>
                <w:sz w:val="20"/>
                <w:szCs w:val="20"/>
                <w:color w:val="auto"/>
              </w:rPr>
            </w:pPr>
            <w:r>
              <w:rPr>
                <w:rFonts w:ascii="Courier New" w:cs="Courier New" w:eastAsia="Courier New" w:hAnsi="Courier New"/>
                <w:sz w:val="14"/>
                <w:szCs w:val="14"/>
                <w:color w:val="auto"/>
              </w:rPr>
              <w:t>the Company</w:t>
            </w: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Randy B. James</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Appointed Vice President and Controller in</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54, Vice President and</w:t>
            </w: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December 1988.</w:t>
            </w:r>
          </w:p>
        </w:tc>
        <w:tc>
          <w:tcPr>
            <w:tcW w:w="102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Controller</w:t>
            </w: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Stephen P. Wolfe</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Elected Chief Financial Officer May 1997 and</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49, Vice President-Finance and</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Vice President-Finance/Treasurer June 1997.</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Appointed Vice President in August 1994.</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Elected President, Toro Credit Company in July</w:t>
            </w:r>
          </w:p>
        </w:tc>
      </w:tr>
      <w:tr>
        <w:trPr>
          <w:trHeight w:val="166"/>
        </w:trPr>
        <w:tc>
          <w:tcPr>
            <w:tcW w:w="2800" w:type="dxa"/>
            <w:vAlign w:val="bottom"/>
          </w:tcPr>
          <w:p>
            <w:pPr>
              <w:spacing w:after="0"/>
              <w:rPr>
                <w:sz w:val="14"/>
                <w:szCs w:val="14"/>
                <w:color w:val="auto"/>
              </w:rPr>
            </w:pP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1990.</w:t>
            </w:r>
          </w:p>
        </w:tc>
        <w:tc>
          <w:tcPr>
            <w:tcW w:w="102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Elected Group Vice President September 1996.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55, Group Vice President</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From November 1993 to September 1996 was</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Office of the President</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appointed Vice President, Distribution Parts</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Debris Management.  From May 1991 to</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November 1993 was President and Chief</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Operating Officer of Leaseway Transportation</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Corporation. While Mr. Lounsbury served as</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President and a director of Leaseway, it filed</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for protection under Chapter 11 and during</w:t>
            </w:r>
          </w:p>
        </w:tc>
      </w:tr>
      <w:tr>
        <w:trPr>
          <w:trHeight w:val="166"/>
        </w:trPr>
        <w:tc>
          <w:tcPr>
            <w:tcW w:w="2800" w:type="dxa"/>
            <w:vAlign w:val="bottom"/>
          </w:tcPr>
          <w:p>
            <w:pPr>
              <w:spacing w:after="0"/>
              <w:rPr>
                <w:sz w:val="14"/>
                <w:szCs w:val="14"/>
                <w:color w:val="auto"/>
              </w:rPr>
            </w:pP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that period it was discharged.</w:t>
            </w:r>
          </w:p>
        </w:tc>
        <w:tc>
          <w:tcPr>
            <w:tcW w:w="102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Elected Group Vice President September 1996.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54, Group Vice President</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From January 1992 to September 1996 was</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Office of the President</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appointed Vice President and General Manager,</w:t>
            </w:r>
          </w:p>
        </w:tc>
      </w:tr>
      <w:tr>
        <w:trPr>
          <w:trHeight w:val="166"/>
        </w:trPr>
        <w:tc>
          <w:tcPr>
            <w:tcW w:w="2800" w:type="dxa"/>
            <w:vAlign w:val="bottom"/>
          </w:tcPr>
          <w:p>
            <w:pPr>
              <w:spacing w:after="0"/>
              <w:rPr>
                <w:sz w:val="14"/>
                <w:szCs w:val="14"/>
                <w:color w:val="auto"/>
              </w:rPr>
            </w:pP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Consumer Division.</w:t>
            </w:r>
          </w:p>
        </w:tc>
        <w:tc>
          <w:tcPr>
            <w:tcW w:w="102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J. Lawrence McIntyre</w:t>
            </w: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Elected Vice President in July 1993.</w:t>
            </w: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Elected</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55, Vice President, Secretary</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Secretary and General Counsel in August 1993.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and General Counsel</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Prior to July 1993, was a shareholder with</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Doherty, Rumble &amp; Butler Professional</w:t>
            </w:r>
          </w:p>
        </w:tc>
      </w:tr>
      <w:tr>
        <w:trPr>
          <w:trHeight w:val="166"/>
        </w:trPr>
        <w:tc>
          <w:tcPr>
            <w:tcW w:w="2800" w:type="dxa"/>
            <w:vAlign w:val="bottom"/>
          </w:tcPr>
          <w:p>
            <w:pPr>
              <w:spacing w:after="0"/>
              <w:rPr>
                <w:sz w:val="14"/>
                <w:szCs w:val="14"/>
                <w:color w:val="auto"/>
              </w:rPr>
            </w:pP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Association.</w:t>
            </w:r>
          </w:p>
        </w:tc>
        <w:tc>
          <w:tcPr>
            <w:tcW w:w="102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Elected Chairman of the Board in December 1987</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57, Chairman and Chief</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Chief Executive Officer in December 1983.</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Office of the President</w:t>
            </w: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Karen M. Meyer</w:t>
            </w: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Elected Vice President, Human</w:t>
            </w:r>
          </w:p>
        </w:tc>
        <w:tc>
          <w:tcPr>
            <w:tcW w:w="1020" w:type="dxa"/>
            <w:vAlign w:val="bottom"/>
          </w:tcPr>
          <w:p>
            <w:pPr>
              <w:spacing w:after="0"/>
              <w:rPr>
                <w:sz w:val="24"/>
                <w:szCs w:val="2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48, Vice President,</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Resources/Administrative Services in December</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Human Resources/Administrative</w:t>
            </w: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1991.</w:t>
            </w:r>
          </w:p>
        </w:tc>
        <w:tc>
          <w:tcPr>
            <w:tcW w:w="102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Services</w:t>
            </w: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Richard R. Pollick</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Appointed Vice President, International</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58, Vice President and General</w:t>
            </w: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Division in March 1990.</w:t>
            </w:r>
          </w:p>
        </w:tc>
        <w:tc>
          <w:tcPr>
            <w:tcW w:w="102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Manager</w:t>
            </w: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International Division</w:t>
            </w:r>
          </w:p>
        </w:tc>
        <w:tc>
          <w:tcPr>
            <w:tcW w:w="3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James H. Beardsley</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Appointed Vice President and General Manager,</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54, Vice President and General</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Consumer Business June 1997.  From October</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Manager</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1990 to October 1996 was President and Chief</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Consumer Business</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Executive Officer of Master Lock Company.</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Michael J. Hoffman</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Appointed Vice President and General Manager,</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42, Vice President and General</w:t>
            </w:r>
          </w:p>
        </w:tc>
        <w:tc>
          <w:tcPr>
            <w:tcW w:w="3160" w:type="dxa"/>
            <w:vAlign w:val="bottom"/>
          </w:tcPr>
          <w:p>
            <w:pPr>
              <w:ind w:left="60"/>
              <w:spacing w:after="0"/>
              <w:rPr>
                <w:sz w:val="20"/>
                <w:szCs w:val="20"/>
                <w:color w:val="auto"/>
              </w:rPr>
            </w:pPr>
            <w:r>
              <w:rPr>
                <w:rFonts w:ascii="Courier New" w:cs="Courier New" w:eastAsia="Courier New" w:hAnsi="Courier New"/>
                <w:sz w:val="14"/>
                <w:szCs w:val="14"/>
                <w:color w:val="auto"/>
              </w:rPr>
              <w:t>Commercial Business November 1997.</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From</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Manager</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November 1996 to November 1997 he served as</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Commercial Business</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General Manager of the Commercial Division.</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He served as Managing Director, Recycling</w:t>
            </w:r>
          </w:p>
        </w:tc>
      </w:tr>
      <w:tr>
        <w:trPr>
          <w:trHeight w:val="166"/>
        </w:trPr>
        <w:tc>
          <w:tcPr>
            <w:tcW w:w="2800" w:type="dxa"/>
            <w:vAlign w:val="bottom"/>
          </w:tcPr>
          <w:p>
            <w:pPr>
              <w:spacing w:after="0"/>
              <w:rPr>
                <w:sz w:val="14"/>
                <w:szCs w:val="14"/>
                <w:color w:val="auto"/>
              </w:rPr>
            </w:pP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Division from March 1994 to October 1996 and</w:t>
            </w:r>
          </w:p>
        </w:tc>
      </w:tr>
    </w:tbl>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as Director of Marketing and Service,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Commercial Division from September 1989 to</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March 1994.</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William J. Miller</w:t>
            </w:r>
          </w:p>
        </w:tc>
        <w:tc>
          <w:tcPr>
            <w:tcW w:w="4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Appointed Vice President, Operations June</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50, Vice President, Operations</w:t>
            </w:r>
          </w:p>
        </w:tc>
        <w:tc>
          <w:tcPr>
            <w:tcW w:w="3360" w:type="dxa"/>
            <w:vAlign w:val="bottom"/>
          </w:tcPr>
          <w:p>
            <w:pPr>
              <w:ind w:left="140"/>
              <w:spacing w:after="0"/>
              <w:rPr>
                <w:sz w:val="20"/>
                <w:szCs w:val="20"/>
                <w:color w:val="auto"/>
              </w:rPr>
            </w:pPr>
            <w:r>
              <w:rPr>
                <w:rFonts w:ascii="Courier New" w:cs="Courier New" w:eastAsia="Courier New" w:hAnsi="Courier New"/>
                <w:sz w:val="14"/>
                <w:szCs w:val="14"/>
                <w:color w:val="auto"/>
              </w:rPr>
              <w:t>1997.  From January 1992 to June 1997</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he</w:t>
            </w:r>
          </w:p>
        </w:tc>
      </w:tr>
      <w:tr>
        <w:trPr>
          <w:trHeight w:val="166"/>
        </w:trPr>
        <w:tc>
          <w:tcPr>
            <w:tcW w:w="2720" w:type="dxa"/>
            <w:vAlign w:val="bottom"/>
          </w:tcPr>
          <w:p>
            <w:pPr>
              <w:spacing w:after="0"/>
              <w:rPr>
                <w:sz w:val="14"/>
                <w:szCs w:val="14"/>
                <w:color w:val="auto"/>
              </w:rPr>
            </w:pPr>
          </w:p>
        </w:tc>
        <w:tc>
          <w:tcPr>
            <w:tcW w:w="3360" w:type="dxa"/>
            <w:vAlign w:val="bottom"/>
          </w:tcPr>
          <w:p>
            <w:pPr>
              <w:ind w:left="140"/>
              <w:spacing w:after="0"/>
              <w:rPr>
                <w:sz w:val="20"/>
                <w:szCs w:val="20"/>
                <w:color w:val="auto"/>
              </w:rPr>
            </w:pPr>
            <w:r>
              <w:rPr>
                <w:rFonts w:ascii="Courier New" w:cs="Courier New" w:eastAsia="Courier New" w:hAnsi="Courier New"/>
                <w:sz w:val="14"/>
                <w:szCs w:val="14"/>
                <w:color w:val="auto"/>
              </w:rPr>
              <w:t>served as Group Vice President of the</w:t>
            </w:r>
          </w:p>
        </w:tc>
        <w:tc>
          <w:tcPr>
            <w:tcW w:w="740" w:type="dxa"/>
            <w:vAlign w:val="bottom"/>
          </w:tcPr>
          <w:p>
            <w:pPr>
              <w:spacing w:after="0"/>
              <w:rPr>
                <w:sz w:val="14"/>
                <w:szCs w:val="14"/>
                <w:color w:val="auto"/>
              </w:rPr>
            </w:pPr>
          </w:p>
        </w:tc>
      </w:tr>
      <w:tr>
        <w:trPr>
          <w:trHeight w:val="166"/>
        </w:trPr>
        <w:tc>
          <w:tcPr>
            <w:tcW w:w="2720" w:type="dxa"/>
            <w:vAlign w:val="bottom"/>
          </w:tcPr>
          <w:p>
            <w:pPr>
              <w:spacing w:after="0"/>
              <w:rPr>
                <w:sz w:val="14"/>
                <w:szCs w:val="14"/>
                <w:color w:val="auto"/>
              </w:rPr>
            </w:pPr>
          </w:p>
        </w:tc>
        <w:tc>
          <w:tcPr>
            <w:tcW w:w="4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Frigidaire Company in various divisions.</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Richard W. Parod</w:t>
            </w:r>
          </w:p>
        </w:tc>
        <w:tc>
          <w:tcPr>
            <w:tcW w:w="4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Appointed Vice President and General Manager,</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44, Vice President and General</w:t>
            </w:r>
          </w:p>
        </w:tc>
        <w:tc>
          <w:tcPr>
            <w:tcW w:w="3360" w:type="dxa"/>
            <w:vAlign w:val="bottom"/>
          </w:tcPr>
          <w:p>
            <w:pPr>
              <w:ind w:left="140"/>
              <w:spacing w:after="0"/>
              <w:rPr>
                <w:sz w:val="20"/>
                <w:szCs w:val="20"/>
                <w:color w:val="auto"/>
              </w:rPr>
            </w:pPr>
            <w:r>
              <w:rPr>
                <w:rFonts w:ascii="Courier New" w:cs="Courier New" w:eastAsia="Courier New" w:hAnsi="Courier New"/>
                <w:sz w:val="14"/>
                <w:szCs w:val="14"/>
                <w:color w:val="auto"/>
              </w:rPr>
              <w:t>U.S. Irrigation Business March 1997.</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From</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Manager</w:t>
            </w:r>
          </w:p>
        </w:tc>
        <w:tc>
          <w:tcPr>
            <w:tcW w:w="3360" w:type="dxa"/>
            <w:vAlign w:val="bottom"/>
          </w:tcPr>
          <w:p>
            <w:pPr>
              <w:ind w:left="140"/>
              <w:spacing w:after="0"/>
              <w:rPr>
                <w:sz w:val="20"/>
                <w:szCs w:val="20"/>
                <w:color w:val="auto"/>
              </w:rPr>
            </w:pPr>
            <w:r>
              <w:rPr>
                <w:rFonts w:ascii="Courier New" w:cs="Courier New" w:eastAsia="Courier New" w:hAnsi="Courier New"/>
                <w:sz w:val="14"/>
                <w:szCs w:val="14"/>
                <w:color w:val="auto"/>
              </w:rPr>
              <w:t>December 1993 to March 1997 he served</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as</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U.S. Irrigation Business</w:t>
            </w:r>
          </w:p>
        </w:tc>
        <w:tc>
          <w:tcPr>
            <w:tcW w:w="3360" w:type="dxa"/>
            <w:vAlign w:val="bottom"/>
          </w:tcPr>
          <w:p>
            <w:pPr>
              <w:ind w:left="140"/>
              <w:spacing w:after="0"/>
              <w:rPr>
                <w:sz w:val="20"/>
                <w:szCs w:val="20"/>
                <w:color w:val="auto"/>
              </w:rPr>
            </w:pPr>
            <w:r>
              <w:rPr>
                <w:rFonts w:ascii="Courier New" w:cs="Courier New" w:eastAsia="Courier New" w:hAnsi="Courier New"/>
                <w:sz w:val="14"/>
                <w:szCs w:val="14"/>
                <w:color w:val="auto"/>
              </w:rPr>
              <w:t>President of James Hardie Irrigation,</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Inc. and</w:t>
            </w:r>
          </w:p>
        </w:tc>
      </w:tr>
      <w:tr>
        <w:trPr>
          <w:trHeight w:val="166"/>
        </w:trPr>
        <w:tc>
          <w:tcPr>
            <w:tcW w:w="2720" w:type="dxa"/>
            <w:vAlign w:val="bottom"/>
          </w:tcPr>
          <w:p>
            <w:pPr>
              <w:spacing w:after="0"/>
              <w:rPr>
                <w:sz w:val="14"/>
                <w:szCs w:val="14"/>
                <w:color w:val="auto"/>
              </w:rPr>
            </w:pPr>
          </w:p>
        </w:tc>
        <w:tc>
          <w:tcPr>
            <w:tcW w:w="4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from September 1993 to December 1993 as Chief</w:t>
            </w:r>
          </w:p>
        </w:tc>
      </w:tr>
      <w:tr>
        <w:trPr>
          <w:trHeight w:val="166"/>
        </w:trPr>
        <w:tc>
          <w:tcPr>
            <w:tcW w:w="2720" w:type="dxa"/>
            <w:vAlign w:val="bottom"/>
          </w:tcPr>
          <w:p>
            <w:pPr>
              <w:spacing w:after="0"/>
              <w:rPr>
                <w:sz w:val="14"/>
                <w:szCs w:val="14"/>
                <w:color w:val="auto"/>
              </w:rPr>
            </w:pPr>
          </w:p>
        </w:tc>
        <w:tc>
          <w:tcPr>
            <w:tcW w:w="4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Financial Officer of James Hardie Irrigation,</w:t>
            </w:r>
          </w:p>
        </w:tc>
      </w:tr>
      <w:tr>
        <w:trPr>
          <w:trHeight w:val="166"/>
        </w:trPr>
        <w:tc>
          <w:tcPr>
            <w:tcW w:w="2720" w:type="dxa"/>
            <w:vAlign w:val="bottom"/>
          </w:tcPr>
          <w:p>
            <w:pPr>
              <w:spacing w:after="0"/>
              <w:rPr>
                <w:sz w:val="14"/>
                <w:szCs w:val="14"/>
                <w:color w:val="auto"/>
              </w:rPr>
            </w:pPr>
          </w:p>
        </w:tc>
        <w:tc>
          <w:tcPr>
            <w:tcW w:w="3360" w:type="dxa"/>
            <w:vAlign w:val="bottom"/>
          </w:tcPr>
          <w:p>
            <w:pPr>
              <w:ind w:left="140"/>
              <w:spacing w:after="0"/>
              <w:rPr>
                <w:sz w:val="20"/>
                <w:szCs w:val="20"/>
                <w:color w:val="auto"/>
              </w:rPr>
            </w:pPr>
            <w:r>
              <w:rPr>
                <w:rFonts w:ascii="Courier New" w:cs="Courier New" w:eastAsia="Courier New" w:hAnsi="Courier New"/>
                <w:sz w:val="14"/>
                <w:szCs w:val="14"/>
                <w:color w:val="auto"/>
              </w:rPr>
              <w:t>Inc.</w:t>
            </w:r>
          </w:p>
        </w:tc>
        <w:tc>
          <w:tcPr>
            <w:tcW w:w="740" w:type="dxa"/>
            <w:vAlign w:val="bottom"/>
          </w:tcPr>
          <w:p>
            <w:pPr>
              <w:spacing w:after="0"/>
              <w:rPr>
                <w:sz w:val="14"/>
                <w:szCs w:val="14"/>
                <w:color w:val="auto"/>
              </w:rPr>
            </w:pPr>
          </w:p>
        </w:tc>
      </w:tr>
    </w:tbl>
    <w:p>
      <w:pPr>
        <w:spacing w:after="0" w:line="170"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 w:name="page13"/>
    <w:bookmarkEnd w:id="12"/>
    <w:p>
      <w:pPr>
        <w:jc w:val="center"/>
        <w:ind w:right="3079"/>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All information incorporated by reference in this Part II is from the Registrant's Annual Report to Stockholders for the fiscal year ended October 31, 1997 ("Annual Report").</w:t>
      </w:r>
    </w:p>
    <w:p>
      <w:pPr>
        <w:spacing w:after="0" w:line="16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ITEM 5. MARKET FOR THE REGISTRANT'S COMMON STOCK</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AND RELATED STOCKHOLDER MATTERS</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Toro Common Stock (including related Preferred Share Purchase Rights) is listed for trading on the New York Stock Exchange. As of January 19, 1998 there were 6,564 holders of record of the company's common stock.</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See "Quarterly Financial Data" on page 39 of the Annual Report for dividends paid on and range of high and low sales prices for the company's common stock on the New York Stock Exchange on a quarterly basis for the period from November 1, 1995 to October 31, 1997 which information is incorporated herein by reference.</w:t>
      </w:r>
    </w:p>
    <w:p>
      <w:pPr>
        <w:spacing w:after="0" w:line="165"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ITEM 6. SELECTED FINANCIAL DATA</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See "Selected Financial Data" on page 23 of the Annual Report for financial data for the years ended October 31, 1997 and 1996, the 3 month period ended October 31, 1995 and the years ended July 31, 1995, 1994 and 1993 which information for these periods is incorporated herein by reference.</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3" w:name="page14"/>
    <w:bookmarkEnd w:id="13"/>
    <w:p>
      <w:pPr>
        <w:jc w:val="center"/>
        <w:ind w:right="3079"/>
        <w:spacing w:after="0"/>
        <w:rPr>
          <w:sz w:val="20"/>
          <w:szCs w:val="20"/>
          <w:color w:val="auto"/>
        </w:rPr>
      </w:pPr>
      <w:r>
        <w:rPr>
          <w:rFonts w:ascii="Courier New" w:cs="Courier New" w:eastAsia="Courier New" w:hAnsi="Courier New"/>
          <w:sz w:val="14"/>
          <w:szCs w:val="14"/>
          <w:color w:val="auto"/>
        </w:rPr>
        <w:t>ITEM 7. MANAGEMENT'S DISCUSSION AND ANALYSIS OF</w:t>
      </w:r>
    </w:p>
    <w:p>
      <w:pPr>
        <w:spacing w:after="0" w:line="7"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FINANCIAL CONDITION AND RESULTS OF OPERATIONS</w:t>
      </w:r>
    </w:p>
    <w:p>
      <w:pPr>
        <w:spacing w:after="0" w:line="173"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See the section entitled "Management's Discussion and Analysis of Financial Condition and Results of Operations" of the Annual Report to Stockholders on pages 16 through 22 which section is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Part I of this Annual Report on Form 10-K and the "Management's Discussion and Analysis of Financial Condition and Results of Operations" in the company's Annual Report to Stockholders for fiscal 1997 referred to above contain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64"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Statements that are not historical are forward-looking. When used by or on behalf of the company, the words "expect", "anticipate", "estimate", "believe", "intend" and similar expressions generally identify forward-looking statements.</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political and economic uncertainty and instability in many of the company's markets in Asia; the warm winter being experienced in many of the company's markets; the strong dollar which increases the cost of the company's products in foreign markets and limits the company's ability to increase prices; more cautious buying patterns affecting the company's consumer business and European sales; increased competition in the company's businesses; the company's ability to integrate business acquisitions and to manage alliances successfully; changes in distributor, dealer or mass merchant purchasing practices; and occasional production delays affecting selected consumer products.</w:t>
      </w:r>
    </w:p>
    <w:p>
      <w:pPr>
        <w:spacing w:after="0" w:line="328"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and political conditions and the economy in general in both foreign and domestic markets; weather conditions affecting demand, including warm winters and wet spring and summer weather; lack of growth in the company's markets; financial market changes including increases in interest rates and fluctuations in foreign exchange rates; a slowing in housing starts or new golf course starts; inability to raise prices of products due to market conditions; changes in market demographics; actions of competitors; unanticipated problems or costs associated with implementation by the company of computer applications that will accommodate the Year 2000; the inability of the company's suppliers, customers, creditors and financial service organizations to implement computer applications accommodating the Year 2000; the company's ability to develop, manufacture and sell both new and existing products profitably; seasonal factors in the company's industry; unforeseen litigation; government actions including budget levels, regulation and legislation, primarily legislation relating to the environment, commerce, infrastructure spending and health and safety; labor relations; and availability of materials.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wishes to caution readers not to place undue reliance on any forward-looking statement and to recognize that the statements are not predictions of actual future results. Actual results could differ materially from those anticipated in the forward-looking statements and from historical results, as a result of the risks and uncertainties described, as well as others not now anticipated. The foregoing statements are not exclusive and are in addition to other factors discussed elsewhere in the company's filings with the Securities and Exchange Commission. The company undertakes no obligation to update any forward-looking statement to reflect events or circumstances after the date on which such statement is made, or to reflect the occurrence of unanticipated events.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4" w:name="page15"/>
    <w:bookmarkEnd w:id="14"/>
    <w:p>
      <w:pPr>
        <w:ind w:left="1220"/>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The financial statements described in Item 14(a)1 of this report are incorporated herein by reference.</w:t>
      </w:r>
    </w:p>
    <w:p>
      <w:pPr>
        <w:spacing w:after="0" w:line="160"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See "Quarterly Financial Data" appearing on page 39 of the Annual Report to Stockholders which is incorporated herein by reference.</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5" w:name="page16"/>
    <w:bookmarkEnd w:id="15"/>
    <w:p>
      <w:pPr>
        <w:ind w:left="3280"/>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4119"/>
        <w:spacing w:after="0" w:line="252" w:lineRule="auto"/>
        <w:rPr>
          <w:sz w:val="20"/>
          <w:szCs w:val="20"/>
          <w:color w:val="auto"/>
        </w:rPr>
      </w:pPr>
      <w:r>
        <w:rPr>
          <w:rFonts w:ascii="Courier New" w:cs="Courier New" w:eastAsia="Courier New" w:hAnsi="Courier New"/>
          <w:sz w:val="14"/>
          <w:szCs w:val="14"/>
          <w:color w:val="auto"/>
        </w:rPr>
        <w:t>See "Executive Officers of the Registrant" in Part I of this report for information regarding the executive officers of the company, which information is herein incorporated by reference.</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Information regarding the directors of the company and additional information regarding certain executive officers is incorporated herein by reference to the information to be contained in the company's Proxy Statement to be filed with the Securities and Exchange Commission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Information concerning executive compensation is incorporated herein by reference to the information to be contained in the company's Proxy Statement to be filed with the Securities and Exchange Commission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33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Information regarding the security ownership of certain beneficial owners and management of the company is incorporated herein by reference to the information to be contained in the company's Proxy Statement to be filed with the Securities and Exchange Commission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6" w:name="page17"/>
    <w:bookmarkEnd w:id="16"/>
    <w:p>
      <w:pPr>
        <w:ind w:left="3280"/>
        <w:spacing w:after="0"/>
        <w:rPr>
          <w:sz w:val="20"/>
          <w:szCs w:val="20"/>
          <w:color w:val="auto"/>
        </w:rPr>
      </w:pPr>
      <w:r>
        <w:rPr>
          <w:rFonts w:ascii="Courier New" w:cs="Courier New" w:eastAsia="Courier New" w:hAnsi="Courier New"/>
          <w:sz w:val="14"/>
          <w:szCs w:val="14"/>
          <w:color w:val="auto"/>
        </w:rPr>
        <w:t>Part IV</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(a) 1.</w:t>
        <w:tab/>
        <w:t>INDEX TO CONSOLIDATED FINANCIAL STATEMENTS</w:t>
      </w:r>
    </w:p>
    <w:p>
      <w:pPr>
        <w:spacing w:after="0" w:line="173"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4"/>
          <w:szCs w:val="14"/>
          <w:color w:val="auto"/>
        </w:rPr>
        <w:t>Incorporated by reference into Part II, Item 8 of</w:t>
      </w:r>
      <w:r>
        <w:rPr>
          <w:sz w:val="20"/>
          <w:szCs w:val="20"/>
          <w:color w:val="auto"/>
        </w:rPr>
        <w:tab/>
      </w:r>
      <w:r>
        <w:rPr>
          <w:rFonts w:ascii="Courier New" w:cs="Courier New" w:eastAsia="Courier New" w:hAnsi="Courier New"/>
          <w:sz w:val="14"/>
          <w:szCs w:val="14"/>
          <w:color w:val="auto"/>
        </w:rPr>
        <w:t>Pages in Fiscal</w:t>
      </w:r>
    </w:p>
    <w:p>
      <w:pPr>
        <w:spacing w:after="0" w:line="7"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4"/>
          <w:szCs w:val="14"/>
          <w:color w:val="auto"/>
        </w:rPr>
        <w:t>this report:</w:t>
      </w:r>
      <w:r>
        <w:rPr>
          <w:sz w:val="20"/>
          <w:szCs w:val="20"/>
          <w:color w:val="auto"/>
        </w:rPr>
        <w:tab/>
      </w:r>
      <w:r>
        <w:rPr>
          <w:rFonts w:ascii="Courier New" w:cs="Courier New" w:eastAsia="Courier New" w:hAnsi="Courier New"/>
          <w:sz w:val="14"/>
          <w:szCs w:val="14"/>
          <w:color w:val="auto"/>
        </w:rPr>
        <w:t>1997 Annual Report</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to Stockholders</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Independent Auditors' Report</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Earnings for the years ended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October 31, 1997 and 1996, the 3 months ended October</w:t>
      </w:r>
    </w:p>
    <w:p>
      <w:pPr>
        <w:spacing w:after="0" w:line="7" w:lineRule="exact"/>
        <w:rPr>
          <w:sz w:val="20"/>
          <w:szCs w:val="20"/>
          <w:color w:val="auto"/>
        </w:rPr>
      </w:pPr>
    </w:p>
    <w:p>
      <w:pPr>
        <w:ind w:left="180"/>
        <w:spacing w:after="0"/>
        <w:tabs>
          <w:tab w:leader="dot" w:pos="6100" w:val="left"/>
        </w:tabs>
        <w:rPr>
          <w:sz w:val="20"/>
          <w:szCs w:val="20"/>
          <w:color w:val="auto"/>
        </w:rPr>
      </w:pPr>
      <w:r>
        <w:rPr>
          <w:rFonts w:ascii="Courier New" w:cs="Courier New" w:eastAsia="Courier New" w:hAnsi="Courier New"/>
          <w:sz w:val="14"/>
          <w:szCs w:val="14"/>
          <w:color w:val="auto"/>
        </w:rPr>
        <w:t>31, 1995 and the year ended July 31, 1995</w:t>
      </w:r>
      <w:r>
        <w:rPr>
          <w:sz w:val="20"/>
          <w:szCs w:val="20"/>
          <w:color w:val="auto"/>
        </w:rPr>
        <w:tab/>
      </w:r>
      <w:r>
        <w:rPr>
          <w:rFonts w:ascii="Courier New" w:cs="Courier New" w:eastAsia="Courier New" w:hAnsi="Courier New"/>
          <w:sz w:val="14"/>
          <w:szCs w:val="14"/>
          <w:color w:val="auto"/>
        </w:rPr>
        <w:t>24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180"/>
        <w:spacing w:after="0"/>
        <w:tabs>
          <w:tab w:leader="dot" w:pos="6100" w:val="left"/>
        </w:tabs>
        <w:rPr>
          <w:sz w:val="20"/>
          <w:szCs w:val="20"/>
          <w:color w:val="auto"/>
        </w:rPr>
      </w:pPr>
      <w:r>
        <w:rPr>
          <w:rFonts w:ascii="Courier New" w:cs="Courier New" w:eastAsia="Courier New" w:hAnsi="Courier New"/>
          <w:sz w:val="14"/>
          <w:szCs w:val="14"/>
          <w:color w:val="auto"/>
        </w:rPr>
        <w:t>as of October 31, 1997 and 1996</w:t>
      </w:r>
      <w:r>
        <w:rPr>
          <w:sz w:val="20"/>
          <w:szCs w:val="20"/>
          <w:color w:val="auto"/>
        </w:rPr>
        <w:tab/>
      </w:r>
      <w:r>
        <w:rPr>
          <w:rFonts w:ascii="Courier New" w:cs="Courier New" w:eastAsia="Courier New" w:hAnsi="Courier New"/>
          <w:sz w:val="14"/>
          <w:szCs w:val="14"/>
          <w:color w:val="auto"/>
        </w:rPr>
        <w:t>25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 for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years ended October 31, 1997 and 1996,</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3 months ended October 31, 1995 and</w:t>
      </w:r>
    </w:p>
    <w:p>
      <w:pPr>
        <w:spacing w:after="0" w:line="7" w:lineRule="exact"/>
        <w:rPr>
          <w:sz w:val="20"/>
          <w:szCs w:val="20"/>
          <w:color w:val="auto"/>
        </w:rPr>
      </w:pPr>
    </w:p>
    <w:p>
      <w:pPr>
        <w:ind w:left="260"/>
        <w:spacing w:after="0"/>
        <w:tabs>
          <w:tab w:leader="dot" w:pos="6100" w:val="left"/>
        </w:tabs>
        <w:rPr>
          <w:sz w:val="20"/>
          <w:szCs w:val="20"/>
          <w:color w:val="auto"/>
        </w:rPr>
      </w:pPr>
      <w:r>
        <w:rPr>
          <w:rFonts w:ascii="Courier New" w:cs="Courier New" w:eastAsia="Courier New" w:hAnsi="Courier New"/>
          <w:sz w:val="14"/>
          <w:szCs w:val="14"/>
          <w:color w:val="auto"/>
        </w:rPr>
        <w:t>the year ended July 31, 1995</w:t>
      </w:r>
      <w:r>
        <w:rPr>
          <w:sz w:val="20"/>
          <w:szCs w:val="20"/>
          <w:color w:val="auto"/>
        </w:rPr>
        <w:tab/>
      </w:r>
      <w:r>
        <w:rPr>
          <w:rFonts w:ascii="Courier New" w:cs="Courier New" w:eastAsia="Courier New" w:hAnsi="Courier New"/>
          <w:sz w:val="14"/>
          <w:szCs w:val="14"/>
          <w:color w:val="auto"/>
        </w:rPr>
        <w:t>26</w:t>
      </w:r>
    </w:p>
    <w:p>
      <w:pPr>
        <w:spacing w:after="0" w:line="173" w:lineRule="exact"/>
        <w:rPr>
          <w:sz w:val="20"/>
          <w:szCs w:val="20"/>
          <w:color w:val="auto"/>
        </w:rPr>
      </w:pPr>
    </w:p>
    <w:p>
      <w:pPr>
        <w:spacing w:after="0"/>
        <w:tabs>
          <w:tab w:leader="dot" w:pos="610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27-39</w:t>
      </w:r>
    </w:p>
    <w:p>
      <w:pPr>
        <w:spacing w:after="0" w:line="173" w:lineRule="exact"/>
        <w:rPr>
          <w:sz w:val="20"/>
          <w:szCs w:val="20"/>
          <w:color w:val="auto"/>
        </w:rPr>
      </w:pPr>
    </w:p>
    <w:p>
      <w:pPr>
        <w:ind w:right="5139" w:firstLine="8"/>
        <w:spacing w:after="0" w:line="501"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INDEX TO CONSOLIDATED FINANCIAL STATEMENT SCHEDULES Included in Part IV of this report.</w:t>
      </w:r>
    </w:p>
    <w:p>
      <w:pPr>
        <w:ind w:left="260"/>
        <w:spacing w:after="0"/>
        <w:tabs>
          <w:tab w:leader="dot" w:pos="6100" w:val="left"/>
        </w:tabs>
        <w:rPr>
          <w:sz w:val="20"/>
          <w:szCs w:val="20"/>
          <w:color w:val="auto"/>
        </w:rPr>
      </w:pPr>
      <w:r>
        <w:rPr>
          <w:rFonts w:ascii="Courier New" w:cs="Courier New" w:eastAsia="Courier New" w:hAnsi="Courier New"/>
          <w:sz w:val="14"/>
          <w:szCs w:val="14"/>
          <w:color w:val="auto"/>
        </w:rPr>
        <w:t>Independent Auditors' Report</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ind w:left="260"/>
        <w:spacing w:after="0"/>
        <w:tabs>
          <w:tab w:leader="dot" w:pos="6100" w:val="left"/>
        </w:tabs>
        <w:rPr>
          <w:sz w:val="20"/>
          <w:szCs w:val="20"/>
          <w:color w:val="auto"/>
        </w:rPr>
      </w:pPr>
      <w:r>
        <w:rPr>
          <w:rFonts w:ascii="Courier New" w:cs="Courier New" w:eastAsia="Courier New" w:hAnsi="Courier New"/>
          <w:sz w:val="14"/>
          <w:szCs w:val="14"/>
          <w:color w:val="auto"/>
        </w:rPr>
        <w:t>Schedule II - Valuation and Qualifying Accounts</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4"/>
          <w:szCs w:val="14"/>
          <w:color w:val="auto"/>
        </w:rPr>
        <w:t>All other schedules are omitted because the required information is inapplicable or the information is presented in the consolidated financial statements or related notes.</w:t>
      </w:r>
    </w:p>
    <w:p>
      <w:pPr>
        <w:spacing w:after="0" w:line="163" w:lineRule="exact"/>
        <w:rPr>
          <w:sz w:val="20"/>
          <w:szCs w:val="20"/>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EXHIBITS</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and 10(i)Stock Purchase Agreement among The Toro Company, James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Hardie (USA) Inc., James Hardie Industries Limited and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RCI Pty. Ltd. (incorporated by reference to the Exhibit</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to Registrant's Current Report on Form 8-K dated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September 18, 1996).</w:t>
      </w:r>
    </w:p>
    <w:p>
      <w:pPr>
        <w:spacing w:after="0" w:line="173" w:lineRule="exact"/>
        <w:rPr>
          <w:sz w:val="20"/>
          <w:szCs w:val="20"/>
          <w:color w:val="auto"/>
        </w:rPr>
      </w:pPr>
    </w:p>
    <w:p>
      <w:pPr>
        <w:ind w:left="1900" w:right="3679" w:hanging="1549"/>
        <w:spacing w:after="0" w:line="251" w:lineRule="auto"/>
        <w:tabs>
          <w:tab w:leader="none" w:pos="1880" w:val="left"/>
        </w:tabs>
        <w:rPr>
          <w:sz w:val="20"/>
          <w:szCs w:val="20"/>
          <w:color w:val="auto"/>
        </w:rPr>
      </w:pPr>
      <w:r>
        <w:rPr>
          <w:rFonts w:ascii="Courier New" w:cs="Courier New" w:eastAsia="Courier New" w:hAnsi="Courier New"/>
          <w:sz w:val="14"/>
          <w:szCs w:val="14"/>
          <w:color w:val="auto"/>
        </w:rPr>
        <w:t>2 and 10(ii)</w:t>
      </w:r>
      <w:r>
        <w:rPr>
          <w:sz w:val="20"/>
          <w:szCs w:val="20"/>
          <w:color w:val="auto"/>
        </w:rPr>
        <w:tab/>
      </w:r>
      <w:r>
        <w:rPr>
          <w:rFonts w:ascii="Courier New" w:cs="Courier New" w:eastAsia="Courier New" w:hAnsi="Courier New"/>
          <w:sz w:val="14"/>
          <w:szCs w:val="14"/>
          <w:color w:val="auto"/>
        </w:rPr>
        <w:t>Agreement and Plan of Merger, dated as of October 23, 1997 by and among Exmark, Merger Subsidiary and The Toro Company, as amended (incorporated by reference to Exhibit Number 2.1 to Registrant's Registration Statement on Form S-4, Registration No. 333-39769).</w:t>
      </w:r>
    </w:p>
    <w:p>
      <w:pPr>
        <w:spacing w:after="0" w:line="165" w:lineRule="exact"/>
        <w:rPr>
          <w:sz w:val="20"/>
          <w:szCs w:val="20"/>
          <w:color w:val="auto"/>
        </w:rPr>
      </w:pPr>
    </w:p>
    <w:p>
      <w:pPr>
        <w:ind w:left="1900" w:right="4199" w:hanging="1549"/>
        <w:spacing w:after="0" w:line="252" w:lineRule="auto"/>
        <w:tabs>
          <w:tab w:leader="none" w:pos="1880" w:val="left"/>
        </w:tabs>
        <w:rPr>
          <w:sz w:val="20"/>
          <w:szCs w:val="20"/>
          <w:color w:val="auto"/>
        </w:rPr>
      </w:pPr>
      <w:r>
        <w:rPr>
          <w:rFonts w:ascii="Courier New" w:cs="Courier New" w:eastAsia="Courier New" w:hAnsi="Courier New"/>
          <w:sz w:val="14"/>
          <w:szCs w:val="14"/>
          <w:color w:val="auto"/>
        </w:rPr>
        <w:t>3(i)(a) and 4(a)</w:t>
        <w:tab/>
        <w:t>Certificate of Incorporation of Registrant (incorporated by reference to Exhibit 4.2 to Registrant's Registration Statement on Form S-3, Registration No. 33-16125).</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7" w:name="page18"/>
    <w:bookmarkEnd w:id="17"/>
    <w:p>
      <w:pPr>
        <w:ind w:left="1540" w:right="3599" w:hanging="1549"/>
        <w:spacing w:after="0" w:line="251" w:lineRule="auto"/>
        <w:tabs>
          <w:tab w:leader="none" w:pos="1520" w:val="left"/>
        </w:tabs>
        <w:rPr>
          <w:sz w:val="20"/>
          <w:szCs w:val="20"/>
          <w:color w:val="auto"/>
        </w:rPr>
      </w:pPr>
      <w:r>
        <w:rPr>
          <w:rFonts w:ascii="Courier New" w:cs="Courier New" w:eastAsia="Courier New" w:hAnsi="Courier New"/>
          <w:sz w:val="14"/>
          <w:szCs w:val="14"/>
          <w:color w:val="auto"/>
        </w:rPr>
        <w:t>3(i)(b) and 4(b)</w:t>
        <w:tab/>
        <w:t>Certificate of Amendment to Certificate of Incorporation of Registrant dated December 9, 1986 (incorporated by reference to Exhibit 3 to Registrant's Quarterly Report on Form 10-Q for the quarter ended January 30, 1987, Commission File No. 1-8649).</w:t>
      </w:r>
    </w:p>
    <w:p>
      <w:pPr>
        <w:sectPr>
          <w:pgSz w:w="11900" w:h="16838" w:orient="portrait"/>
          <w:cols w:equalWidth="0" w:num="1">
            <w:col w:w="9879"/>
          </w:cols>
          <w:pgMar w:left="580" w:top="616"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3(ii) and 4(c)</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Bylaws of Registrant (incorporated by reference to Exhibit 3.3 to Registrant's Annual Report on Form 10-K for the fiscal year ended July 31, 1991, Commission File No. 1-8649).</w:t>
      </w:r>
    </w:p>
    <w:p>
      <w:pPr>
        <w:spacing w:after="0" w:line="162" w:lineRule="exact"/>
        <w:rPr>
          <w:sz w:val="20"/>
          <w:szCs w:val="20"/>
          <w:color w:val="auto"/>
        </w:rPr>
      </w:pPr>
    </w:p>
    <w:p>
      <w:pPr>
        <w:sectPr>
          <w:pgSz w:w="11900" w:h="16838" w:orient="portrait"/>
          <w:cols w:equalWidth="0" w:num="2">
            <w:col w:w="1200" w:space="34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Specimen form of Common Stock certificate (incorporated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Exhibit 4(c) to Registrant's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on Form S-8, Registration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2-94417).</w:t>
      </w:r>
    </w:p>
    <w:p>
      <w:pPr>
        <w:spacing w:after="0" w:line="173" w:lineRule="exact"/>
        <w:rPr>
          <w:sz w:val="20"/>
          <w:szCs w:val="20"/>
          <w:color w:val="auto"/>
        </w:rPr>
      </w:pPr>
    </w:p>
    <w:p>
      <w:pPr>
        <w:sectPr>
          <w:pgSz w:w="11900" w:h="16838" w:orient="portrait"/>
          <w:cols w:equalWidth="0" w:num="2">
            <w:col w:w="820" w:space="72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Rights Agreement dated as of June 14, 1988, between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 and Norwest Bank Minnesota, 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relating to rights to purchase Series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Junior Participating Voting Preferred Stock,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 reference to Exhibit 1 to Registrant's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on Form 8-A dated June 17, 1988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Exhibit 1 to Registrant's Current Report on Form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8-K dated August 14, 1990, Commission File No. 1-8649).</w:t>
      </w:r>
    </w:p>
    <w:p>
      <w:pPr>
        <w:spacing w:after="0" w:line="173" w:lineRule="exact"/>
        <w:rPr>
          <w:sz w:val="20"/>
          <w:szCs w:val="20"/>
          <w:color w:val="auto"/>
        </w:rPr>
      </w:pPr>
    </w:p>
    <w:p>
      <w:pPr>
        <w:sectPr>
          <w:pgSz w:w="11900" w:h="16838" w:orient="portrait"/>
          <w:cols w:equalWidth="0" w:num="2">
            <w:col w:w="820" w:space="72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4(f)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Indenture as dated as of January 31, 1997, between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 and First National Trust Association,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relating to the Registrant's 7.125% Notes due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15, 2007 and its 7.80% Debentures due June 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2027 (incorporated by reference to Exhibit 4(a)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Current Report on Form 8-K for June 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Commission File No. 1-8649).</w:t>
      </w:r>
    </w:p>
    <w:p>
      <w:pPr>
        <w:spacing w:after="0" w:line="173" w:lineRule="exact"/>
        <w:rPr>
          <w:sz w:val="20"/>
          <w:szCs w:val="20"/>
          <w:color w:val="auto"/>
        </w:rPr>
      </w:pPr>
    </w:p>
    <w:p>
      <w:pPr>
        <w:sectPr>
          <w:pgSz w:w="11900" w:h="16838" w:orient="portrait"/>
          <w:cols w:equalWidth="0" w:num="2">
            <w:col w:w="820" w:space="72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Form of Employment Agreement in effect for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of Registrant (incorporated by reference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10(b) to Registrant's Annual Report on Form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10-K for the fiscal year ended July 31, 1995).*</w:t>
      </w:r>
    </w:p>
    <w:p>
      <w:pPr>
        <w:spacing w:after="0" w:line="173" w:lineRule="exact"/>
        <w:rPr>
          <w:sz w:val="20"/>
          <w:szCs w:val="20"/>
          <w:color w:val="auto"/>
        </w:rPr>
      </w:pPr>
    </w:p>
    <w:p>
      <w:pPr>
        <w:sectPr>
          <w:pgSz w:w="11900" w:h="16838" w:orient="portrait"/>
          <w:cols w:equalWidth="0" w:num="2">
            <w:col w:w="860" w:space="68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10(iii)(b)</w:t>
      </w:r>
    </w:p>
    <w:p>
      <w:pPr>
        <w:spacing w:after="0" w:line="20" w:lineRule="exact"/>
        <w:rPr>
          <w:sz w:val="20"/>
          <w:szCs w:val="20"/>
          <w:color w:val="auto"/>
        </w:rPr>
      </w:pPr>
      <w:r>
        <w:rPr>
          <w:sz w:val="20"/>
          <w:szCs w:val="20"/>
          <w:color w:val="auto"/>
        </w:rPr>
        <w:br w:type="column"/>
      </w:r>
    </w:p>
    <w:p>
      <w:pPr>
        <w:jc w:val="both"/>
        <w:ind w:right="3679"/>
        <w:spacing w:after="0" w:line="252" w:lineRule="auto"/>
        <w:rPr>
          <w:sz w:val="20"/>
          <w:szCs w:val="20"/>
          <w:color w:val="auto"/>
        </w:rPr>
      </w:pPr>
      <w:r>
        <w:rPr>
          <w:rFonts w:ascii="Courier New" w:cs="Courier New" w:eastAsia="Courier New" w:hAnsi="Courier New"/>
          <w:sz w:val="14"/>
          <w:szCs w:val="14"/>
          <w:color w:val="auto"/>
        </w:rPr>
        <w:t>1992 Directors Stock Plan, as amended (incorporated by reference to Exhibit 10(iii)(b) to Registrant's Annual Report on Form 10-K for the fiscal year ended October 31, 1996).*</w:t>
      </w:r>
    </w:p>
    <w:p>
      <w:pPr>
        <w:spacing w:after="0" w:line="162" w:lineRule="exact"/>
        <w:rPr>
          <w:sz w:val="20"/>
          <w:szCs w:val="20"/>
          <w:color w:val="auto"/>
        </w:rPr>
      </w:pPr>
    </w:p>
    <w:p>
      <w:pPr>
        <w:sectPr>
          <w:pgSz w:w="11900" w:h="16838" w:orient="portrait"/>
          <w:cols w:equalWidth="0" w:num="2">
            <w:col w:w="860" w:space="68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10(iii)(c)</w:t>
      </w:r>
    </w:p>
    <w:p>
      <w:pPr>
        <w:spacing w:after="0" w:line="20" w:lineRule="exact"/>
        <w:rPr>
          <w:sz w:val="20"/>
          <w:szCs w:val="20"/>
          <w:color w:val="auto"/>
        </w:rPr>
      </w:pPr>
      <w:r>
        <w:rPr>
          <w:sz w:val="20"/>
          <w:szCs w:val="20"/>
          <w:color w:val="auto"/>
        </w:rPr>
        <w:br w:type="column"/>
      </w:r>
    </w:p>
    <w:p>
      <w:pPr>
        <w:ind w:right="3679"/>
        <w:spacing w:after="0" w:line="252" w:lineRule="auto"/>
        <w:rPr>
          <w:sz w:val="20"/>
          <w:szCs w:val="20"/>
          <w:color w:val="auto"/>
        </w:rPr>
      </w:pPr>
      <w:r>
        <w:rPr>
          <w:rFonts w:ascii="Courier New" w:cs="Courier New" w:eastAsia="Courier New" w:hAnsi="Courier New"/>
          <w:sz w:val="14"/>
          <w:szCs w:val="14"/>
          <w:color w:val="auto"/>
        </w:rPr>
        <w:t>Annual Management Incentive Plan for certain key employees and officers of Registrant (incorporated by reference to Exhibit B to Registrant's Proxy Statement dated February 10, 1997).*</w:t>
      </w:r>
    </w:p>
    <w:p>
      <w:pPr>
        <w:spacing w:after="0" w:line="162" w:lineRule="exact"/>
        <w:rPr>
          <w:sz w:val="20"/>
          <w:szCs w:val="20"/>
          <w:color w:val="auto"/>
        </w:rPr>
      </w:pPr>
    </w:p>
    <w:p>
      <w:pPr>
        <w:sectPr>
          <w:pgSz w:w="11900" w:h="16838" w:orient="portrait"/>
          <w:cols w:equalWidth="0" w:num="2">
            <w:col w:w="860" w:space="68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10(iii)(d)</w:t>
      </w:r>
    </w:p>
    <w:p>
      <w:pPr>
        <w:spacing w:after="0" w:line="20" w:lineRule="exact"/>
        <w:rPr>
          <w:sz w:val="20"/>
          <w:szCs w:val="20"/>
          <w:color w:val="auto"/>
        </w:rPr>
      </w:pPr>
      <w:r>
        <w:rPr>
          <w:sz w:val="20"/>
          <w:szCs w:val="20"/>
          <w:color w:val="auto"/>
        </w:rPr>
        <w:br w:type="column"/>
      </w:r>
    </w:p>
    <w:p>
      <w:pPr>
        <w:ind w:right="3679"/>
        <w:spacing w:after="0" w:line="252" w:lineRule="auto"/>
        <w:rPr>
          <w:sz w:val="20"/>
          <w:szCs w:val="20"/>
          <w:color w:val="auto"/>
        </w:rPr>
      </w:pPr>
      <w:r>
        <w:rPr>
          <w:rFonts w:ascii="Courier New" w:cs="Courier New" w:eastAsia="Courier New" w:hAnsi="Courier New"/>
          <w:sz w:val="14"/>
          <w:szCs w:val="14"/>
          <w:color w:val="auto"/>
        </w:rPr>
        <w:t>1985 Incentive Stock Option Plan, as amended (incorporated by reference to Exhibit 10(b) to Registrant's Annual Report on Form 10-K for the fiscal year ended July 31, 1993).*</w:t>
      </w:r>
    </w:p>
    <w:p>
      <w:pPr>
        <w:spacing w:after="0" w:line="162" w:lineRule="exact"/>
        <w:rPr>
          <w:sz w:val="20"/>
          <w:szCs w:val="20"/>
          <w:color w:val="auto"/>
        </w:rPr>
      </w:pPr>
    </w:p>
    <w:p>
      <w:pPr>
        <w:sectPr>
          <w:pgSz w:w="11900" w:h="16838" w:orient="portrait"/>
          <w:cols w:equalWidth="0" w:num="2">
            <w:col w:w="860" w:space="68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1989 Stock Option Plan, as amended.*</w:t>
      </w:r>
    </w:p>
    <w:p>
      <w:pPr>
        <w:spacing w:after="0" w:line="173" w:lineRule="exact"/>
        <w:rPr>
          <w:sz w:val="20"/>
          <w:szCs w:val="20"/>
          <w:color w:val="auto"/>
        </w:rPr>
      </w:pPr>
    </w:p>
    <w:p>
      <w:pPr>
        <w:sectPr>
          <w:pgSz w:w="11900" w:h="16838" w:orient="portrait"/>
          <w:cols w:equalWidth="0" w:num="2">
            <w:col w:w="860" w:space="68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1993 Stock Option Plan, as amended.*</w:t>
      </w:r>
    </w:p>
    <w:p>
      <w:pPr>
        <w:spacing w:after="0" w:line="173" w:lineRule="exact"/>
        <w:rPr>
          <w:sz w:val="20"/>
          <w:szCs w:val="20"/>
          <w:color w:val="auto"/>
        </w:rPr>
      </w:pPr>
    </w:p>
    <w:p>
      <w:pPr>
        <w:sectPr>
          <w:pgSz w:w="11900" w:h="16838" w:orient="portrait"/>
          <w:cols w:equalWidth="0" w:num="2">
            <w:col w:w="860" w:space="68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10(iii)(g)</w:t>
      </w:r>
    </w:p>
    <w:p>
      <w:pPr>
        <w:spacing w:after="0" w:line="20" w:lineRule="exact"/>
        <w:rPr>
          <w:sz w:val="20"/>
          <w:szCs w:val="20"/>
          <w:color w:val="auto"/>
        </w:rPr>
      </w:pPr>
      <w:r>
        <w:rPr>
          <w:sz w:val="20"/>
          <w:szCs w:val="20"/>
          <w:color w:val="auto"/>
        </w:rPr>
        <w:br w:type="column"/>
      </w:r>
    </w:p>
    <w:p>
      <w:pPr>
        <w:ind w:right="3679"/>
        <w:spacing w:after="0" w:line="252" w:lineRule="auto"/>
        <w:rPr>
          <w:sz w:val="20"/>
          <w:szCs w:val="20"/>
          <w:color w:val="auto"/>
        </w:rPr>
      </w:pPr>
      <w:r>
        <w:rPr>
          <w:rFonts w:ascii="Courier New" w:cs="Courier New" w:eastAsia="Courier New" w:hAnsi="Courier New"/>
          <w:sz w:val="14"/>
          <w:szCs w:val="14"/>
          <w:color w:val="auto"/>
        </w:rPr>
        <w:t>Continuous Performance Award Plan, as amended (incorporated by reference to Exhibit 10(iii)(g) to Registrant's Annual Report on Form 10-K for the fiscal year ended October 31, 1996).*</w:t>
      </w:r>
    </w:p>
    <w:p>
      <w:pPr>
        <w:spacing w:after="0" w:line="162" w:lineRule="exact"/>
        <w:rPr>
          <w:sz w:val="20"/>
          <w:szCs w:val="20"/>
          <w:color w:val="auto"/>
        </w:rPr>
      </w:pPr>
    </w:p>
    <w:p>
      <w:pPr>
        <w:sectPr>
          <w:pgSz w:w="11900" w:h="16838" w:orient="portrait"/>
          <w:cols w:equalWidth="0" w:num="2">
            <w:col w:w="860" w:space="680"/>
            <w:col w:w="8339"/>
          </w:cols>
          <w:pgMar w:left="58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10(iii)(h)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Toro Company Supplemental Management Retirement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(incorporated</w:t>
      </w:r>
    </w:p>
    <w:p>
      <w:pPr>
        <w:spacing w:after="0" w:line="200" w:lineRule="exact"/>
        <w:rPr>
          <w:sz w:val="20"/>
          <w:szCs w:val="20"/>
          <w:color w:val="auto"/>
        </w:rPr>
      </w:pPr>
    </w:p>
    <w:p>
      <w:pPr>
        <w:sectPr>
          <w:pgSz w:w="11900" w:h="16838" w:orient="portrait"/>
          <w:cols w:equalWidth="0" w:num="2">
            <w:col w:w="860" w:space="680"/>
            <w:col w:w="8339"/>
          </w:cols>
          <w:pgMar w:left="580" w:top="616" w:right="1440" w:bottom="1440" w:gutter="0" w:footer="0" w:header="0"/>
          <w:type w:val="continuous"/>
        </w:sectPr>
      </w:pPr>
    </w:p>
    <w:p>
      <w:pPr>
        <w:spacing w:after="0" w:line="138"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879"/>
          </w:cols>
          <w:pgMar w:left="580" w:top="616" w:right="1440" w:bottom="1440" w:gutter="0" w:footer="0" w:header="0"/>
          <w:type w:val="continuous"/>
        </w:sectPr>
      </w:pPr>
    </w:p>
    <w:bookmarkStart w:id="18" w:name="page19"/>
    <w:bookmarkEnd w:id="18"/>
    <w:tbl>
      <w:tblPr>
        <w:tblLayout w:type="fixed"/>
        <w:tblInd w:w="36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by reference to</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Exhibit 10(iii)(h)</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to Registrant's</w:t>
            </w:r>
          </w:p>
        </w:tc>
      </w:tr>
      <w:tr>
        <w:trPr>
          <w:trHeight w:val="166"/>
        </w:trPr>
        <w:tc>
          <w:tcPr>
            <w:tcW w:w="1200" w:type="dxa"/>
            <w:vAlign w:val="bottom"/>
          </w:tcPr>
          <w:p>
            <w:pPr>
              <w:spacing w:after="0"/>
              <w:rPr>
                <w:sz w:val="14"/>
                <w:szCs w:val="14"/>
                <w:color w:val="auto"/>
              </w:rPr>
            </w:pPr>
          </w:p>
        </w:tc>
        <w:tc>
          <w:tcPr>
            <w:tcW w:w="17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Annual Report on</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Form 10-K for the</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1200" w:type="dxa"/>
            <w:vAlign w:val="bottom"/>
          </w:tcPr>
          <w:p>
            <w:pPr>
              <w:spacing w:after="0"/>
              <w:rPr>
                <w:sz w:val="14"/>
                <w:szCs w:val="14"/>
                <w:color w:val="auto"/>
              </w:rPr>
            </w:pPr>
          </w:p>
        </w:tc>
        <w:tc>
          <w:tcPr>
            <w:tcW w:w="332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October 31, 1996).*</w:t>
            </w:r>
          </w:p>
        </w:tc>
        <w:tc>
          <w:tcPr>
            <w:tcW w:w="1680" w:type="dxa"/>
            <w:vAlign w:val="bottom"/>
          </w:tcPr>
          <w:p>
            <w:pPr>
              <w:spacing w:after="0"/>
              <w:rPr>
                <w:sz w:val="14"/>
                <w:szCs w:val="14"/>
                <w:color w:val="auto"/>
              </w:rPr>
            </w:pPr>
          </w:p>
        </w:tc>
      </w:tr>
      <w:tr>
        <w:trPr>
          <w:trHeight w:val="331"/>
        </w:trPr>
        <w:tc>
          <w:tcPr>
            <w:tcW w:w="1200" w:type="dxa"/>
            <w:vAlign w:val="bottom"/>
          </w:tcPr>
          <w:p>
            <w:pPr>
              <w:spacing w:after="0"/>
              <w:rPr>
                <w:sz w:val="20"/>
                <w:szCs w:val="20"/>
                <w:color w:val="auto"/>
              </w:rPr>
            </w:pPr>
            <w:r>
              <w:rPr>
                <w:rFonts w:ascii="Courier New" w:cs="Courier New" w:eastAsia="Courier New" w:hAnsi="Courier New"/>
                <w:sz w:val="14"/>
                <w:szCs w:val="14"/>
                <w:color w:val="auto"/>
              </w:rPr>
              <w:t>10(iii)(i)</w:t>
            </w:r>
          </w:p>
        </w:tc>
        <w:tc>
          <w:tcPr>
            <w:tcW w:w="1680" w:type="dxa"/>
            <w:vAlign w:val="bottom"/>
          </w:tcPr>
          <w:p>
            <w:pPr>
              <w:ind w:left="340"/>
              <w:spacing w:after="0"/>
              <w:rPr>
                <w:sz w:val="20"/>
                <w:szCs w:val="20"/>
                <w:color w:val="auto"/>
              </w:rPr>
            </w:pPr>
            <w:r>
              <w:rPr>
                <w:rFonts w:ascii="Courier New" w:cs="Courier New" w:eastAsia="Courier New" w:hAnsi="Courier New"/>
                <w:sz w:val="14"/>
                <w:szCs w:val="14"/>
                <w:color w:val="auto"/>
              </w:rPr>
              <w:t>Chief Executive</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Officer Succession</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Incentive Agreement</w:t>
            </w:r>
          </w:p>
        </w:tc>
      </w:tr>
      <w:tr>
        <w:trPr>
          <w:trHeight w:val="166"/>
        </w:trPr>
        <w:tc>
          <w:tcPr>
            <w:tcW w:w="1200" w:type="dxa"/>
            <w:vAlign w:val="bottom"/>
          </w:tcPr>
          <w:p>
            <w:pPr>
              <w:spacing w:after="0"/>
              <w:rPr>
                <w:sz w:val="14"/>
                <w:szCs w:val="14"/>
                <w:color w:val="auto"/>
              </w:rPr>
            </w:pPr>
          </w:p>
        </w:tc>
        <w:tc>
          <w:tcPr>
            <w:tcW w:w="176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dated as of July</w:t>
            </w:r>
          </w:p>
        </w:tc>
        <w:tc>
          <w:tcPr>
            <w:tcW w:w="32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 1995, as amended.*</w:t>
            </w:r>
          </w:p>
        </w:tc>
      </w:tr>
    </w:tbl>
    <w:p>
      <w:pPr>
        <w:spacing w:after="0" w:line="170" w:lineRule="exact"/>
        <w:rPr>
          <w:sz w:val="20"/>
          <w:szCs w:val="20"/>
          <w:color w:val="auto"/>
        </w:rPr>
      </w:pPr>
    </w:p>
    <w:p>
      <w:pPr>
        <w:ind w:left="1900" w:right="3779" w:hanging="1547"/>
        <w:spacing w:after="0" w:line="255" w:lineRule="auto"/>
        <w:tabs>
          <w:tab w:leader="none" w:pos="19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Earnings per Share of Common Stock and Common Stock Equivalent (page 24 of this report).</w:t>
      </w:r>
    </w:p>
    <w:p>
      <w:pPr>
        <w:spacing w:after="0" w:line="159" w:lineRule="exact"/>
        <w:rPr>
          <w:rFonts w:ascii="Courier New" w:cs="Courier New" w:eastAsia="Courier New" w:hAnsi="Courier New"/>
          <w:sz w:val="14"/>
          <w:szCs w:val="14"/>
          <w:color w:val="auto"/>
        </w:rPr>
      </w:pPr>
    </w:p>
    <w:p>
      <w:pPr>
        <w:ind w:left="1900" w:right="3599" w:hanging="1547"/>
        <w:spacing w:after="0" w:line="255" w:lineRule="auto"/>
        <w:tabs>
          <w:tab w:leader="none" w:pos="19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Charges (page 25 of this report).</w:t>
      </w:r>
    </w:p>
    <w:p>
      <w:pPr>
        <w:spacing w:after="0" w:line="159" w:lineRule="exact"/>
        <w:rPr>
          <w:rFonts w:ascii="Courier New" w:cs="Courier New" w:eastAsia="Courier New" w:hAnsi="Courier New"/>
          <w:sz w:val="14"/>
          <w:szCs w:val="14"/>
          <w:color w:val="auto"/>
        </w:rPr>
      </w:pPr>
    </w:p>
    <w:p>
      <w:pPr>
        <w:ind w:left="1900" w:right="3679" w:hanging="1547"/>
        <w:spacing w:after="0" w:line="255" w:lineRule="auto"/>
        <w:tabs>
          <w:tab w:leader="none" w:pos="190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1997 Annual Report to Stockholders for The Toro Company.</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8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83"/>
              </w:rPr>
              <w:t>21</w:t>
            </w:r>
          </w:p>
        </w:tc>
        <w:tc>
          <w:tcPr>
            <w:tcW w:w="3740" w:type="dxa"/>
            <w:vAlign w:val="bottom"/>
          </w:tcPr>
          <w:p>
            <w:pPr>
              <w:ind w:left="680"/>
              <w:spacing w:after="0"/>
              <w:rPr>
                <w:sz w:val="20"/>
                <w:szCs w:val="20"/>
                <w:color w:val="auto"/>
              </w:rPr>
            </w:pPr>
            <w:r>
              <w:rPr>
                <w:rFonts w:ascii="Courier New" w:cs="Courier New" w:eastAsia="Courier New" w:hAnsi="Courier New"/>
                <w:sz w:val="14"/>
                <w:szCs w:val="14"/>
                <w:color w:val="auto"/>
              </w:rPr>
              <w:t>Subsidiaries of Registrant (page 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this report).</w:t>
            </w:r>
          </w:p>
        </w:tc>
      </w:tr>
      <w:tr>
        <w:trPr>
          <w:trHeight w:val="331"/>
        </w:trPr>
        <w:tc>
          <w:tcPr>
            <w:tcW w:w="8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83"/>
              </w:rPr>
              <w:t>23</w:t>
            </w:r>
          </w:p>
        </w:tc>
        <w:tc>
          <w:tcPr>
            <w:tcW w:w="3740" w:type="dxa"/>
            <w:vAlign w:val="bottom"/>
          </w:tcPr>
          <w:p>
            <w:pPr>
              <w:ind w:left="680"/>
              <w:spacing w:after="0"/>
              <w:rPr>
                <w:sz w:val="20"/>
                <w:szCs w:val="20"/>
                <w:color w:val="auto"/>
              </w:rPr>
            </w:pPr>
            <w:r>
              <w:rPr>
                <w:rFonts w:ascii="Courier New" w:cs="Courier New" w:eastAsia="Courier New" w:hAnsi="Courier New"/>
                <w:sz w:val="14"/>
                <w:szCs w:val="14"/>
                <w:color w:val="auto"/>
              </w:rPr>
              <w:t>Independent Auditors' Consent (page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of this report).</w:t>
            </w:r>
          </w:p>
        </w:tc>
      </w:tr>
      <w:tr>
        <w:trPr>
          <w:trHeight w:val="331"/>
        </w:trPr>
        <w:tc>
          <w:tcPr>
            <w:tcW w:w="8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83"/>
              </w:rPr>
              <w:t>27</w:t>
            </w:r>
          </w:p>
        </w:tc>
        <w:tc>
          <w:tcPr>
            <w:tcW w:w="4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Supplemental Data Schedule; electronic</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filing only.</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contract or compensatory plan or arrangements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required to be filed as an exhibit to this Annual Report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pursuant to Item 14(c).</w:t>
      </w:r>
    </w:p>
    <w:p>
      <w:pPr>
        <w:spacing w:after="0" w:line="3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9" w:name="page20"/>
    <w:bookmarkEnd w:id="19"/>
    <w:p>
      <w:pPr>
        <w:ind w:left="440" w:hanging="432"/>
        <w:spacing w:after="0"/>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company's Annual Report on Form 10-K for the fiscal year ended October 31, 1997, at the time of its filing with the Securities and Exchange Commission, shall modify and supersede all prior documents filed pursuant to Sections 13, 14 and 15(d) of the 1934 Act for purposes of any offers or sales of any securities after the date of such filing pursuant to any Registration Statement or Prospectus filed pursuant to the Securities Act of 1933 which incorporates by reference such Annual Report on Form 10-K.</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0" w:name="page21"/>
    <w:bookmarkEnd w:id="20"/>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(Registrant)</w:t>
      </w:r>
    </w:p>
    <w:p>
      <w:pPr>
        <w:spacing w:after="0" w:line="7"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Dated: January 21, 1998</w:t>
      </w:r>
    </w:p>
    <w:p>
      <w:pPr>
        <w:spacing w:after="0" w:line="7"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/s/</w:t>
        <w:tab/>
        <w:t>Stephen P. Wolfe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3340" w:val="left"/>
          <w:tab w:leader="none" w:pos="594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Kendrick B. Melrose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Chief Executive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Officer, and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executive officer)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1998</w:t>
      </w:r>
    </w:p>
    <w:p>
      <w:pPr>
        <w:spacing w:after="0" w:line="531" w:lineRule="exact"/>
        <w:rPr>
          <w:sz w:val="20"/>
          <w:szCs w:val="20"/>
          <w:color w:val="auto"/>
        </w:rPr>
      </w:pPr>
    </w:p>
    <w:p>
      <w:pPr>
        <w:sectPr>
          <w:pgSz w:w="11900" w:h="16838" w:orient="portrait"/>
          <w:cols w:equalWidth="0" w:num="3">
            <w:col w:w="2420" w:space="180"/>
            <w:col w:w="2500" w:space="420"/>
            <w:col w:w="471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Stephen P. Wolfe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Stephen P. Wolfe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financial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1998</w:t>
      </w:r>
    </w:p>
    <w:p>
      <w:pPr>
        <w:spacing w:after="0" w:line="531" w:lineRule="exact"/>
        <w:rPr>
          <w:sz w:val="20"/>
          <w:szCs w:val="20"/>
          <w:color w:val="auto"/>
        </w:rPr>
      </w:pPr>
    </w:p>
    <w:p>
      <w:pPr>
        <w:sectPr>
          <w:pgSz w:w="11900" w:h="16838" w:orient="portrait"/>
          <w:cols w:equalWidth="0" w:num="3">
            <w:col w:w="2420" w:space="180"/>
            <w:col w:w="2500" w:space="420"/>
            <w:col w:w="4719"/>
          </w:cols>
          <w:pgMar w:left="220" w:top="616"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Randy B. James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(principal accounting officer)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1998</w:t>
      </w:r>
    </w:p>
    <w:p>
      <w:pPr>
        <w:spacing w:after="0" w:line="172" w:lineRule="exact"/>
        <w:rPr>
          <w:sz w:val="20"/>
          <w:szCs w:val="20"/>
          <w:color w:val="auto"/>
        </w:rPr>
      </w:pPr>
    </w:p>
    <w:p>
      <w:pPr>
        <w:sectPr>
          <w:pgSz w:w="11900" w:h="16838" w:orient="portrait"/>
          <w:cols w:equalWidth="0" w:num="3">
            <w:col w:w="2420" w:space="180"/>
            <w:col w:w="2740" w:space="180"/>
            <w:col w:w="471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Randy B. James</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Ronald O. Baukol</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1998</w:t>
      </w:r>
    </w:p>
    <w:p>
      <w:pPr>
        <w:spacing w:after="0" w:line="7" w:lineRule="exact"/>
        <w:rPr>
          <w:sz w:val="20"/>
          <w:szCs w:val="20"/>
          <w:color w:val="auto"/>
        </w:rPr>
      </w:pPr>
    </w:p>
    <w:p>
      <w:pPr>
        <w:sectPr>
          <w:pgSz w:w="11900" w:h="16838" w:orient="portrait"/>
          <w:cols w:equalWidth="0" w:num="3">
            <w:col w:w="1880" w:space="720"/>
            <w:col w:w="2200" w:space="720"/>
            <w:col w:w="4719"/>
          </w:cols>
          <w:pgMar w:left="220" w:top="616" w:right="1440" w:bottom="1440" w:gutter="0" w:footer="0" w:header="0"/>
          <w:type w:val="continuous"/>
        </w:sect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Ronald O. Baukol</w:t>
      </w:r>
    </w:p>
    <w:p>
      <w:pPr>
        <w:spacing w:after="0" w:line="173" w:lineRule="exact"/>
        <w:rPr>
          <w:sz w:val="20"/>
          <w:szCs w:val="20"/>
          <w:color w:val="auto"/>
        </w:rPr>
      </w:pPr>
    </w:p>
    <w:p>
      <w:pPr>
        <w:spacing w:after="0"/>
        <w:tabs>
          <w:tab w:leader="none" w:pos="2580" w:val="left"/>
          <w:tab w:leader="none" w:pos="5500" w:val="left"/>
        </w:tabs>
        <w:rPr>
          <w:sz w:val="20"/>
          <w:szCs w:val="20"/>
          <w:color w:val="auto"/>
        </w:rPr>
      </w:pPr>
      <w:r>
        <w:rPr>
          <w:rFonts w:ascii="Courier New" w:cs="Courier New" w:eastAsia="Courier New" w:hAnsi="Courier New"/>
          <w:sz w:val="14"/>
          <w:szCs w:val="14"/>
          <w:color w:val="auto"/>
        </w:rPr>
        <w:t>/s/ Robert C. Buhrmaster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21, 1998</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C. Buhrmaster</w:t>
      </w:r>
    </w:p>
    <w:p>
      <w:pPr>
        <w:spacing w:after="0" w:line="173" w:lineRule="exact"/>
        <w:rPr>
          <w:sz w:val="20"/>
          <w:szCs w:val="20"/>
          <w:color w:val="auto"/>
        </w:rPr>
      </w:pPr>
    </w:p>
    <w:p>
      <w:pPr>
        <w:spacing w:after="0"/>
        <w:tabs>
          <w:tab w:leader="none" w:pos="2580" w:val="left"/>
          <w:tab w:leader="none" w:pos="5500" w:val="left"/>
        </w:tabs>
        <w:rPr>
          <w:sz w:val="20"/>
          <w:szCs w:val="20"/>
          <w:color w:val="auto"/>
        </w:rPr>
      </w:pPr>
      <w:r>
        <w:rPr>
          <w:rFonts w:ascii="Courier New" w:cs="Courier New" w:eastAsia="Courier New" w:hAnsi="Courier New"/>
          <w:sz w:val="14"/>
          <w:szCs w:val="14"/>
          <w:color w:val="auto"/>
        </w:rPr>
        <w:t>/s/ Janet K. Cooper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21, 1998</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Janet K. Cooper</w:t>
      </w:r>
    </w:p>
    <w:p>
      <w:pPr>
        <w:spacing w:after="0" w:line="173" w:lineRule="exact"/>
        <w:rPr>
          <w:sz w:val="20"/>
          <w:szCs w:val="20"/>
          <w:color w:val="auto"/>
        </w:rPr>
      </w:pPr>
    </w:p>
    <w:p>
      <w:pPr>
        <w:spacing w:after="0"/>
        <w:tabs>
          <w:tab w:leader="none" w:pos="2580" w:val="left"/>
          <w:tab w:leader="none" w:pos="5500" w:val="left"/>
        </w:tabs>
        <w:rPr>
          <w:sz w:val="20"/>
          <w:szCs w:val="20"/>
          <w:color w:val="auto"/>
        </w:rPr>
      </w:pPr>
      <w:r>
        <w:rPr>
          <w:rFonts w:ascii="Courier New" w:cs="Courier New" w:eastAsia="Courier New" w:hAnsi="Courier New"/>
          <w:sz w:val="14"/>
          <w:szCs w:val="14"/>
          <w:color w:val="auto"/>
        </w:rPr>
        <w:t>/s/ Alex A. Meyer</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21, 1998</w:t>
      </w:r>
    </w:p>
    <w:p>
      <w:pPr>
        <w:spacing w:after="0" w:line="7"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Alex A. Meyer</w:t>
      </w:r>
    </w:p>
    <w:p>
      <w:pPr>
        <w:spacing w:after="0" w:line="173" w:lineRule="exact"/>
        <w:rPr>
          <w:sz w:val="20"/>
          <w:szCs w:val="20"/>
          <w:color w:val="auto"/>
        </w:rPr>
      </w:pPr>
    </w:p>
    <w:p>
      <w:pPr>
        <w:spacing w:after="0"/>
        <w:tabs>
          <w:tab w:leader="none" w:pos="2580" w:val="left"/>
          <w:tab w:leader="none" w:pos="5500" w:val="left"/>
        </w:tabs>
        <w:rPr>
          <w:sz w:val="20"/>
          <w:szCs w:val="20"/>
          <w:color w:val="auto"/>
        </w:rPr>
      </w:pPr>
      <w:r>
        <w:rPr>
          <w:rFonts w:ascii="Courier New" w:cs="Courier New" w:eastAsia="Courier New" w:hAnsi="Courier New"/>
          <w:sz w:val="14"/>
          <w:szCs w:val="14"/>
          <w:color w:val="auto"/>
        </w:rPr>
        <w:t>/s/ Robert H. Nassau</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21, 1998</w:t>
      </w:r>
    </w:p>
    <w:p>
      <w:pPr>
        <w:spacing w:after="0" w:line="7"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Robert H. Nassau</w:t>
      </w:r>
    </w:p>
    <w:p>
      <w:pPr>
        <w:spacing w:after="0" w:line="173" w:lineRule="exact"/>
        <w:rPr>
          <w:sz w:val="20"/>
          <w:szCs w:val="20"/>
          <w:color w:val="auto"/>
        </w:rPr>
      </w:pPr>
    </w:p>
    <w:p>
      <w:pPr>
        <w:spacing w:after="0"/>
        <w:tabs>
          <w:tab w:leader="none" w:pos="2580" w:val="left"/>
          <w:tab w:leader="none" w:pos="5500" w:val="left"/>
        </w:tabs>
        <w:rPr>
          <w:sz w:val="20"/>
          <w:szCs w:val="20"/>
          <w:color w:val="auto"/>
        </w:rPr>
      </w:pPr>
      <w:r>
        <w:rPr>
          <w:rFonts w:ascii="Courier New" w:cs="Courier New" w:eastAsia="Courier New" w:hAnsi="Courier New"/>
          <w:sz w:val="14"/>
          <w:szCs w:val="14"/>
          <w:color w:val="auto"/>
        </w:rPr>
        <w:t>/s/ Dale R. Olseth</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21, 1998</w:t>
      </w:r>
    </w:p>
    <w:p>
      <w:pPr>
        <w:spacing w:after="0" w:line="7"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Dale R. Olseth</w:t>
      </w:r>
    </w:p>
    <w:p>
      <w:pPr>
        <w:spacing w:after="0" w:line="173" w:lineRule="exact"/>
        <w:rPr>
          <w:sz w:val="20"/>
          <w:szCs w:val="20"/>
          <w:color w:val="auto"/>
        </w:rPr>
      </w:pPr>
    </w:p>
    <w:p>
      <w:pPr>
        <w:spacing w:after="0"/>
        <w:tabs>
          <w:tab w:leader="none" w:pos="2580" w:val="left"/>
          <w:tab w:leader="none" w:pos="5500" w:val="left"/>
        </w:tabs>
        <w:rPr>
          <w:sz w:val="20"/>
          <w:szCs w:val="20"/>
          <w:color w:val="auto"/>
        </w:rPr>
      </w:pPr>
      <w:r>
        <w:rPr>
          <w:rFonts w:ascii="Courier New" w:cs="Courier New" w:eastAsia="Courier New" w:hAnsi="Courier New"/>
          <w:sz w:val="14"/>
          <w:szCs w:val="14"/>
          <w:color w:val="auto"/>
        </w:rPr>
        <w:t>/s/ Edwin H. Wingate</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January 21, 1998</w:t>
      </w:r>
    </w:p>
    <w:p>
      <w:pPr>
        <w:spacing w:after="0" w:line="7"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Edwin H. Wingate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type w:val="continuous"/>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[LETTERHEAD]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Under the date of December 12, 1997, we reported on the consolidated balance sheets of The Toro Company and subsidiaries (the Company) as of October 31, 1997 and 1996, and the related consolidated statements of earnings and cash flows for the years ended October 31, 1997 and 1996, the three-month period ended October 31, 1995 and the year ended July 31, 1995, as contained in the 1997 annual report to stockholders. These consolidated financial statements and our report thereon are incorporated by reference in the annual report on Form 10-K for the fiscal year 1997. In connection with our audits of the aforementioned consolidated financial statements, we also have audited the related consolidated financial statement schedule listed in the accompanying index. This financial statement schedule is the responsibility of the Company's management. Our responsibility is to express an opinion on this financial statement schedule based on our audits.</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In our opinion, such financial statement schedule, when considered in relation to the basic consolidated financial statements taken as a whole, presents fairly in all material respects the information set forth therein.</w:t>
      </w:r>
    </w:p>
    <w:p>
      <w:pPr>
        <w:spacing w:after="0" w:line="329"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12, 1997</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ectPr>
          <w:pgSz w:w="11900" w:h="16838" w:orient="portrait"/>
          <w:cols w:equalWidth="0" w:num="1">
            <w:col w:w="10239"/>
          </w:cols>
          <w:pgMar w:left="220" w:top="616" w:right="1440" w:bottom="1440" w:gutter="0" w:footer="0" w:header="0"/>
        </w:sectPr>
      </w:pPr>
    </w:p>
    <w:bookmarkStart w:id="22" w:name="page23"/>
    <w:bookmarkEnd w:id="22"/>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220"/>
        <w:spacing w:after="0"/>
        <w:tabs>
          <w:tab w:leader="none" w:pos="568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ind w:left="1560"/>
        <w:spacing w:after="0"/>
        <w:tabs>
          <w:tab w:leader="none" w:pos="4040" w:val="left"/>
          <w:tab w:leader="none" w:pos="5760" w:val="left"/>
          <w:tab w:leader="none" w:pos="7140" w:val="left"/>
          <w:tab w:leader="none" w:pos="8420" w:val="left"/>
          <w:tab w:leader="none" w:pos="998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 (a)</w:t>
      </w:r>
      <w:r>
        <w:rPr>
          <w:sz w:val="20"/>
          <w:szCs w:val="20"/>
          <w:color w:val="auto"/>
        </w:rPr>
        <w:tab/>
      </w:r>
      <w:r>
        <w:rPr>
          <w:rFonts w:ascii="Courier New" w:cs="Courier New" w:eastAsia="Courier New" w:hAnsi="Courier New"/>
          <w:sz w:val="14"/>
          <w:szCs w:val="14"/>
          <w:color w:val="auto"/>
        </w:rPr>
        <w:t>DEDUCTIONS (b)</w:t>
      </w:r>
      <w:r>
        <w:rPr>
          <w:sz w:val="20"/>
          <w:szCs w:val="20"/>
          <w:color w:val="auto"/>
        </w:rPr>
        <w:tab/>
      </w:r>
      <w:r>
        <w:rPr>
          <w:rFonts w:ascii="Courier New" w:cs="Courier New" w:eastAsia="Courier New" w:hAnsi="Courier New"/>
          <w:sz w:val="14"/>
          <w:szCs w:val="14"/>
          <w:color w:val="auto"/>
        </w:rPr>
        <w:t>BALANCE AT END</w:t>
      </w:r>
    </w:p>
    <w:p>
      <w:pPr>
        <w:spacing w:after="0" w:line="7" w:lineRule="exact"/>
        <w:rPr>
          <w:sz w:val="20"/>
          <w:szCs w:val="20"/>
          <w:color w:val="auto"/>
        </w:rPr>
      </w:pPr>
    </w:p>
    <w:p>
      <w:pPr>
        <w:ind w:left="4220"/>
        <w:spacing w:after="0"/>
        <w:tabs>
          <w:tab w:leader="none" w:pos="5760" w:val="left"/>
          <w:tab w:leader="none" w:pos="10240" w:val="left"/>
        </w:tabs>
        <w:rPr>
          <w:sz w:val="20"/>
          <w:szCs w:val="20"/>
          <w:color w:val="auto"/>
        </w:rPr>
      </w:pP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OF YEAR</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YEAR ENDED OCTOBER 31,</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Allowance for doubtful</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accounts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$10,005,000</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812,000</w:t>
            </w:r>
          </w:p>
        </w:tc>
        <w:tc>
          <w:tcPr>
            <w:tcW w:w="1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(425,000)</w:t>
            </w:r>
          </w:p>
        </w:tc>
        <w:tc>
          <w:tcPr>
            <w:tcW w:w="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560,000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9,832,000</w:t>
            </w:r>
          </w:p>
        </w:tc>
      </w:tr>
    </w:tbl>
    <w:p>
      <w:pPr>
        <w:spacing w:after="0" w:line="4"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OCTOBER 31, 1996</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$ 7,542,000</w:t>
            </w:r>
          </w:p>
        </w:tc>
        <w:tc>
          <w:tcPr>
            <w:tcW w:w="15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3,358,000</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330,000</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$ 1,225,000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$ 10,005,000</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OCTOBER 31, 1995</w:t>
      </w:r>
    </w:p>
    <w:p>
      <w:pPr>
        <w:spacing w:after="0" w:line="7" w:lineRule="exact"/>
        <w:rPr>
          <w:sz w:val="20"/>
          <w:szCs w:val="20"/>
          <w:color w:val="auto"/>
        </w:rPr>
      </w:pPr>
    </w:p>
    <w:p>
      <w:pPr>
        <w:ind w:left="100"/>
        <w:spacing w:after="0"/>
        <w:tabs>
          <w:tab w:leader="none" w:pos="4040" w:val="left"/>
          <w:tab w:leader="none" w:pos="5500" w:val="left"/>
          <w:tab w:leader="none" w:pos="5940" w:val="left"/>
          <w:tab w:leader="none" w:pos="6960" w:val="left"/>
          <w:tab w:leader="none" w:pos="7740" w:val="left"/>
          <w:tab w:leader="none" w:pos="8420" w:val="left"/>
          <w:tab w:leader="none" w:pos="8780" w:val="left"/>
          <w:tab w:leader="none" w:pos="9980" w:val="left"/>
          <w:tab w:leader="none" w:pos="1024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$ 7,343,000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720,000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521,000</w:t>
      </w:r>
      <w:r>
        <w:rPr>
          <w:sz w:val="20"/>
          <w:szCs w:val="20"/>
          <w:color w:val="auto"/>
        </w:rPr>
        <w:tab/>
      </w:r>
      <w:r>
        <w:rPr>
          <w:rFonts w:ascii="Courier New" w:cs="Courier New" w:eastAsia="Courier New" w:hAnsi="Courier New"/>
          <w:sz w:val="14"/>
          <w:szCs w:val="14"/>
          <w:color w:val="auto"/>
        </w:rPr>
        <w:t>$</w:t>
        <w:tab/>
        <w:t>7,542,000</w:t>
      </w: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JULY 31, 1995</w:t>
      </w:r>
    </w:p>
    <w:p>
      <w:pPr>
        <w:spacing w:after="0" w:line="7" w:lineRule="exact"/>
        <w:rPr>
          <w:sz w:val="20"/>
          <w:szCs w:val="20"/>
          <w:color w:val="auto"/>
        </w:rPr>
      </w:pPr>
    </w:p>
    <w:p>
      <w:pPr>
        <w:ind w:left="100"/>
        <w:spacing w:after="0"/>
        <w:tabs>
          <w:tab w:leader="none" w:pos="4040" w:val="left"/>
          <w:tab w:leader="none" w:pos="5500" w:val="left"/>
          <w:tab w:leader="none" w:pos="5760" w:val="left"/>
          <w:tab w:leader="none" w:pos="6960" w:val="left"/>
          <w:tab w:leader="none" w:pos="7300" w:val="left"/>
          <w:tab w:leader="none" w:pos="8420" w:val="left"/>
          <w:tab w:leader="none" w:pos="9980" w:val="left"/>
          <w:tab w:leader="none" w:pos="1024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$ 7,702,000</w:t>
      </w:r>
      <w:r>
        <w:rPr>
          <w:sz w:val="20"/>
          <w:szCs w:val="20"/>
          <w:color w:val="auto"/>
        </w:rPr>
        <w:tab/>
      </w:r>
      <w:r>
        <w:rPr>
          <w:rFonts w:ascii="Courier New" w:cs="Courier New" w:eastAsia="Courier New" w:hAnsi="Courier New"/>
          <w:sz w:val="14"/>
          <w:szCs w:val="14"/>
          <w:color w:val="auto"/>
        </w:rPr>
        <w:t>$</w:t>
        <w:tab/>
        <w:t>1,543,000</w:t>
      </w:r>
      <w:r>
        <w:rPr>
          <w:sz w:val="20"/>
          <w:szCs w:val="20"/>
          <w:color w:val="auto"/>
        </w:rPr>
        <w:tab/>
      </w:r>
      <w:r>
        <w:rPr>
          <w:rFonts w:ascii="Courier New" w:cs="Courier New" w:eastAsia="Courier New" w:hAnsi="Courier New"/>
          <w:sz w:val="14"/>
          <w:szCs w:val="14"/>
          <w:color w:val="auto"/>
        </w:rPr>
        <w:t>$</w:t>
        <w:tab/>
        <w:t>20,000</w:t>
      </w:r>
      <w:r>
        <w:rPr>
          <w:sz w:val="20"/>
          <w:szCs w:val="20"/>
          <w:color w:val="auto"/>
        </w:rPr>
        <w:tab/>
      </w:r>
      <w:r>
        <w:rPr>
          <w:rFonts w:ascii="Courier New" w:cs="Courier New" w:eastAsia="Courier New" w:hAnsi="Courier New"/>
          <w:sz w:val="14"/>
          <w:szCs w:val="14"/>
          <w:color w:val="auto"/>
        </w:rPr>
        <w:t>$ 1,922,000</w:t>
      </w:r>
      <w:r>
        <w:rPr>
          <w:sz w:val="20"/>
          <w:szCs w:val="20"/>
          <w:color w:val="auto"/>
        </w:rPr>
        <w:tab/>
      </w:r>
      <w:r>
        <w:rPr>
          <w:rFonts w:ascii="Courier New" w:cs="Courier New" w:eastAsia="Courier New" w:hAnsi="Courier New"/>
          <w:sz w:val="14"/>
          <w:szCs w:val="14"/>
          <w:color w:val="auto"/>
        </w:rPr>
        <w:t>$</w:t>
        <w:tab/>
        <w:t>7,343,000</w:t>
      </w:r>
    </w:p>
    <w:p>
      <w:pPr>
        <w:spacing w:after="0" w:line="7"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860" w:right="6200" w:hanging="421"/>
        <w:spacing w:after="0" w:line="250" w:lineRule="auto"/>
        <w:tabs>
          <w:tab w:leader="none" w:pos="86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allowance for doubtful accounts due to acquisitions and reductions due to reclassification.</w:t>
      </w:r>
    </w:p>
    <w:p>
      <w:pPr>
        <w:ind w:left="860" w:hanging="421"/>
        <w:spacing w:after="0"/>
        <w:tabs>
          <w:tab w:leader="none" w:pos="86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charged off, net of recoveries.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540"/>
          </w:cols>
          <w:pgMar w:left="220" w:top="616" w:right="139" w:bottom="1440" w:gutter="0" w:footer="0" w:header="0"/>
        </w:sectPr>
      </w:pPr>
    </w:p>
    <w:bookmarkStart w:id="23" w:name="page24"/>
    <w:bookmarkEnd w:id="23"/>
    <w:p>
      <w:pPr>
        <w:ind w:left="2932"/>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752"/>
        <w:spacing w:after="0"/>
        <w:rPr>
          <w:sz w:val="20"/>
          <w:szCs w:val="20"/>
          <w:color w:val="auto"/>
        </w:rPr>
      </w:pPr>
      <w:r>
        <w:rPr>
          <w:rFonts w:ascii="Courier New" w:cs="Courier New" w:eastAsia="Courier New" w:hAnsi="Courier New"/>
          <w:sz w:val="14"/>
          <w:szCs w:val="14"/>
          <w:color w:val="auto"/>
        </w:rPr>
        <w:t>1989 STOCK OPTION PLAN</w:t>
      </w:r>
    </w:p>
    <w:p>
      <w:pPr>
        <w:spacing w:after="0" w:line="173" w:lineRule="exact"/>
        <w:rPr>
          <w:sz w:val="20"/>
          <w:szCs w:val="20"/>
          <w:color w:val="auto"/>
        </w:rPr>
      </w:pPr>
    </w:p>
    <w:p>
      <w:pPr>
        <w:ind w:left="432" w:right="3339" w:hanging="432"/>
        <w:spacing w:after="0" w:line="250" w:lineRule="auto"/>
        <w:tabs>
          <w:tab w:leader="none" w:pos="43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1989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8, 1989.</w:t>
      </w:r>
    </w:p>
    <w:p>
      <w:pPr>
        <w:spacing w:after="0" w:line="172"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w:t>
      </w:r>
    </w:p>
    <w:p>
      <w:pPr>
        <w:spacing w:after="0" w:line="6" w:lineRule="exact"/>
        <w:rPr>
          <w:rFonts w:ascii="Courier New" w:cs="Courier New" w:eastAsia="Courier New" w:hAnsi="Courier New"/>
          <w:sz w:val="14"/>
          <w:szCs w:val="14"/>
          <w:color w:val="auto"/>
        </w:rPr>
      </w:pPr>
    </w:p>
    <w:p>
      <w:pPr>
        <w:ind w:left="432"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62" w:lineRule="exact"/>
        <w:rPr>
          <w:rFonts w:ascii="Courier New" w:cs="Courier New" w:eastAsia="Courier New" w:hAnsi="Courier New"/>
          <w:sz w:val="14"/>
          <w:szCs w:val="14"/>
          <w:color w:val="auto"/>
        </w:rPr>
      </w:pPr>
    </w:p>
    <w:p>
      <w:pPr>
        <w:ind w:left="432"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ectPr>
          <w:pgSz w:w="11900" w:h="16838" w:orient="portrait"/>
          <w:cols w:equalWidth="0" w:num="1">
            <w:col w:w="10231"/>
          </w:cols>
          <w:pgMar w:left="228" w:top="473" w:right="1440" w:bottom="1440" w:gutter="0" w:footer="0" w:header="0"/>
        </w:sectPr>
      </w:pPr>
    </w:p>
    <w:bookmarkStart w:id="24" w:name="page25"/>
    <w:bookmarkEnd w:id="24"/>
    <w:p>
      <w:pPr>
        <w:ind w:left="432" w:right="3419" w:hanging="432"/>
        <w:spacing w:after="0" w:line="250"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1,700,000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7" w:lineRule="exact"/>
        <w:rPr>
          <w:rFonts w:ascii="Courier New" w:cs="Courier New" w:eastAsia="Courier New" w:hAnsi="Courier New"/>
          <w:sz w:val="14"/>
          <w:szCs w:val="14"/>
          <w:color w:val="auto"/>
        </w:rPr>
      </w:pPr>
    </w:p>
    <w:p>
      <w:pPr>
        <w:ind w:left="432" w:right="3599" w:hanging="432"/>
        <w:spacing w:after="0" w:line="250"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72" w:lineRule="exact"/>
        <w:rPr>
          <w:rFonts w:ascii="Courier New" w:cs="Courier New" w:eastAsia="Courier New" w:hAnsi="Courier New"/>
          <w:sz w:val="14"/>
          <w:szCs w:val="14"/>
          <w:color w:val="auto"/>
        </w:rPr>
      </w:pPr>
    </w:p>
    <w:p>
      <w:pPr>
        <w:ind w:left="432" w:right="3599" w:hanging="432"/>
        <w:spacing w:after="0" w:line="251"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4" w:lineRule="exact"/>
        <w:rPr>
          <w:rFonts w:ascii="Courier New" w:cs="Courier New" w:eastAsia="Courier New" w:hAnsi="Courier New"/>
          <w:sz w:val="14"/>
          <w:szCs w:val="14"/>
          <w:color w:val="auto"/>
        </w:rPr>
      </w:pPr>
    </w:p>
    <w:p>
      <w:pPr>
        <w:ind w:left="432" w:right="3939" w:hanging="432"/>
        <w:spacing w:after="0" w:line="252"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2"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782" w:right="1440" w:bottom="1440" w:gutter="0" w:footer="0" w:header="0"/>
        </w:sectPr>
      </w:pPr>
    </w:p>
    <w:bookmarkStart w:id="25" w:name="page26"/>
    <w:bookmarkEnd w:id="25"/>
    <w:p>
      <w:pPr>
        <w:ind w:left="421" w:right="3599" w:hanging="421"/>
        <w:spacing w:after="0" w:line="252" w:lineRule="auto"/>
        <w:tabs>
          <w:tab w:leader="none" w:pos="42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162" w:lineRule="exact"/>
        <w:rPr>
          <w:rFonts w:ascii="Courier New" w:cs="Courier New" w:eastAsia="Courier New" w:hAnsi="Courier New"/>
          <w:sz w:val="14"/>
          <w:szCs w:val="14"/>
          <w:color w:val="auto"/>
        </w:rPr>
      </w:pPr>
    </w:p>
    <w:p>
      <w:pPr>
        <w:ind w:left="421" w:right="3599" w:hanging="421"/>
        <w:spacing w:after="0" w:line="251" w:lineRule="auto"/>
        <w:tabs>
          <w:tab w:leader="none" w:pos="42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4" w:lineRule="exact"/>
        <w:rPr>
          <w:rFonts w:ascii="Courier New" w:cs="Courier New" w:eastAsia="Courier New" w:hAnsi="Courier New"/>
          <w:sz w:val="14"/>
          <w:szCs w:val="14"/>
          <w:color w:val="auto"/>
        </w:rPr>
      </w:pPr>
    </w:p>
    <w:p>
      <w:pPr>
        <w:ind w:left="421" w:right="3599" w:hanging="421"/>
        <w:spacing w:after="0" w:line="251" w:lineRule="auto"/>
        <w:tabs>
          <w:tab w:leader="none" w:pos="42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3" w:lineRule="exact"/>
        <w:rPr>
          <w:rFonts w:ascii="Courier New" w:cs="Courier New" w:eastAsia="Courier New" w:hAnsi="Courier New"/>
          <w:sz w:val="14"/>
          <w:szCs w:val="14"/>
          <w:color w:val="auto"/>
        </w:rPr>
      </w:pPr>
    </w:p>
    <w:p>
      <w:pPr>
        <w:ind w:left="421" w:right="4019" w:hanging="421"/>
        <w:spacing w:after="0" w:line="255" w:lineRule="auto"/>
        <w:tabs>
          <w:tab w:leader="none" w:pos="42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59" w:lineRule="exact"/>
        <w:rPr>
          <w:rFonts w:ascii="Courier New" w:cs="Courier New" w:eastAsia="Courier New" w:hAnsi="Courier New"/>
          <w:sz w:val="14"/>
          <w:szCs w:val="14"/>
          <w:color w:val="auto"/>
        </w:rPr>
      </w:pPr>
    </w:p>
    <w:p>
      <w:pPr>
        <w:ind w:left="421" w:hanging="421"/>
        <w:spacing w:after="0"/>
        <w:tabs>
          <w:tab w:leader="none" w:pos="421"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72" w:lineRule="exact"/>
        <w:rPr>
          <w:rFonts w:ascii="Courier New" w:cs="Courier New" w:eastAsia="Courier New" w:hAnsi="Courier New"/>
          <w:sz w:val="14"/>
          <w:szCs w:val="14"/>
          <w:color w:val="auto"/>
        </w:rPr>
      </w:pPr>
    </w:p>
    <w:p>
      <w:pPr>
        <w:ind w:left="861" w:right="3599" w:hanging="430"/>
        <w:spacing w:after="0" w:line="251" w:lineRule="auto"/>
        <w:tabs>
          <w:tab w:leader="none" w:pos="861"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164" w:lineRule="exact"/>
        <w:rPr>
          <w:rFonts w:ascii="Courier New" w:cs="Courier New" w:eastAsia="Courier New" w:hAnsi="Courier New"/>
          <w:sz w:val="14"/>
          <w:szCs w:val="14"/>
          <w:color w:val="auto"/>
        </w:rPr>
      </w:pPr>
    </w:p>
    <w:p>
      <w:pPr>
        <w:ind w:left="861" w:right="3599" w:hanging="430"/>
        <w:spacing w:after="0" w:line="250" w:lineRule="auto"/>
        <w:tabs>
          <w:tab w:leader="none" w:pos="861"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options may be exercised (I) by an option holder after such individual ceases to be an employee (for reasons other than disability or retirement at or after age 60) up to three months after the day of termination of employment but not later than the date the option expires, (II)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(III) in the event a salary replacement option is granted by the Committee and the option holder is involuntarily terminated during the option term or becomes disabled or dies,</w:t>
      </w:r>
    </w:p>
    <w:p>
      <w:pPr>
        <w:spacing w:after="0" w:line="177"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00"/>
          </w:cols>
          <w:pgMar w:left="659" w:top="616" w:right="1440" w:bottom="1440" w:gutter="0" w:footer="0" w:header="0"/>
        </w:sectPr>
      </w:pPr>
    </w:p>
    <w:bookmarkStart w:id="26" w:name="page27"/>
    <w:bookmarkEnd w:id="26"/>
    <w:p>
      <w:pPr>
        <w:ind w:left="861" w:right="3599"/>
        <w:spacing w:after="0" w:line="250" w:lineRule="auto"/>
        <w:rPr>
          <w:sz w:val="20"/>
          <w:szCs w:val="20"/>
          <w:color w:val="auto"/>
        </w:rPr>
      </w:pPr>
      <w:r>
        <w:rPr>
          <w:rFonts w:ascii="Courier New" w:cs="Courier New" w:eastAsia="Courier New" w:hAnsi="Courier New"/>
          <w:sz w:val="14"/>
          <w:szCs w:val="14"/>
          <w:color w:val="auto"/>
        </w:rPr>
        <w:t>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173" w:lineRule="exact"/>
        <w:rPr>
          <w:sz w:val="20"/>
          <w:szCs w:val="20"/>
          <w:color w:val="auto"/>
        </w:rPr>
      </w:pPr>
    </w:p>
    <w:p>
      <w:pPr>
        <w:ind w:left="861" w:right="3599" w:hanging="603"/>
        <w:spacing w:after="0" w:line="251" w:lineRule="auto"/>
        <w:tabs>
          <w:tab w:leader="none" w:pos="861"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3" w:lineRule="exact"/>
        <w:rPr>
          <w:rFonts w:ascii="Courier New" w:cs="Courier New" w:eastAsia="Courier New" w:hAnsi="Courier New"/>
          <w:sz w:val="14"/>
          <w:szCs w:val="14"/>
          <w:color w:val="auto"/>
        </w:rPr>
      </w:pPr>
    </w:p>
    <w:p>
      <w:pPr>
        <w:ind w:left="861" w:right="3599" w:hanging="430"/>
        <w:spacing w:after="0" w:line="251" w:lineRule="auto"/>
        <w:tabs>
          <w:tab w:leader="none" w:pos="861"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4" w:lineRule="exact"/>
        <w:rPr>
          <w:rFonts w:ascii="Courier New" w:cs="Courier New" w:eastAsia="Courier New" w:hAnsi="Courier New"/>
          <w:sz w:val="14"/>
          <w:szCs w:val="14"/>
          <w:color w:val="auto"/>
        </w:rPr>
      </w:pPr>
    </w:p>
    <w:p>
      <w:pPr>
        <w:ind w:left="861" w:right="3599" w:hanging="430"/>
        <w:spacing w:after="0" w:line="251" w:lineRule="auto"/>
        <w:tabs>
          <w:tab w:leader="none" w:pos="861"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861" w:right="3679" w:hanging="430"/>
        <w:spacing w:after="0" w:line="252" w:lineRule="auto"/>
        <w:tabs>
          <w:tab w:leader="none" w:pos="861" w:val="left"/>
        </w:tabs>
        <w:numPr>
          <w:ilvl w:val="2"/>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2" w:lineRule="exact"/>
        <w:rPr>
          <w:rFonts w:ascii="Courier New" w:cs="Courier New" w:eastAsia="Courier New" w:hAnsi="Courier New"/>
          <w:sz w:val="14"/>
          <w:szCs w:val="14"/>
          <w:color w:val="auto"/>
        </w:rPr>
      </w:pPr>
    </w:p>
    <w:p>
      <w:pPr>
        <w:ind w:left="421" w:right="3599" w:hanging="421"/>
        <w:spacing w:after="0" w:line="251" w:lineRule="auto"/>
        <w:tabs>
          <w:tab w:leader="none" w:pos="42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w:t>
      </w:r>
    </w:p>
    <w:p>
      <w:pPr>
        <w:spacing w:after="0" w:line="164"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00"/>
          </w:cols>
          <w:pgMar w:left="659" w:top="616" w:right="1440" w:bottom="1440" w:gutter="0" w:footer="0" w:header="0"/>
        </w:sectPr>
      </w:pPr>
    </w:p>
    <w:bookmarkStart w:id="27" w:name="page28"/>
    <w:bookmarkEnd w:id="27"/>
    <w:p>
      <w:pPr>
        <w:ind w:left="421" w:right="3679" w:firstLine="10"/>
        <w:spacing w:after="0" w:line="251" w:lineRule="auto"/>
        <w:tabs>
          <w:tab w:leader="none" w:pos="85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63" w:lineRule="exact"/>
        <w:rPr>
          <w:sz w:val="20"/>
          <w:szCs w:val="20"/>
          <w:color w:val="auto"/>
        </w:rPr>
      </w:pPr>
    </w:p>
    <w:p>
      <w:pPr>
        <w:ind w:left="421" w:right="4199"/>
        <w:spacing w:after="0" w:line="255" w:lineRule="auto"/>
        <w:rPr>
          <w:sz w:val="20"/>
          <w:szCs w:val="20"/>
          <w:color w:val="auto"/>
        </w:rPr>
      </w:pPr>
      <w:r>
        <w:rPr>
          <w:rFonts w:ascii="Courier New" w:cs="Courier New" w:eastAsia="Courier New" w:hAnsi="Courier New"/>
          <w:sz w:val="14"/>
          <w:szCs w:val="14"/>
          <w:color w:val="auto"/>
        </w:rPr>
        <w:t>No shares of Common Stock shall be issued until full payment therefor has been made.</w:t>
      </w:r>
    </w:p>
    <w:p>
      <w:pPr>
        <w:spacing w:after="0" w:line="160" w:lineRule="exact"/>
        <w:rPr>
          <w:sz w:val="20"/>
          <w:szCs w:val="20"/>
          <w:color w:val="auto"/>
        </w:rPr>
      </w:pPr>
    </w:p>
    <w:p>
      <w:pPr>
        <w:ind w:left="421" w:right="3599" w:hanging="421"/>
        <w:spacing w:after="0" w:line="250" w:lineRule="auto"/>
        <w:tabs>
          <w:tab w:leader="none" w:pos="421"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72" w:lineRule="exact"/>
        <w:rPr>
          <w:rFonts w:ascii="Courier New" w:cs="Courier New" w:eastAsia="Courier New" w:hAnsi="Courier New"/>
          <w:sz w:val="14"/>
          <w:szCs w:val="14"/>
          <w:color w:val="auto"/>
        </w:rPr>
      </w:pPr>
    </w:p>
    <w:p>
      <w:pPr>
        <w:ind w:left="421" w:right="3599" w:hanging="421"/>
        <w:spacing w:after="0" w:line="250" w:lineRule="auto"/>
        <w:tabs>
          <w:tab w:leader="none" w:pos="421"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5" w:lineRule="exact"/>
        <w:rPr>
          <w:rFonts w:ascii="Courier New" w:cs="Courier New" w:eastAsia="Courier New" w:hAnsi="Courier New"/>
          <w:sz w:val="14"/>
          <w:szCs w:val="14"/>
          <w:color w:val="auto"/>
        </w:rPr>
      </w:pPr>
    </w:p>
    <w:p>
      <w:pPr>
        <w:ind w:left="421" w:right="3939" w:hanging="421"/>
        <w:spacing w:after="0" w:line="252" w:lineRule="auto"/>
        <w:tabs>
          <w:tab w:leader="none" w:pos="421"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w:t>
      </w:r>
    </w:p>
    <w:p>
      <w:pPr>
        <w:spacing w:after="0" w:line="163"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00"/>
          </w:cols>
          <w:pgMar w:left="659" w:top="782" w:right="1440" w:bottom="1440" w:gutter="0" w:footer="0" w:header="0"/>
        </w:sectPr>
      </w:pPr>
    </w:p>
    <w:bookmarkStart w:id="28" w:name="page29"/>
    <w:bookmarkEnd w:id="28"/>
    <w:p>
      <w:pPr>
        <w:ind w:left="852" w:right="3679"/>
        <w:spacing w:after="0" w:line="255" w:lineRule="auto"/>
        <w:rPr>
          <w:sz w:val="20"/>
          <w:szCs w:val="20"/>
          <w:color w:val="auto"/>
        </w:rPr>
      </w:pPr>
      <w:r>
        <w:rPr>
          <w:rFonts w:ascii="Courier New" w:cs="Courier New" w:eastAsia="Courier New" w:hAnsi="Courier New"/>
          <w:sz w:val="14"/>
          <w:szCs w:val="14"/>
          <w:color w:val="auto"/>
        </w:rPr>
        <w:t>consolidation, reorganization or liquidation of the Company or the acquisition of stock or assets of the Company by another entity.</w:t>
      </w:r>
    </w:p>
    <w:p>
      <w:pPr>
        <w:spacing w:after="0" w:line="160" w:lineRule="exact"/>
        <w:rPr>
          <w:sz w:val="20"/>
          <w:szCs w:val="20"/>
          <w:color w:val="auto"/>
        </w:rPr>
      </w:pPr>
    </w:p>
    <w:p>
      <w:pPr>
        <w:ind w:left="852" w:right="3599" w:hanging="421"/>
        <w:spacing w:after="0" w:line="251" w:lineRule="auto"/>
        <w:tabs>
          <w:tab w:leader="none" w:pos="852"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164" w:lineRule="exact"/>
        <w:rPr>
          <w:rFonts w:ascii="Courier New" w:cs="Courier New" w:eastAsia="Courier New" w:hAnsi="Courier New"/>
          <w:sz w:val="14"/>
          <w:szCs w:val="14"/>
          <w:color w:val="auto"/>
        </w:rPr>
      </w:pPr>
    </w:p>
    <w:p>
      <w:pPr>
        <w:ind w:left="852" w:right="3599" w:hanging="421"/>
        <w:spacing w:after="0" w:line="251" w:lineRule="auto"/>
        <w:tabs>
          <w:tab w:leader="none" w:pos="852"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328" w:lineRule="exact"/>
        <w:rPr>
          <w:rFonts w:ascii="Courier New" w:cs="Courier New" w:eastAsia="Courier New" w:hAnsi="Courier New"/>
          <w:sz w:val="14"/>
          <w:szCs w:val="14"/>
          <w:color w:val="auto"/>
        </w:rPr>
      </w:pPr>
    </w:p>
    <w:p>
      <w:pPr>
        <w:ind w:left="852" w:right="3599" w:hanging="421"/>
        <w:spacing w:after="0" w:line="251" w:lineRule="auto"/>
        <w:tabs>
          <w:tab w:leader="none" w:pos="852"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4" w:lineRule="exact"/>
        <w:rPr>
          <w:rFonts w:ascii="Courier New" w:cs="Courier New" w:eastAsia="Courier New" w:hAnsi="Courier New"/>
          <w:sz w:val="14"/>
          <w:szCs w:val="14"/>
          <w:color w:val="auto"/>
        </w:rPr>
      </w:pPr>
    </w:p>
    <w:p>
      <w:pPr>
        <w:ind w:left="432" w:right="3599" w:hanging="432"/>
        <w:spacing w:after="0" w:line="251" w:lineRule="auto"/>
        <w:tabs>
          <w:tab w:leader="none" w:pos="43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2" w:lineRule="exact"/>
        <w:rPr>
          <w:rFonts w:ascii="Courier New" w:cs="Courier New" w:eastAsia="Courier New" w:hAnsi="Courier New"/>
          <w:sz w:val="14"/>
          <w:szCs w:val="14"/>
          <w:color w:val="auto"/>
        </w:rPr>
      </w:pPr>
    </w:p>
    <w:p>
      <w:pPr>
        <w:ind w:left="852" w:right="3599" w:hanging="421"/>
        <w:spacing w:after="0" w:line="251" w:lineRule="auto"/>
        <w:tabs>
          <w:tab w:leader="none" w:pos="852"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1"/>
          </w:cols>
          <w:pgMar w:left="228" w:top="947" w:right="1440" w:bottom="1440" w:gutter="0" w:footer="0" w:header="0"/>
        </w:sectPr>
      </w:pPr>
    </w:p>
    <w:bookmarkStart w:id="29" w:name="page30"/>
    <w:bookmarkEnd w:id="29"/>
    <w:p>
      <w:pPr>
        <w:ind w:left="852" w:right="3679"/>
        <w:spacing w:after="0" w:line="255" w:lineRule="auto"/>
        <w:rPr>
          <w:sz w:val="20"/>
          <w:szCs w:val="20"/>
          <w:color w:val="auto"/>
        </w:rPr>
      </w:pPr>
      <w:r>
        <w:rPr>
          <w:rFonts w:ascii="Courier New" w:cs="Courier New" w:eastAsia="Courier New" w:hAnsi="Courier New"/>
          <w:sz w:val="14"/>
          <w:szCs w:val="14"/>
          <w:color w:val="auto"/>
        </w:rPr>
        <w:t>Stock Options. In applying the foregoing limitation, options shall be taken into account in the order in which they were granted.</w:t>
      </w:r>
    </w:p>
    <w:p>
      <w:pPr>
        <w:spacing w:after="0" w:line="160" w:lineRule="exact"/>
        <w:rPr>
          <w:sz w:val="20"/>
          <w:szCs w:val="20"/>
          <w:color w:val="auto"/>
        </w:rPr>
      </w:pPr>
    </w:p>
    <w:p>
      <w:pPr>
        <w:ind w:left="852" w:right="3679" w:hanging="421"/>
        <w:spacing w:after="0" w:line="255" w:lineRule="auto"/>
        <w:tabs>
          <w:tab w:leader="none" w:pos="852"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59" w:lineRule="exact"/>
        <w:rPr>
          <w:rFonts w:ascii="Courier New" w:cs="Courier New" w:eastAsia="Courier New" w:hAnsi="Courier New"/>
          <w:sz w:val="14"/>
          <w:szCs w:val="14"/>
          <w:color w:val="auto"/>
        </w:rPr>
      </w:pPr>
    </w:p>
    <w:p>
      <w:pPr>
        <w:ind w:left="432" w:right="3599" w:hanging="432"/>
        <w:spacing w:after="0" w:line="251" w:lineRule="auto"/>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3" w:lineRule="exact"/>
        <w:rPr>
          <w:rFonts w:ascii="Courier New" w:cs="Courier New" w:eastAsia="Courier New" w:hAnsi="Courier New"/>
          <w:sz w:val="14"/>
          <w:szCs w:val="14"/>
          <w:color w:val="auto"/>
        </w:rPr>
      </w:pPr>
    </w:p>
    <w:p>
      <w:pPr>
        <w:ind w:left="432" w:right="3599" w:hanging="432"/>
        <w:spacing w:after="0" w:line="251" w:lineRule="auto"/>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328"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852" w:right="3859" w:hanging="421"/>
        <w:spacing w:after="0" w:line="252" w:lineRule="auto"/>
        <w:tabs>
          <w:tab w:leader="none" w:pos="85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162" w:lineRule="exact"/>
        <w:rPr>
          <w:rFonts w:ascii="Courier New" w:cs="Courier New" w:eastAsia="Courier New" w:hAnsi="Courier New"/>
          <w:sz w:val="14"/>
          <w:szCs w:val="14"/>
          <w:color w:val="auto"/>
        </w:rPr>
      </w:pPr>
    </w:p>
    <w:p>
      <w:pPr>
        <w:ind w:left="852" w:right="3679" w:hanging="421"/>
        <w:spacing w:after="0" w:line="252" w:lineRule="auto"/>
        <w:tabs>
          <w:tab w:leader="none" w:pos="852"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pacing w:after="0" w:line="329"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1"/>
          </w:cols>
          <w:pgMar w:left="228" w:top="947" w:right="1440" w:bottom="1440" w:gutter="0" w:footer="0" w:header="0"/>
        </w:sectPr>
      </w:pPr>
    </w:p>
    <w:bookmarkStart w:id="30" w:name="page31"/>
    <w:bookmarkEnd w:id="30"/>
    <w:p>
      <w:pPr>
        <w:jc w:val="center"/>
        <w:ind w:right="385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859"/>
        <w:spacing w:after="0"/>
        <w:rPr>
          <w:sz w:val="20"/>
          <w:szCs w:val="20"/>
          <w:color w:val="auto"/>
        </w:rPr>
      </w:pPr>
      <w:r>
        <w:rPr>
          <w:rFonts w:ascii="Courier New" w:cs="Courier New" w:eastAsia="Courier New" w:hAnsi="Courier New"/>
          <w:sz w:val="14"/>
          <w:szCs w:val="14"/>
          <w:color w:val="auto"/>
        </w:rPr>
        <w:t>1993 STOCK OPTION PLAN</w:t>
      </w:r>
    </w:p>
    <w:p>
      <w:pPr>
        <w:spacing w:after="0" w:line="338" w:lineRule="exact"/>
        <w:rPr>
          <w:sz w:val="20"/>
          <w:szCs w:val="20"/>
          <w:color w:val="auto"/>
        </w:rPr>
      </w:pPr>
    </w:p>
    <w:p>
      <w:pPr>
        <w:ind w:left="360" w:right="3599" w:hanging="352"/>
        <w:spacing w:after="0" w:line="250"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17, 1993.</w:t>
      </w:r>
    </w:p>
    <w:p>
      <w:pPr>
        <w:spacing w:after="0" w:line="172" w:lineRule="exact"/>
        <w:rPr>
          <w:rFonts w:ascii="Courier New" w:cs="Courier New" w:eastAsia="Courier New" w:hAnsi="Courier New"/>
          <w:sz w:val="14"/>
          <w:szCs w:val="14"/>
          <w:color w:val="auto"/>
        </w:rPr>
      </w:pPr>
    </w:p>
    <w:p>
      <w:pPr>
        <w:ind w:left="360" w:right="3599" w:hanging="352"/>
        <w:spacing w:after="0" w:line="250"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339" w:lineRule="exact"/>
        <w:rPr>
          <w:rFonts w:ascii="Courier New" w:cs="Courier New" w:eastAsia="Courier New" w:hAnsi="Courier New"/>
          <w:sz w:val="14"/>
          <w:szCs w:val="14"/>
          <w:color w:val="auto"/>
        </w:rPr>
      </w:pPr>
    </w:p>
    <w:p>
      <w:pPr>
        <w:ind w:left="360" w:right="3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ectPr>
          <w:pgSz w:w="11900" w:h="16838" w:orient="portrait"/>
          <w:cols w:equalWidth="0" w:num="1">
            <w:col w:w="10239"/>
          </w:cols>
          <w:pgMar w:left="220" w:top="638" w:right="1440" w:bottom="1440" w:gutter="0" w:footer="0" w:header="0"/>
        </w:sectPr>
      </w:pPr>
    </w:p>
    <w:bookmarkStart w:id="31" w:name="page32"/>
    <w:bookmarkEnd w:id="31"/>
    <w:p>
      <w:pPr>
        <w:ind w:left="352" w:right="3599" w:hanging="352"/>
        <w:spacing w:after="0" w:line="250" w:lineRule="auto"/>
        <w:tabs>
          <w:tab w:leader="none" w:pos="35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7" w:lineRule="exact"/>
        <w:rPr>
          <w:rFonts w:ascii="Courier New" w:cs="Courier New" w:eastAsia="Courier New" w:hAnsi="Courier New"/>
          <w:sz w:val="14"/>
          <w:szCs w:val="14"/>
          <w:color w:val="auto"/>
        </w:rPr>
      </w:pPr>
    </w:p>
    <w:p>
      <w:pPr>
        <w:ind w:left="352" w:right="3599" w:hanging="352"/>
        <w:spacing w:after="0" w:line="250" w:lineRule="auto"/>
        <w:tabs>
          <w:tab w:leader="none" w:pos="35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72" w:lineRule="exact"/>
        <w:rPr>
          <w:rFonts w:ascii="Courier New" w:cs="Courier New" w:eastAsia="Courier New" w:hAnsi="Courier New"/>
          <w:sz w:val="14"/>
          <w:szCs w:val="14"/>
          <w:color w:val="auto"/>
        </w:rPr>
      </w:pPr>
    </w:p>
    <w:p>
      <w:pPr>
        <w:ind w:left="352" w:right="3679" w:hanging="352"/>
        <w:spacing w:after="0" w:line="251" w:lineRule="auto"/>
        <w:tabs>
          <w:tab w:leader="none" w:pos="35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4" w:lineRule="exact"/>
        <w:rPr>
          <w:rFonts w:ascii="Courier New" w:cs="Courier New" w:eastAsia="Courier New" w:hAnsi="Courier New"/>
          <w:sz w:val="14"/>
          <w:szCs w:val="14"/>
          <w:color w:val="auto"/>
        </w:rPr>
      </w:pPr>
    </w:p>
    <w:p>
      <w:pPr>
        <w:ind w:left="352" w:right="3599" w:hanging="352"/>
        <w:spacing w:after="0" w:line="252" w:lineRule="auto"/>
        <w:tabs>
          <w:tab w:leader="none" w:pos="35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2"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782" w:right="1440" w:bottom="1440" w:gutter="0" w:footer="0" w:header="0"/>
        </w:sectPr>
      </w:pPr>
    </w:p>
    <w:bookmarkStart w:id="32" w:name="page33"/>
    <w:bookmarkEnd w:id="32"/>
    <w:p>
      <w:pPr>
        <w:ind w:left="260" w:right="3599" w:hanging="257"/>
        <w:spacing w:after="0" w:line="252" w:lineRule="auto"/>
        <w:rPr>
          <w:sz w:val="20"/>
          <w:szCs w:val="20"/>
          <w:color w:val="auto"/>
        </w:rPr>
      </w:pPr>
      <w:r>
        <w:rPr>
          <w:rFonts w:ascii="Courier New" w:cs="Courier New" w:eastAsia="Courier New" w:hAnsi="Courier New"/>
          <w:sz w:val="14"/>
          <w:szCs w:val="14"/>
          <w:color w:val="auto"/>
        </w:rPr>
        <w:t>A. DATE OF GRANT. An option agreement shall specify the date of grant, which shall be the date on which the Committee grants an option or any later date which the Committee specifically designates.</w:t>
      </w:r>
    </w:p>
    <w:p>
      <w:pPr>
        <w:spacing w:after="0" w:line="163" w:lineRule="exact"/>
        <w:rPr>
          <w:sz w:val="20"/>
          <w:szCs w:val="20"/>
          <w:color w:val="auto"/>
        </w:rPr>
      </w:pPr>
    </w:p>
    <w:p>
      <w:pPr>
        <w:ind w:left="260" w:right="3519" w:hanging="257"/>
        <w:spacing w:after="0" w:line="251" w:lineRule="auto"/>
        <w:rPr>
          <w:sz w:val="20"/>
          <w:szCs w:val="20"/>
          <w:color w:val="auto"/>
        </w:rPr>
      </w:pPr>
      <w:r>
        <w:rPr>
          <w:rFonts w:ascii="Courier New" w:cs="Courier New" w:eastAsia="Courier New" w:hAnsi="Courier New"/>
          <w:sz w:val="14"/>
          <w:szCs w:val="14"/>
          <w:color w:val="auto"/>
        </w:rPr>
        <w:t>B. 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5" w:lineRule="exact"/>
        <w:rPr>
          <w:sz w:val="20"/>
          <w:szCs w:val="20"/>
          <w:color w:val="auto"/>
        </w:rPr>
      </w:pPr>
    </w:p>
    <w:p>
      <w:pPr>
        <w:ind w:left="260" w:right="3419" w:hanging="257"/>
        <w:spacing w:after="0" w:line="251" w:lineRule="auto"/>
        <w:rPr>
          <w:sz w:val="20"/>
          <w:szCs w:val="20"/>
          <w:color w:val="auto"/>
        </w:rPr>
      </w:pPr>
      <w:r>
        <w:rPr>
          <w:rFonts w:ascii="Courier New" w:cs="Courier New" w:eastAsia="Courier New" w:hAnsi="Courier New"/>
          <w:sz w:val="14"/>
          <w:szCs w:val="14"/>
          <w:color w:val="auto"/>
        </w:rPr>
        <w:t>C. 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4" w:lineRule="exact"/>
        <w:rPr>
          <w:sz w:val="20"/>
          <w:szCs w:val="20"/>
          <w:color w:val="auto"/>
        </w:rPr>
      </w:pPr>
    </w:p>
    <w:p>
      <w:pPr>
        <w:ind w:left="260" w:right="4279" w:hanging="257"/>
        <w:spacing w:after="0" w:line="255" w:lineRule="auto"/>
        <w:rPr>
          <w:sz w:val="20"/>
          <w:szCs w:val="20"/>
          <w:color w:val="auto"/>
        </w:rPr>
      </w:pPr>
      <w:r>
        <w:rPr>
          <w:rFonts w:ascii="Courier New" w:cs="Courier New" w:eastAsia="Courier New" w:hAnsi="Courier New"/>
          <w:sz w:val="14"/>
          <w:szCs w:val="14"/>
          <w:color w:val="auto"/>
        </w:rPr>
        <w:t>D. TERM OF OPTIONS. The term of each option shall be fixed by the Committee.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EXERCISABILITY AND TRANSFERABILITY.</w:t>
      </w:r>
    </w:p>
    <w:p>
      <w:pPr>
        <w:spacing w:after="0" w:line="173" w:lineRule="exact"/>
        <w:rPr>
          <w:sz w:val="20"/>
          <w:szCs w:val="20"/>
          <w:color w:val="auto"/>
        </w:rPr>
      </w:pPr>
    </w:p>
    <w:p>
      <w:pPr>
        <w:ind w:left="680" w:right="3599" w:hanging="429"/>
        <w:spacing w:after="0" w:line="251" w:lineRule="auto"/>
        <w:tabs>
          <w:tab w:leader="none" w:pos="6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164" w:lineRule="exact"/>
        <w:rPr>
          <w:rFonts w:ascii="Courier New" w:cs="Courier New" w:eastAsia="Courier New" w:hAnsi="Courier New"/>
          <w:sz w:val="14"/>
          <w:szCs w:val="14"/>
          <w:color w:val="auto"/>
        </w:rPr>
      </w:pPr>
    </w:p>
    <w:p>
      <w:pPr>
        <w:ind w:left="680" w:right="3599" w:hanging="429"/>
        <w:spacing w:after="0" w:line="250" w:lineRule="auto"/>
        <w:tabs>
          <w:tab w:leader="none" w:pos="6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options may be exercised</w:t>
      </w:r>
    </w:p>
    <w:p>
      <w:pPr>
        <w:spacing w:after="0" w:line="5" w:lineRule="exact"/>
        <w:rPr>
          <w:rFonts w:ascii="Courier New" w:cs="Courier New" w:eastAsia="Courier New" w:hAnsi="Courier New"/>
          <w:sz w:val="14"/>
          <w:szCs w:val="14"/>
          <w:color w:val="auto"/>
        </w:rPr>
      </w:pPr>
    </w:p>
    <w:p>
      <w:pPr>
        <w:ind w:left="680" w:right="3679" w:firstLine="2"/>
        <w:spacing w:after="0" w:line="251" w:lineRule="auto"/>
        <w:tabs>
          <w:tab w:leader="none" w:pos="1024"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an option holder after such individual ceases to be an employee (for reasons other than disability or retirement at or after age 60) up to three months after the day of termination of employment but not later than the date the option expires, (II)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(III) in the event a salary replacement option is granted by the Committee and the option holder is involuntarily terminated during the option term or becomes disabled or dies,</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79"/>
          </w:cols>
          <w:pgMar w:left="580" w:top="616" w:right="1440" w:bottom="1440" w:gutter="0" w:footer="0" w:header="0"/>
        </w:sectPr>
      </w:pPr>
    </w:p>
    <w:bookmarkStart w:id="33" w:name="page34"/>
    <w:bookmarkEnd w:id="33"/>
    <w:p>
      <w:pPr>
        <w:ind w:left="687" w:right="3599"/>
        <w:spacing w:after="0" w:line="251" w:lineRule="auto"/>
        <w:rPr>
          <w:sz w:val="20"/>
          <w:szCs w:val="20"/>
          <w:color w:val="auto"/>
        </w:rPr>
      </w:pPr>
      <w:r>
        <w:rPr>
          <w:rFonts w:ascii="Courier New" w:cs="Courier New" w:eastAsia="Courier New" w:hAnsi="Courier New"/>
          <w:sz w:val="14"/>
          <w:szCs w:val="14"/>
          <w:color w:val="auto"/>
        </w:rPr>
        <w:t>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328" w:lineRule="exact"/>
        <w:rPr>
          <w:sz w:val="20"/>
          <w:szCs w:val="20"/>
          <w:color w:val="auto"/>
        </w:rPr>
      </w:pPr>
    </w:p>
    <w:p>
      <w:pPr>
        <w:ind w:left="687" w:right="3599" w:hanging="515"/>
        <w:spacing w:after="0" w:line="251" w:lineRule="auto"/>
        <w:tabs>
          <w:tab w:leader="none" w:pos="687"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3" w:lineRule="exact"/>
        <w:rPr>
          <w:rFonts w:ascii="Courier New" w:cs="Courier New" w:eastAsia="Courier New" w:hAnsi="Courier New"/>
          <w:sz w:val="14"/>
          <w:szCs w:val="14"/>
          <w:color w:val="auto"/>
        </w:rPr>
      </w:pPr>
    </w:p>
    <w:p>
      <w:pPr>
        <w:ind w:left="687" w:right="3679" w:hanging="515"/>
        <w:spacing w:after="0" w:line="252" w:lineRule="auto"/>
        <w:tabs>
          <w:tab w:leader="none" w:pos="687"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2" w:lineRule="exact"/>
        <w:rPr>
          <w:rFonts w:ascii="Courier New" w:cs="Courier New" w:eastAsia="Courier New" w:hAnsi="Courier New"/>
          <w:sz w:val="14"/>
          <w:szCs w:val="14"/>
          <w:color w:val="auto"/>
        </w:rPr>
      </w:pPr>
    </w:p>
    <w:p>
      <w:pPr>
        <w:ind w:left="687" w:right="3599" w:hanging="429"/>
        <w:spacing w:after="0" w:line="251" w:lineRule="auto"/>
        <w:tabs>
          <w:tab w:leader="none" w:pos="687"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687" w:right="3599" w:hanging="515"/>
        <w:spacing w:after="0" w:line="252" w:lineRule="auto"/>
        <w:tabs>
          <w:tab w:leader="none" w:pos="687" w:val="left"/>
        </w:tabs>
        <w:numPr>
          <w:ilvl w:val="2"/>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2" w:lineRule="exact"/>
        <w:rPr>
          <w:rFonts w:ascii="Courier New" w:cs="Courier New" w:eastAsia="Courier New" w:hAnsi="Courier New"/>
          <w:sz w:val="14"/>
          <w:szCs w:val="14"/>
          <w:color w:val="auto"/>
        </w:rPr>
      </w:pPr>
    </w:p>
    <w:p>
      <w:pPr>
        <w:ind w:left="347" w:right="3599" w:hanging="347"/>
        <w:spacing w:after="0" w:line="251" w:lineRule="auto"/>
        <w:tabs>
          <w:tab w:leader="none" w:pos="34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w:t>
      </w:r>
    </w:p>
    <w:p>
      <w:pPr>
        <w:spacing w:after="0" w:line="164" w:lineRule="exact"/>
        <w:rPr>
          <w:sz w:val="20"/>
          <w:szCs w:val="20"/>
          <w:color w:val="auto"/>
        </w:rPr>
      </w:pPr>
    </w:p>
    <w:p>
      <w:pPr>
        <w:ind w:left="3007"/>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86"/>
          </w:cols>
          <w:pgMar w:left="573" w:top="616" w:right="1440" w:bottom="1440" w:gutter="0" w:footer="0" w:header="0"/>
        </w:sectPr>
      </w:pPr>
    </w:p>
    <w:bookmarkStart w:id="34" w:name="page35"/>
    <w:bookmarkEnd w:id="34"/>
    <w:p>
      <w:pPr>
        <w:ind w:left="347" w:right="3599" w:hanging="3"/>
        <w:spacing w:after="0" w:line="251" w:lineRule="auto"/>
        <w:tabs>
          <w:tab w:leader="none" w:pos="778"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63" w:lineRule="exact"/>
        <w:rPr>
          <w:sz w:val="20"/>
          <w:szCs w:val="20"/>
          <w:color w:val="auto"/>
        </w:rPr>
      </w:pPr>
    </w:p>
    <w:p>
      <w:pPr>
        <w:ind w:left="347" w:right="3599"/>
        <w:spacing w:after="0" w:line="255" w:lineRule="auto"/>
        <w:rPr>
          <w:sz w:val="20"/>
          <w:szCs w:val="20"/>
          <w:color w:val="auto"/>
        </w:rPr>
      </w:pPr>
      <w:r>
        <w:rPr>
          <w:rFonts w:ascii="Courier New" w:cs="Courier New" w:eastAsia="Courier New" w:hAnsi="Courier New"/>
          <w:sz w:val="14"/>
          <w:szCs w:val="14"/>
          <w:color w:val="auto"/>
        </w:rPr>
        <w:t>No shares of Common Stock shall be issued until full payment therefor has been made.</w:t>
      </w:r>
    </w:p>
    <w:p>
      <w:pPr>
        <w:spacing w:after="0" w:line="160" w:lineRule="exact"/>
        <w:rPr>
          <w:sz w:val="20"/>
          <w:szCs w:val="20"/>
          <w:color w:val="auto"/>
        </w:rPr>
      </w:pPr>
    </w:p>
    <w:p>
      <w:pPr>
        <w:ind w:left="347" w:right="3599" w:hanging="347"/>
        <w:spacing w:after="0" w:line="251" w:lineRule="auto"/>
        <w:tabs>
          <w:tab w:leader="none" w:pos="34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327" w:lineRule="exact"/>
        <w:rPr>
          <w:rFonts w:ascii="Courier New" w:cs="Courier New" w:eastAsia="Courier New" w:hAnsi="Courier New"/>
          <w:sz w:val="14"/>
          <w:szCs w:val="14"/>
          <w:color w:val="auto"/>
        </w:rPr>
      </w:pPr>
    </w:p>
    <w:p>
      <w:pPr>
        <w:ind w:left="347" w:right="3599" w:hanging="347"/>
        <w:spacing w:after="0" w:line="250" w:lineRule="auto"/>
        <w:tabs>
          <w:tab w:leader="none" w:pos="34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340" w:lineRule="exact"/>
        <w:rPr>
          <w:rFonts w:ascii="Courier New" w:cs="Courier New" w:eastAsia="Courier New" w:hAnsi="Courier New"/>
          <w:sz w:val="14"/>
          <w:szCs w:val="14"/>
          <w:color w:val="auto"/>
        </w:rPr>
      </w:pPr>
    </w:p>
    <w:p>
      <w:pPr>
        <w:ind w:left="347" w:right="3679" w:hanging="347"/>
        <w:spacing w:after="0" w:line="252" w:lineRule="auto"/>
        <w:tabs>
          <w:tab w:leader="none" w:pos="34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w:t>
      </w:r>
    </w:p>
    <w:p>
      <w:pPr>
        <w:spacing w:after="0" w:line="163" w:lineRule="exact"/>
        <w:rPr>
          <w:sz w:val="20"/>
          <w:szCs w:val="20"/>
          <w:color w:val="auto"/>
        </w:rPr>
      </w:pPr>
    </w:p>
    <w:p>
      <w:pPr>
        <w:ind w:left="3007"/>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886"/>
          </w:cols>
          <w:pgMar w:left="573" w:top="616" w:right="1440" w:bottom="1440" w:gutter="0" w:footer="0" w:header="0"/>
        </w:sectPr>
      </w:pPr>
    </w:p>
    <w:bookmarkStart w:id="35" w:name="page36"/>
    <w:bookmarkEnd w:id="35"/>
    <w:p>
      <w:pPr>
        <w:ind w:left="692" w:right="3859"/>
        <w:spacing w:after="0" w:line="255" w:lineRule="auto"/>
        <w:rPr>
          <w:sz w:val="20"/>
          <w:szCs w:val="20"/>
          <w:color w:val="auto"/>
        </w:rPr>
      </w:pPr>
      <w:r>
        <w:rPr>
          <w:rFonts w:ascii="Courier New" w:cs="Courier New" w:eastAsia="Courier New" w:hAnsi="Courier New"/>
          <w:sz w:val="14"/>
          <w:szCs w:val="14"/>
          <w:color w:val="auto"/>
        </w:rPr>
        <w:t>consolidation, reorganization or liquidation of the Company or the acquisition of stock or assets of the Company by another entity.</w:t>
      </w:r>
    </w:p>
    <w:p>
      <w:pPr>
        <w:spacing w:after="0" w:line="160" w:lineRule="exact"/>
        <w:rPr>
          <w:sz w:val="20"/>
          <w:szCs w:val="20"/>
          <w:color w:val="auto"/>
        </w:rPr>
      </w:pPr>
    </w:p>
    <w:p>
      <w:pPr>
        <w:ind w:left="692" w:right="3599" w:hanging="347"/>
        <w:spacing w:after="0" w:line="251" w:lineRule="auto"/>
        <w:tabs>
          <w:tab w:leader="none" w:pos="692"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164" w:lineRule="exact"/>
        <w:rPr>
          <w:rFonts w:ascii="Courier New" w:cs="Courier New" w:eastAsia="Courier New" w:hAnsi="Courier New"/>
          <w:sz w:val="14"/>
          <w:szCs w:val="14"/>
          <w:color w:val="auto"/>
        </w:rPr>
      </w:pPr>
    </w:p>
    <w:p>
      <w:pPr>
        <w:ind w:left="692" w:right="3599" w:hanging="347"/>
        <w:spacing w:after="0" w:line="251" w:lineRule="auto"/>
        <w:tabs>
          <w:tab w:leader="none" w:pos="692"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3" w:lineRule="exact"/>
        <w:rPr>
          <w:rFonts w:ascii="Courier New" w:cs="Courier New" w:eastAsia="Courier New" w:hAnsi="Courier New"/>
          <w:sz w:val="14"/>
          <w:szCs w:val="14"/>
          <w:color w:val="auto"/>
        </w:rPr>
      </w:pPr>
    </w:p>
    <w:p>
      <w:pPr>
        <w:ind w:left="692" w:right="3599" w:hanging="347"/>
        <w:spacing w:after="0" w:line="251" w:lineRule="auto"/>
        <w:tabs>
          <w:tab w:leader="none" w:pos="692"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4" w:lineRule="exact"/>
        <w:rPr>
          <w:rFonts w:ascii="Courier New" w:cs="Courier New" w:eastAsia="Courier New" w:hAnsi="Courier New"/>
          <w:sz w:val="14"/>
          <w:szCs w:val="14"/>
          <w:color w:val="auto"/>
        </w:rPr>
      </w:pPr>
    </w:p>
    <w:p>
      <w:pPr>
        <w:ind w:left="352" w:right="3679" w:hanging="352"/>
        <w:spacing w:after="0" w:line="251" w:lineRule="auto"/>
        <w:tabs>
          <w:tab w:leader="none" w:pos="352"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2" w:lineRule="exact"/>
        <w:rPr>
          <w:rFonts w:ascii="Courier New" w:cs="Courier New" w:eastAsia="Courier New" w:hAnsi="Courier New"/>
          <w:sz w:val="14"/>
          <w:szCs w:val="14"/>
          <w:color w:val="auto"/>
        </w:rPr>
      </w:pPr>
    </w:p>
    <w:p>
      <w:pPr>
        <w:ind w:left="692" w:right="3599" w:hanging="347"/>
        <w:spacing w:after="0" w:line="251" w:lineRule="auto"/>
        <w:tabs>
          <w:tab w:leader="none" w:pos="692"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62"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1"/>
          </w:cols>
          <w:pgMar w:left="228" w:top="616" w:right="1440" w:bottom="1440" w:gutter="0" w:footer="0" w:header="0"/>
        </w:sectPr>
      </w:pPr>
    </w:p>
    <w:bookmarkStart w:id="36" w:name="page37"/>
    <w:bookmarkEnd w:id="36"/>
    <w:p>
      <w:pPr>
        <w:ind w:left="692" w:right="3599" w:hanging="347"/>
        <w:spacing w:after="0" w:line="255" w:lineRule="auto"/>
        <w:tabs>
          <w:tab w:leader="none" w:pos="692"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59" w:lineRule="exact"/>
        <w:rPr>
          <w:rFonts w:ascii="Courier New" w:cs="Courier New" w:eastAsia="Courier New" w:hAnsi="Courier New"/>
          <w:sz w:val="14"/>
          <w:szCs w:val="14"/>
          <w:color w:val="auto"/>
        </w:rPr>
      </w:pPr>
    </w:p>
    <w:p>
      <w:pPr>
        <w:ind w:left="352" w:right="3599" w:hanging="352"/>
        <w:spacing w:after="0" w:line="251" w:lineRule="auto"/>
        <w:tabs>
          <w:tab w:leader="none" w:pos="35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3" w:lineRule="exact"/>
        <w:rPr>
          <w:rFonts w:ascii="Courier New" w:cs="Courier New" w:eastAsia="Courier New" w:hAnsi="Courier New"/>
          <w:sz w:val="14"/>
          <w:szCs w:val="14"/>
          <w:color w:val="auto"/>
        </w:rPr>
      </w:pPr>
    </w:p>
    <w:p>
      <w:pPr>
        <w:ind w:left="352" w:right="3599" w:hanging="352"/>
        <w:spacing w:after="0" w:line="251" w:lineRule="auto"/>
        <w:tabs>
          <w:tab w:leader="none" w:pos="35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692" w:right="4019" w:hanging="347"/>
        <w:spacing w:after="0" w:line="252" w:lineRule="auto"/>
        <w:tabs>
          <w:tab w:leader="none" w:pos="692"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162" w:lineRule="exact"/>
        <w:rPr>
          <w:rFonts w:ascii="Courier New" w:cs="Courier New" w:eastAsia="Courier New" w:hAnsi="Courier New"/>
          <w:sz w:val="14"/>
          <w:szCs w:val="14"/>
          <w:color w:val="auto"/>
        </w:rPr>
      </w:pPr>
    </w:p>
    <w:p>
      <w:pPr>
        <w:ind w:left="692" w:right="3859" w:hanging="347"/>
        <w:spacing w:after="0" w:line="252" w:lineRule="auto"/>
        <w:tabs>
          <w:tab w:leader="none" w:pos="692"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pacing w:after="0" w:line="163" w:lineRule="exact"/>
        <w:rPr>
          <w:sz w:val="20"/>
          <w:szCs w:val="20"/>
          <w:color w:val="auto"/>
        </w:rPr>
      </w:pPr>
    </w:p>
    <w:p>
      <w:pPr>
        <w:ind w:left="345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1"/>
          </w:cols>
          <w:pgMar w:left="228" w:top="616" w:right="1440" w:bottom="1440" w:gutter="0" w:footer="0" w:header="0"/>
        </w:sectPr>
      </w:pPr>
    </w:p>
    <w:bookmarkStart w:id="37" w:name="page38"/>
    <w:bookmarkEnd w:id="37"/>
    <w:p>
      <w:pPr>
        <w:ind w:left="3360"/>
        <w:spacing w:after="0"/>
        <w:rPr>
          <w:sz w:val="20"/>
          <w:szCs w:val="20"/>
          <w:color w:val="auto"/>
        </w:rPr>
      </w:pPr>
      <w:r>
        <w:rPr>
          <w:rFonts w:ascii="Courier New" w:cs="Courier New" w:eastAsia="Courier New" w:hAnsi="Courier New"/>
          <w:sz w:val="14"/>
          <w:szCs w:val="14"/>
          <w:color w:val="auto"/>
        </w:rPr>
        <w:t>ADDENDUM</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DATED AS OF JULY 31, 1997</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TO</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CHIEF EXECUTIVE OFFICER INCENTIVE AWARD AGREEMENT</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ADDENDUM ("Addendum") dated as of July 31, 1997, by and between The Toro Company, a Delaware corporation (the "Company"), and Kendrick B. Melrose, its Chief Executive Officer ("Mr. Melrose"), to The Toro Company Chief Executive Officer Incentive Award Agreement dated as of July 31, 1995 (the "Agreement").</w:t>
      </w:r>
    </w:p>
    <w:p>
      <w:pPr>
        <w:spacing w:after="0" w:line="162" w:lineRule="exact"/>
        <w:rPr>
          <w:sz w:val="20"/>
          <w:szCs w:val="20"/>
          <w:color w:val="auto"/>
        </w:rPr>
      </w:pPr>
    </w:p>
    <w:p>
      <w:pPr>
        <w:ind w:left="440" w:right="3339" w:hanging="432"/>
        <w:spacing w:after="0" w:line="251"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section of the Agreement identified as Section 2. Terms, Conditions and Restrictions is hereby renumbered to become Section 3, in order to eliminate duplicate numbering, and each reference to Section 2 or to a subsection of Section 2 throughout the Agreement shall be revised to be a reference to Section 3, and each reference to Section 1 or to a subsection of Section 1 throughout the Agreement shall be revised to be a reference to Section 2.</w:t>
      </w:r>
    </w:p>
    <w:p>
      <w:pPr>
        <w:spacing w:after="0" w:line="329"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3.a.i.(A) of the Agreement, as renumbered, be and hereby is amended in connection with the schedule for achievement of each Performance Goal, as follows:</w:t>
      </w:r>
    </w:p>
    <w:p>
      <w:pPr>
        <w:spacing w:after="0" w:line="162"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deadline for achievement of Goal 2 shall be changed from July 31, 1999, to October 31, 2000; and</w:t>
      </w:r>
    </w:p>
    <w:p>
      <w:pPr>
        <w:spacing w:after="0" w:line="159" w:lineRule="exact"/>
        <w:rPr>
          <w:rFonts w:ascii="Courier New" w:cs="Courier New" w:eastAsia="Courier New" w:hAnsi="Courier New"/>
          <w:sz w:val="14"/>
          <w:szCs w:val="14"/>
          <w:color w:val="auto"/>
        </w:rPr>
      </w:pPr>
    </w:p>
    <w:p>
      <w:pPr>
        <w:ind w:left="860" w:right="3419" w:hanging="421"/>
        <w:spacing w:after="0" w:line="255" w:lineRule="auto"/>
        <w:tabs>
          <w:tab w:leader="none" w:pos="860" w:val="left"/>
        </w:tabs>
        <w:numPr>
          <w:ilvl w:val="1"/>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deadline for achievement of Goal 3 shall be changed from July 31, 2000, to October 31, 2003.</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new Section 3.a.i.(D) shall be added to the Agreement, as follows:</w:t>
      </w:r>
    </w:p>
    <w:p>
      <w:pPr>
        <w:spacing w:after="0" w:line="173" w:lineRule="exact"/>
        <w:rPr>
          <w:sz w:val="20"/>
          <w:szCs w:val="20"/>
          <w:color w:val="auto"/>
        </w:rPr>
      </w:pPr>
    </w:p>
    <w:p>
      <w:pPr>
        <w:jc w:val="both"/>
        <w:ind w:left="860" w:right="3599" w:hanging="421"/>
        <w:spacing w:after="0" w:line="251" w:lineRule="auto"/>
        <w:tabs>
          <w:tab w:leader="none" w:pos="860"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this Agreement are not intended to, and do not, impose on Mr. Melrose a mandatory retirement date not otherwise applicable to employees of the Company generally, and Mr. Melrose shall not be obligated to retire as an officer of the Company in order to obtain the benefits of this Agreement.</w:t>
      </w:r>
    </w:p>
    <w:p>
      <w:pPr>
        <w:spacing w:after="0" w:line="164" w:lineRule="exact"/>
        <w:rPr>
          <w:rFonts w:ascii="Courier New" w:cs="Courier New" w:eastAsia="Courier New" w:hAnsi="Courier New"/>
          <w:sz w:val="14"/>
          <w:szCs w:val="14"/>
          <w:color w:val="auto"/>
        </w:rPr>
      </w:pPr>
    </w:p>
    <w:p>
      <w:pPr>
        <w:ind w:left="440" w:right="3419" w:hanging="432"/>
        <w:spacing w:after="0" w:line="255" w:lineRule="auto"/>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this Addendum, all other terms and provisions of the Agreement shall remain in full force and effect.</w:t>
      </w:r>
    </w:p>
    <w:p>
      <w:pPr>
        <w:spacing w:after="0" w:line="159"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WITNESS WHEREOF, this Addendum to the Agreement has been executed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delivered by the Company of the date first above set forth.</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473" w:right="1440" w:bottom="1440" w:gutter="0" w:footer="0" w:header="0"/>
        </w:sectPr>
      </w:pP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 Lawrence McIntyre</w:t>
      </w:r>
    </w:p>
    <w:p>
      <w:pPr>
        <w:spacing w:after="0" w:line="7" w:lineRule="exact"/>
        <w:rPr>
          <w:sz w:val="20"/>
          <w:szCs w:val="20"/>
          <w:color w:val="auto"/>
        </w:rPr>
      </w:pPr>
    </w:p>
    <w:p>
      <w:pPr>
        <w:sectPr>
          <w:pgSz w:w="11900" w:h="16838" w:orient="portrait"/>
          <w:cols w:equalWidth="0" w:num="2">
            <w:col w:w="2760" w:space="260"/>
            <w:col w:w="7219"/>
          </w:cols>
          <w:pgMar w:left="220" w:top="473"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Vice President and Secretary</w:t>
      </w:r>
    </w:p>
    <w:p>
      <w:pPr>
        <w:sectPr>
          <w:pgSz w:w="11900" w:h="16838" w:orient="portrait"/>
          <w:cols w:equalWidth="0" w:num="1">
            <w:col w:w="10239"/>
          </w:cols>
          <w:pgMar w:left="220" w:top="473" w:right="1440" w:bottom="1440" w:gutter="0" w:footer="0" w:header="0"/>
          <w:type w:val="continuous"/>
        </w:sectPr>
      </w:pPr>
    </w:p>
    <w:bookmarkStart w:id="38" w:name="page39"/>
    <w:bookmarkEnd w:id="38"/>
    <w:p>
      <w:pPr>
        <w:ind w:right="3339" w:firstLine="431"/>
        <w:spacing w:after="0" w:line="251" w:lineRule="auto"/>
        <w:rPr>
          <w:sz w:val="20"/>
          <w:szCs w:val="20"/>
          <w:color w:val="auto"/>
        </w:rPr>
      </w:pPr>
      <w:r>
        <w:rPr>
          <w:rFonts w:ascii="Courier New" w:cs="Courier New" w:eastAsia="Courier New" w:hAnsi="Courier New"/>
          <w:sz w:val="14"/>
          <w:szCs w:val="14"/>
          <w:color w:val="auto"/>
        </w:rPr>
        <w:t>I hereby agree to the terms and conditions of the Agreement, as amended by this Addendum, which together memorialize the terms and conditions of the Restricted Stock and Performance Unit Award grant made to me as of July 31, 1995, and approved by stockholders of the Company at the 1994 Annual Meeting of Stockholders and amended by the Compensation Committee and Board of Directors in July, 1997.</w:t>
      </w:r>
    </w:p>
    <w:p>
      <w:pPr>
        <w:spacing w:after="0" w:line="164" w:lineRule="exact"/>
        <w:rPr>
          <w:sz w:val="20"/>
          <w:szCs w:val="20"/>
          <w:color w:val="auto"/>
        </w:rPr>
      </w:pPr>
    </w:p>
    <w:p>
      <w:pPr>
        <w:ind w:left="2600"/>
        <w:spacing w:after="0"/>
        <w:tabs>
          <w:tab w:leader="none" w:pos="30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Chairman, CEO and President</w:t>
      </w:r>
    </w:p>
    <w:p>
      <w:pPr>
        <w:sectPr>
          <w:pgSz w:w="11900" w:h="16838" w:orient="portrait"/>
          <w:cols w:equalWidth="0" w:num="1">
            <w:col w:w="10239"/>
          </w:cols>
          <w:pgMar w:left="220" w:top="782" w:right="1440" w:bottom="1440" w:gutter="0" w:footer="0" w:header="0"/>
        </w:sectPr>
      </w:pPr>
    </w:p>
    <w:bookmarkStart w:id="39" w:name="page40"/>
    <w:bookmarkEnd w:id="39"/>
    <w:p>
      <w:pPr>
        <w:ind w:left="1552"/>
        <w:spacing w:after="0"/>
        <w:rPr>
          <w:sz w:val="20"/>
          <w:szCs w:val="20"/>
          <w:color w:val="auto"/>
        </w:rPr>
      </w:pPr>
      <w:r>
        <w:rPr>
          <w:rFonts w:ascii="Courier New" w:cs="Courier New" w:eastAsia="Courier New" w:hAnsi="Courier New"/>
          <w:sz w:val="14"/>
          <w:szCs w:val="14"/>
          <w:color w:val="auto"/>
        </w:rPr>
        <w:t>CHIEF EXECUTIVE OFFICER SUCCESSION PLAN</w:t>
      </w:r>
    </w:p>
    <w:p>
      <w:pPr>
        <w:spacing w:after="0" w:line="200" w:lineRule="exact"/>
        <w:rPr>
          <w:sz w:val="20"/>
          <w:szCs w:val="20"/>
          <w:color w:val="auto"/>
        </w:rPr>
      </w:pPr>
    </w:p>
    <w:p>
      <w:pPr>
        <w:spacing w:after="0" w:line="304" w:lineRule="exact"/>
        <w:rPr>
          <w:sz w:val="20"/>
          <w:szCs w:val="20"/>
          <w:color w:val="auto"/>
        </w:rPr>
      </w:pPr>
    </w:p>
    <w:p>
      <w:pPr>
        <w:ind w:left="-8" w:right="3339" w:firstLine="8"/>
        <w:spacing w:after="0" w:line="251" w:lineRule="auto"/>
        <w:tabs>
          <w:tab w:leader="none" w:pos="42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Chief Executive Officer Succession Plan (the "Plan") is to assist The Toro Company (the "Company") in preparing for succession in the management of the Company at the retirement of Kendrick B. Melrose, Chairman and Chief Executive Officer of the Company ("Mr. Melrose"); to encourage Mr. Melrose to assure the identification, development and readiness of his successor prior to his retirement, subject to such successor's approval by the Board of Directors; and to discourage Mr. Melrose from seeking employment with, consulting for or serving on the board of directors of any competitor of the Company.</w:t>
      </w:r>
    </w:p>
    <w:p>
      <w:pPr>
        <w:spacing w:after="0" w:line="163" w:lineRule="exact"/>
        <w:rPr>
          <w:rFonts w:ascii="Courier New" w:cs="Courier New" w:eastAsia="Courier New" w:hAnsi="Courier New"/>
          <w:sz w:val="14"/>
          <w:szCs w:val="14"/>
          <w:color w:val="auto"/>
        </w:rPr>
      </w:pPr>
    </w:p>
    <w:p>
      <w:pPr>
        <w:ind w:left="-8" w:right="3419" w:firstLine="8"/>
        <w:spacing w:after="0" w:line="252" w:lineRule="auto"/>
        <w:tabs>
          <w:tab w:leader="none" w:pos="42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was adopted by the Board of Directors on October 18, 1994, and became effective on July 31, 1995, following approval by the holders of the Common Stock, par value $1.00 per share, of the Company (the "Common Stock") at the 1994 Annual Meeting of Stockholders.</w:t>
      </w:r>
    </w:p>
    <w:p>
      <w:pPr>
        <w:spacing w:after="0" w:line="162"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("the Committee"), which shall be comprised of not fewer than two members of the Board of Directors of the Company who shall meet the requirements for service pursuant to Rule 16b-3 under the Securities Exchange Act of 1934, as amended (the "Exchange Act"), and Section 162(m) under the Internal Revenue Code of 1986, as amended (the "Code"), and the rules, regulations and interpretations thereunder. The Committee shall have the authority to interpret the Plan; to prescribe, amend and rescind the rules and regulations relating to it, and to make all other determinations deemed necessary or advisable for the administration of the Plan. Such determinations shall be conclusive.</w:t>
      </w:r>
    </w:p>
    <w:p>
      <w:pPr>
        <w:spacing w:after="0" w:line="163"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SUBJECT TO THE PLAN. Subject to the provisions of Section 5.a. and Section 6.e.ii, the maximum aggregate number of shares of Common Stock that may be awarded as Restricted Stock under the Plan shall be 23,960. Such shares may be in whole or in part authorized but unissued shares of Common Stock or shares of Common Stock previously issued and outstanding and reacquired by the Company.</w:t>
      </w:r>
    </w:p>
    <w:p>
      <w:pPr>
        <w:spacing w:after="0" w:line="164"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The Company shall have the authority to enter into an agreement with Mr. Melrose, to become effective as of July 31, 1995, embodying the terms and conditions of this Plan, pursuant to which Mr. Melrose shall be granted an award comprised of the components set forth in Sections 5.a. through 5.c. Mr. Melrose shall not have any rights with respect to the award authorized under this Plan until and unless he shall have executed an agreement or other instrument evidencing the award and containing the terms and conditions set forth in this Plan and shall have delivered a fully executed copy thereof to the Company, and otherwise complied with the then applicable terms and conditions.</w:t>
      </w:r>
    </w:p>
    <w:p>
      <w:pPr>
        <w:spacing w:after="0" w:line="163" w:lineRule="exact"/>
        <w:rPr>
          <w:rFonts w:ascii="Courier New" w:cs="Courier New" w:eastAsia="Courier New" w:hAnsi="Courier New"/>
          <w:sz w:val="14"/>
          <w:szCs w:val="14"/>
          <w:color w:val="auto"/>
        </w:rPr>
      </w:pPr>
    </w:p>
    <w:p>
      <w:pPr>
        <w:ind w:left="-8" w:right="3419" w:firstLine="439"/>
        <w:spacing w:after="0" w:line="252" w:lineRule="auto"/>
        <w:tabs>
          <w:tab w:leader="none" w:pos="853"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RESTRICTED STOCK. The Company shall grant to Mr. Melrose on July 31, 1995 the number of whole shares of Common Stock having an aggregate fair market value</w:t>
      </w:r>
    </w:p>
    <w:p>
      <w:pPr>
        <w:sectPr>
          <w:pgSz w:w="11900" w:h="16838" w:orient="portrait"/>
          <w:cols w:equalWidth="0" w:num="1">
            <w:col w:w="10231"/>
          </w:cols>
          <w:pgMar w:left="228" w:top="782" w:right="1440" w:bottom="1440" w:gutter="0" w:footer="0" w:header="0"/>
        </w:sectPr>
      </w:pPr>
    </w:p>
    <w:bookmarkStart w:id="40" w:name="page41"/>
    <w:bookmarkEnd w:id="40"/>
    <w:p>
      <w:pPr>
        <w:ind w:right="3599"/>
        <w:spacing w:after="0" w:line="251" w:lineRule="auto"/>
        <w:rPr>
          <w:sz w:val="20"/>
          <w:szCs w:val="20"/>
          <w:color w:val="auto"/>
        </w:rPr>
      </w:pPr>
      <w:r>
        <w:rPr>
          <w:rFonts w:ascii="Courier New" w:cs="Courier New" w:eastAsia="Courier New" w:hAnsi="Courier New"/>
          <w:sz w:val="14"/>
          <w:szCs w:val="14"/>
          <w:color w:val="auto"/>
        </w:rPr>
        <w:t>of $500,000 on such date of grant (the "Restricted Stock"), subject to forfeiture or reduction of the number of shares in the event performance goals set forth in Section 6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163" w:lineRule="exact"/>
        <w:rPr>
          <w:sz w:val="20"/>
          <w:szCs w:val="20"/>
          <w:color w:val="auto"/>
        </w:rPr>
      </w:pPr>
    </w:p>
    <w:p>
      <w:pPr>
        <w:ind w:right="3339" w:firstLine="439"/>
        <w:spacing w:after="0" w:line="250" w:lineRule="auto"/>
        <w:tabs>
          <w:tab w:leader="none" w:pos="861"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PERFORMANCE UNITS AND ANNUITY PURCHASE. Subject to the terms and conditions of this Plan, the Company shall grant to Mr. Melrose on July 31, 1995, performance units equal to the number of whole shares of Common Stock having an aggregate fair market value of $500,000 on such date of grant (the "Performance Units"), subject to forfeiture or reduction in the event the Performance Goals set forth in Section 6 are not achieved and to the other terms and conditions of the Plan.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the agreement to be entered into between Mr. Melrose and the Company pursuant to the preamble to this Section 5.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 and comply with the terms and conditions of a noncompetition agreement, in accordance with Section 5.c. and 6.b.</w:t>
      </w:r>
    </w:p>
    <w:p>
      <w:pPr>
        <w:spacing w:after="0" w:line="338"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Subject to the terms and conditions of this Plan, the Company shall have the authority to enter into a post-retirement consulting and non-competition agreement with Mr. Melrose, providing for the payment of an aggregate amount of up to $500,000, which amount shall be adjusted not less than once annually to reflect increases in the consumer price index and which may be utilized to pay expenses of office and support services for Mr. Melrose for a period of five years following the date of his retirement.</w:t>
      </w:r>
    </w:p>
    <w:p>
      <w:pPr>
        <w:spacing w:after="0" w:line="163"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RESTRICTIONS.</w:t>
      </w:r>
    </w:p>
    <w:p>
      <w:pPr>
        <w:spacing w:after="0" w:line="172" w:lineRule="exact"/>
        <w:rPr>
          <w:rFonts w:ascii="Courier New" w:cs="Courier New" w:eastAsia="Courier New" w:hAnsi="Courier New"/>
          <w:sz w:val="14"/>
          <w:szCs w:val="14"/>
          <w:color w:val="auto"/>
        </w:rPr>
      </w:pPr>
    </w:p>
    <w:p>
      <w:pPr>
        <w:ind w:right="3519" w:firstLine="439"/>
        <w:spacing w:after="0" w:line="251" w:lineRule="auto"/>
        <w:tabs>
          <w:tab w:leader="none" w:pos="861"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AND PERFORMANCE UNIT PERFORMANCE GOAL RESTRICTIONS. The obligation of the Company to deliver certificates representing the Restricted Stock granted hereunder and to utilize the aggregate value of the Performance Units to purchase a retirement annuity shall be subject to the terms, conditions and restrictions set forth in this Section 6.a.</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41" w:name="page42"/>
    <w:bookmarkEnd w:id="41"/>
    <w:p>
      <w:pPr>
        <w:ind w:right="3339" w:firstLine="870"/>
        <w:spacing w:after="0" w:line="250" w:lineRule="auto"/>
        <w:tabs>
          <w:tab w:leader="none" w:pos="1292"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shall be subject to the vesting requirements set forth in this Section 6.a.i. and to the achievement by Mr. Melrose of the Performance Goals set forth in Section 6.a.i.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Section 6.b. If Mr. Melrose does not enter into a noncompetition agreement or does not comply with the terms and conditions of such a noncompetition agreement, then Mr. Melrose shall forfeit his rights to the Performance Units and the right to receive the benefits of the retirement annuity referred to in Section 5.b.</w:t>
      </w:r>
    </w:p>
    <w:p>
      <w:pPr>
        <w:spacing w:after="0" w:line="173" w:lineRule="exact"/>
        <w:rPr>
          <w:rFonts w:ascii="Courier New" w:cs="Courier New" w:eastAsia="Courier New" w:hAnsi="Courier New"/>
          <w:sz w:val="14"/>
          <w:szCs w:val="14"/>
          <w:color w:val="auto"/>
        </w:rPr>
      </w:pPr>
    </w:p>
    <w:p>
      <w:pPr>
        <w:ind w:right="3419" w:firstLine="1300"/>
        <w:spacing w:after="0" w:line="252" w:lineRule="auto"/>
        <w:tabs>
          <w:tab w:leader="none" w:pos="1723"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Performance Goals, the schedule for achievement of each Performance Goal and the portion of Restricted Stock and Performance Units in which rights vest upon such achievement.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Performance Goal</w:t>
            </w: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Restricted Period</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Portion of</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Portion of</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 be Achieved</w:t>
            </w: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(July 31, 1995</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Shares of Re-</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Performance</w:t>
            </w:r>
          </w:p>
        </w:tc>
      </w:tr>
      <w:tr>
        <w:trPr>
          <w:trHeight w:val="166"/>
        </w:trPr>
        <w:tc>
          <w:tcPr>
            <w:tcW w:w="238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through earlier of</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stricted Stock</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Units to</w:t>
            </w:r>
          </w:p>
        </w:tc>
      </w:tr>
      <w:tr>
        <w:trPr>
          <w:trHeight w:val="166"/>
        </w:trPr>
        <w:tc>
          <w:tcPr>
            <w:tcW w:w="238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date shown or</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to Vest Upon</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Vest Upon</w:t>
            </w:r>
          </w:p>
        </w:tc>
      </w:tr>
      <w:tr>
        <w:trPr>
          <w:trHeight w:val="166"/>
        </w:trPr>
        <w:tc>
          <w:tcPr>
            <w:tcW w:w="2380" w:type="dxa"/>
            <w:vAlign w:val="bottom"/>
          </w:tcPr>
          <w:p>
            <w:pPr>
              <w:spacing w:after="0"/>
              <w:rPr>
                <w:sz w:val="14"/>
                <w:szCs w:val="1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Goal Achievement)</w:t>
            </w:r>
          </w:p>
        </w:tc>
        <w:tc>
          <w:tcPr>
            <w:tcW w:w="1520" w:type="dxa"/>
            <w:vAlign w:val="bottom"/>
          </w:tcPr>
          <w:p>
            <w:pPr>
              <w:ind w:left="140"/>
              <w:spacing w:after="0"/>
              <w:rPr>
                <w:sz w:val="20"/>
                <w:szCs w:val="20"/>
                <w:color w:val="auto"/>
              </w:rPr>
            </w:pPr>
            <w:r>
              <w:rPr>
                <w:rFonts w:ascii="Courier New" w:cs="Courier New" w:eastAsia="Courier New" w:hAnsi="Courier New"/>
                <w:sz w:val="14"/>
                <w:szCs w:val="14"/>
                <w:color w:val="auto"/>
              </w:rPr>
              <w:t>Achievement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Achievement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Goal 1:</w:t>
            </w: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CEO and senior management</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succession plan developed</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and progress toward</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fulfillment of the plan,</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both approved by Board of</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July 31, 1998</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15%</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Goal 2:</w:t>
            </w: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Continued development of</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senior management team and</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identification of</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potential CEO successor</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identified with approval</w:t>
            </w: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of Board of Directors</w:t>
            </w:r>
          </w:p>
        </w:tc>
        <w:tc>
          <w:tcPr>
            <w:tcW w:w="1800" w:type="dxa"/>
            <w:vAlign w:val="bottom"/>
          </w:tcPr>
          <w:p>
            <w:pPr>
              <w:ind w:left="120"/>
              <w:spacing w:after="0"/>
              <w:rPr>
                <w:sz w:val="20"/>
                <w:szCs w:val="20"/>
                <w:color w:val="auto"/>
              </w:rPr>
            </w:pPr>
            <w:r>
              <w:rPr>
                <w:rFonts w:ascii="Courier New" w:cs="Courier New" w:eastAsia="Courier New" w:hAnsi="Courier New"/>
                <w:sz w:val="14"/>
                <w:szCs w:val="14"/>
                <w:color w:val="auto"/>
              </w:rPr>
              <w:t>October 31, 2000</w:t>
            </w:r>
          </w:p>
        </w:tc>
        <w:tc>
          <w:tcPr>
            <w:tcW w:w="1520" w:type="dxa"/>
            <w:vAlign w:val="bottom"/>
          </w:tcPr>
          <w:p>
            <w:pPr>
              <w:ind w:left="480"/>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15%</w:t>
            </w:r>
          </w:p>
        </w:tc>
      </w:tr>
      <w:tr>
        <w:trPr>
          <w:trHeight w:val="497"/>
        </w:trPr>
        <w:tc>
          <w:tcPr>
            <w:tcW w:w="2380" w:type="dxa"/>
            <w:vAlign w:val="bottom"/>
          </w:tcPr>
          <w:p>
            <w:pPr>
              <w:spacing w:after="0"/>
              <w:rPr>
                <w:sz w:val="24"/>
                <w:szCs w:val="24"/>
                <w:color w:val="auto"/>
              </w:rPr>
            </w:pPr>
          </w:p>
        </w:tc>
        <w:tc>
          <w:tcPr>
            <w:tcW w:w="1800" w:type="dxa"/>
            <w:vAlign w:val="bottom"/>
          </w:tcPr>
          <w:p>
            <w:pPr>
              <w:ind w:left="1500"/>
              <w:spacing w:after="0"/>
              <w:rPr>
                <w:sz w:val="20"/>
                <w:szCs w:val="20"/>
                <w:color w:val="auto"/>
              </w:rPr>
            </w:pPr>
            <w:r>
              <w:rPr>
                <w:rFonts w:ascii="Courier New" w:cs="Courier New" w:eastAsia="Courier New" w:hAnsi="Courier New"/>
                <w:sz w:val="14"/>
                <w:szCs w:val="14"/>
                <w:color w:val="auto"/>
              </w:rPr>
              <w:t>3</w:t>
            </w: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Goal 3:</w:t>
            </w:r>
          </w:p>
        </w:tc>
        <w:tc>
          <w:tcPr>
            <w:tcW w:w="15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CEO identified</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and developed</w:t>
            </w: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by Mr. Melrose</w:t>
            </w:r>
          </w:p>
        </w:tc>
        <w:tc>
          <w:tcPr>
            <w:tcW w:w="1500" w:type="dxa"/>
            <w:vAlign w:val="bottom"/>
          </w:tcPr>
          <w:p>
            <w:pPr>
              <w:ind w:left="40"/>
              <w:spacing w:after="0"/>
              <w:rPr>
                <w:sz w:val="20"/>
                <w:szCs w:val="20"/>
                <w:color w:val="auto"/>
              </w:rPr>
            </w:pPr>
            <w:r>
              <w:rPr>
                <w:rFonts w:ascii="Courier New" w:cs="Courier New" w:eastAsia="Courier New" w:hAnsi="Courier New"/>
                <w:sz w:val="14"/>
                <w:szCs w:val="14"/>
                <w:color w:val="auto"/>
              </w:rPr>
              <w:t>and elected as</w:t>
            </w: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CEO by the Board of Directors</w:t>
            </w:r>
          </w:p>
        </w:tc>
        <w:tc>
          <w:tcPr>
            <w:tcW w:w="2020" w:type="dxa"/>
            <w:vAlign w:val="bottom"/>
          </w:tcPr>
          <w:p>
            <w:pPr>
              <w:ind w:left="260"/>
              <w:spacing w:after="0"/>
              <w:rPr>
                <w:sz w:val="20"/>
                <w:szCs w:val="20"/>
                <w:color w:val="auto"/>
              </w:rPr>
            </w:pPr>
            <w:r>
              <w:rPr>
                <w:rFonts w:ascii="Courier New" w:cs="Courier New" w:eastAsia="Courier New" w:hAnsi="Courier New"/>
                <w:sz w:val="14"/>
                <w:szCs w:val="14"/>
                <w:color w:val="auto"/>
              </w:rPr>
              <w:t>October 31, 2003</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bl>
    <w:p>
      <w:pPr>
        <w:spacing w:after="0" w:line="335" w:lineRule="exact"/>
        <w:rPr>
          <w:sz w:val="20"/>
          <w:szCs w:val="20"/>
          <w:color w:val="auto"/>
        </w:rPr>
      </w:pPr>
    </w:p>
    <w:p>
      <w:pPr>
        <w:ind w:right="3339" w:firstLine="1300"/>
        <w:spacing w:after="0" w:line="251" w:lineRule="auto"/>
        <w:tabs>
          <w:tab w:leader="none" w:pos="1723"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Selection of Successor. Notwithstanding any other provision of the Plan, in the event that the Board of Directors elects as Mr. Melrose's successor the individual identified and developed by Mr. Melrose, and such successor is in place as chief executive officer of the Company and Mr. Melrose elects to retire prior to the last day of the final Restricted Period, but no earlier than July 31, 1997, all Restricted Stock and Performance Units shall vest in full and become nonforfeitable, subject to the condition with respect to the Performance Units that Mr. Melrose enter into and comply with the terms and conditions of a noncompetition agreement in accordance with Section 6.b.</w:t>
      </w:r>
    </w:p>
    <w:p>
      <w:pPr>
        <w:spacing w:after="0" w:line="329" w:lineRule="exact"/>
        <w:rPr>
          <w:rFonts w:ascii="Courier New" w:cs="Courier New" w:eastAsia="Courier New" w:hAnsi="Courier New"/>
          <w:sz w:val="14"/>
          <w:szCs w:val="14"/>
          <w:color w:val="auto"/>
        </w:rPr>
      </w:pPr>
    </w:p>
    <w:p>
      <w:pPr>
        <w:ind w:right="3339" w:firstLine="1300"/>
        <w:spacing w:after="0" w:line="251" w:lineRule="auto"/>
        <w:tabs>
          <w:tab w:leader="none" w:pos="1723"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be responsible for certifying in writing to the Company that the applicable Performance Goal has been met by Mr. Melrose prior to release and delivery of certificates representing the shares of Restricted Stock or payment of the value of Performance Units for the purchase of a retirement annuity to Mr. Melrose.</w:t>
      </w:r>
    </w:p>
    <w:p>
      <w:pPr>
        <w:spacing w:after="0" w:line="165" w:lineRule="exact"/>
        <w:rPr>
          <w:sz w:val="20"/>
          <w:szCs w:val="20"/>
          <w:color w:val="auto"/>
        </w:rPr>
      </w:pPr>
    </w:p>
    <w:p>
      <w:pPr>
        <w:ind w:right="3339" w:firstLine="1292"/>
        <w:spacing w:after="0" w:line="252" w:lineRule="auto"/>
        <w:rPr>
          <w:sz w:val="20"/>
          <w:szCs w:val="20"/>
          <w:color w:val="auto"/>
        </w:rPr>
      </w:pPr>
      <w:r>
        <w:rPr>
          <w:rFonts w:ascii="Courier New" w:cs="Courier New" w:eastAsia="Courier New" w:hAnsi="Courier New"/>
          <w:sz w:val="14"/>
          <w:szCs w:val="14"/>
          <w:color w:val="auto"/>
        </w:rPr>
        <w:t>The terms of this Plan are not intended to, and do not, impose on Mr. Melrose a mandatory retirement date not otherwise applicable to employees of the Company generally, and Mr. Melrose shall not be obligated to retire as an officer of the Company in order to obtain the benefits of this Agreement.</w:t>
      </w:r>
    </w:p>
    <w:p>
      <w:pPr>
        <w:spacing w:after="0" w:line="162" w:lineRule="exact"/>
        <w:rPr>
          <w:sz w:val="20"/>
          <w:szCs w:val="20"/>
          <w:color w:val="auto"/>
        </w:rPr>
      </w:pPr>
    </w:p>
    <w:p>
      <w:pPr>
        <w:ind w:right="3679" w:firstLine="870"/>
        <w:spacing w:after="0" w:line="251" w:lineRule="auto"/>
        <w:tabs>
          <w:tab w:leader="none" w:pos="129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 of Restricted Stock and Performance Units. Shares of the Restricted Stock which have not vested in accordance with the provisions of Section 6.a. hereof may not be sold, transferred, pledged, assigned or otherwise encumbered. Performance Units may not be sold, transferred, pledged, assigned or otherwise encumbered at any time.</w:t>
      </w:r>
    </w:p>
    <w:p>
      <w:pPr>
        <w:spacing w:after="0" w:line="164"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1"/>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and elects as Mr. Melrose's successor a chief executive officer who was identified and developed by Mr. Melrose, or in the event of the termination of Mr. Melrose's employment due to his death or disability, then all shares of Restricted Stock and Performance Units shall automatically and immediately vest in full and become nonforfeitable.</w:t>
      </w:r>
    </w:p>
    <w:p>
      <w:pPr>
        <w:spacing w:after="0" w:line="329" w:lineRule="exact"/>
        <w:rPr>
          <w:rFonts w:ascii="Courier New" w:cs="Courier New" w:eastAsia="Courier New" w:hAnsi="Courier New"/>
          <w:sz w:val="14"/>
          <w:szCs w:val="14"/>
          <w:color w:val="auto"/>
        </w:rPr>
      </w:pPr>
    </w:p>
    <w:p>
      <w:pPr>
        <w:ind w:right="3339" w:firstLine="439"/>
        <w:spacing w:after="0" w:line="253" w:lineRule="auto"/>
        <w:tabs>
          <w:tab w:leader="none" w:pos="86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The Company's agreement to pay any amount in connection with post-retirement consulting services to be provided by Mr. Melrose and the Company's agreement to pay the value of</w:t>
      </w:r>
    </w:p>
    <w:p>
      <w:pPr>
        <w:spacing w:after="0" w:line="200" w:lineRule="exact"/>
        <w:rPr>
          <w:sz w:val="20"/>
          <w:szCs w:val="20"/>
          <w:color w:val="auto"/>
        </w:rPr>
      </w:pPr>
    </w:p>
    <w:p>
      <w:pPr>
        <w:spacing w:after="0" w:line="29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3" w:name="page44"/>
    <w:bookmarkEnd w:id="43"/>
    <w:p>
      <w:pPr>
        <w:ind w:right="3599"/>
        <w:spacing w:after="0" w:line="250" w:lineRule="auto"/>
        <w:rPr>
          <w:sz w:val="20"/>
          <w:szCs w:val="20"/>
          <w:color w:val="auto"/>
        </w:rPr>
      </w:pPr>
      <w:r>
        <w:rPr>
          <w:rFonts w:ascii="Courier New" w:cs="Courier New" w:eastAsia="Courier New" w:hAnsi="Courier New"/>
          <w:sz w:val="14"/>
          <w:szCs w:val="14"/>
          <w:color w:val="auto"/>
        </w:rPr>
        <w:t>Performance Units to purchase a retirement annuity payable to Mr. Melrose pursuant to Section 5.c. shall be subject to and in consideration of Mr. Melrose's execution, not later than July 31, 1995, of an agreement not to compete with the Company by serving as an employee or member of the board of directors of or consultant to any competitor to the Company identified in an SEC Annual Report on Form 10-K or any successor thereof or similar competitor of the Company for a period of five years following the date of Mr. Melrose's retirement as Chief Executive Officer of the Company.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Section 5.c. not then expended for Mr. Melrose's benefit shall be paid to Mr. Melrose over the remainder of the five year period. Mr. Melrose shall not have any right to receive payments pursuant to Section 5.c. or this Section 6.b. until and unless he shall have executed an agreement not to compete with the Company and delivered a fully executed copy thereof to the Company, and otherwise complied with the then applicable terms and conditions of the Plan.</w:t>
      </w:r>
    </w:p>
    <w:p>
      <w:pPr>
        <w:spacing w:after="0" w:line="174" w:lineRule="exact"/>
        <w:rPr>
          <w:sz w:val="20"/>
          <w:szCs w:val="20"/>
          <w:color w:val="auto"/>
        </w:rPr>
      </w:pPr>
    </w:p>
    <w:p>
      <w:pPr>
        <w:ind w:right="3339" w:firstLine="439"/>
        <w:spacing w:after="0" w:line="251" w:lineRule="auto"/>
        <w:tabs>
          <w:tab w:leader="none" w:pos="86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Except as otherwise provided by Section 6.a. hereof, if Mr. Melrose resigns his employment with the Company or if his employment is terminated by the Board of Directors for cause during any Restricted Period, all shares of Restricted Stock and all Performance Units then subject to restrictions and all other rights under this Plan shall be forfeited by Mr. Melrose and the Restricted Stock shall be reacquired by the Company. For purposes of the Plan, "Cause" shall mean:</w:t>
      </w:r>
    </w:p>
    <w:p>
      <w:pPr>
        <w:spacing w:after="0" w:line="164" w:lineRule="exact"/>
        <w:rPr>
          <w:rFonts w:ascii="Courier New" w:cs="Courier New" w:eastAsia="Courier New" w:hAnsi="Courier New"/>
          <w:sz w:val="14"/>
          <w:szCs w:val="14"/>
          <w:color w:val="auto"/>
        </w:rPr>
      </w:pPr>
    </w:p>
    <w:p>
      <w:pPr>
        <w:ind w:right="3519" w:firstLine="870"/>
        <w:spacing w:after="0" w:line="251" w:lineRule="auto"/>
        <w:tabs>
          <w:tab w:leader="none" w:pos="1292"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and continued failure of Mr. Melrose to perform substantially his duties with the Company or one of its affiliates (other than any such failure resulting from incapacity due to physical or mental illness), after a written demand for substantial performance is delivered to Mr. Melrose by the Board of Directors of the Company which specifically identifies the manner in which the Board of Directors believes that Mr. Melrose has not substantially performed his duties, or</w:t>
      </w:r>
    </w:p>
    <w:p>
      <w:pPr>
        <w:spacing w:after="0" w:line="164" w:lineRule="exact"/>
        <w:rPr>
          <w:rFonts w:ascii="Courier New" w:cs="Courier New" w:eastAsia="Courier New" w:hAnsi="Courier New"/>
          <w:sz w:val="14"/>
          <w:szCs w:val="14"/>
          <w:color w:val="auto"/>
        </w:rPr>
      </w:pPr>
    </w:p>
    <w:p>
      <w:pPr>
        <w:ind w:right="3519" w:firstLine="870"/>
        <w:spacing w:after="0" w:line="255" w:lineRule="auto"/>
        <w:tabs>
          <w:tab w:leader="none" w:pos="1292"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engaging by Mr. Melrose in illegal conduct or gross misconduct which is materially and demonstrably injurious to the Company.</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purposes of this provision, no act or failure to act, on the part of Mr. Melrose, shall be considered "willful" unless it is done, or omitted to be done, by Mr. Melrose in bad faith or without reasonable belief that Mr. Melrose's action or omission was in the best interests of the Company. Any act, or failure to act, based upon authority given pursuant to a resolution duly adopted by the Board of Directors or upon the instructions of a senior officer of the Company or based upon the advice of counsel for the Company shall be conclusively presumed to be done, or omitted to be done, by Mr. Melrose in good faith and in the best interests of the</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4" w:name="page45"/>
    <w:bookmarkEnd w:id="44"/>
    <w:p>
      <w:pPr>
        <w:ind w:right="3679"/>
        <w:spacing w:after="0" w:line="251" w:lineRule="auto"/>
        <w:rPr>
          <w:sz w:val="20"/>
          <w:szCs w:val="20"/>
          <w:color w:val="auto"/>
        </w:rPr>
      </w:pPr>
      <w:r>
        <w:rPr>
          <w:rFonts w:ascii="Courier New" w:cs="Courier New" w:eastAsia="Courier New" w:hAnsi="Courier New"/>
          <w:sz w:val="14"/>
          <w:szCs w:val="14"/>
          <w:color w:val="auto"/>
        </w:rPr>
        <w:t>Company. The cessation of employment of Mr. Melrose shall not be deemed to be for Cause unless and until there shall have been delivered to Mr. Melrose a copy of a resolution duly adopted by the affirmative vote of not less than three quarters of the entire membership of the Board at a meeting of the Board of Directors called and held for such purpose (after reasonable notice is provided to Mr. Melrose and Mr. Melrose is given an opportunity, together with counsel, to be heard before the Board of Directors), finding that, in the good faith opinion of the Board of Directors, Mr. Melrose is guilty of the conduct described in subparagraph i. or ii. above, and specifying the particulars thereof in detail.</w:t>
      </w:r>
    </w:p>
    <w:p>
      <w:pPr>
        <w:spacing w:after="0" w:line="163" w:lineRule="exact"/>
        <w:rPr>
          <w:sz w:val="20"/>
          <w:szCs w:val="20"/>
          <w:color w:val="auto"/>
        </w:rPr>
      </w:pPr>
    </w:p>
    <w:p>
      <w:pPr>
        <w:ind w:left="860" w:hanging="421"/>
        <w:spacing w:after="0"/>
        <w:tabs>
          <w:tab w:leader="none" w:pos="86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w:t>
      </w:r>
    </w:p>
    <w:p>
      <w:pPr>
        <w:spacing w:after="0" w:line="172" w:lineRule="exact"/>
        <w:rPr>
          <w:rFonts w:ascii="Courier New" w:cs="Courier New" w:eastAsia="Courier New" w:hAnsi="Courier New"/>
          <w:sz w:val="14"/>
          <w:szCs w:val="14"/>
          <w:color w:val="auto"/>
        </w:rPr>
      </w:pPr>
    </w:p>
    <w:p>
      <w:pPr>
        <w:ind w:right="3339" w:firstLine="86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 ISSUANCE. The Company shall issue a stock certificate or certificates representing the shares of Restricted Stock granted under the Plan. Such certificates shall be registered in Mr. Melrose's name and shall bear an appropriate legend referring to the terms, conditions and restrictions applicable to the grant, substantially in the following form:</w:t>
      </w:r>
    </w:p>
    <w:p>
      <w:pPr>
        <w:spacing w:after="0" w:line="165"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The transferability of this certificate and the shares of stock represented hereby are subject to the terms and conditions (including forfeiture) of the Chief Executive Officer Succession Plan and an agreement entered into between the registered owner and The Toro Company. Copies of the plan and agreement are on file in the offices of The Toro Company, 8111 Lyndale Avenue South, Bloomington, Minnesota 55420.</w:t>
      </w:r>
    </w:p>
    <w:p>
      <w:pPr>
        <w:spacing w:after="0" w:line="164" w:lineRule="exact"/>
        <w:rPr>
          <w:sz w:val="20"/>
          <w:szCs w:val="20"/>
          <w:color w:val="auto"/>
        </w:rPr>
      </w:pPr>
    </w:p>
    <w:p>
      <w:pPr>
        <w:ind w:right="3339" w:firstLine="870"/>
        <w:spacing w:after="0" w:line="251" w:lineRule="auto"/>
        <w:tabs>
          <w:tab w:leader="none" w:pos="129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Certificates representing the Restricted Stock shall be physically held by the Company or its nominee during any Restricted Period, and the Company may require, as a condition of the grant, that Mr. Melrose shall have delivered a stock power, endorsed in blank, with respect to any shares of the Restricted Stock. Upon the achievement of the Performance Goals with respect to any shares of Restricted Stock, as certified to by the Committee, the Company shall cause the certificate representing such shares of Restricted Stock to be removed from escrow and delivered to the Company for reissuance and delivery of Common Stock in the name of Mr. Melrose in accordance with instructions from or agreed upon with Mr. Melrose. If any shares of Restricted Stock are to be forfeited, certificates representing such shares shall be delivered to the Company for reissuance in the name of the Company or cancellation and Mr. Melrose shall have no further interest in such stock.</w:t>
      </w:r>
    </w:p>
    <w:p>
      <w:pPr>
        <w:spacing w:after="0" w:line="162" w:lineRule="exact"/>
        <w:rPr>
          <w:rFonts w:ascii="Courier New" w:cs="Courier New" w:eastAsia="Courier New" w:hAnsi="Courier New"/>
          <w:sz w:val="14"/>
          <w:szCs w:val="14"/>
          <w:color w:val="auto"/>
        </w:rPr>
      </w:pPr>
    </w:p>
    <w:p>
      <w:pPr>
        <w:ind w:right="3339" w:firstLine="870"/>
        <w:spacing w:after="0" w:line="251" w:lineRule="auto"/>
        <w:tabs>
          <w:tab w:leader="none" w:pos="129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Section 6.a. have been achieved with respect to any portion of the shares of the Restricted Stock, the Company shall not later than 60 days thereafter, cause the certificate or certificates representing the Restricted Stock to be reissued without the legend referred to in Section 6.d.i. hereof. The number of shares of Common Stock to be reissued shall be the same number as to which the Performance Goals have been achieved in accordance with Section 6.a.</w:t>
      </w:r>
    </w:p>
    <w:p>
      <w:pPr>
        <w:spacing w:after="0" w:line="330"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45" w:name="page46"/>
    <w:bookmarkEnd w:id="45"/>
    <w:p>
      <w:pPr>
        <w:ind w:left="852" w:hanging="421"/>
        <w:spacing w:after="0"/>
        <w:tabs>
          <w:tab w:leader="none" w:pos="852"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STOCKHOLDER.</w:t>
      </w:r>
    </w:p>
    <w:p>
      <w:pPr>
        <w:spacing w:after="0" w:line="172" w:lineRule="exact"/>
        <w:rPr>
          <w:rFonts w:ascii="Courier New" w:cs="Courier New" w:eastAsia="Courier New" w:hAnsi="Courier New"/>
          <w:sz w:val="14"/>
          <w:szCs w:val="14"/>
          <w:color w:val="auto"/>
        </w:rPr>
      </w:pPr>
    </w:p>
    <w:p>
      <w:pPr>
        <w:ind w:left="-8" w:right="3339" w:firstLine="870"/>
        <w:spacing w:after="0" w:line="251" w:lineRule="auto"/>
        <w:tabs>
          <w:tab w:leader="none" w:pos="1284"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VOTE AND DIVIDENDS. Except as provided in Section 5 and this Section 6, Mr. Melrose shall have, with respect to the shares of Restricted Stock, all of the rights of a stockholder of the Company, including the right to vote the shares and the right to receive cash dividends with respect to the shares. Certificates for shares of Restricted Stock shall be delivered to Mr. Melrose after, and only after, the Restricted Period shall expire without forfeiture of such shares of Restricted Stock, in accordance with the provisions of Section 5.a.</w:t>
      </w:r>
    </w:p>
    <w:p>
      <w:pPr>
        <w:spacing w:after="0" w:line="163" w:lineRule="exact"/>
        <w:rPr>
          <w:rFonts w:ascii="Courier New" w:cs="Courier New" w:eastAsia="Courier New" w:hAnsi="Courier New"/>
          <w:sz w:val="14"/>
          <w:szCs w:val="14"/>
          <w:color w:val="auto"/>
        </w:rPr>
      </w:pPr>
    </w:p>
    <w:p>
      <w:pPr>
        <w:ind w:left="-8" w:right="3419" w:firstLine="870"/>
        <w:spacing w:after="0" w:line="251" w:lineRule="auto"/>
        <w:tabs>
          <w:tab w:leader="none" w:pos="1284" w:val="left"/>
        </w:tabs>
        <w:numPr>
          <w:ilvl w:val="2"/>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of any merger, reorganization, consolidation, recapitalization, stock dividend, stock split or other change in corporate structure affecting the Common Stock, the Committee shall make such substitution or adjustment in the aggregate number of shares of Common Stock reserved for issuance under this Plan or in the number of shares outstanding as Restricted Stock or in the number of Performance Units, as may be determined to be appropriate by the Committee, acting in its sole discretion, provided that the number of shares or Performance Units shall always be a whole number.</w:t>
      </w:r>
    </w:p>
    <w:p>
      <w:pPr>
        <w:spacing w:after="0" w:line="163" w:lineRule="exact"/>
        <w:rPr>
          <w:rFonts w:ascii="Courier New" w:cs="Courier New" w:eastAsia="Courier New" w:hAnsi="Courier New"/>
          <w:sz w:val="14"/>
          <w:szCs w:val="14"/>
          <w:color w:val="auto"/>
        </w:rPr>
      </w:pPr>
    </w:p>
    <w:p>
      <w:pPr>
        <w:ind w:left="-8" w:right="3419" w:firstLine="439"/>
        <w:spacing w:after="0" w:line="250" w:lineRule="auto"/>
        <w:tabs>
          <w:tab w:leader="none" w:pos="853"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of a threatened or actual Change of Control of the Company as hereinafter defined, whether or not approved by the Board of Directors, all shares of Restricted Stock shall immediately fully vest and be freely transferable. A Change of Control means the earliest to occur of</w:t>
      </w:r>
    </w:p>
    <w:p>
      <w:pPr>
        <w:spacing w:after="0" w:line="1" w:lineRule="exact"/>
        <w:rPr>
          <w:rFonts w:ascii="Courier New" w:cs="Courier New" w:eastAsia="Courier New" w:hAnsi="Courier New"/>
          <w:sz w:val="14"/>
          <w:szCs w:val="14"/>
          <w:color w:val="auto"/>
        </w:rPr>
      </w:pPr>
    </w:p>
    <w:p>
      <w:pPr>
        <w:ind w:left="-8" w:right="3339" w:firstLine="8"/>
        <w:spacing w:after="0" w:line="251" w:lineRule="auto"/>
        <w:tabs>
          <w:tab w:leader="none" w:pos="336"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3" w:lineRule="exact"/>
        <w:rPr>
          <w:sz w:val="20"/>
          <w:szCs w:val="20"/>
          <w:color w:val="auto"/>
        </w:rPr>
      </w:pPr>
    </w:p>
    <w:p>
      <w:pPr>
        <w:ind w:left="-8" w:right="3339" w:firstLine="8"/>
        <w:spacing w:after="0" w:line="251" w:lineRule="auto"/>
        <w:tabs>
          <w:tab w:leader="none" w:pos="422"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any federal, state or local taxes of any kind, including FICA and related taxes, required by law to be withheld with respect to the vesting of rights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329"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1"/>
          </w:cols>
          <w:pgMar w:left="228" w:top="616" w:right="1440" w:bottom="1440" w:gutter="0" w:footer="0" w:header="0"/>
        </w:sectPr>
      </w:pPr>
    </w:p>
    <w:bookmarkStart w:id="46" w:name="page47"/>
    <w:bookmarkEnd w:id="46"/>
    <w:p>
      <w:pPr>
        <w:ind w:left="-8" w:right="3339" w:firstLine="8"/>
        <w:spacing w:after="0" w:line="251" w:lineRule="auto"/>
        <w:tabs>
          <w:tab w:leader="none" w:pos="42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Mr. Melrose shall have the right to require that the Company promptly take all necessary steps to register or qualify the Restricted 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163"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 The grants of Restricted Stock and Performance Units made under this Plan and the remuneration to be paid to Mr. Melrose as a consequence of the grants are intended to comply with all applicable conditions of Rule 16b-3 under the Exchange Act and to avoid the loss of the deduction referred to in paragraph (1) of Section 162(m) of the Code. Anything in this Plan to the contrary notwithstanding, to the extent any provision of this Plan or action by the Committee fails to so comply or to avoid the loss of such deduction, it shall be deemed null and void to the extent permitted by law and deemed advisable by the Committee.</w:t>
      </w:r>
    </w:p>
    <w:p>
      <w:pPr>
        <w:spacing w:after="0" w:line="163" w:lineRule="exact"/>
        <w:rPr>
          <w:rFonts w:ascii="Courier New" w:cs="Courier New" w:eastAsia="Courier New" w:hAnsi="Courier New"/>
          <w:sz w:val="14"/>
          <w:szCs w:val="14"/>
          <w:color w:val="auto"/>
        </w:rPr>
      </w:pPr>
    </w:p>
    <w:p>
      <w:pPr>
        <w:ind w:left="-8" w:right="3339" w:firstLine="8"/>
        <w:spacing w:after="0" w:line="252" w:lineRule="auto"/>
        <w:tabs>
          <w:tab w:leader="none" w:pos="42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Nothing in this Plan shall interfere with or limit in any way the right of the Company to terminate Mr. Melrose's employment at any time, with the Company or any subsidiary of the Company, or shall confer upon Mr. Melrose any right to continue in the employ of the Company.</w:t>
      </w:r>
    </w:p>
    <w:p>
      <w:pPr>
        <w:spacing w:after="0" w:line="162" w:lineRule="exact"/>
        <w:rPr>
          <w:rFonts w:ascii="Courier New" w:cs="Courier New" w:eastAsia="Courier New" w:hAnsi="Courier New"/>
          <w:sz w:val="14"/>
          <w:szCs w:val="14"/>
          <w:color w:val="auto"/>
        </w:rPr>
      </w:pPr>
    </w:p>
    <w:p>
      <w:pPr>
        <w:ind w:left="-8" w:right="3419" w:firstLine="8"/>
        <w:spacing w:after="0" w:line="251" w:lineRule="auto"/>
        <w:tabs>
          <w:tab w:leader="none" w:pos="42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 Neither the adoption of the Plan by the Board nor the submission of the Plan to stockholders for approval shall be construed to 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 Melrose as either may deem desirable.</w:t>
      </w:r>
    </w:p>
    <w:p>
      <w:pPr>
        <w:spacing w:after="0" w:line="164" w:lineRule="exact"/>
        <w:rPr>
          <w:rFonts w:ascii="Courier New" w:cs="Courier New" w:eastAsia="Courier New" w:hAnsi="Courier New"/>
          <w:sz w:val="14"/>
          <w:szCs w:val="14"/>
          <w:color w:val="auto"/>
        </w:rPr>
      </w:pPr>
    </w:p>
    <w:p>
      <w:pPr>
        <w:ind w:left="-8" w:right="3339" w:firstLine="8"/>
        <w:spacing w:after="0" w:line="251" w:lineRule="auto"/>
        <w:tabs>
          <w:tab w:leader="none" w:pos="422"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FROM PENSION, PROFIT SHARING AND OTHER BENEFIT CALCULATIONS. By acceptance of an award under the Plan, Mr. Melrose shall be deemed to have agreed that the award or vesting of Restricted Stock and Performance Units under the award constitutes special incentive compensation that is not taken into account as "salary" or "compensation" or "bonus" in determining the amount of any payment under any pension, retirement or profit sharing plan of the Company or any subsidiary. In addition, Mr. Melrose shall be deemed to have agreed that such award shall not be taken into account in determining the amount of any life insurance coverage, short or long-term disability coverage or any other pay-based benefit provided by the Company or any subsidiary.</w:t>
      </w:r>
    </w:p>
    <w:p>
      <w:pPr>
        <w:spacing w:after="0" w:line="329"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1"/>
          </w:cols>
          <w:pgMar w:left="228" w:top="616" w:right="1440" w:bottom="1440" w:gutter="0" w:footer="0" w:header="0"/>
        </w:sectPr>
      </w:pPr>
    </w:p>
    <w:bookmarkStart w:id="47" w:name="page48"/>
    <w:bookmarkEnd w:id="47"/>
    <w:p>
      <w:pPr>
        <w:ind w:left="-8" w:right="3339" w:firstLine="8"/>
        <w:spacing w:after="0" w:line="251" w:lineRule="auto"/>
        <w:tabs>
          <w:tab w:leader="none" w:pos="42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Plan may be amended, modified or terminated from time to time, provided however that no amendment may be adopted without the approval of the stockholders of the Company if such amendment requires stockholder approval pursuant to Rule 16b-3 or Section 162(m). No amendment, modification or termination may be adopted without the written agreement of Mr. Melrose if such amendment, modification or termination would adversely affect his rights. Subject to the foregoing and the requirements of Section 162(m), the Board may, in accordance with the recommendation of the Committee and without further action on the part of stockholders of the Company or the consent of Mr. Melrose, amend the Plan to preserve the employer deduction under Section 162(m).</w:t>
      </w:r>
    </w:p>
    <w:p>
      <w:pPr>
        <w:spacing w:after="0" w:line="163" w:lineRule="exact"/>
        <w:rPr>
          <w:rFonts w:ascii="Courier New" w:cs="Courier New" w:eastAsia="Courier New" w:hAnsi="Courier New"/>
          <w:sz w:val="14"/>
          <w:szCs w:val="14"/>
          <w:color w:val="auto"/>
        </w:rPr>
      </w:pPr>
    </w:p>
    <w:p>
      <w:pPr>
        <w:ind w:left="-8" w:right="4019" w:firstLine="8"/>
        <w:spacing w:after="0" w:line="255" w:lineRule="auto"/>
        <w:tabs>
          <w:tab w:leader="none" w:pos="42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Plan shall be construed in accordance with and governed by the laws of the State of Delaware.</w:t>
      </w:r>
    </w:p>
    <w:p>
      <w:pPr>
        <w:spacing w:after="0" w:line="159" w:lineRule="exact"/>
        <w:rPr>
          <w:rFonts w:ascii="Courier New" w:cs="Courier New" w:eastAsia="Courier New" w:hAnsi="Courier New"/>
          <w:sz w:val="14"/>
          <w:szCs w:val="14"/>
          <w:color w:val="auto"/>
        </w:rPr>
      </w:pPr>
    </w:p>
    <w:p>
      <w:pPr>
        <w:ind w:left="-8" w:right="3339" w:firstLine="8"/>
        <w:spacing w:after="0" w:line="252" w:lineRule="auto"/>
        <w:tabs>
          <w:tab w:leader="none" w:pos="422"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Except as otherwise provided in this Plan, this Plan shall be binding upon and inure to the benefit of the Company, its successors and assigns and Mr. Melrose, his beneficiaries, heirs, executors, administrators and legal representatives.</w:t>
      </w:r>
    </w:p>
    <w:p>
      <w:pPr>
        <w:spacing w:after="0" w:line="328"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As amended, effective July 31, 1997.</w:t>
      </w:r>
    </w:p>
    <w:p>
      <w:pPr>
        <w:spacing w:after="0" w:line="338"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1"/>
          </w:cols>
          <w:pgMar w:left="228" w:top="782" w:right="1440" w:bottom="1440" w:gutter="0" w:footer="0" w:header="0"/>
        </w:sectPr>
      </w:pPr>
    </w:p>
    <w:bookmarkStart w:id="48" w:name="page49"/>
    <w:bookmarkEnd w:id="48"/>
    <w:p>
      <w:pPr>
        <w:ind w:left="5960"/>
        <w:spacing w:after="0"/>
        <w:rPr>
          <w:sz w:val="20"/>
          <w:szCs w:val="20"/>
          <w:color w:val="auto"/>
        </w:rPr>
      </w:pPr>
      <w:r>
        <w:rPr>
          <w:rFonts w:ascii="Courier New" w:cs="Courier New" w:eastAsia="Courier New" w:hAnsi="Courier New"/>
          <w:sz w:val="14"/>
          <w:szCs w:val="14"/>
          <w:color w:val="auto"/>
        </w:rPr>
        <w:t>Exhibit 11</w:t>
      </w:r>
    </w:p>
    <w:p>
      <w:pPr>
        <w:spacing w:after="0" w:line="173"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4"/>
          <w:szCs w:val="14"/>
          <w:color w:val="auto"/>
        </w:rPr>
        <w:t>Computation of Earnings per Share of Common Stock and Common Stock Equivalents</w:t>
      </w:r>
    </w:p>
    <w:p>
      <w:pPr>
        <w:spacing w:after="0" w:line="7"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(Not Covered by Independent Auditors' Report)</w:t>
      </w:r>
    </w:p>
    <w:p>
      <w:pPr>
        <w:spacing w:after="0" w:line="200" w:lineRule="exact"/>
        <w:rPr>
          <w:sz w:val="20"/>
          <w:szCs w:val="20"/>
          <w:color w:val="auto"/>
        </w:rPr>
      </w:pPr>
    </w:p>
    <w:p>
      <w:pPr>
        <w:spacing w:after="0" w:line="304" w:lineRule="exact"/>
        <w:rPr>
          <w:sz w:val="20"/>
          <w:szCs w:val="20"/>
          <w:color w:val="auto"/>
        </w:rPr>
      </w:pPr>
    </w:p>
    <w:p>
      <w:pPr>
        <w:ind w:left="5440"/>
        <w:spacing w:after="0"/>
        <w:tabs>
          <w:tab w:leader="none" w:pos="6880" w:val="left"/>
          <w:tab w:leader="none" w:pos="8080" w:val="left"/>
          <w:tab w:leader="none" w:pos="96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tabs>
          <w:tab w:leader="none" w:pos="6960" w:val="left"/>
          <w:tab w:leader="none" w:pos="8340" w:val="left"/>
          <w:tab w:leader="none" w:pos="9720" w:val="left"/>
        </w:tabs>
        <w:rPr>
          <w:sz w:val="20"/>
          <w:szCs w:val="20"/>
          <w:color w:val="auto"/>
        </w:rPr>
      </w:pPr>
      <w:r>
        <w:rPr>
          <w:rFonts w:ascii="Courier New" w:cs="Courier New" w:eastAsia="Courier New" w:hAnsi="Courier New"/>
          <w:sz w:val="14"/>
          <w:szCs w:val="14"/>
          <w:color w:val="auto"/>
        </w:rPr>
        <w:t>10/31/97</w:t>
      </w:r>
      <w:r>
        <w:rPr>
          <w:sz w:val="20"/>
          <w:szCs w:val="20"/>
          <w:color w:val="auto"/>
        </w:rPr>
        <w:tab/>
      </w:r>
      <w:r>
        <w:rPr>
          <w:rFonts w:ascii="Courier New" w:cs="Courier New" w:eastAsia="Courier New" w:hAnsi="Courier New"/>
          <w:sz w:val="14"/>
          <w:szCs w:val="14"/>
          <w:color w:val="auto"/>
        </w:rPr>
        <w:t>10/31/96</w:t>
      </w:r>
      <w:r>
        <w:rPr>
          <w:sz w:val="20"/>
          <w:szCs w:val="20"/>
          <w:color w:val="auto"/>
        </w:rPr>
        <w:tab/>
      </w:r>
      <w:r>
        <w:rPr>
          <w:rFonts w:ascii="Courier New" w:cs="Courier New" w:eastAsia="Courier New" w:hAnsi="Courier New"/>
          <w:sz w:val="14"/>
          <w:szCs w:val="14"/>
          <w:color w:val="auto"/>
        </w:rPr>
        <w:t>10/31/95</w:t>
      </w:r>
      <w:r>
        <w:rPr>
          <w:sz w:val="20"/>
          <w:szCs w:val="20"/>
          <w:color w:val="auto"/>
        </w:rPr>
        <w:tab/>
      </w:r>
      <w:r>
        <w:rPr>
          <w:rFonts w:ascii="Courier New" w:cs="Courier New" w:eastAsia="Courier New" w:hAnsi="Courier New"/>
          <w:sz w:val="14"/>
          <w:szCs w:val="14"/>
          <w:color w:val="auto"/>
        </w:rPr>
        <w:t>7/31/95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$34,845,000</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$ 36,409,000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3,997,000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$36,667,000</w:t>
            </w:r>
          </w:p>
        </w:tc>
      </w:tr>
      <w:tr>
        <w:trPr>
          <w:trHeight w:val="166"/>
        </w:trPr>
        <w:tc>
          <w:tcPr>
            <w:tcW w:w="500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Shares of common stock and common stock equivalents:</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12,095,475</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12,140,689</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12,117,815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12,556,039</w:t>
            </w:r>
          </w:p>
        </w:tc>
      </w:tr>
      <w:tr>
        <w:trPr>
          <w:trHeight w:val="331"/>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Dilutive effect of outstanding stock options (1)</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371,007</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414,026</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424,225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476,374</w:t>
            </w:r>
          </w:p>
        </w:tc>
      </w:tr>
      <w:tr>
        <w:trPr>
          <w:trHeight w:val="166"/>
        </w:trPr>
        <w:tc>
          <w:tcPr>
            <w:tcW w:w="500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12,466,482</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12,554,715</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12,542,040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13,032,413</w:t>
            </w:r>
          </w:p>
        </w:tc>
      </w:tr>
      <w:tr>
        <w:trPr>
          <w:trHeight w:val="166"/>
        </w:trPr>
        <w:tc>
          <w:tcPr>
            <w:tcW w:w="500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 common stock</w:t>
      </w:r>
    </w:p>
    <w:p>
      <w:pPr>
        <w:spacing w:after="0" w:line="7" w:lineRule="exact"/>
        <w:rPr>
          <w:sz w:val="20"/>
          <w:szCs w:val="20"/>
          <w:color w:val="auto"/>
        </w:rPr>
      </w:pPr>
    </w:p>
    <w:p>
      <w:pPr>
        <w:spacing w:after="0"/>
        <w:tabs>
          <w:tab w:leader="none" w:pos="5320" w:val="left"/>
          <w:tab w:leader="none" w:pos="5940" w:val="left"/>
          <w:tab w:leader="none" w:pos="6880" w:val="left"/>
          <w:tab w:leader="none" w:pos="7480" w:val="left"/>
          <w:tab w:leader="none" w:pos="8260" w:val="left"/>
          <w:tab w:leader="none" w:pos="8860" w:val="left"/>
          <w:tab w:leader="none" w:pos="9640" w:val="left"/>
          <w:tab w:leader="none" w:pos="10240" w:val="left"/>
        </w:tabs>
        <w:rPr>
          <w:sz w:val="20"/>
          <w:szCs w:val="20"/>
          <w:color w:val="auto"/>
        </w:rPr>
      </w:pPr>
      <w:r>
        <w:rPr>
          <w:rFonts w:ascii="Courier New" w:cs="Courier New" w:eastAsia="Courier New" w:hAnsi="Courier New"/>
          <w:sz w:val="14"/>
          <w:szCs w:val="14"/>
          <w:color w:val="auto"/>
        </w:rPr>
        <w:t>equivalents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2.81</w:t>
      </w:r>
    </w:p>
    <w:p>
      <w:pPr>
        <w:spacing w:after="0" w:line="7"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Fully Diluted:</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common stock and common stock equivalents:</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12,095,475</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12,140,689</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12,117,815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12,556,039</w:t>
            </w:r>
          </w:p>
        </w:tc>
      </w:tr>
      <w:tr>
        <w:trPr>
          <w:trHeight w:val="331"/>
        </w:trPr>
        <w:tc>
          <w:tcPr>
            <w:tcW w:w="482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stock options (2)</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478,098</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414,026</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424,225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511,133</w:t>
            </w:r>
          </w:p>
        </w:tc>
      </w:tr>
      <w:tr>
        <w:trPr>
          <w:trHeight w:val="166"/>
        </w:trPr>
        <w:tc>
          <w:tcPr>
            <w:tcW w:w="48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12,573,573</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12,554,715</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12,542,040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13,067,172</w:t>
            </w:r>
          </w:p>
        </w:tc>
      </w:tr>
      <w:tr>
        <w:trPr>
          <w:trHeight w:val="166"/>
        </w:trPr>
        <w:tc>
          <w:tcPr>
            <w:tcW w:w="48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 common stock</w:t>
      </w:r>
    </w:p>
    <w:p>
      <w:pPr>
        <w:spacing w:after="0" w:line="7" w:lineRule="exact"/>
        <w:rPr>
          <w:sz w:val="20"/>
          <w:szCs w:val="20"/>
          <w:color w:val="auto"/>
        </w:rPr>
      </w:pPr>
    </w:p>
    <w:p>
      <w:pPr>
        <w:spacing w:after="0"/>
        <w:tabs>
          <w:tab w:leader="none" w:pos="5320" w:val="left"/>
          <w:tab w:leader="none" w:pos="5940" w:val="left"/>
          <w:tab w:leader="none" w:pos="6880" w:val="left"/>
          <w:tab w:leader="none" w:pos="7480" w:val="left"/>
          <w:tab w:leader="none" w:pos="8340" w:val="left"/>
          <w:tab w:leader="none" w:pos="8860" w:val="left"/>
          <w:tab w:leader="none" w:pos="9640" w:val="left"/>
          <w:tab w:leader="none" w:pos="10240" w:val="left"/>
        </w:tabs>
        <w:rPr>
          <w:sz w:val="20"/>
          <w:szCs w:val="20"/>
          <w:color w:val="auto"/>
        </w:rPr>
      </w:pPr>
      <w:r>
        <w:rPr>
          <w:rFonts w:ascii="Courier New" w:cs="Courier New" w:eastAsia="Courier New" w:hAnsi="Courier New"/>
          <w:sz w:val="14"/>
          <w:szCs w:val="14"/>
          <w:color w:val="auto"/>
        </w:rPr>
        <w:t>equivalents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2.77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right="4140"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average market price of the company's stock during each period.</w:t>
      </w:r>
    </w:p>
    <w:p>
      <w:pPr>
        <w:spacing w:after="0" w:line="162" w:lineRule="exact"/>
        <w:rPr>
          <w:rFonts w:ascii="Courier New" w:cs="Courier New" w:eastAsia="Courier New" w:hAnsi="Courier New"/>
          <w:sz w:val="14"/>
          <w:szCs w:val="14"/>
          <w:color w:val="auto"/>
        </w:rPr>
      </w:pPr>
    </w:p>
    <w:p>
      <w:pPr>
        <w:ind w:left="360" w:right="4140" w:hanging="352"/>
        <w:spacing w:after="0" w:line="252" w:lineRule="auto"/>
        <w:tabs>
          <w:tab w:leader="none" w:pos="3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greater of the average market price or the year-end market price of the company's shares during each period.</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780"/>
          </w:cols>
          <w:pgMar w:left="220" w:top="307" w:right="899" w:bottom="1440" w:gutter="0" w:footer="0" w:header="0"/>
        </w:sectPr>
      </w:pPr>
    </w:p>
    <w:bookmarkStart w:id="49" w:name="page50"/>
    <w:bookmarkEnd w:id="49"/>
    <w:p>
      <w:pPr>
        <w:ind w:left="5960"/>
        <w:spacing w:after="0"/>
        <w:rPr>
          <w:sz w:val="20"/>
          <w:szCs w:val="20"/>
          <w:color w:val="auto"/>
        </w:rPr>
      </w:pPr>
      <w:r>
        <w:rPr>
          <w:rFonts w:ascii="Courier New" w:cs="Courier New" w:eastAsia="Courier New" w:hAnsi="Courier New"/>
          <w:sz w:val="14"/>
          <w:szCs w:val="14"/>
          <w:color w:val="auto"/>
        </w:rPr>
        <w:t>Exhibit 12</w:t>
      </w:r>
    </w:p>
    <w:p>
      <w:pPr>
        <w:spacing w:after="0" w:line="173"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7" w:lineRule="exact"/>
        <w:rPr>
          <w:sz w:val="20"/>
          <w:szCs w:val="20"/>
          <w:color w:val="auto"/>
        </w:rPr>
      </w:pPr>
    </w:p>
    <w:p>
      <w:pPr>
        <w:jc w:val="center"/>
        <w:ind w:right="4040"/>
        <w:spacing w:after="0"/>
        <w:rPr>
          <w:sz w:val="20"/>
          <w:szCs w:val="20"/>
          <w:color w:val="auto"/>
        </w:rPr>
      </w:pPr>
      <w:r>
        <w:rPr>
          <w:rFonts w:ascii="Courier New" w:cs="Courier New" w:eastAsia="Courier New" w:hAnsi="Courier New"/>
          <w:sz w:val="14"/>
          <w:szCs w:val="14"/>
          <w:color w:val="auto"/>
        </w:rPr>
        <w:t>(Not Covered by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3 MONTHS</w:t>
      </w:r>
    </w:p>
    <w:p>
      <w:pPr>
        <w:spacing w:after="0" w:line="7" w:lineRule="exact"/>
        <w:rPr>
          <w:sz w:val="20"/>
          <w:szCs w:val="20"/>
          <w:color w:val="auto"/>
        </w:rPr>
      </w:pPr>
    </w:p>
    <w:p>
      <w:pPr>
        <w:ind w:left="3980"/>
        <w:spacing w:after="0"/>
        <w:tabs>
          <w:tab w:leader="none" w:pos="6280" w:val="left"/>
          <w:tab w:leader="none" w:pos="886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4720" w:val="left"/>
          <w:tab w:leader="none" w:pos="6100" w:val="left"/>
          <w:tab w:leader="none" w:pos="7660" w:val="left"/>
          <w:tab w:leader="none" w:pos="9040" w:val="left"/>
          <w:tab w:leader="none" w:pos="10420" w:val="left"/>
        </w:tabs>
        <w:rPr>
          <w:sz w:val="20"/>
          <w:szCs w:val="20"/>
          <w:color w:val="auto"/>
        </w:rPr>
      </w:pPr>
      <w:r>
        <w:rPr>
          <w:rFonts w:ascii="Courier New" w:cs="Courier New" w:eastAsia="Courier New" w:hAnsi="Courier New"/>
          <w:sz w:val="14"/>
          <w:szCs w:val="14"/>
          <w:color w:val="auto"/>
        </w:rPr>
        <w:t>10/31/97</w:t>
      </w:r>
      <w:r>
        <w:rPr>
          <w:sz w:val="20"/>
          <w:szCs w:val="20"/>
          <w:color w:val="auto"/>
        </w:rPr>
        <w:tab/>
      </w:r>
      <w:r>
        <w:rPr>
          <w:rFonts w:ascii="Courier New" w:cs="Courier New" w:eastAsia="Courier New" w:hAnsi="Courier New"/>
          <w:sz w:val="14"/>
          <w:szCs w:val="14"/>
          <w:color w:val="auto"/>
        </w:rPr>
        <w:t>10/31/96</w:t>
      </w:r>
      <w:r>
        <w:rPr>
          <w:sz w:val="20"/>
          <w:szCs w:val="20"/>
          <w:color w:val="auto"/>
        </w:rPr>
        <w:tab/>
      </w:r>
      <w:r>
        <w:rPr>
          <w:rFonts w:ascii="Courier New" w:cs="Courier New" w:eastAsia="Courier New" w:hAnsi="Courier New"/>
          <w:sz w:val="14"/>
          <w:szCs w:val="14"/>
          <w:color w:val="auto"/>
        </w:rPr>
        <w:t>10/31/95</w:t>
      </w:r>
      <w:r>
        <w:rPr>
          <w:sz w:val="20"/>
          <w:szCs w:val="20"/>
          <w:color w:val="auto"/>
        </w:rPr>
        <w:tab/>
      </w:r>
      <w:r>
        <w:rPr>
          <w:rFonts w:ascii="Courier New" w:cs="Courier New" w:eastAsia="Courier New" w:hAnsi="Courier New"/>
          <w:sz w:val="14"/>
          <w:szCs w:val="14"/>
          <w:color w:val="auto"/>
        </w:rPr>
        <w:t>7/31/95</w:t>
      </w:r>
      <w:r>
        <w:rPr>
          <w:sz w:val="20"/>
          <w:szCs w:val="20"/>
          <w:color w:val="auto"/>
        </w:rPr>
        <w:tab/>
      </w:r>
      <w:r>
        <w:rPr>
          <w:rFonts w:ascii="Courier New" w:cs="Courier New" w:eastAsia="Courier New" w:hAnsi="Courier New"/>
          <w:sz w:val="14"/>
          <w:szCs w:val="14"/>
          <w:color w:val="auto"/>
        </w:rPr>
        <w:t>7/31/94</w:t>
      </w:r>
      <w:r>
        <w:rPr>
          <w:sz w:val="20"/>
          <w:szCs w:val="20"/>
          <w:color w:val="auto"/>
        </w:rPr>
        <w:tab/>
      </w:r>
      <w:r>
        <w:rPr>
          <w:rFonts w:ascii="Courier New" w:cs="Courier New" w:eastAsia="Courier New" w:hAnsi="Courier New"/>
          <w:sz w:val="14"/>
          <w:szCs w:val="14"/>
          <w:color w:val="auto"/>
        </w:rPr>
        <w:t>7/31/93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Earnings before income taxes</w:t>
            </w:r>
          </w:p>
        </w:tc>
        <w:tc>
          <w:tcPr>
            <w:tcW w:w="1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$60,344,000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$ 60,180,000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$6,606,0000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$61,112,000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$37,050,000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$21,355,000</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Plus:  Fixed charges (1)</w:t>
            </w:r>
          </w:p>
        </w:tc>
        <w:tc>
          <w:tcPr>
            <w:tcW w:w="15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23,186,000</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16,728,000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3,266,000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14,892,000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15,989,000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19,142,000</w:t>
            </w:r>
          </w:p>
        </w:tc>
      </w:tr>
    </w:tbl>
    <w:p>
      <w:pPr>
        <w:spacing w:after="0" w:line="4"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available to cover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$83,530,000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$76,908,000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$9,872,000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$76,004,000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$53,039,000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$40,497,000</w:t>
            </w:r>
          </w:p>
        </w:tc>
      </w:tr>
    </w:tbl>
    <w:p>
      <w:pPr>
        <w:spacing w:after="0" w:line="4"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Ratio of earnings to fixed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charges</w:t>
            </w:r>
          </w:p>
        </w:tc>
        <w:tc>
          <w:tcPr>
            <w:tcW w:w="2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3.53</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2.12</w:t>
            </w:r>
          </w:p>
        </w:tc>
      </w:tr>
    </w:tbl>
    <w:p>
      <w:pPr>
        <w:spacing w:after="0" w:line="4"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$20,400,000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$13,590,000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$2,532,000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$11,902,000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$13,562,000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$17,150,000</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Rentals (Interest factor)</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3,286,000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3,138,000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734,000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2,990,000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2,427,000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1,992,000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$23,686,000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$16,728,000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$3,266,000</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$14,892,000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$15,989,000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$19,142,000</w:t>
            </w:r>
          </w:p>
        </w:tc>
      </w:tr>
    </w:tbl>
    <w:p>
      <w:pPr>
        <w:spacing w:after="0" w:line="4" w:lineRule="exact"/>
        <w:rPr>
          <w:sz w:val="20"/>
          <w:szCs w:val="20"/>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right="5000" w:hanging="352"/>
        <w:spacing w:after="0" w:line="255" w:lineRule="auto"/>
        <w:tabs>
          <w:tab w:leader="none" w:pos="3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charges consist of those above. In 1997, $500,000 of capitalized interest was excluded.</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380"/>
          </w:cols>
          <w:pgMar w:left="220" w:top="307" w:right="299" w:bottom="1440" w:gutter="0" w:footer="0" w:header="0"/>
        </w:sectPr>
      </w:pPr>
    </w:p>
    <w:bookmarkStart w:id="50" w:name="page51"/>
    <w:bookmarkEnd w:id="50"/>
    <w:p>
      <w:pPr>
        <w:spacing w:after="0" w:line="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TORO COMPANY is one of the world's leading producers of integrated solutions for outdoor landscapes. While Toro has many competitors, few if any can match the company's comprehensive offerings focused exclusively on maintaining turf and landscapes in a beautiful, productive and ecological way. Toro customers are caretakers of the environment, whether they are golf course superintendents, major league or youth league sportsfield groundskeepers, or homeowners. These caretakers want and need integrated products and systems that create, maintain, enhance, and conserve beautiful landscapes.</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For 83 years, Toro has built on a rich tradition of providing customers with the tools and equipment necessary to protect and preserve outdoor environments. Toro experts have walked the fairways with superintendents and backyards with homeowners to listen to customers and build products that often become the standard of innovation excellence.</w:t>
      </w:r>
    </w:p>
    <w:p>
      <w:pPr>
        <w:spacing w:after="0" w:line="165"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Toro's long-term strategies have focused on reducing the cyclical impacts of weather and economic variations. Toro is more diversified by product, market, and global focus than the Toro of 10 or 15 years ago. Today, professional turf maintenance products make up the majority of Toro sales as the company has capitalized on growth opportunities in these markets. Residential products are still a dynamic part of Toro and several new products were added to the Toro portfolio in 1997. Toro has high brand equity because of superior quality and customer satisfaction.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HIGHLIGHTS</w:t>
      </w:r>
    </w:p>
    <w:p>
      <w:pPr>
        <w:spacing w:after="0" w:line="173"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spacing w:after="0"/>
        <w:tabs>
          <w:tab w:leader="none" w:pos="4640" w:val="left"/>
          <w:tab w:leader="none" w:pos="5840" w:val="left"/>
          <w:tab w:leader="none" w:pos="6880" w:val="left"/>
        </w:tabs>
        <w:rPr>
          <w:sz w:val="20"/>
          <w:szCs w:val="20"/>
          <w:color w:val="auto"/>
        </w:rPr>
      </w:pPr>
      <w:r>
        <w:rPr>
          <w:rFonts w:ascii="Courier New" w:cs="Courier New" w:eastAsia="Courier New" w:hAnsi="Courier New"/>
          <w:sz w:val="14"/>
          <w:szCs w:val="14"/>
          <w:color w:val="auto"/>
        </w:rPr>
        <w:t>Years ended October 31</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$1,051,204</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$930,909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earnings, before extraordinary loss*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36,508</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36,409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Percent of net sales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w:t>
            </w:r>
          </w:p>
        </w:tc>
        <w:tc>
          <w:tcPr>
            <w:tcW w:w="7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common stock equivalent,</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extraordinary loss*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2.90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Dividends paid per share of</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common</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stock outstanding</w:t>
            </w:r>
          </w:p>
        </w:tc>
        <w:tc>
          <w:tcPr>
            <w:tcW w:w="104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0.48</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0.48</w:t>
            </w:r>
          </w:p>
        </w:tc>
        <w:tc>
          <w:tcPr>
            <w:tcW w:w="7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1380" w:type="dxa"/>
            <w:vAlign w:val="bottom"/>
          </w:tcPr>
          <w:p>
            <w:pPr>
              <w:ind w:left="620"/>
              <w:spacing w:after="0"/>
              <w:rPr>
                <w:sz w:val="20"/>
                <w:szCs w:val="20"/>
                <w:color w:val="auto"/>
              </w:rPr>
            </w:pPr>
            <w:r>
              <w:rPr>
                <w:rFonts w:ascii="Courier New" w:cs="Courier New" w:eastAsia="Courier New" w:hAnsi="Courier New"/>
                <w:sz w:val="14"/>
                <w:szCs w:val="14"/>
                <w:color w:val="auto"/>
              </w:rPr>
              <w:t>16.3%</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w w:val="95"/>
              </w:rPr>
              <w:t>19.1%</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1380" w:type="dxa"/>
            <w:vAlign w:val="bottom"/>
          </w:tcPr>
          <w:p>
            <w:pPr>
              <w:ind w:left="620"/>
              <w:spacing w:after="0"/>
              <w:rPr>
                <w:sz w:val="20"/>
                <w:szCs w:val="20"/>
                <w:color w:val="auto"/>
              </w:rPr>
            </w:pPr>
            <w:r>
              <w:rPr>
                <w:rFonts w:ascii="Courier New" w:cs="Courier New" w:eastAsia="Courier New" w:hAnsi="Courier New"/>
                <w:sz w:val="14"/>
                <w:szCs w:val="14"/>
                <w:color w:val="auto"/>
              </w:rPr>
              <w:t>15.3</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18.0</w:t>
            </w:r>
          </w:p>
        </w:tc>
      </w:tr>
      <w:tr>
        <w:trPr>
          <w:trHeight w:val="166"/>
        </w:trPr>
        <w:tc>
          <w:tcPr>
            <w:tcW w:w="3780" w:type="dxa"/>
            <w:vAlign w:val="bottom"/>
          </w:tcPr>
          <w:p>
            <w:pPr>
              <w:spacing w:after="0"/>
              <w:rPr>
                <w:sz w:val="20"/>
                <w:szCs w:val="20"/>
                <w:color w:val="auto"/>
              </w:rPr>
            </w:pPr>
            <w:r>
              <w:rPr>
                <w:rFonts w:ascii="Courier New" w:cs="Courier New" w:eastAsia="Courier New" w:hAnsi="Courier New"/>
                <w:sz w:val="14"/>
                <w:szCs w:val="14"/>
                <w:color w:val="auto"/>
              </w:rPr>
              <w:t>Average invested capital</w:t>
            </w:r>
          </w:p>
        </w:tc>
        <w:tc>
          <w:tcPr>
            <w:tcW w:w="1380" w:type="dxa"/>
            <w:vAlign w:val="bottom"/>
          </w:tcPr>
          <w:p>
            <w:pPr>
              <w:ind w:left="620"/>
              <w:spacing w:after="0"/>
              <w:rPr>
                <w:sz w:val="20"/>
                <w:szCs w:val="20"/>
                <w:color w:val="auto"/>
              </w:rPr>
            </w:pPr>
            <w:r>
              <w:rPr>
                <w:rFonts w:ascii="Courier New" w:cs="Courier New" w:eastAsia="Courier New" w:hAnsi="Courier New"/>
                <w:sz w:val="14"/>
                <w:szCs w:val="14"/>
                <w:color w:val="auto"/>
              </w:rPr>
              <w:t>12.1</w:t>
            </w:r>
          </w:p>
        </w:tc>
        <w:tc>
          <w:tcPr>
            <w:tcW w:w="780" w:type="dxa"/>
            <w:vAlign w:val="bottom"/>
          </w:tcPr>
          <w:p>
            <w:pPr>
              <w:ind w:left="360"/>
              <w:spacing w:after="0"/>
              <w:rPr>
                <w:sz w:val="20"/>
                <w:szCs w:val="20"/>
                <w:color w:val="auto"/>
              </w:rPr>
            </w:pPr>
            <w:r>
              <w:rPr>
                <w:rFonts w:ascii="Courier New" w:cs="Courier New" w:eastAsia="Courier New" w:hAnsi="Courier New"/>
                <w:sz w:val="14"/>
                <w:szCs w:val="14"/>
                <w:color w:val="auto"/>
              </w:rPr>
              <w:t>15.2</w:t>
            </w:r>
          </w:p>
        </w:tc>
      </w:tr>
    </w:tbl>
    <w:p>
      <w:pPr>
        <w:spacing w:after="0" w:line="4"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AT YEAR END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234,211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661,634</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496,877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33.2</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219,015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94,390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241,163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213,567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6,560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Average number of employees</w:t>
            </w:r>
          </w:p>
        </w:tc>
        <w:tc>
          <w:tcPr>
            <w:tcW w:w="1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*In 1997, the company recognized an extraordinary loss on the early retirement of debt of $1,663,000 or $0.13 per share.</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FISCAL 1997</w:t>
            </w:r>
          </w:p>
        </w:tc>
        <w:tc>
          <w:tcPr>
            <w:tcW w:w="15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1"/>
        </w:trPr>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PROFESSIONAL TURF</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6"/>
        </w:trPr>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RESIDENTIAL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960" w:type="dxa"/>
            <w:vAlign w:val="bottom"/>
          </w:tcPr>
          <w:p>
            <w:pPr>
              <w:spacing w:after="0"/>
              <w:rPr>
                <w:sz w:val="14"/>
                <w:szCs w:val="14"/>
                <w:color w:val="auto"/>
              </w:rPr>
            </w:pP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[CHART]</w:t>
            </w:r>
          </w:p>
        </w:tc>
        <w:tc>
          <w:tcPr>
            <w:tcW w:w="360" w:type="dxa"/>
            <w:vAlign w:val="bottom"/>
          </w:tcPr>
          <w:p>
            <w:pPr>
              <w:spacing w:after="0"/>
              <w:rPr>
                <w:sz w:val="14"/>
                <w:szCs w:val="14"/>
                <w:color w:val="auto"/>
              </w:rPr>
            </w:pPr>
          </w:p>
        </w:tc>
      </w:tr>
      <w:tr>
        <w:trPr>
          <w:trHeight w:val="331"/>
        </w:trPr>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FISCAL 1996</w:t>
            </w: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31"/>
        </w:trPr>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PROFESSIONAL TURF</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960" w:type="dxa"/>
            <w:vAlign w:val="bottom"/>
          </w:tcPr>
          <w:p>
            <w:pPr>
              <w:jc w:val="center"/>
              <w:spacing w:after="0"/>
              <w:rPr>
                <w:sz w:val="20"/>
                <w:szCs w:val="20"/>
                <w:color w:val="auto"/>
              </w:rPr>
            </w:pPr>
            <w:r>
              <w:rPr>
                <w:rFonts w:ascii="Courier New" w:cs="Courier New" w:eastAsia="Courier New" w:hAnsi="Courier New"/>
                <w:sz w:val="14"/>
                <w:szCs w:val="14"/>
                <w:color w:val="auto"/>
              </w:rPr>
              <w:t>/ /</w:t>
            </w: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RESIDENTIAL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ind w:left="1220"/>
              <w:spacing w:after="0"/>
              <w:rPr>
                <w:sz w:val="20"/>
                <w:szCs w:val="20"/>
                <w:color w:val="auto"/>
              </w:rPr>
            </w:pPr>
            <w:r>
              <w:rPr>
                <w:rFonts w:ascii="Courier New" w:cs="Courier New" w:eastAsia="Courier New" w:hAnsi="Courier New"/>
                <w:sz w:val="14"/>
                <w:szCs w:val="14"/>
                <w:color w:val="auto"/>
              </w:rPr>
              <w:t>[CHART]</w:t>
            </w:r>
          </w:p>
        </w:tc>
        <w:tc>
          <w:tcPr>
            <w:tcW w:w="1680" w:type="dxa"/>
            <w:vAlign w:val="bottom"/>
          </w:tcPr>
          <w:p>
            <w:pPr>
              <w:spacing w:after="0"/>
              <w:rPr>
                <w:sz w:val="14"/>
                <w:szCs w:val="1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CONTENTS</w:t>
            </w:r>
          </w:p>
        </w:tc>
        <w:tc>
          <w:tcPr>
            <w:tcW w:w="1680" w:type="dxa"/>
            <w:vAlign w:val="bottom"/>
          </w:tcPr>
          <w:p>
            <w:pPr>
              <w:spacing w:after="0"/>
              <w:rPr>
                <w:sz w:val="24"/>
                <w:szCs w:val="24"/>
                <w:color w:val="auto"/>
              </w:rPr>
            </w:pP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Letter to Shareholders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Business Overview</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Operations Overview</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Eleven-Year Selected</w:t>
            </w:r>
          </w:p>
        </w:tc>
        <w:tc>
          <w:tcPr>
            <w:tcW w:w="1680" w:type="dxa"/>
            <w:vAlign w:val="bottom"/>
          </w:tcPr>
          <w:p>
            <w:pPr>
              <w:spacing w:after="0"/>
              <w:rPr>
                <w:sz w:val="24"/>
                <w:szCs w:val="2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Financial Data</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Management's Discussion</w:t>
            </w:r>
          </w:p>
        </w:tc>
        <w:tc>
          <w:tcPr>
            <w:tcW w:w="1680" w:type="dxa"/>
            <w:vAlign w:val="bottom"/>
          </w:tcPr>
          <w:p>
            <w:pPr>
              <w:spacing w:after="0"/>
              <w:rPr>
                <w:sz w:val="24"/>
                <w:szCs w:val="2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and Analysis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Notes to Consolidated</w:t>
            </w:r>
          </w:p>
        </w:tc>
        <w:tc>
          <w:tcPr>
            <w:tcW w:w="1680" w:type="dxa"/>
            <w:vAlign w:val="bottom"/>
          </w:tcPr>
          <w:p>
            <w:pPr>
              <w:spacing w:after="0"/>
              <w:rPr>
                <w:sz w:val="24"/>
                <w:szCs w:val="24"/>
                <w:color w:val="auto"/>
              </w:rPr>
            </w:pPr>
          </w:p>
        </w:tc>
      </w:tr>
    </w:tbl>
    <w:p>
      <w:pPr>
        <w:sectPr>
          <w:pgSz w:w="11900" w:h="16902" w:orient="portrait"/>
          <w:cols w:equalWidth="0" w:num="1">
            <w:col w:w="10239"/>
          </w:cols>
          <w:pgMar w:left="220" w:top="473" w:right="1440"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Directors, Officers and</w:t>
            </w:r>
          </w:p>
        </w:tc>
        <w:tc>
          <w:tcPr>
            <w:tcW w:w="160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Stockholders' Information</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COVER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Toro is the preferred supplier of equipment and irrigation systems for the Pinehurst Resort and Country Club, including the recently opened Pinehurst No. 8 (cover) and the legendary Pinehurst No. 2, site of the 1999 U.S. Men's Open Championship.</w:t>
      </w:r>
    </w:p>
    <w:p>
      <w:pPr>
        <w:sectPr>
          <w:pgSz w:w="11900" w:h="16838" w:orient="portrait"/>
          <w:cols w:equalWidth="0" w:num="1">
            <w:col w:w="10239"/>
          </w:cols>
          <w:pgMar w:left="220" w:top="141" w:right="1440" w:bottom="1440" w:gutter="0" w:footer="0" w:header="0"/>
        </w:sectPr>
      </w:pPr>
    </w:p>
    <w:bookmarkStart w:id="52" w:name="page53"/>
    <w:bookmarkEnd w:id="52"/>
    <w:p>
      <w:pPr>
        <w:spacing w:after="0"/>
        <w:tabs>
          <w:tab w:leader="none" w:pos="3180" w:val="left"/>
        </w:tabs>
        <w:rPr>
          <w:sz w:val="20"/>
          <w:szCs w:val="20"/>
          <w:color w:val="auto"/>
        </w:rPr>
      </w:pPr>
      <w:r>
        <w:rPr>
          <w:rFonts w:ascii="Courier New" w:cs="Courier New" w:eastAsia="Courier New" w:hAnsi="Courier New"/>
          <w:sz w:val="14"/>
          <w:szCs w:val="14"/>
          <w:color w:val="auto"/>
        </w:rPr>
        <w:t>ELEVEN-YEAR SELECTED FINANCIAL DATA</w:t>
        <w:tab/>
        <w:t>The Toro Company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Years ended October 31(6)</w:t>
            </w:r>
          </w:p>
        </w:tc>
        <w:tc>
          <w:tcPr>
            <w:tcW w:w="2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1,051,200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930,900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919,400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864,300</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earnings (loss), before extraordinary loss(1)</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36,500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32,400</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32,400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4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 stock equivalent,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before extraordinary loss(1)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5,794</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5,834</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5,953</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0.48</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0.48</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0.48</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4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4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w:t>
            </w:r>
          </w:p>
        </w:tc>
        <w:tc>
          <w:tcPr>
            <w:tcW w:w="2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17.5%</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472,000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405,000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386,300</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373,400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237,800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207,900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221,200</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197,200</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234,200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197,100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165,100</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176,200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189,600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91,900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86,400</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78,200</w:t>
            </w: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661,600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496,900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472,700</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451,600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 long-term debt</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7,200</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5,300</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177,700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53,400</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70,400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241,200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213,600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190,900</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178,700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418,900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266,600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244,300</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249,100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19.78</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17.75</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15.69</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14.05</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000" w:type="dxa"/>
            <w:vAlign w:val="bottom"/>
          </w:tcPr>
          <w:p>
            <w:pPr>
              <w:ind w:left="260"/>
              <w:spacing w:after="0"/>
              <w:rPr>
                <w:sz w:val="20"/>
                <w:szCs w:val="20"/>
                <w:color w:val="auto"/>
              </w:rPr>
            </w:pPr>
            <w:r>
              <w:rPr>
                <w:rFonts w:ascii="Courier New" w:cs="Courier New" w:eastAsia="Courier New" w:hAnsi="Courier New"/>
                <w:sz w:val="14"/>
                <w:szCs w:val="14"/>
                <w:color w:val="auto"/>
              </w:rPr>
              <w:t>outstanding (in thousands)</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12,189</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12,032</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12,168</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12,720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stockholders(7)</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6,560</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6,841</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7,243</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7,541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 1/2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 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 5/8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 7/8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 3/4</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 1/4</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 1/4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 1/2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4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 3/4</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 3/8</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 7/8</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 3/4</w:t>
            </w:r>
          </w:p>
        </w:tc>
      </w:tr>
    </w:tbl>
    <w:p>
      <w:pPr>
        <w:spacing w:after="0" w:line="4"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860" w:right="3419" w:hanging="421"/>
        <w:spacing w:after="0" w:line="250" w:lineRule="auto"/>
        <w:tabs>
          <w:tab w:leader="none" w:pos="86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1997 net earnings and earnings per share after the extraordinary loss on early retirement of debt of $1,663,000, or $0.13 per share, were $34,845,000 and $2.80, respectively.</w:t>
      </w:r>
    </w:p>
    <w:p>
      <w:pPr>
        <w:spacing w:after="0" w:line="1" w:lineRule="exact"/>
        <w:rPr>
          <w:rFonts w:ascii="Courier New" w:cs="Courier New" w:eastAsia="Courier New" w:hAnsi="Courier New"/>
          <w:sz w:val="14"/>
          <w:szCs w:val="14"/>
          <w:color w:val="auto"/>
        </w:rPr>
      </w:pPr>
    </w:p>
    <w:p>
      <w:pPr>
        <w:ind w:left="860" w:right="3339" w:hanging="421"/>
        <w:spacing w:after="0" w:line="250" w:lineRule="auto"/>
        <w:tabs>
          <w:tab w:leader="none" w:pos="86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the James Hardie Irrigation Group from December 1, 1996, the date of acquisition.</w:t>
      </w:r>
    </w:p>
    <w:p>
      <w:pPr>
        <w:spacing w:after="0" w:line="1"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costs of $24.9 million, or $1.41 per share.</w:t>
      </w:r>
    </w:p>
    <w:p>
      <w:pPr>
        <w:spacing w:after="0" w:line="7" w:lineRule="exact"/>
        <w:rPr>
          <w:rFonts w:ascii="Courier New" w:cs="Courier New" w:eastAsia="Courier New" w:hAnsi="Courier New"/>
          <w:sz w:val="14"/>
          <w:szCs w:val="14"/>
          <w:color w:val="auto"/>
        </w:rPr>
      </w:pPr>
    </w:p>
    <w:p>
      <w:pPr>
        <w:ind w:left="860" w:right="3679" w:hanging="421"/>
        <w:spacing w:after="0" w:line="250" w:lineRule="auto"/>
        <w:tabs>
          <w:tab w:leader="none" w:pos="86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Lawn-Boy Inc. from November 7, 1989, the date of acquisition.</w:t>
      </w:r>
    </w:p>
    <w:p>
      <w:pPr>
        <w:spacing w:after="0" w:line="1" w:lineRule="exact"/>
        <w:rPr>
          <w:rFonts w:ascii="Courier New" w:cs="Courier New" w:eastAsia="Courier New" w:hAnsi="Courier New"/>
          <w:sz w:val="14"/>
          <w:szCs w:val="14"/>
          <w:color w:val="auto"/>
        </w:rPr>
      </w:pPr>
    </w:p>
    <w:p>
      <w:pPr>
        <w:ind w:left="860" w:right="3519" w:hanging="421"/>
        <w:spacing w:after="0" w:line="250" w:lineRule="auto"/>
        <w:tabs>
          <w:tab w:leader="none" w:pos="86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Wheel Horse Products, Inc. from December 19, 1986, the date of acquisition.</w:t>
      </w:r>
    </w:p>
    <w:p>
      <w:pPr>
        <w:spacing w:after="0" w:line="1" w:lineRule="exact"/>
        <w:rPr>
          <w:rFonts w:ascii="Courier New" w:cs="Courier New" w:eastAsia="Courier New" w:hAnsi="Courier New"/>
          <w:sz w:val="14"/>
          <w:szCs w:val="14"/>
          <w:color w:val="auto"/>
        </w:rPr>
      </w:pPr>
    </w:p>
    <w:p>
      <w:pPr>
        <w:ind w:left="860" w:right="3339" w:hanging="421"/>
        <w:spacing w:after="0" w:line="250" w:lineRule="auto"/>
        <w:tabs>
          <w:tab w:leader="none" w:pos="86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date of the year-end for years prior to 1995 was the Friday closest to October 31.</w:t>
      </w:r>
    </w:p>
    <w:p>
      <w:pPr>
        <w:ind w:left="860" w:right="4019" w:hanging="421"/>
        <w:spacing w:after="0" w:line="255" w:lineRule="auto"/>
        <w:tabs>
          <w:tab w:leader="none" w:pos="86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number of stockholders at July 31 for the years starting in 1987 and ending in 1994.</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36.4</w:t>
      </w:r>
      <w:r>
        <w:rPr>
          <w:sz w:val="20"/>
          <w:szCs w:val="20"/>
          <w:color w:val="auto"/>
        </w:rPr>
        <w:tab/>
      </w:r>
      <w:r>
        <w:rPr>
          <w:rFonts w:ascii="Courier New" w:cs="Courier New" w:eastAsia="Courier New" w:hAnsi="Courier New"/>
          <w:sz w:val="14"/>
          <w:szCs w:val="14"/>
          <w:color w:val="auto"/>
        </w:rPr>
        <w:t>36.5</w:t>
      </w:r>
    </w:p>
    <w:p>
      <w:pPr>
        <w:spacing w:after="0" w:line="7"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53" w:name="page54"/>
    <w:bookmarkEnd w:id="53"/>
    <w:p>
      <w:pPr>
        <w:spacing w:after="0" w:line="38"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Years ended October 31(6)</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1991</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1990(4)</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1987(5)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$706,600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$638,700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706,200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747,300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639,200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626,200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551,600</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Net earnings (loss), before extraordinary loss(1)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15,300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(21,700)</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 stock equivalent,</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before extraordinary loss(1)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1.22</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5,858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5,765</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5,710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6,074</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4,774</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4,613</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0.48</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0.48</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0.48</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0.48</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0.45</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0.37</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w:t>
            </w: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c>
          <w:tcPr>
            <w:tcW w:w="18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$326,100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$324,200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322,000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306,800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271,200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296,400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262,600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169,200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132,500</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103,800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133,000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125,000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144,200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121,800</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156,900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191,700</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218,200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173,800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146,200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152,200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140,800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73,700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85,100</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93,400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103,900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57,100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55,800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52,800</w:t>
            </w: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399,800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409,300</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415,400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410,700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328,300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352,200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315,400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 long-term debt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87,300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147,900</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154,100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125,300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95,600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112,200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109,800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141,900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126,400</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153,400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146,300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99,300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85,100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229,200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274,300</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307,500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271,600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200,900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206,300</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192,500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11.47</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12.84</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12.34</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9.98</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8.46</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7.12</w:t>
            </w:r>
          </w:p>
        </w:tc>
      </w:tr>
      <w:tr>
        <w:trPr>
          <w:trHeight w:val="331"/>
        </w:trPr>
        <w:tc>
          <w:tcPr>
            <w:tcW w:w="478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4780" w:type="dxa"/>
            <w:vAlign w:val="bottom"/>
          </w:tcPr>
          <w:p>
            <w:pPr>
              <w:ind w:left="260"/>
              <w:spacing w:after="0"/>
              <w:rPr>
                <w:sz w:val="20"/>
                <w:szCs w:val="20"/>
                <w:color w:val="auto"/>
              </w:rPr>
            </w:pPr>
            <w:r>
              <w:rPr>
                <w:rFonts w:ascii="Courier New" w:cs="Courier New" w:eastAsia="Courier New" w:hAnsi="Courier New"/>
                <w:sz w:val="14"/>
                <w:szCs w:val="14"/>
                <w:color w:val="auto"/>
              </w:rPr>
              <w:t>outstanding (in thousands)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12,370</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12,041</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11,950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11,859</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9,946</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10,059</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10,144</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7,968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8,386</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8,503</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7,706</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7,527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6,802</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5,587</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 1/8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$ 11 3/8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 7/8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 1/8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 1/2</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 3/4</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 1/2</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 1/2</w:t>
            </w:r>
          </w:p>
        </w:tc>
        <w:tc>
          <w:tcPr>
            <w:tcW w:w="160" w:type="dxa"/>
            <w:vAlign w:val="bottom"/>
          </w:tcPr>
          <w:p>
            <w:pPr>
              <w:spacing w:after="0"/>
              <w:rPr>
                <w:sz w:val="14"/>
                <w:szCs w:val="14"/>
                <w:color w:val="auto"/>
              </w:rPr>
            </w:pP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 3/8</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 7/8</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 3/4</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 3/8</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 1/8</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 3/4</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 3/4</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 5/8</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 3/8</w:t>
            </w:r>
          </w:p>
        </w:tc>
        <w:tc>
          <w:tcPr>
            <w:tcW w:w="16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 1/8</w:t>
            </w:r>
          </w:p>
        </w:tc>
      </w:tr>
    </w:tbl>
    <w:p>
      <w:pPr>
        <w:spacing w:after="0" w:line="4"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59.0</w:t>
      </w:r>
      <w:r>
        <w:rPr>
          <w:sz w:val="20"/>
          <w:szCs w:val="20"/>
          <w:color w:val="auto"/>
        </w:rPr>
        <w:tab/>
      </w:r>
      <w:r>
        <w:rPr>
          <w:rFonts w:ascii="Courier New" w:cs="Courier New" w:eastAsia="Courier New" w:hAnsi="Courier New"/>
          <w:sz w:val="14"/>
          <w:szCs w:val="14"/>
          <w:color w:val="auto"/>
        </w:rPr>
        <w:t>58.1</w:t>
      </w:r>
      <w:r>
        <w:rPr>
          <w:sz w:val="20"/>
          <w:szCs w:val="20"/>
          <w:color w:val="auto"/>
        </w:rPr>
        <w:tab/>
      </w:r>
      <w:r>
        <w:rPr>
          <w:rFonts w:ascii="Courier New" w:cs="Courier New" w:eastAsia="Courier New" w:hAnsi="Courier New"/>
          <w:sz w:val="14"/>
          <w:szCs w:val="14"/>
          <w:color w:val="auto"/>
        </w:rPr>
        <w:t>63.4</w:t>
      </w:r>
      <w:r>
        <w:rPr>
          <w:sz w:val="20"/>
          <w:szCs w:val="20"/>
          <w:color w:val="auto"/>
        </w:rPr>
        <w:tab/>
      </w:r>
      <w:r>
        <w:rPr>
          <w:rFonts w:ascii="Courier New" w:cs="Courier New" w:eastAsia="Courier New" w:hAnsi="Courier New"/>
          <w:sz w:val="14"/>
          <w:szCs w:val="14"/>
          <w:color w:val="auto"/>
        </w:rPr>
        <w:t>72.3</w:t>
      </w:r>
    </w:p>
    <w:p>
      <w:pPr>
        <w:spacing w:after="0" w:line="7"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DEBT TO CAPITAL</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percentages)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33.8</w:t>
      </w:r>
      <w:r>
        <w:rPr>
          <w:sz w:val="20"/>
          <w:szCs w:val="20"/>
          <w:color w:val="auto"/>
        </w:rPr>
        <w:tab/>
      </w:r>
      <w:r>
        <w:rPr>
          <w:rFonts w:ascii="Courier New" w:cs="Courier New" w:eastAsia="Courier New" w:hAnsi="Courier New"/>
          <w:sz w:val="14"/>
          <w:szCs w:val="14"/>
          <w:color w:val="auto"/>
        </w:rPr>
        <w:t>36.6</w:t>
      </w:r>
      <w:r>
        <w:rPr>
          <w:sz w:val="20"/>
          <w:szCs w:val="20"/>
          <w:color w:val="auto"/>
        </w:rPr>
        <w:tab/>
      </w: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47.6</w:t>
      </w:r>
    </w:p>
    <w:p>
      <w:pPr>
        <w:spacing w:after="0" w:line="7" w:lineRule="exact"/>
        <w:rPr>
          <w:sz w:val="20"/>
          <w:szCs w:val="20"/>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COVERAGE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FROM OPERATIONS</w:t>
      </w:r>
    </w:p>
    <w:p>
      <w:pPr>
        <w:sectPr>
          <w:pgSz w:w="11900" w:h="16877" w:orient="portrait"/>
          <w:cols w:equalWidth="0" w:num="1">
            <w:col w:w="11540"/>
          </w:cols>
          <w:pgMar w:left="220" w:top="947" w:right="139" w:bottom="0" w:gutter="0" w:footer="0" w:header="0"/>
        </w:sectPr>
      </w:pPr>
    </w:p>
    <w:bookmarkStart w:id="54" w:name="page55"/>
    <w:bookmarkEnd w:id="54"/>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30.6</w:t>
      </w:r>
      <w:r>
        <w:rPr>
          <w:sz w:val="20"/>
          <w:szCs w:val="20"/>
          <w:color w:val="auto"/>
        </w:rPr>
        <w:tab/>
      </w:r>
      <w:r>
        <w:rPr>
          <w:rFonts w:ascii="Courier New" w:cs="Courier New" w:eastAsia="Courier New" w:hAnsi="Courier New"/>
          <w:sz w:val="14"/>
          <w:szCs w:val="14"/>
          <w:color w:val="auto"/>
        </w:rPr>
        <w:t>20.0</w:t>
      </w:r>
      <w:r>
        <w:rPr>
          <w:sz w:val="20"/>
          <w:szCs w:val="20"/>
          <w:color w:val="auto"/>
        </w:rPr>
        <w:tab/>
      </w: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83.9</w:t>
      </w:r>
    </w:p>
    <w:p>
      <w:pPr>
        <w:spacing w:after="0" w:line="7" w:lineRule="exact"/>
        <w:rPr>
          <w:sz w:val="20"/>
          <w:szCs w:val="20"/>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141"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OF FINANCIAL CONDITION AND RESULTS OF OPERATIONS</w:t>
        <w:tab/>
        <w:t>The Toro Company</w:t>
      </w:r>
    </w:p>
    <w:p>
      <w:pPr>
        <w:spacing w:after="0" w:line="173"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INCLUDED IN THIS ANALYSIS ARE STATEMENTS WHICH ARE FORWARD-LOOKING. STATEMENTS THAT ARE NOT HISTORICAL ARE FORWARD-LOOKING AND INVOLVE RISKS AND UNCERTAINTIES. ACTUAL RESULTS COULD DIFFER MATERIALLY FROM THOSE PROJECTED IN THE FORWARD-LOOKING STATEMENTS AND SHOULD NOT BE RELIED UPON AS A PREDICTION OF ACTUAL FUTURE RESULTS. THE COMPANY UNDERTAKES NO OBLIGATION TO UPDATE ANY FORWARD-LOOKING STATEMENT TO REFLECT EVENTS OR CIRCUMSTANCES AFTER THE DATE ON WHICH SUCH STATEMENT IS MADE, OR TO REFLECT THE OCCURRENCE OF UNANTICIPATED EVENTS.</w:t>
      </w:r>
    </w:p>
    <w:p>
      <w:pPr>
        <w:spacing w:after="0" w:line="330" w:lineRule="exact"/>
        <w:rPr>
          <w:sz w:val="20"/>
          <w:szCs w:val="20"/>
          <w:color w:val="auto"/>
        </w:rPr>
      </w:pPr>
    </w:p>
    <w:p>
      <w:pPr>
        <w:ind w:right="3620" w:firstLine="431"/>
        <w:spacing w:after="0" w:line="251" w:lineRule="auto"/>
        <w:rPr>
          <w:sz w:val="20"/>
          <w:szCs w:val="20"/>
          <w:color w:val="auto"/>
        </w:rPr>
      </w:pPr>
      <w:r>
        <w:rPr>
          <w:rFonts w:ascii="Courier New" w:cs="Courier New" w:eastAsia="Courier New" w:hAnsi="Courier New"/>
          <w:sz w:val="14"/>
          <w:szCs w:val="14"/>
          <w:color w:val="auto"/>
        </w:rPr>
        <w:t>In November 1995, the company changed its fiscal year from a fiscal year ended July 31 to a fiscal year ended October 31. The following comparisons are based on the company's new fiscal year-end. The financial information relating to results of operations for the fiscal year ended October 31, 1995 has been restated from the previous July 31 year-end and is unaudited. All other financial information has been derived from the audited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In 1997, the company achieved its fifth consecutive year of earnings per share growth prior to the impact of an extraordinary loss on the early retirement of debt as discussed in the Notes to the Consolidated Financial Statements. This growth was sustained despite a one-time charge which included the closing of one manufacturing facility. The refinancing of the company's debt and restructuring of its manufacturing facilities are expected to have a positive impact on future company performance.</w:t>
      </w:r>
    </w:p>
    <w:p>
      <w:pPr>
        <w:spacing w:after="0" w:line="164" w:lineRule="exact"/>
        <w:rPr>
          <w:sz w:val="20"/>
          <w:szCs w:val="20"/>
          <w:color w:val="auto"/>
        </w:rPr>
      </w:pPr>
    </w:p>
    <w:p>
      <w:pPr>
        <w:ind w:right="3440" w:firstLine="431"/>
        <w:spacing w:after="0" w:line="252" w:lineRule="auto"/>
        <w:rPr>
          <w:sz w:val="20"/>
          <w:szCs w:val="20"/>
          <w:color w:val="auto"/>
        </w:rPr>
      </w:pPr>
      <w:r>
        <w:rPr>
          <w:rFonts w:ascii="Courier New" w:cs="Courier New" w:eastAsia="Courier New" w:hAnsi="Courier New"/>
          <w:sz w:val="14"/>
          <w:szCs w:val="14"/>
          <w:color w:val="auto"/>
        </w:rPr>
        <w:t>In 1997, as in the year before, the company continued to feel the impact of weather patterns worldwide. In addition, priorities continued to change for both dealers and consumers as they became more and more price and value conscious, not only in the consumer and residential markets, but also in the professional</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7" w:lineRule="exact"/>
        <w:rPr>
          <w:sz w:val="20"/>
          <w:szCs w:val="20"/>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October 31</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580" w:val="left"/>
          <w:tab w:leader="none" w:pos="6360" w:val="left"/>
          <w:tab w:leader="none" w:pos="7660" w:val="left"/>
          <w:tab w:leader="none" w:pos="8420" w:val="left"/>
          <w:tab w:leader="none" w:pos="9720" w:val="left"/>
        </w:tabs>
        <w:rPr>
          <w:sz w:val="20"/>
          <w:szCs w:val="20"/>
          <w:color w:val="auto"/>
        </w:rPr>
      </w:pPr>
      <w:r>
        <w:rPr>
          <w:rFonts w:ascii="Courier New" w:cs="Courier New" w:eastAsia="Courier New" w:hAnsi="Courier New"/>
          <w:sz w:val="14"/>
          <w:szCs w:val="14"/>
          <w:color w:val="auto"/>
        </w:rPr>
        <w:t>(Dollars in millions, except per share data)</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 Change</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 Change</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$1,051.2</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12.9%</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$930.9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$919.4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663.2</w:t>
            </w:r>
          </w:p>
        </w:tc>
        <w:tc>
          <w:tcPr>
            <w:tcW w:w="1000" w:type="dxa"/>
            <w:vAlign w:val="bottom"/>
          </w:tcPr>
          <w:p>
            <w:pPr>
              <w:ind w:left="340"/>
              <w:spacing w:after="0"/>
              <w:rPr>
                <w:sz w:val="20"/>
                <w:szCs w:val="20"/>
                <w:color w:val="auto"/>
              </w:rPr>
            </w:pPr>
            <w:r>
              <w:rPr>
                <w:rFonts w:ascii="Courier New" w:cs="Courier New" w:eastAsia="Courier New" w:hAnsi="Courier New"/>
                <w:sz w:val="14"/>
                <w:szCs w:val="14"/>
                <w:color w:val="auto"/>
              </w:rPr>
              <w:t>12.6</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589.2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589.2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Gross profit</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341.7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330.2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278.3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from operations</w:t>
            </w:r>
          </w:p>
        </w:tc>
        <w:tc>
          <w:tcPr>
            <w:tcW w:w="2280" w:type="dxa"/>
            <w:vAlign w:val="bottom"/>
          </w:tcPr>
          <w:p>
            <w:pPr>
              <w:ind w:left="1600"/>
              <w:spacing w:after="0"/>
              <w:rPr>
                <w:sz w:val="20"/>
                <w:szCs w:val="20"/>
                <w:color w:val="auto"/>
              </w:rPr>
            </w:pPr>
            <w:r>
              <w:rPr>
                <w:rFonts w:ascii="Courier New" w:cs="Courier New" w:eastAsia="Courier New" w:hAnsi="Courier New"/>
                <w:sz w:val="14"/>
                <w:szCs w:val="14"/>
                <w:color w:val="auto"/>
              </w:rPr>
              <w:t>72.3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58.1</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2280" w:type="dxa"/>
            <w:vAlign w:val="bottom"/>
          </w:tcPr>
          <w:p>
            <w:pPr>
              <w:ind w:left="1600"/>
              <w:spacing w:after="0"/>
              <w:rPr>
                <w:sz w:val="20"/>
                <w:szCs w:val="20"/>
                <w:color w:val="auto"/>
              </w:rPr>
            </w:pPr>
            <w:r>
              <w:rPr>
                <w:rFonts w:ascii="Courier New" w:cs="Courier New" w:eastAsia="Courier New" w:hAnsi="Courier New"/>
                <w:sz w:val="14"/>
                <w:szCs w:val="14"/>
                <w:color w:val="auto"/>
              </w:rPr>
              <w:t>19.9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46.4</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13.5</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11.9</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Other income,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2280" w:type="dxa"/>
            <w:vAlign w:val="bottom"/>
          </w:tcPr>
          <w:p>
            <w:pPr>
              <w:ind w:left="1600"/>
              <w:spacing w:after="0"/>
              <w:rPr>
                <w:sz w:val="20"/>
                <w:szCs w:val="20"/>
                <w:color w:val="auto"/>
              </w:rPr>
            </w:pPr>
            <w:r>
              <w:rPr>
                <w:rFonts w:ascii="Courier New" w:cs="Courier New" w:eastAsia="Courier New" w:hAnsi="Courier New"/>
                <w:sz w:val="14"/>
                <w:szCs w:val="14"/>
                <w:color w:val="auto"/>
              </w:rPr>
              <w:t>(7.9)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33.4</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before</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income taxes, and extraordinary loss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53.9</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Provision for</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820" w:type="dxa"/>
            <w:vAlign w:val="bottom"/>
          </w:tcPr>
          <w:p>
            <w:pPr>
              <w:ind w:left="300"/>
              <w:spacing w:after="0"/>
              <w:rPr>
                <w:sz w:val="20"/>
                <w:szCs w:val="20"/>
                <w:color w:val="auto"/>
              </w:rPr>
            </w:pPr>
            <w:r>
              <w:rPr>
                <w:rFonts w:ascii="Courier New" w:cs="Courier New" w:eastAsia="Courier New" w:hAnsi="Courier New"/>
                <w:sz w:val="14"/>
                <w:szCs w:val="14"/>
                <w:color w:val="auto"/>
              </w:rPr>
              <w:t>Net earnings before extraordinary loss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32.4</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loss, net of income tax benefit of $1.1</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2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34.8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$ 36.4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$ 32.4</w:t>
            </w:r>
          </w:p>
        </w:tc>
      </w:tr>
    </w:tbl>
    <w:p>
      <w:pPr>
        <w:spacing w:after="0" w:line="4"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common stock equivalent before extraordinary loss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2.93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$ 2.90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2.50</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Extraordinary loss per share, net of income tax benefit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0.13</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and common stock equivalent</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$ 2.90</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2.50</w:t>
            </w:r>
          </w:p>
        </w:tc>
      </w:tr>
    </w:tbl>
    <w:p>
      <w:pPr>
        <w:spacing w:after="0" w:line="4"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 BY PRODUCT LINE</w:t>
      </w:r>
    </w:p>
    <w:p>
      <w:pPr>
        <w:spacing w:after="0" w:line="7" w:lineRule="exact"/>
        <w:rPr>
          <w:sz w:val="20"/>
          <w:szCs w:val="20"/>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580" w:val="left"/>
          <w:tab w:leader="none" w:pos="6360" w:val="left"/>
          <w:tab w:leader="none" w:pos="7660" w:val="left"/>
          <w:tab w:leader="none" w:pos="8420" w:val="left"/>
          <w:tab w:leader="none" w:pos="9720" w:val="left"/>
        </w:tabs>
        <w:rPr>
          <w:sz w:val="20"/>
          <w:szCs w:val="20"/>
          <w:color w:val="auto"/>
        </w:rPr>
      </w:pPr>
      <w:r>
        <w:rPr>
          <w:rFonts w:ascii="Courier New" w:cs="Courier New" w:eastAsia="Courier New" w:hAnsi="Courier New"/>
          <w:sz w:val="14"/>
          <w:szCs w:val="14"/>
          <w:color w:val="auto"/>
        </w:rPr>
        <w:t>(Dollars in millions)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 Change</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 Change</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3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421.9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$467.2</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3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344.6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322.0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310.8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3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92.5</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$1,051.2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$930.9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$919.4</w:t>
            </w:r>
          </w:p>
        </w:tc>
      </w:tr>
    </w:tbl>
    <w:p>
      <w:pPr>
        <w:spacing w:after="0" w:line="4" w:lineRule="exact"/>
        <w:rPr>
          <w:sz w:val="20"/>
          <w:szCs w:val="20"/>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232.8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33.6%</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$174.2</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$149.6</w:t>
            </w:r>
          </w:p>
        </w:tc>
      </w:tr>
    </w:tbl>
    <w:p>
      <w:pPr>
        <w:spacing w:after="0" w:line="4"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340"/>
          </w:cols>
          <w:pgMar w:left="220" w:top="616" w:right="1339" w:bottom="0" w:gutter="0" w:footer="0" w:header="0"/>
        </w:sectPr>
      </w:pPr>
    </w:p>
    <w:bookmarkStart w:id="56" w:name="page57"/>
    <w:bookmarkEnd w:id="56"/>
    <w:p>
      <w:pPr>
        <w:spacing w:after="0" w:line="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markets. The company faced increasing competitive pressures, both domestically and internationally. While the international market remains a potentially high growth market and the company continues to enjoy high market share, increasingly difficult economic conditions made this a very volatile market in 1997. Although the James Hardie Irrigation Group (Hardie) acquisition had a substantial impact on 1997 net sales, the acquisition was still both a resource and dollar drain.</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response to these challenges, the company continued to evaluate its business units and reinvest in opportunities and initiatives that will help sustain competitiveness and maintain a leadership position in 1998 and beyond. In order to hold and/or obtain additional market share in all its businesses, the company began implementing supply chain management strategies which will reduce costs in both the manufacturing and distribution systems. In addition, funds will be earmarked to develop new and innovative products for its markets. The company also made key investments for the future that helped differentiate it by broadening its offering of products. This included the acquisition of Hardie and the manufacturing, sales and distribution rights to Dingo-TM- Digging Systems (Dingo) under which the company will manufacture and sell Dingo landscape products under the Toro Sitework-TM- Systems brand name for North and South American markets. Alliances were formed with Maruyama Manufacturing and Bluebird International. The company is implementing marketing strategies for fiscal 1998 including the lowering of prices for the consumer walk-behind power mowers to reverse share erosion. Finally, the company has established an international currency fund to protect market share and has continued to develop long-term relationships with key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7"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December 1, 1996 the company acquired Hardie from James Hardie Industries Limited of Australia (JHI Limited). Hardie is a worldwide leader in the production of irrigation systems for the residential and commercial landscape markets, and agricultural irrigation market. Comparisons of fiscal 1997 to fiscal 1996 are significantly impacted by the acquisition.</w:t>
      </w:r>
    </w:p>
    <w:p>
      <w:pPr>
        <w:spacing w:after="0" w:line="165" w:lineRule="exact"/>
        <w:rPr>
          <w:sz w:val="20"/>
          <w:szCs w:val="20"/>
          <w:color w:val="auto"/>
        </w:rPr>
      </w:pPr>
    </w:p>
    <w:p>
      <w:pPr>
        <w:jc w:val="both"/>
        <w:ind w:right="4719" w:firstLine="431"/>
        <w:spacing w:after="0" w:line="252" w:lineRule="auto"/>
        <w:rPr>
          <w:sz w:val="20"/>
          <w:szCs w:val="20"/>
          <w:color w:val="auto"/>
        </w:rPr>
      </w:pPr>
      <w:r>
        <w:rPr>
          <w:rFonts w:ascii="Courier New" w:cs="Courier New" w:eastAsia="Courier New" w:hAnsi="Courier New"/>
          <w:sz w:val="14"/>
          <w:szCs w:val="14"/>
          <w:color w:val="auto"/>
        </w:rPr>
        <w:t>Worldwide net sales increased 12.9% to $1.1 billion in 1997 versus $930.9 million in 1996. The following is a discussion of the sales by product group:</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CONSUMER</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Worldwide consumer product sales declined by 8.5% to $421.9 million in 1997. Although retail demand for Toro and Lawn-Boy walk-behind power mowers increased slightly over last year, sales to dealers and distributors declined as their levels of field inventories were managed down and they shifted their buying patterns to more closely reflect retail demand. Sales to hardware, home centers and mass merchant retailers were very strong, partially offsetting the reduction in dealer and distributor sales. This reflects a shift in consumer buying patterns from brand specific purchases from dealer outlets to price and value conscious purchases from hardware, home centers and mass merchant retailers, a trend throughout the industry. Consumer international sales increased 14.9% due primarily to product penetration in newer markets such as Eastern Europe. Although the consumer business did not grow in 1997, the company has taken aggressive steps to reposition the business for 1998, and these steps, combined with several new products coming on line in 1998, brighten the outlook of residential products for 1998 and beyond.</w:t>
      </w:r>
    </w:p>
    <w:p>
      <w:pPr>
        <w:spacing w:after="0" w:line="17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COMMERCIAL</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Worldwide commercial product sales increased by 7.0% to $344.6 million. The increase in sales reflected growth in the golf market as well as the landscape maintenance sector. This was partially offset by reduced sales for recycling equipment and commercial parts. Although competitors in the commercial market are aggressively pursuing market share, the company believes it is maintaining its leadership position. International sales included in the worldwide commercial totals were up 2.2%. The strong U.S. dollar dampened growth in foreign golf projects, especially</w:t>
      </w:r>
    </w:p>
    <w:p>
      <w:pPr>
        <w:spacing w:after="0" w:line="329" w:lineRule="exact"/>
        <w:rPr>
          <w:sz w:val="20"/>
          <w:szCs w:val="20"/>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CONSUMER SALES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476.2</w:t>
      </w:r>
      <w:r>
        <w:rPr>
          <w:sz w:val="20"/>
          <w:szCs w:val="20"/>
          <w:color w:val="auto"/>
        </w:rPr>
        <w:tab/>
      </w:r>
      <w:r>
        <w:rPr>
          <w:rFonts w:ascii="Courier New" w:cs="Courier New" w:eastAsia="Courier New" w:hAnsi="Courier New"/>
          <w:sz w:val="14"/>
          <w:szCs w:val="14"/>
          <w:color w:val="auto"/>
        </w:rPr>
        <w:t>467.2</w:t>
      </w:r>
      <w:r>
        <w:rPr>
          <w:sz w:val="20"/>
          <w:szCs w:val="20"/>
          <w:color w:val="auto"/>
        </w:rPr>
        <w:tab/>
      </w:r>
      <w:r>
        <w:rPr>
          <w:rFonts w:ascii="Courier New" w:cs="Courier New" w:eastAsia="Courier New" w:hAnsi="Courier New"/>
          <w:sz w:val="14"/>
          <w:szCs w:val="14"/>
          <w:color w:val="auto"/>
        </w:rPr>
        <w:t>461.0</w:t>
      </w:r>
      <w:r>
        <w:rPr>
          <w:sz w:val="20"/>
          <w:szCs w:val="20"/>
          <w:color w:val="auto"/>
        </w:rPr>
        <w:tab/>
      </w:r>
      <w:r>
        <w:rPr>
          <w:rFonts w:ascii="Courier New" w:cs="Courier New" w:eastAsia="Courier New" w:hAnsi="Courier New"/>
          <w:sz w:val="14"/>
          <w:szCs w:val="14"/>
          <w:color w:val="auto"/>
        </w:rPr>
        <w:t>421.9</w:t>
      </w:r>
    </w:p>
    <w:p>
      <w:pPr>
        <w:spacing w:after="0" w:line="7" w:lineRule="exact"/>
        <w:rPr>
          <w:sz w:val="20"/>
          <w:szCs w:val="20"/>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SALES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262.3</w:t>
      </w:r>
      <w:r>
        <w:rPr>
          <w:sz w:val="20"/>
          <w:szCs w:val="20"/>
          <w:color w:val="auto"/>
        </w:rPr>
        <w:tab/>
      </w:r>
      <w:r>
        <w:rPr>
          <w:rFonts w:ascii="Courier New" w:cs="Courier New" w:eastAsia="Courier New" w:hAnsi="Courier New"/>
          <w:sz w:val="14"/>
          <w:szCs w:val="14"/>
          <w:color w:val="auto"/>
        </w:rPr>
        <w:t>310.8</w:t>
      </w:r>
      <w:r>
        <w:rPr>
          <w:sz w:val="20"/>
          <w:szCs w:val="20"/>
          <w:color w:val="auto"/>
        </w:rPr>
        <w:tab/>
      </w:r>
      <w:r>
        <w:rPr>
          <w:rFonts w:ascii="Courier New" w:cs="Courier New" w:eastAsia="Courier New" w:hAnsi="Courier New"/>
          <w:sz w:val="14"/>
          <w:szCs w:val="14"/>
          <w:color w:val="auto"/>
        </w:rPr>
        <w:t>322.0</w:t>
      </w:r>
      <w:r>
        <w:rPr>
          <w:sz w:val="20"/>
          <w:szCs w:val="20"/>
          <w:color w:val="auto"/>
        </w:rPr>
        <w:tab/>
      </w:r>
      <w:r>
        <w:rPr>
          <w:rFonts w:ascii="Courier New" w:cs="Courier New" w:eastAsia="Courier New" w:hAnsi="Courier New"/>
          <w:sz w:val="14"/>
          <w:szCs w:val="14"/>
          <w:color w:val="auto"/>
        </w:rPr>
        <w:t>344.6</w:t>
      </w:r>
    </w:p>
    <w:p>
      <w:pPr>
        <w:spacing w:after="0" w:line="7" w:lineRule="exact"/>
        <w:rPr>
          <w:sz w:val="20"/>
          <w:szCs w:val="20"/>
          <w:color w:val="auto"/>
        </w:rPr>
      </w:pPr>
    </w:p>
    <w:p>
      <w:pPr>
        <w:ind w:left="180" w:hanging="172"/>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77" w:orient="portrait"/>
          <w:cols w:equalWidth="0" w:num="1">
            <w:col w:w="10239"/>
          </w:cols>
          <w:pgMar w:left="220" w:top="616" w:right="1440" w:bottom="0" w:gutter="0" w:footer="0" w:header="0"/>
        </w:sectPr>
      </w:pPr>
    </w:p>
    <w:bookmarkStart w:id="57" w:name="page58"/>
    <w:bookmarkEnd w:id="57"/>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IRRIGATION SALES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125.8</w:t>
      </w:r>
      <w:r>
        <w:rPr>
          <w:sz w:val="20"/>
          <w:szCs w:val="20"/>
          <w:color w:val="auto"/>
        </w:rPr>
        <w:tab/>
      </w:r>
      <w:r>
        <w:rPr>
          <w:rFonts w:ascii="Courier New" w:cs="Courier New" w:eastAsia="Courier New" w:hAnsi="Courier New"/>
          <w:sz w:val="14"/>
          <w:szCs w:val="14"/>
          <w:color w:val="auto"/>
        </w:rPr>
        <w:t>141.4</w:t>
      </w:r>
      <w:r>
        <w:rPr>
          <w:sz w:val="20"/>
          <w:szCs w:val="20"/>
          <w:color w:val="auto"/>
        </w:rPr>
        <w:tab/>
      </w:r>
      <w:r>
        <w:rPr>
          <w:rFonts w:ascii="Courier New" w:cs="Courier New" w:eastAsia="Courier New" w:hAnsi="Courier New"/>
          <w:sz w:val="14"/>
          <w:szCs w:val="14"/>
          <w:color w:val="auto"/>
        </w:rPr>
        <w:t>147.9</w:t>
      </w:r>
      <w:r>
        <w:rPr>
          <w:sz w:val="20"/>
          <w:szCs w:val="20"/>
          <w:color w:val="auto"/>
        </w:rPr>
        <w:tab/>
      </w:r>
      <w:r>
        <w:rPr>
          <w:rFonts w:ascii="Courier New" w:cs="Courier New" w:eastAsia="Courier New" w:hAnsi="Courier New"/>
          <w:sz w:val="14"/>
          <w:szCs w:val="14"/>
          <w:color w:val="auto"/>
        </w:rPr>
        <w:t>284.7</w:t>
      </w:r>
    </w:p>
    <w:p>
      <w:pPr>
        <w:spacing w:after="0" w:line="7" w:lineRule="exact"/>
        <w:rPr>
          <w:sz w:val="20"/>
          <w:szCs w:val="20"/>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INTERNATIONAL SALES*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94</w:t>
      </w:r>
      <w:r>
        <w:rPr>
          <w:sz w:val="20"/>
          <w:szCs w:val="20"/>
          <w:color w:val="auto"/>
        </w:rPr>
        <w:tab/>
      </w:r>
      <w:r>
        <w:rPr>
          <w:rFonts w:ascii="Courier New" w:cs="Courier New" w:eastAsia="Courier New" w:hAnsi="Courier New"/>
          <w:sz w:val="14"/>
          <w:szCs w:val="14"/>
          <w:color w:val="auto"/>
        </w:rPr>
        <w:t>95</w:t>
      </w:r>
      <w:r>
        <w:rPr>
          <w:sz w:val="20"/>
          <w:szCs w:val="20"/>
          <w:color w:val="auto"/>
        </w:rPr>
        <w:tab/>
      </w:r>
      <w:r>
        <w:rPr>
          <w:rFonts w:ascii="Courier New" w:cs="Courier New" w:eastAsia="Courier New" w:hAnsi="Courier New"/>
          <w:sz w:val="14"/>
          <w:szCs w:val="14"/>
          <w:color w:val="auto"/>
        </w:rPr>
        <w:t>96</w:t>
      </w:r>
      <w:r>
        <w:rPr>
          <w:sz w:val="20"/>
          <w:szCs w:val="20"/>
          <w:color w:val="auto"/>
        </w:rPr>
        <w:tab/>
      </w:r>
      <w:r>
        <w:rPr>
          <w:rFonts w:ascii="Courier New" w:cs="Courier New" w:eastAsia="Courier New" w:hAnsi="Courier New"/>
          <w:sz w:val="14"/>
          <w:szCs w:val="14"/>
          <w:color w:val="auto"/>
        </w:rPr>
        <w:t>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1280" w:val="left"/>
          <w:tab w:leader="none" w:pos="2140" w:val="left"/>
          <w:tab w:leader="none" w:pos="3000" w:val="left"/>
        </w:tabs>
        <w:rPr>
          <w:sz w:val="20"/>
          <w:szCs w:val="20"/>
          <w:color w:val="auto"/>
        </w:rPr>
      </w:pPr>
      <w:r>
        <w:rPr>
          <w:rFonts w:ascii="Courier New" w:cs="Courier New" w:eastAsia="Courier New" w:hAnsi="Courier New"/>
          <w:sz w:val="14"/>
          <w:szCs w:val="14"/>
          <w:color w:val="auto"/>
        </w:rPr>
        <w:t>140.7</w:t>
      </w:r>
      <w:r>
        <w:rPr>
          <w:sz w:val="20"/>
          <w:szCs w:val="20"/>
          <w:color w:val="auto"/>
        </w:rPr>
        <w:tab/>
      </w:r>
      <w:r>
        <w:rPr>
          <w:rFonts w:ascii="Courier New" w:cs="Courier New" w:eastAsia="Courier New" w:hAnsi="Courier New"/>
          <w:sz w:val="14"/>
          <w:szCs w:val="14"/>
          <w:color w:val="auto"/>
        </w:rPr>
        <w:t>149.6</w:t>
      </w:r>
      <w:r>
        <w:rPr>
          <w:sz w:val="20"/>
          <w:szCs w:val="20"/>
          <w:color w:val="auto"/>
        </w:rPr>
        <w:tab/>
      </w:r>
      <w:r>
        <w:rPr>
          <w:rFonts w:ascii="Courier New" w:cs="Courier New" w:eastAsia="Courier New" w:hAnsi="Courier New"/>
          <w:sz w:val="14"/>
          <w:szCs w:val="14"/>
          <w:color w:val="auto"/>
        </w:rPr>
        <w:t>174.2</w:t>
      </w:r>
      <w:r>
        <w:rPr>
          <w:sz w:val="20"/>
          <w:szCs w:val="20"/>
          <w:color w:val="auto"/>
        </w:rPr>
        <w:tab/>
      </w:r>
      <w:r>
        <w:rPr>
          <w:rFonts w:ascii="Courier New" w:cs="Courier New" w:eastAsia="Courier New" w:hAnsi="Courier New"/>
          <w:sz w:val="14"/>
          <w:szCs w:val="14"/>
          <w:color w:val="auto"/>
        </w:rPr>
        <w:t>232.8</w:t>
      </w:r>
    </w:p>
    <w:p>
      <w:pPr>
        <w:spacing w:after="0" w:line="7" w:lineRule="exact"/>
        <w:rPr>
          <w:sz w:val="20"/>
          <w:szCs w:val="20"/>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charts at left)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73" w:right="1440" w:bottom="1440" w:gutter="0" w:footer="0" w:header="0"/>
        </w:sectPr>
      </w:pPr>
    </w:p>
    <w:bookmarkStart w:id="58" w:name="page59"/>
    <w:bookmarkEnd w:id="58"/>
    <w:p>
      <w:pPr>
        <w:ind w:right="3519"/>
        <w:spacing w:after="0" w:line="255" w:lineRule="auto"/>
        <w:rPr>
          <w:sz w:val="20"/>
          <w:szCs w:val="20"/>
          <w:color w:val="auto"/>
        </w:rPr>
      </w:pPr>
      <w:r>
        <w:rPr>
          <w:rFonts w:ascii="Courier New" w:cs="Courier New" w:eastAsia="Courier New" w:hAnsi="Courier New"/>
          <w:sz w:val="14"/>
          <w:szCs w:val="14"/>
          <w:color w:val="auto"/>
        </w:rPr>
        <w:t>in emerging markets. The company is currently developing strategies to protect against loss of sales due to fluctuations in foreign currencies.</w:t>
      </w:r>
    </w:p>
    <w:p>
      <w:pPr>
        <w:spacing w:after="0" w:line="16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IRRIGATION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Worldwide irrigation product sales totaled $284.7 million, an increase of 92.5% over the prior year. This increase was almost entirely attributable to the acquisition of Hardie. Irrigation sales discussed here include sales to both the residential and professional markets. Golf irrigation and do-it-yourself retail irrigation product sales also did well for the year. The strength in these two areas was partially offset by a sluggish residential and commercial irrigation season. International irrigation sales were up 167.4% from the prior year, mainly due to the acquisition of Hardie. International sales without Hardie were flat due principally to the weakening of foreign currencies against the U.S. dollar. Many new golf projects were postponed or cancelled as a result of weakened foreign economies. The company is currently developing strategies to guard against loss of sales due to fluctuations in foreign currencies.</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INTERNATIONAL MARKETS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Total international product sales, included in the preceding net sales table, increased by 33.6% over the previous year to $232.8 million. This was primarily the result of additional sales added by the Hardie acquisition. The remaining increase occurred as a result of the growth of newer target markets in Eastern Europe and Latin America. Competitive pressures and the strong U.S. dollar slowed growth in international markets.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International sales are principally denominated in U.S. dollars, although a portion of the company's international sales are denominated in foreign currencies. To reduce the uncertainty of foreign currency exchange rate movements on these sales commitments, the company enters into foreign currency exchange contracts and, although the risks of foreign currency transactions are getting larger, the company is proactively addressing these fluctuations in currency and their impact on the financial statements. See Notes to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1996 COMPARED WITH FISCAL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1996, net earnings increased by $4.0 million to $36.4 million from</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$32.4 million in the prior fiscal year. Worldwide net sales increased by $11.5 million to $930.9 million in 1996 versus $919.4 million in 1995. The following is a discussion of the sales by product group for fiscal 1996 as compared to fiscal 1995:</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CONSUMER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consumer product sales in 1996 fell by 1.3% to $461.0 million from</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$467.2 million in 1995. The decrease was primarily the result of a slow start to the lawn and garden season due to cold, wet weather throughout most of the United States during the spring season. This decline was offset partially by increased snowthrower shipments. Snowthrower demand, especially in the northeast, was high in anticipation of strong retail activity and abnormally low field inventory levels. For the year, snowthrower sales were up 31.0%, primarily the result of sales volume increases. International sales included in the worldwide consumer totals increased by 8.4% from the prior year. Walk behind mower sales were lower, but this decline was offset by strong riding product sales.</w:t>
      </w:r>
    </w:p>
    <w:p>
      <w:pPr>
        <w:spacing w:after="0" w:line="32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COMMERCIAL</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Worldwide commercial product sales increased $11.2 million or 3.6% over the prior year to $322.0 million. International sales were up 22.1% due primarily to a strong golf market in Europe and Asia. The late spring had an adverse effect on sales to the domestic golf course market. Many golf courses were forced to cut their equipment budgets due to loss of income from fewer rounds played during the inclement spring weather. In addition, the market saw increased competitive actions among the major equipment manufacturers.</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IRRIGATION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irrigation sales totaled $147.9 million representing</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an increase of $6.5 million or 4.6% over the prior year. International irrigation sales were strong, up 15.5% from the prior year, fueled by strong golf market sales. This was partially offset by lower sales to the residential/commercial markets which were impacted by the cold, wet spring.</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INTERNATIONAL MARKETS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Total international sales, included in the preceding net sales table, increased by 16.5% over the previous year to $174.2 million. This was primarily the result of increased sales volumes in the European and Asian golf markets.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TRENDS AND PROFIT MARGINS</w:t>
      </w:r>
    </w:p>
    <w:p>
      <w:pPr>
        <w:spacing w:after="0" w:line="7" w:lineRule="exact"/>
        <w:rPr>
          <w:sz w:val="20"/>
          <w:szCs w:val="20"/>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October 31</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860" w:val="left"/>
          <w:tab w:leader="none" w:pos="4720" w:val="left"/>
          <w:tab w:leader="none" w:pos="5580" w:val="left"/>
        </w:tabs>
        <w:rPr>
          <w:sz w:val="20"/>
          <w:szCs w:val="20"/>
          <w:color w:val="auto"/>
        </w:rPr>
      </w:pPr>
      <w:r>
        <w:rPr>
          <w:rFonts w:ascii="Courier New" w:cs="Courier New" w:eastAsia="Courier New" w:hAnsi="Courier New"/>
          <w:sz w:val="14"/>
          <w:szCs w:val="14"/>
          <w:color w:val="auto"/>
        </w:rPr>
        <w:t>Margins (Percent of net sales)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Pretax earnings, before</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extraordinary loss</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earnings, before</w:t>
            </w: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extraordinary loss</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0" w:gutter="0" w:footer="0" w:header="0"/>
        </w:sectPr>
      </w:pPr>
    </w:p>
    <w:bookmarkStart w:id="59" w:name="page60"/>
    <w:bookmarkEnd w:id="59"/>
    <w:p>
      <w:pPr>
        <w:ind w:left="14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9019"/>
          </w:cols>
          <w:pgMar w:left="1440" w:top="14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gross profit of $388.0 million represents a 13.6% increase over the gross profit of $341.7 million in 1996. As a percent of net sales, gross profit rose to 36.9% from 36.7% in the prior year. The increase was due primarily to improved production efficiencies, partially offset by the addition of Hardie products which carry somewhat lower gross margins. The company is focusing on cost containment and supply chain management strategies to partially offset the lower margin contribution of Hardie and the effects of competitive pressures.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1996 COMPARED WITH FISCAL 1995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gross profit of $341.7 million represented an $11.5 million or 3.5% increase over the gross profit of $330.2 million in 1995. As a percent of net sales, gross profit rose to 36.7% from 35.9% in the prior year. The percentage margin improvement resulted primarily from reduced production costs, notably materials and product mix. This improvement was partially offset by costs resulting from lowered production levels in selected plants to match market needs.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For 1997, SG&amp;A expenses totaled $315.7 million or 30.0% of net sales, a slight percentage increase over 1996. Of this increase of $37.4 million, Hardie accounted for $34.8 million.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Increases in sales and marketing, warranty, and research and development expenses were completely offset by lower administrative expense, after the impact of Hardie, due to cost containment efforts initiated during the second half of the year. The remaining increase in SG&amp;A expenses over the prior year occurred as the company incurred a one-time charge of $2.6 million related to the closing of the manufacturing facility at Mound, Minnesota and relocation of those operations to other company facilities throughout the U.S. This move is part of a long-term corporate strategy to reduce costs and provide opportunities for longer term capacity increases.</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SG&amp;A expense includes distributor/dealer financing costs totaling $10.2 million in 1997 and $10.3 million in 1996 incurred by the company to contract with a third party financing source to finance dealer inventory purchases. This charge represents interest for a pre-established length of time at a rate of prime plus a negotiated markup. This cost includes related expenses such as credit line origination costs. These financing arrangements are used by the company as a marketing tool to enable customers to buy inventory.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1996 COMPARED WITH FISCAL 1995</w:t>
      </w:r>
    </w:p>
    <w:p>
      <w:pPr>
        <w:spacing w:after="0" w:line="173"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For 1996, SG&amp;A expenses totaled $278.3 million or 29.9% of net sales compared to $272.1 million or 29.6% of net sales in 1995.</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increase in administrative expense of $4.8 million was comprised primarily of additional operating expenses associated with new businesses acquired in 1996. This was partially offset by a decline in sales and marketing expense of $1.5 million due to reduced direct expenses from the decrease in consumer lawn and garden sales combined with savings from added expense controls. In addition, warranty expense declined $3.4 million from the prior year as a result of lower warranty reserve requirements due to continuing product quality improvements and experience factors. Research and development expenditures increased by $3.9 million reflecting the company's commitment to invest in product innovation and development.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expense in 1997 increased by $6.3 million to $19.9 million due to higher overall debt levels during the year. The Hardie acquisition debt accounted for approximately $7.1 million of the interest expense. This was offset by reductions in previously outstanding debt and related interest expense as cash generated by operations was used to pay off debt. In addition, the company redeemed higher rate debt by replacing the 11% debentures with lower rate debt during the year.</w:t>
      </w:r>
    </w:p>
    <w:p>
      <w:pPr>
        <w:spacing w:after="0" w:line="33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FISCAL 1996 COMPARED WITH FISCAL 1995</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Interest expense in 1996 increased by $1.6 million to $13.5 million. Although the average cost of funds declined from the prior year, the benefit was diminished by higher overall debt levels resulting from higher levels of average working capital. In addition to working capital needs, the company purchased $13.3 million of its own common stock during the year which was funded with short-term borrowings. This cash outflow was offset partially by $12.1 million received as a result of an interest rate swap entered into during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Other income, net, totaled $7.9 million in 1997 versus $10.3 million for 1996. The reduction is primarily attributable to favorable results from a patent infringement lawsuit settlement in the prior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1996 COMPARED WITH FISCAL 1995</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Other income, net, totaled $10.3 million in 1996 versus $7.7 million for 1995. The increase was primarily the result of favorable patent infringement litigation settlements.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TAXES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effective tax rate for 1997 and 1996 was 39.5%. In accordance with Financial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Standards No. 109, the company has determined that it is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necessary to establish a valuation reserve for the deferred income tax asset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because it is more likely than not that the net deferred income tax asset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$43.5 million will be principally realized through carryback to taxable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prior years, future reversals of existing taxable temporary differences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 lesser extent, future taxable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1996 COMPARED WITH FISCAL 1995</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effective tax rate of 39.5% for 1996 was consistent with the 39.9% rate in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1997 COMPARED WITH FISCAL 1996</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Net earnings for 1997 were $34.8 million after the effect of an extraordinary loss of $1.7 million, on the early retirement of debt. See Notes to the Consolidated Financial Statements. Net earnings before the extraordinary loss were $36.5 million, a slight increase from the 1996 net earnings of $36.4 million. Earnings per share before the effect of the extraordinary loss in 1997 were $2.93 up slightly from earnings per share in 1996. On a per share basis, earnings decreased from $2.90 in 1996 to $2.80 after the effect of the extraordinary loss of $0.13 in 1997.</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Although Hardie contributed most of the sales increase, in the first year of the acquisition, Hardie resulted in a loss of $.08 per share, a significant improvement from the original estimate. It is expected that Hardie will contribute positive earnings in the future. Beginning in 1998, Hardie operations will be completely integrated into the company's irrigation business.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1996 COMPARED WITH FISCAL 1995</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Net earnings for 1996 were $36.4 million, representing a 12.5% increase over 1995 earnings of $32.4 million. The increase was primarily the result of improved operating margins. On a per share basis, earnings increased 16% to $2.90 from $2.50 in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p>
      <w:pPr>
        <w:ind w:right="3859"/>
        <w:spacing w:after="0" w:line="251" w:lineRule="auto"/>
        <w:rPr>
          <w:sz w:val="20"/>
          <w:szCs w:val="20"/>
          <w:color w:val="auto"/>
        </w:rPr>
      </w:pPr>
      <w:r>
        <w:rPr>
          <w:rFonts w:ascii="Courier New" w:cs="Courier New" w:eastAsia="Courier New" w:hAnsi="Courier New"/>
          <w:sz w:val="14"/>
          <w:szCs w:val="14"/>
          <w:color w:val="auto"/>
        </w:rPr>
        <w:t>Total assets at October 31, 1997 increased by 33.2% to $661.6 million compared to $496.9 million for the prior year. Hardie accounted for $103.1 million of this increase. Property, plant and equipment, net of Hardie, increased $23.8 million as a result of corporate facility expenditures and tooling for new products. Other assets, net of Hardie, increased $21.2 million as a result of costs related to a debt issuance and interest rate swap terminations, capitalization of patents and purchase of property for future corporate expansion. See Notes to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17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Working capital at October 31, 1997 was $234.2 million, an 18.8% increase from $197.1 million reported for 1996. The current ratio for 1997 was 1.98 versus</w:t>
      </w:r>
    </w:p>
    <w:p>
      <w:pPr>
        <w:spacing w:after="0" w:line="1"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1.95 in 1996. Working capital as a percent of sales was 22.3% in 1997 and 21.2% in 1996.</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increase in working capital was due primarily to the additional working capital requirements due to the growth of the business.</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757"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CAPITAL STRUCTURE</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company's capital structure is managed on a consolidated basis. Long-term debt at October 31, 1997 was $178.0 million, up $124.7 million from $53.4 million at October 31, 1996.</w:t>
      </w:r>
    </w:p>
    <w:p>
      <w:pPr>
        <w:spacing w:after="0" w:line="16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Total debt at October 31, 1997 was $219.0 million, up $124.6 million from $94.4 million at October 31, 1996. The total debt to total capital ratio increased from 30.7% in 1996 to 47.6% in 1997 as additional debt was issued in connection with the acquisition of Hardie.</w:t>
      </w:r>
    </w:p>
    <w:p>
      <w:pPr>
        <w:spacing w:after="0" w:line="162"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Total capitalization at October 31, 1997 consisted of $178.0 million of long-term debt, $41.0 million of short-term borrowing and $241.2 million of stockholders' equity.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1997, the company improved its liquidity position by increasing its current ratio after the acquisition of Hardie. The short-term financing used to initially fund the acquisition of Hardie was replaced during the year with long-term notes and debentures. In addition, the company completed the restructuring of its higher rate debt by redeeming $50.0 million of 11% debentures on August 1, 1997.</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to the company through its existing financing options, coupled with forecasted cash flows, will continue to provide the capital resources for its anticipated needs.</w:t>
      </w:r>
    </w:p>
    <w:p>
      <w:pPr>
        <w:spacing w:after="0" w:line="16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CASH FLOW</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 declined slightly from 1996 to 1997.</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Cash provided by operating activities increased by $51.4 million due principally to Hardie and an improvement in working capital from the prior year.</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Cash used in investing activities increased significantly in 1997 from 1996 due almost entirely to the acquisition of Hardie. In addition, property, plant and equipment expenditures were up as a result of corporate facility expenditures and new product tooling.</w:t>
      </w:r>
    </w:p>
    <w:p>
      <w:pPr>
        <w:spacing w:after="0" w:line="162"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Cash flows from financing activities increased primarily due to a net increase in long-term debt of $124.7 million predominantly used to finance the Hardie acquisition. The termination of interest rate swap agreements in connection with the debt issue and the purchase of common stock reduced cash flows from financing activities.</w:t>
      </w:r>
    </w:p>
    <w:p>
      <w:pPr>
        <w:spacing w:after="0" w:line="16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CREDIT LINES AND OTHER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seasonal working capital requirements are funded with $190.0 million of unsecured bank credit lines. Average borrowings under these lines were $149.6 million in 1997 and $95.2 million in 1996. The increase in the average borrowings was mainly the result of the Hardie acquisition which was initially funded with temporary bank debt of $118.0 million. In addition, borrowings were up as a result of increases in seasonal working capital. At October 31, 1997 the company had $149.0 million of unutilized availability under these credit lines. The $150.0 million unsecured credit line used to initially finance the acquisition of Hardie terminated upon the issuance of long-term debt in June 1997.</w:t>
      </w:r>
    </w:p>
    <w:p>
      <w:pPr>
        <w:spacing w:after="0" w:line="329"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company's business is seasonal, with accounts receivable balances historically increasing between January and March as a result of extended payment terms made available to the company's customers, and decreasing between April and June when payments become due. The company's peak borrowing usually occurs between February and May. The seasonal working capital requirements are financed primarily with the short-term financing arrangements described above.</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ACQUISITION FINANCING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November 1997, the company completed the acquisition of Exmark Manufacturing Company Incorporated (Exmark). The initial purchase price of approximately $31.0 million has been financed through the issuance of 598,051 shares of the company's common stock and approximately $5.5 million in cash. In addition, under the terms of the purchase agreement, the company will be required to make contingent payments to Exmark shareholders if Exmark's post-acquisition earnings and sales growth from November 1, 1997 through October 31, 1999 exceed minimum levels established in the purchase agreement. The maximum amount of these contingent payments is $28.0 million. Contingent payments will be paid with a combination of cash and the company's common stock. See Acquisitions and Strategic Alliances included in this MD&amp;A.</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been able to deal successfully with inflationary pressures through a combination of internal cost reduction efforts and selected increases in selling prices of products.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STRATEGIC ALLIANCES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December 1996, the company acquired Hardie from JHI Limited for $118.0 million. The purchase price is subject to adjustment based upon final audit results and the resolution of certain matters concerning the purchase price submitted by the company to JHI Limited. See Notes to the Consolidated Financial Statements.</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November 1997, the company acquired Exmark, a leading manufacturer of equipment for the professional landscape contractor industry. Exmark is headquartered in Beatrice, Nebraska and produces mid-sized walk-behind power mowers and zero-turning radius riding mowers for professional contractors. Exmark employs approximately 280 people in a 164,000 square-foot facility. Exmark had $53.4 million in net sales for its fiscal year ended August 31, 1997.</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in September 1997, the company announced that it had acquired the manufacturing, sales and distribution rights to Dingo under which the company will manufacture and sell Dingo landscape products under the Toro Sitework-TM- Systems brand name for North and South American markets. Dingo began distributing their products in North America in 1995 under an agreement with Dingo Mini Diggers of Australia. These products will be manufactured at the company's manufacturing facility in Tomah, Wisconsin.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company also completed several other alliances in key business areas. Product alliances with Maruyama Manufacturing, Bluebird International and Parker Sweeper Company are contributing to development of the company's landscape contractor business. The company has also formed alliances with Pinehurst Resort, home of the 1999 U.S. Men's Open, and Whitbread-Marriott, a European chain of golfing resorts.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2000 COMPLIANCE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is in the process of implementing a year 2000 compliant enterprise-wide information system. This process was initiated in 1995 and is currently operational in many locations within the company. This implementation will be largely completed during 1998. The company has also initiated an assessment project which addresses those other significant systems that may have year 2000 compliance issues.</w:t>
      </w:r>
    </w:p>
    <w:p>
      <w:pPr>
        <w:spacing w:after="0" w:line="164"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company presently believes that with the implementation of the new system and modifications to existing software, year 2000 compliance will not pose a significant operational issue for the company. However, if these modifications and conversion are not completed on a timely basis, including implementation by its business partners, year 2000 compliance may have a material impact on the operations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experienced a 12.9% increase in net sales, almost entirely attributable to the acquisition of Hardie. Earnings before the extraordinary loss increased 0.3% over the prior year. Hardie, in its first year of integration, had a negative impact on earnings as did costs associated with the closing of a Toro manufacturing facility. These items, plus the addition of Exmark, Dingo and other alliances, are expected to have a favorable impact on earnings in future periods.</w:t>
      </w:r>
    </w:p>
    <w:p>
      <w:pPr>
        <w:spacing w:after="0" w:line="33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company has maintained a strong balance sheet and improved liquidity by refinancing short-term debt used to acquire Hardie with long-term debt, and replacing higher interest rate debt with debt at more favorable interest rates.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64" w:name="page65"/>
    <w:bookmarkEnd w:id="64"/>
    <w:p>
      <w:pPr>
        <w:spacing w:after="0"/>
        <w:tabs>
          <w:tab w:leader="none" w:pos="2140" w:val="left"/>
        </w:tabs>
        <w:rPr>
          <w:sz w:val="20"/>
          <w:szCs w:val="20"/>
          <w:color w:val="auto"/>
        </w:rPr>
      </w:pPr>
      <w:r>
        <w:rPr>
          <w:rFonts w:ascii="Courier New" w:cs="Courier New" w:eastAsia="Courier New" w:hAnsi="Courier New"/>
          <w:sz w:val="14"/>
          <w:szCs w:val="14"/>
          <w:color w:val="auto"/>
        </w:rPr>
        <w:t>SELECTED FINANCIAL DATA</w:t>
        <w:tab/>
        <w:t>The Toro Company</w:t>
      </w:r>
    </w:p>
    <w:p>
      <w:pPr>
        <w:spacing w:after="0" w:line="173" w:lineRule="exact"/>
        <w:rPr>
          <w:sz w:val="20"/>
          <w:szCs w:val="20"/>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 Months</w:t>
      </w:r>
    </w:p>
    <w:p>
      <w:pPr>
        <w:spacing w:after="0" w:line="7" w:lineRule="exact"/>
        <w:rPr>
          <w:sz w:val="20"/>
          <w:szCs w:val="20"/>
          <w:color w:val="auto"/>
        </w:rPr>
      </w:pPr>
    </w:p>
    <w:p>
      <w:pPr>
        <w:ind w:left="4320"/>
        <w:spacing w:after="0"/>
        <w:tabs>
          <w:tab w:leader="none" w:pos="6960" w:val="left"/>
          <w:tab w:leader="none" w:pos="946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3440" w:val="left"/>
          <w:tab w:leader="none" w:pos="4720" w:val="left"/>
          <w:tab w:leader="none" w:pos="6020" w:val="left"/>
          <w:tab w:leader="none" w:pos="7560" w:val="left"/>
          <w:tab w:leader="none" w:pos="8860" w:val="left"/>
          <w:tab w:leader="none" w:pos="101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3860" w:val="left"/>
          <w:tab w:leader="none" w:pos="5240" w:val="left"/>
          <w:tab w:leader="none" w:pos="6540" w:val="left"/>
          <w:tab w:leader="none" w:pos="7820" w:val="left"/>
          <w:tab w:leader="none" w:pos="9120" w:val="left"/>
          <w:tab w:leader="none" w:pos="10420" w:val="left"/>
        </w:tabs>
        <w:rPr>
          <w:sz w:val="20"/>
          <w:szCs w:val="20"/>
          <w:color w:val="auto"/>
        </w:rPr>
      </w:pPr>
      <w:r>
        <w:rPr>
          <w:rFonts w:ascii="Courier New" w:cs="Courier New" w:eastAsia="Courier New" w:hAnsi="Courier New"/>
          <w:sz w:val="14"/>
          <w:szCs w:val="14"/>
          <w:color w:val="auto"/>
        </w:rPr>
        <w:t>except per share data)</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$1,051,204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$930,909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$192,278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$932,853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$794,341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$684,324</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earnings, before</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extraordinary loss**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36,508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36,409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3,997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36,667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22,230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common stock equivalent,</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before extraordinary loss**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$ 2.93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$ 2.90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$ 0.32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1.05</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5,794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5,834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5,993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5,824</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Per share of common</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stock outstanding</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Beginning common</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stockholders' equity</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Average common</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stockholders' equity</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$472,044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$405,001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$386,259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$381,610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$364,495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$344,130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237,833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207,857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221,173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212,659</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188,712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150,260</w:t>
            </w: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Working capital</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234,211</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197,144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165,086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168,951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175,783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193,870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189,590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91,876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86,394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86,705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79,144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75,073</w:t>
            </w: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661,634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496,877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472,653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468,315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443,639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419,203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excluding long-term debt</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4,988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22,438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7,223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5,250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1,372</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Long-term debt, less</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current portion</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177,650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53,015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53,365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64,935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81,025</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122,970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241,163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213,567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190,892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185,471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168,652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144,601</w:t>
            </w: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Total capitalization</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418,813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266,582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244,257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250,406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249,677</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267,571</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17.75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13.43</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11.78</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1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Number of shares of</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common stock</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outstanding</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(in thousands)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12,189</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12,032</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12,168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12,040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12,561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12,270</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Number of common</w:t>
            </w:r>
          </w:p>
        </w:tc>
        <w:tc>
          <w:tcPr>
            <w:tcW w:w="1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stockholders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6,560</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6,841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7,243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7,347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7,541</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31 1/2</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$ 28 3/8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 1/8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$ 21 5/8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$ 19 3/4</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 3/8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 3/4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 1/4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 1/4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 3/8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 1/2</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 7/8</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 3/4</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 3/8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 7/8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 5/8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 5/8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 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440" w:right="4220" w:hanging="432"/>
        <w:spacing w:after="0" w:line="252" w:lineRule="auto"/>
        <w:tabs>
          <w:tab w:leader="none" w:pos="44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the James Hardie Irrigation Group from December 1, 1996, the date of acquisition.</w:t>
      </w:r>
    </w:p>
    <w:p>
      <w:pPr>
        <w:spacing w:after="0" w:line="163" w:lineRule="exact"/>
        <w:rPr>
          <w:sz w:val="20"/>
          <w:szCs w:val="20"/>
          <w:color w:val="auto"/>
        </w:rPr>
      </w:pPr>
    </w:p>
    <w:p>
      <w:pPr>
        <w:ind w:left="440" w:right="4400" w:hanging="432"/>
        <w:spacing w:after="0" w:line="252" w:lineRule="auto"/>
        <w:tabs>
          <w:tab w:leader="none" w:pos="44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1997 net earnings and earnings per share after the extraordinary loss on early retirement of debt of $1,663,000, or $0.13 per share, were $34,845,000 and $2.80, respectively.</w:t>
      </w:r>
    </w:p>
    <w:p>
      <w:pPr>
        <w:spacing w:after="0" w:line="163"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1040"/>
          </w:cols>
          <w:pgMar w:left="220" w:top="947" w:right="639"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The Toro Company and subsidiaries as of October 31, 1997 and 1996, and the related consolidated statements of earnings and cash flows for the years ended October 31, 1997 and 1996, the three month period ended October 31, 1995 and the year ended July 31, 1995.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The Toro Company and subsidiaries as of October 31, 1997 and 1996, and the results of their operations and their cash flows for the years ended October 31, 1997 and 1996, the three month period ended October 31, 1995 and the year ended July 31, 1995 in conformity with generally accepted accounting principles.</w:t>
      </w:r>
    </w:p>
    <w:p>
      <w:pPr>
        <w:spacing w:after="0" w:line="164"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12, 1997</w:t>
      </w:r>
    </w:p>
    <w:p>
      <w:pPr>
        <w:spacing w:after="0" w:line="200" w:lineRule="exact"/>
        <w:rPr>
          <w:sz w:val="20"/>
          <w:szCs w:val="20"/>
          <w:color w:val="auto"/>
        </w:rPr>
      </w:pPr>
    </w:p>
    <w:p>
      <w:pPr>
        <w:spacing w:after="0" w:line="304"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CONSOLIDATED STATEMENTS OF EARNINGS</w:t>
        <w:tab/>
        <w:t>The Toro Company</w:t>
      </w:r>
    </w:p>
    <w:p>
      <w:pPr>
        <w:spacing w:after="0" w:line="173" w:lineRule="exact"/>
        <w:rPr>
          <w:sz w:val="20"/>
          <w:szCs w:val="20"/>
          <w:color w:val="auto"/>
        </w:rPr>
      </w:pPr>
    </w:p>
    <w:p>
      <w:pPr>
        <w:ind w:left="180" w:hanging="172"/>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040"/>
        <w:spacing w:after="0"/>
        <w:tabs>
          <w:tab w:leader="none" w:pos="7560" w:val="left"/>
          <w:tab w:leader="none" w:pos="90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180"/>
        <w:spacing w:after="0"/>
        <w:tabs>
          <w:tab w:leader="none" w:pos="6440" w:val="left"/>
          <w:tab w:leader="none" w:pos="7920" w:val="left"/>
          <w:tab w:leader="none" w:pos="930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5680" w:val="left"/>
          <w:tab w:leader="none" w:pos="6960" w:val="left"/>
          <w:tab w:leader="none" w:pos="8420" w:val="left"/>
          <w:tab w:leader="none" w:pos="954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$1,051,204</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$930,909</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$192,278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$932,853</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663,167</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589,186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120,575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598,275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Gross profit</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388,037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341,723</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71,703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334,578</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315,690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278,284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269,757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from operations</w:t>
            </w:r>
          </w:p>
        </w:tc>
        <w:tc>
          <w:tcPr>
            <w:tcW w:w="2400" w:type="dxa"/>
            <w:vAlign w:val="bottom"/>
          </w:tcPr>
          <w:p>
            <w:pPr>
              <w:ind w:left="1500"/>
              <w:spacing w:after="0"/>
              <w:rPr>
                <w:sz w:val="20"/>
                <w:szCs w:val="20"/>
                <w:color w:val="auto"/>
              </w:rPr>
            </w:pPr>
            <w:r>
              <w:rPr>
                <w:rFonts w:ascii="Courier New" w:cs="Courier New" w:eastAsia="Courier New" w:hAnsi="Courier New"/>
                <w:sz w:val="14"/>
                <w:szCs w:val="14"/>
                <w:color w:val="auto"/>
              </w:rPr>
              <w:t>72,347</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63,439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6,655</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64,821</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2400" w:type="dxa"/>
            <w:vAlign w:val="bottom"/>
          </w:tcPr>
          <w:p>
            <w:pPr>
              <w:ind w:left="1500"/>
              <w:spacing w:after="0"/>
              <w:rPr>
                <w:sz w:val="20"/>
                <w:szCs w:val="20"/>
                <w:color w:val="auto"/>
              </w:rPr>
            </w:pPr>
            <w:r>
              <w:rPr>
                <w:rFonts w:ascii="Courier New" w:cs="Courier New" w:eastAsia="Courier New" w:hAnsi="Courier New"/>
                <w:sz w:val="14"/>
                <w:szCs w:val="14"/>
                <w:color w:val="auto"/>
              </w:rPr>
              <w:t>19,900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13,590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2,532</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11,902</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Other income,</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2400" w:type="dxa"/>
            <w:vAlign w:val="bottom"/>
          </w:tcPr>
          <w:p>
            <w:pPr>
              <w:ind w:left="1500"/>
              <w:spacing w:after="0"/>
              <w:rPr>
                <w:sz w:val="20"/>
                <w:szCs w:val="20"/>
                <w:color w:val="auto"/>
              </w:rPr>
            </w:pPr>
            <w:r>
              <w:rPr>
                <w:rFonts w:ascii="Courier New" w:cs="Courier New" w:eastAsia="Courier New" w:hAnsi="Courier New"/>
                <w:sz w:val="14"/>
                <w:szCs w:val="14"/>
                <w:color w:val="auto"/>
              </w:rPr>
              <w:t>(7,897)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(10,331)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(2,483)</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w w:val="98"/>
              </w:rPr>
              <w:t>(8,193)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before</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income taxes and extraordinary loss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60,344</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60,180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61,112</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Provision for</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23,836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23,771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24,445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820" w:type="dxa"/>
            <w:vAlign w:val="bottom"/>
          </w:tcPr>
          <w:p>
            <w:pPr>
              <w:ind w:left="300"/>
              <w:spacing w:after="0"/>
              <w:rPr>
                <w:sz w:val="20"/>
                <w:szCs w:val="20"/>
                <w:color w:val="auto"/>
              </w:rPr>
            </w:pPr>
            <w:r>
              <w:rPr>
                <w:rFonts w:ascii="Courier New" w:cs="Courier New" w:eastAsia="Courier New" w:hAnsi="Courier New"/>
                <w:sz w:val="14"/>
                <w:szCs w:val="14"/>
                <w:color w:val="auto"/>
              </w:rPr>
              <w:t>Net earnings before extraordinary loss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36,508</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36,409</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3,997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36,667</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loss, net of income tax benefit of $1,087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34,845</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$ 36,409</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3,997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$ 36,667</w:t>
            </w:r>
          </w:p>
        </w:tc>
      </w:tr>
    </w:tbl>
    <w:p>
      <w:pPr>
        <w:spacing w:after="0" w:line="4" w:lineRule="exact"/>
        <w:rPr>
          <w:sz w:val="20"/>
          <w:szCs w:val="20"/>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common stock equivalent before extraordinary loss</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2.90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0.32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2.81</w:t>
            </w:r>
          </w:p>
        </w:tc>
      </w:tr>
      <w:tr>
        <w:trPr>
          <w:trHeight w:val="166"/>
        </w:trPr>
        <w:tc>
          <w:tcPr>
            <w:tcW w:w="4960" w:type="dxa"/>
            <w:vAlign w:val="bottom"/>
          </w:tcPr>
          <w:p>
            <w:pPr>
              <w:spacing w:after="0"/>
              <w:rPr>
                <w:sz w:val="20"/>
                <w:szCs w:val="20"/>
                <w:color w:val="auto"/>
              </w:rPr>
            </w:pPr>
            <w:r>
              <w:rPr>
                <w:rFonts w:ascii="Courier New" w:cs="Courier New" w:eastAsia="Courier New" w:hAnsi="Courier New"/>
                <w:sz w:val="14"/>
                <w:szCs w:val="14"/>
                <w:color w:val="auto"/>
              </w:rPr>
              <w:t>Extraordinary loss per share, net of income tax benefit</w:t>
            </w:r>
          </w:p>
        </w:tc>
        <w:tc>
          <w:tcPr>
            <w:tcW w:w="52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w:t>
      </w:r>
    </w:p>
    <w:p>
      <w:pPr>
        <w:spacing w:after="0" w:line="7" w:lineRule="exact"/>
        <w:rPr>
          <w:sz w:val="20"/>
          <w:szCs w:val="20"/>
          <w:color w:val="auto"/>
        </w:rPr>
      </w:pPr>
    </w:p>
    <w:p>
      <w:pPr>
        <w:ind w:left="440"/>
        <w:spacing w:after="0"/>
        <w:tabs>
          <w:tab w:leader="none" w:pos="5160" w:val="left"/>
          <w:tab w:leader="none" w:pos="5680" w:val="left"/>
          <w:tab w:leader="none" w:pos="6620" w:val="left"/>
          <w:tab w:leader="none" w:pos="6960" w:val="left"/>
          <w:tab w:leader="none" w:pos="8080" w:val="left"/>
          <w:tab w:leader="none" w:pos="8420" w:val="left"/>
          <w:tab w:leader="none" w:pos="9200" w:val="left"/>
          <w:tab w:leader="none" w:pos="9540" w:val="left"/>
        </w:tabs>
        <w:rPr>
          <w:sz w:val="20"/>
          <w:szCs w:val="20"/>
          <w:color w:val="auto"/>
        </w:rPr>
      </w:pPr>
      <w:r>
        <w:rPr>
          <w:rFonts w:ascii="Courier New" w:cs="Courier New" w:eastAsia="Courier New" w:hAnsi="Courier New"/>
          <w:sz w:val="14"/>
          <w:szCs w:val="14"/>
          <w:color w:val="auto"/>
        </w:rPr>
        <w:t>common stock equivalent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tab/>
        <w:t>0.32</w:t>
      </w:r>
      <w:r>
        <w:rPr>
          <w:sz w:val="20"/>
          <w:szCs w:val="20"/>
          <w:color w:val="auto"/>
        </w:rPr>
        <w:tab/>
      </w:r>
      <w:r>
        <w:rPr>
          <w:rFonts w:ascii="Courier New" w:cs="Courier New" w:eastAsia="Courier New" w:hAnsi="Courier New"/>
          <w:sz w:val="14"/>
          <w:szCs w:val="14"/>
          <w:color w:val="auto"/>
        </w:rPr>
        <w:t>$</w:t>
        <w:tab/>
        <w:t>2.81</w:t>
      </w:r>
    </w:p>
    <w:p>
      <w:pPr>
        <w:spacing w:after="0" w:line="7" w:lineRule="exact"/>
        <w:rPr>
          <w:sz w:val="20"/>
          <w:szCs w:val="20"/>
          <w:color w:val="auto"/>
        </w:rPr>
      </w:pPr>
    </w:p>
    <w:p>
      <w:pPr>
        <w:ind w:left="180" w:hanging="172"/>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66" w:name="page67"/>
    <w:bookmarkEnd w:id="66"/>
    <w:p>
      <w:pPr>
        <w:spacing w:after="0"/>
        <w:tabs>
          <w:tab w:leader="none" w:pos="2480" w:val="left"/>
        </w:tabs>
        <w:rPr>
          <w:sz w:val="20"/>
          <w:szCs w:val="20"/>
          <w:color w:val="auto"/>
        </w:rPr>
      </w:pPr>
      <w:r>
        <w:rPr>
          <w:rFonts w:ascii="Courier New" w:cs="Courier New" w:eastAsia="Courier New" w:hAnsi="Courier New"/>
          <w:sz w:val="14"/>
          <w:szCs w:val="14"/>
          <w:color w:val="auto"/>
        </w:rPr>
        <w:t>CONSOLIDATED BALANCE SHEETS</w:t>
        <w:tab/>
        <w:t>The Toro Company</w:t>
      </w:r>
    </w:p>
    <w:p>
      <w:pPr>
        <w:spacing w:after="0" w:line="7" w:lineRule="exact"/>
        <w:rPr>
          <w:sz w:val="20"/>
          <w:szCs w:val="20"/>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(Dollars in thousands) October 31</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ind w:left="180" w:hanging="172"/>
        <w:spacing w:after="0"/>
        <w:tabs>
          <w:tab w:leader="none" w:pos="18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Current assets: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1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320" w:type="dxa"/>
            <w:vAlign w:val="bottom"/>
          </w:tcPr>
          <w:p>
            <w:pPr>
              <w:ind w:left="420"/>
              <w:spacing w:after="0"/>
              <w:rPr>
                <w:sz w:val="20"/>
                <w:szCs w:val="20"/>
                <w:color w:val="auto"/>
              </w:rPr>
            </w:pPr>
            <w:r>
              <w:rPr>
                <w:rFonts w:ascii="Courier New" w:cs="Courier New" w:eastAsia="Courier New" w:hAnsi="Courier New"/>
                <w:sz w:val="14"/>
                <w:szCs w:val="14"/>
                <w:color w:val="auto"/>
              </w:rPr>
              <w:t>Customers</w:t>
            </w:r>
          </w:p>
        </w:tc>
        <w:tc>
          <w:tcPr>
            <w:tcW w:w="12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255,318</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244,434</w:t>
            </w:r>
          </w:p>
        </w:tc>
      </w:tr>
      <w:tr>
        <w:trPr>
          <w:trHeight w:val="166"/>
        </w:trPr>
        <w:tc>
          <w:tcPr>
            <w:tcW w:w="3320" w:type="dxa"/>
            <w:vAlign w:val="bottom"/>
          </w:tcPr>
          <w:p>
            <w:pPr>
              <w:ind w:left="420"/>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13,648</w:t>
            </w:r>
          </w:p>
        </w:tc>
        <w:tc>
          <w:tcPr>
            <w:tcW w:w="3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268,966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249,642</w:t>
            </w:r>
          </w:p>
        </w:tc>
      </w:tr>
      <w:tr>
        <w:trPr>
          <w:trHeight w:val="166"/>
        </w:trPr>
        <w:tc>
          <w:tcPr>
            <w:tcW w:w="340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9,832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10,005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 receivables</w:t>
            </w:r>
          </w:p>
        </w:tc>
        <w:tc>
          <w:tcPr>
            <w:tcW w:w="2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259,134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239,637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160,122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130,288</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10,454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5,133</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42,326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29,877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1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472,044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405,001</w:t>
            </w:r>
          </w:p>
        </w:tc>
      </w:tr>
    </w:tbl>
    <w:p>
      <w:pPr>
        <w:spacing w:after="0" w:line="4" w:lineRule="exact"/>
        <w:rPr>
          <w:sz w:val="20"/>
          <w:szCs w:val="20"/>
          <w:color w:val="auto"/>
        </w:rPr>
      </w:pPr>
    </w:p>
    <w:p>
      <w:pPr>
        <w:ind w:left="180" w:hanging="172"/>
        <w:spacing w:after="0"/>
        <w:tabs>
          <w:tab w:leader="none" w:pos="1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Land and land improvements</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9,334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6,816</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020" w:type="dxa"/>
            <w:vAlign w:val="bottom"/>
          </w:tcPr>
          <w:p>
            <w:pPr>
              <w:ind w:left="40"/>
              <w:spacing w:after="0"/>
              <w:rPr>
                <w:sz w:val="20"/>
                <w:szCs w:val="20"/>
                <w:color w:val="auto"/>
              </w:rPr>
            </w:pPr>
            <w:r>
              <w:rPr>
                <w:rFonts w:ascii="Courier New" w:cs="Courier New" w:eastAsia="Courier New" w:hAnsi="Courier New"/>
                <w:sz w:val="14"/>
                <w:szCs w:val="14"/>
                <w:color w:val="auto"/>
              </w:rPr>
              <w:t>and leasehold improvements</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67,627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46,107</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3020" w:type="dxa"/>
            <w:vAlign w:val="bottom"/>
          </w:tcPr>
          <w:p>
            <w:pPr>
              <w:spacing w:after="0"/>
              <w:rPr>
                <w:sz w:val="14"/>
                <w:szCs w:val="14"/>
                <w:color w:val="auto"/>
              </w:rPr>
            </w:pP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220,880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176,157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Subtotal</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297,841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229,080</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Less</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accumulated depreciation</w:t>
            </w: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amortization</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180,989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155,270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116,852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73,810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1,600</w:t>
            </w:r>
          </w:p>
        </w:tc>
      </w:tr>
      <w:tr>
        <w:trPr>
          <w:trHeight w:val="166"/>
        </w:trPr>
        <w:tc>
          <w:tcPr>
            <w:tcW w:w="362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71,556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16,466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480" w:type="dxa"/>
            <w:vAlign w:val="bottom"/>
          </w:tcPr>
          <w:p>
            <w:pPr>
              <w:ind w:left="1160"/>
              <w:spacing w:after="0"/>
              <w:rPr>
                <w:sz w:val="20"/>
                <w:szCs w:val="20"/>
                <w:color w:val="auto"/>
              </w:rPr>
            </w:pPr>
            <w:r>
              <w:rPr>
                <w:rFonts w:ascii="Courier New" w:cs="Courier New" w:eastAsia="Courier New" w:hAnsi="Courier New"/>
                <w:sz w:val="14"/>
                <w:szCs w:val="14"/>
                <w:color w:val="auto"/>
              </w:rPr>
              <w:t>Total assets</w:t>
            </w: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$661,634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$496,877</w:t>
            </w:r>
          </w:p>
        </w:tc>
      </w:tr>
    </w:tbl>
    <w:p>
      <w:pPr>
        <w:spacing w:after="0" w:line="4" w:lineRule="exact"/>
        <w:rPr>
          <w:sz w:val="20"/>
          <w:szCs w:val="20"/>
          <w:color w:val="auto"/>
        </w:rPr>
      </w:pPr>
    </w:p>
    <w:p>
      <w:pPr>
        <w:ind w:left="180" w:hanging="172"/>
        <w:spacing w:after="0"/>
        <w:tabs>
          <w:tab w:leader="none" w:pos="1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COMMON STOCKHOLDERS' EQUITY Current liabilities:</w:t>
      </w:r>
    </w:p>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Short-term borrowing</w:t>
            </w:r>
          </w:p>
        </w:tc>
        <w:tc>
          <w:tcPr>
            <w:tcW w:w="9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41,000</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41,025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9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58,397</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43,524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Accrued warranty</w:t>
            </w:r>
          </w:p>
        </w:tc>
        <w:tc>
          <w:tcPr>
            <w:tcW w:w="9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40,792</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34,722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Accrued marketing programs</w:t>
            </w:r>
          </w:p>
        </w:tc>
        <w:tc>
          <w:tcPr>
            <w:tcW w:w="9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22,691</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22,600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accrued liabilities</w:t>
            </w:r>
          </w:p>
        </w:tc>
        <w:tc>
          <w:tcPr>
            <w:tcW w:w="9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74,588</w:t>
            </w:r>
          </w:p>
        </w:tc>
        <w:tc>
          <w:tcPr>
            <w:tcW w:w="4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65,636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237,833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207,857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177,650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r>
      <w:tr>
        <w:trPr>
          <w:trHeight w:val="166"/>
        </w:trPr>
        <w:tc>
          <w:tcPr>
            <w:tcW w:w="2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long-term liabilities</w:t>
            </w:r>
          </w:p>
        </w:tc>
        <w:tc>
          <w:tcPr>
            <w:tcW w:w="2160" w:type="dxa"/>
            <w:vAlign w:val="bottom"/>
          </w:tcPr>
          <w:p>
            <w:pPr>
              <w:spacing w:after="0"/>
              <w:rPr>
                <w:sz w:val="14"/>
                <w:szCs w:val="14"/>
                <w:color w:val="auto"/>
              </w:rPr>
            </w:pP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4,988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2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Common stock, par value $1.00, authorized</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5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35,000,000 shares; issued and outstanding</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12,189,244 shares in</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 (net of 720,760</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treasury shares) and</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12,032,143 shares in</w:t>
            </w: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 (net of 877,861</w:t>
            </w:r>
          </w:p>
        </w:tc>
        <w:tc>
          <w:tcPr>
            <w:tcW w:w="21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treasury shares)</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12,189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12,032</w:t>
            </w:r>
          </w:p>
        </w:tc>
      </w:tr>
      <w:tr>
        <w:trPr>
          <w:trHeight w:val="166"/>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Additional paid-in capital</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31,371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28,462</w:t>
            </w:r>
          </w:p>
        </w:tc>
      </w:tr>
      <w:tr>
        <w:trPr>
          <w:trHeight w:val="166"/>
        </w:trPr>
        <w:tc>
          <w:tcPr>
            <w:tcW w:w="2420" w:type="dxa"/>
            <w:vAlign w:val="bottom"/>
          </w:tcPr>
          <w:p>
            <w:pPr>
              <w:ind w:left="440"/>
              <w:spacing w:after="0"/>
              <w:rPr>
                <w:sz w:val="20"/>
                <w:szCs w:val="20"/>
                <w:color w:val="auto"/>
              </w:rPr>
            </w:pPr>
            <w:r>
              <w:rPr>
                <w:rFonts w:ascii="Courier New" w:cs="Courier New" w:eastAsia="Courier New" w:hAnsi="Courier New"/>
                <w:sz w:val="14"/>
                <w:szCs w:val="14"/>
                <w:color w:val="auto"/>
              </w:rPr>
              <w:t>Retained earnings</w:t>
            </w:r>
          </w:p>
        </w:tc>
        <w:tc>
          <w:tcPr>
            <w:tcW w:w="2160" w:type="dxa"/>
            <w:vAlign w:val="bottom"/>
          </w:tcPr>
          <w:p>
            <w:pPr>
              <w:spacing w:after="0"/>
              <w:rPr>
                <w:sz w:val="14"/>
                <w:szCs w:val="14"/>
                <w:color w:val="auto"/>
              </w:rPr>
            </w:pP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202,681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173,630</w:t>
            </w:r>
          </w:p>
        </w:tc>
      </w:tr>
      <w:tr>
        <w:trPr>
          <w:trHeight w:val="166"/>
        </w:trPr>
        <w:tc>
          <w:tcPr>
            <w:tcW w:w="45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Foreign currency translation adjustment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tabs>
          <w:tab w:leader="none" w:pos="4980" w:val="left"/>
          <w:tab w:leader="none" w:pos="6200" w:val="left"/>
        </w:tabs>
        <w:rPr>
          <w:sz w:val="20"/>
          <w:szCs w:val="20"/>
          <w:color w:val="auto"/>
        </w:rPr>
      </w:pPr>
      <w:r>
        <w:rPr>
          <w:rFonts w:ascii="Courier New" w:cs="Courier New" w:eastAsia="Courier New" w:hAnsi="Courier New"/>
          <w:sz w:val="14"/>
          <w:szCs w:val="14"/>
          <w:color w:val="auto"/>
        </w:rPr>
        <w:t>Total common stockholders' equity</w:t>
      </w:r>
      <w:r>
        <w:rPr>
          <w:sz w:val="20"/>
          <w:szCs w:val="20"/>
          <w:color w:val="auto"/>
        </w:rPr>
        <w:tab/>
      </w:r>
      <w:r>
        <w:rPr>
          <w:rFonts w:ascii="Courier New" w:cs="Courier New" w:eastAsia="Courier New" w:hAnsi="Courier New"/>
          <w:sz w:val="14"/>
          <w:szCs w:val="14"/>
          <w:color w:val="auto"/>
        </w:rPr>
        <w:t>241,163</w:t>
      </w:r>
      <w:r>
        <w:rPr>
          <w:sz w:val="20"/>
          <w:szCs w:val="20"/>
          <w:color w:val="auto"/>
        </w:rPr>
        <w:tab/>
      </w:r>
      <w:r>
        <w:rPr>
          <w:rFonts w:ascii="Courier New" w:cs="Courier New" w:eastAsia="Courier New" w:hAnsi="Courier New"/>
          <w:sz w:val="14"/>
          <w:szCs w:val="14"/>
          <w:color w:val="auto"/>
        </w:rPr>
        <w:t>213,567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Total liabilities and common</w:t>
      </w:r>
    </w:p>
    <w:p>
      <w:pPr>
        <w:spacing w:after="0" w:line="7" w:lineRule="exact"/>
        <w:rPr>
          <w:sz w:val="20"/>
          <w:szCs w:val="20"/>
          <w:color w:val="auto"/>
        </w:rPr>
      </w:pPr>
    </w:p>
    <w:p>
      <w:pPr>
        <w:ind w:left="1040"/>
        <w:spacing w:after="0"/>
        <w:tabs>
          <w:tab w:leader="none" w:pos="4900" w:val="left"/>
          <w:tab w:leader="none" w:pos="6100" w:val="left"/>
        </w:tabs>
        <w:rPr>
          <w:sz w:val="20"/>
          <w:szCs w:val="20"/>
          <w:color w:val="auto"/>
        </w:rPr>
      </w:pPr>
      <w:r>
        <w:rPr>
          <w:rFonts w:ascii="Courier New" w:cs="Courier New" w:eastAsia="Courier New" w:hAnsi="Courier New"/>
          <w:sz w:val="14"/>
          <w:szCs w:val="14"/>
          <w:color w:val="auto"/>
        </w:rPr>
        <w:t>stockholders' equity</w:t>
      </w:r>
      <w:r>
        <w:rPr>
          <w:sz w:val="20"/>
          <w:szCs w:val="20"/>
          <w:color w:val="auto"/>
        </w:rPr>
        <w:tab/>
      </w:r>
      <w:r>
        <w:rPr>
          <w:rFonts w:ascii="Courier New" w:cs="Courier New" w:eastAsia="Courier New" w:hAnsi="Courier New"/>
          <w:sz w:val="14"/>
          <w:szCs w:val="14"/>
          <w:color w:val="auto"/>
        </w:rPr>
        <w:t>$661,634</w:t>
      </w:r>
      <w:r>
        <w:rPr>
          <w:sz w:val="20"/>
          <w:szCs w:val="20"/>
          <w:color w:val="auto"/>
        </w:rPr>
        <w:tab/>
      </w:r>
      <w:r>
        <w:rPr>
          <w:rFonts w:ascii="Courier New" w:cs="Courier New" w:eastAsia="Courier New" w:hAnsi="Courier New"/>
          <w:sz w:val="14"/>
          <w:szCs w:val="14"/>
          <w:color w:val="auto"/>
        </w:rPr>
        <w:t>$496,877</w:t>
      </w:r>
    </w:p>
    <w:p>
      <w:pPr>
        <w:spacing w:after="0" w:line="7" w:lineRule="exact"/>
        <w:rPr>
          <w:sz w:val="20"/>
          <w:szCs w:val="20"/>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67" w:name="page68"/>
    <w:bookmarkEnd w:id="67"/>
    <w:p>
      <w:pPr>
        <w:spacing w:after="0"/>
        <w:tabs>
          <w:tab w:leader="none" w:pos="3340" w:val="left"/>
        </w:tabs>
        <w:rPr>
          <w:sz w:val="20"/>
          <w:szCs w:val="20"/>
          <w:color w:val="auto"/>
        </w:rPr>
      </w:pPr>
      <w:r>
        <w:rPr>
          <w:rFonts w:ascii="Courier New" w:cs="Courier New" w:eastAsia="Courier New" w:hAnsi="Courier New"/>
          <w:sz w:val="14"/>
          <w:szCs w:val="14"/>
          <w:color w:val="auto"/>
        </w:rPr>
        <w:t>CONSOLIDATED STATEMENTS OF CASH FLOWS</w:t>
        <w:tab/>
        <w:t>The Toro Company</w:t>
      </w:r>
    </w:p>
    <w:p>
      <w:pPr>
        <w:spacing w:after="0" w:line="7" w:lineRule="exact"/>
        <w:rPr>
          <w:sz w:val="20"/>
          <w:szCs w:val="20"/>
          <w:color w:val="auto"/>
        </w:rPr>
      </w:pPr>
    </w:p>
    <w:p>
      <w:pPr>
        <w:ind w:left="180" w:hanging="172"/>
        <w:spacing w:after="0"/>
        <w:tabs>
          <w:tab w:leader="none" w:pos="1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380"/>
        <w:spacing w:after="0"/>
        <w:tabs>
          <w:tab w:leader="none" w:pos="8180" w:val="left"/>
          <w:tab w:leader="none" w:pos="980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860"/>
        <w:spacing w:after="0"/>
        <w:tabs>
          <w:tab w:leader="none" w:pos="7140" w:val="left"/>
          <w:tab w:leader="none" w:pos="8420" w:val="left"/>
          <w:tab w:leader="none" w:pos="998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6360" w:val="left"/>
          <w:tab w:leader="none" w:pos="7660" w:val="left"/>
          <w:tab w:leader="none" w:pos="8940" w:val="left"/>
          <w:tab w:leader="none" w:pos="102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Net earnings</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34,845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$ 36,409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3,997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$ 36,667</w:t>
            </w: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700" w:type="dxa"/>
            <w:vAlign w:val="bottom"/>
          </w:tcPr>
          <w:p>
            <w:pPr>
              <w:ind w:left="860"/>
              <w:spacing w:after="0"/>
              <w:rPr>
                <w:sz w:val="20"/>
                <w:szCs w:val="20"/>
                <w:color w:val="auto"/>
              </w:rPr>
            </w:pPr>
            <w:r>
              <w:rPr>
                <w:rFonts w:ascii="Courier New" w:cs="Courier New" w:eastAsia="Courier New" w:hAnsi="Courier New"/>
                <w:sz w:val="14"/>
                <w:szCs w:val="14"/>
                <w:color w:val="auto"/>
              </w:rPr>
              <w:t>cash provided by (used in) operating activities:</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Extraordinary loss on early extinguishment of debt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1,663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30,878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18,170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17,240</w:t>
            </w: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Loss (gain) on disposal of property, plant and equipment</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Change in deferred income taxes</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2,053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(1,282)</w:t>
            </w: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2,611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1,178</w:t>
            </w: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700" w:type="dxa"/>
            <w:vAlign w:val="bottom"/>
          </w:tcPr>
          <w:p>
            <w:pPr>
              <w:ind w:left="860"/>
              <w:spacing w:after="0"/>
              <w:rPr>
                <w:sz w:val="20"/>
                <w:szCs w:val="20"/>
                <w:color w:val="auto"/>
              </w:rPr>
            </w:pPr>
            <w:r>
              <w:rPr>
                <w:rFonts w:ascii="Courier New" w:cs="Courier New" w:eastAsia="Courier New" w:hAnsi="Courier New"/>
                <w:sz w:val="14"/>
                <w:szCs w:val="14"/>
                <w:color w:val="auto"/>
              </w:rPr>
              <w:t>Net receivables</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15,067</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(40,821)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13,640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(28,773)</w:t>
            </w:r>
          </w:p>
        </w:tc>
      </w:tr>
      <w:tr>
        <w:trPr>
          <w:trHeight w:val="166"/>
        </w:trPr>
        <w:tc>
          <w:tcPr>
            <w:tcW w:w="5700" w:type="dxa"/>
            <w:vAlign w:val="bottom"/>
          </w:tcPr>
          <w:p>
            <w:pPr>
              <w:ind w:left="860"/>
              <w:spacing w:after="0"/>
              <w:rPr>
                <w:sz w:val="20"/>
                <w:szCs w:val="20"/>
                <w:color w:val="auto"/>
              </w:rPr>
            </w:pPr>
            <w:r>
              <w:rPr>
                <w:rFonts w:ascii="Courier New" w:cs="Courier New" w:eastAsia="Courier New" w:hAnsi="Courier New"/>
                <w:sz w:val="14"/>
                <w:szCs w:val="14"/>
                <w:color w:val="auto"/>
              </w:rPr>
              <w:t>Inventories</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1,353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15,574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(22,142)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(4,956)</w:t>
            </w:r>
          </w:p>
        </w:tc>
      </w:tr>
      <w:tr>
        <w:trPr>
          <w:trHeight w:val="166"/>
        </w:trPr>
        <w:tc>
          <w:tcPr>
            <w:tcW w:w="5700" w:type="dxa"/>
            <w:vAlign w:val="bottom"/>
          </w:tcPr>
          <w:p>
            <w:pPr>
              <w:ind w:left="860"/>
              <w:spacing w:after="0"/>
              <w:rPr>
                <w:sz w:val="20"/>
                <w:szCs w:val="20"/>
                <w:color w:val="auto"/>
              </w:rPr>
            </w:pPr>
            <w:r>
              <w:rPr>
                <w:rFonts w:ascii="Courier New" w:cs="Courier New" w:eastAsia="Courier New" w:hAnsi="Courier New"/>
                <w:sz w:val="14"/>
                <w:szCs w:val="14"/>
                <w:color w:val="auto"/>
              </w:rPr>
              <w:t>Prepaid expenses and deferred income tax benefits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(6,595)</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(10,024)</w:t>
            </w:r>
          </w:p>
        </w:tc>
      </w:tr>
      <w:tr>
        <w:trPr>
          <w:trHeight w:val="166"/>
        </w:trPr>
        <w:tc>
          <w:tcPr>
            <w:tcW w:w="5700" w:type="dxa"/>
            <w:vAlign w:val="bottom"/>
          </w:tcPr>
          <w:p>
            <w:pPr>
              <w:ind w:left="860"/>
              <w:spacing w:after="0"/>
              <w:rPr>
                <w:sz w:val="20"/>
                <w:szCs w:val="20"/>
                <w:color w:val="auto"/>
              </w:rPr>
            </w:pPr>
            <w:r>
              <w:rPr>
                <w:rFonts w:ascii="Courier New" w:cs="Courier New" w:eastAsia="Courier New" w:hAnsi="Courier New"/>
                <w:sz w:val="14"/>
                <w:szCs w:val="14"/>
                <w:color w:val="auto"/>
              </w:rPr>
              <w:t>Accounts payable and accrued expenses</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1,425</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2,218</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 activities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83,873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32,433</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15,537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CASH FLOWS FROM INVESTING</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Purchases of property, plant and equipment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(37,023)</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(21,389)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(28,162)</w:t>
            </w:r>
          </w:p>
        </w:tc>
      </w:tr>
      <w:tr>
        <w:trPr>
          <w:trHeight w:val="166"/>
        </w:trPr>
        <w:tc>
          <w:tcPr>
            <w:tcW w:w="5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Proceeds from disposal of property, plant and equipment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1,163</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543</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843</w:t>
            </w:r>
          </w:p>
        </w:tc>
      </w:tr>
      <w:tr>
        <w:trPr>
          <w:trHeight w:val="166"/>
        </w:trPr>
        <w:tc>
          <w:tcPr>
            <w:tcW w:w="58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 decrease in other assets/liabilities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(12,784)</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(857)</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1,793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3,935</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Acquisition of James</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Hardie Irrigation, net of cash acquired</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(118,030)</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(166,674)</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(21,703)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(23,384)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sale of receivables</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2,331</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(Decrease) increase in short-term borrowing</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19,040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22,535</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Proceeds from issuance of long-term debt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175,000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Repayments of long-term debt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(50,350)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(12,326)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(20,300)</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Payments of debt issue costs and prepayment penalty</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Net payments for termination of interest rate swap agreements</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(23,650)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Proceeds from interest rate swap agreement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12,742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Proceeds from exercise of stock options</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8,407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4,627</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3,586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8,251</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Purchases of common stock</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(7,952)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(13,339)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(26,225)</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Dividends on common stock</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(5,794)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(6,002)</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Repayments from ESOP</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87,264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(17,688)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(16,798)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(4,521)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(678)</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gridSpan w:val="7"/>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2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w:t>
            </w:r>
          </w:p>
        </w:tc>
        <w:tc>
          <w:tcPr>
            <w:tcW w:w="38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(7,636)</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(4,222)</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(24,307)</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122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w:t>
            </w:r>
          </w:p>
        </w:tc>
        <w:tc>
          <w:tcPr>
            <w:tcW w:w="38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7,702</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11,924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36,231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7,702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$ 11,924</w:t>
            </w:r>
          </w:p>
        </w:tc>
      </w:tr>
    </w:tbl>
    <w:p>
      <w:pPr>
        <w:spacing w:after="0" w:line="4" w:lineRule="exact"/>
        <w:rPr>
          <w:sz w:val="20"/>
          <w:szCs w:val="20"/>
          <w:color w:val="auto"/>
        </w:rPr>
      </w:pPr>
    </w:p>
    <w:p>
      <w:pPr>
        <w:ind w:left="180" w:hanging="172"/>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right="6540" w:hanging="431"/>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disclosures of cash flow information: Cash paid during the period for:</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16,829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$ 15,335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4,694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9,567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25,459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20,447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34,936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4640"/>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160"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860"/>
          </w:cols>
          <w:pgMar w:left="220" w:top="1113" w:right="819" w:bottom="1440" w:gutter="0" w:footer="0" w:header="0"/>
        </w:sectPr>
      </w:pPr>
    </w:p>
    <w:bookmarkStart w:id="68" w:name="page69"/>
    <w:bookmarkEnd w:id="68"/>
    <w:p>
      <w:pPr>
        <w:spacing w:after="0"/>
        <w:tabs>
          <w:tab w:leader="none" w:pos="3780" w:val="left"/>
        </w:tabs>
        <w:rPr>
          <w:sz w:val="20"/>
          <w:szCs w:val="20"/>
          <w:color w:val="auto"/>
        </w:rPr>
      </w:pPr>
      <w:r>
        <w:rPr>
          <w:rFonts w:ascii="Courier New" w:cs="Courier New" w:eastAsia="Courier New" w:hAnsi="Courier New"/>
          <w:sz w:val="14"/>
          <w:szCs w:val="14"/>
          <w:color w:val="auto"/>
        </w:rPr>
        <w:t>NOTES TO CONSOLIDATED FINANCIAL STATEMENTS</w:t>
        <w:tab/>
        <w:t>The Toro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 AND RELATED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CHANGE</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Effective November 1995, the company changed its fiscal year from a fiscal year ended July 31 to a fiscal year ended October 31. The 3 month transition period ended October 31, 1995 bridges the gap between the company's old and new fiscal year-ends.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Toro Company and all wholly-owned and majority-owned domestic and foreign subsidiaries (the company). Investments in 50% or less owned companies are accounted for by the equity method. The accounts of foreign subsidiaries, which are not material, have been adjusted to conform to U.S. accounting principles and practices and have been translated to appropriate U.S. dollar equivalents. All material intercompany accounts and transactions have been eliminated from the consolidated financial statements. In fiscal 1997, the consolidated financial statements include the results of the James Hardie Irrigation Group (Hardie) from December 1, 1996, the effective date of the acquisition.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considers all highly liquid investments purchased with a maturity of 3 months or less to be cash equivalents. At October 31, 1997 and 1996 the company had $4,598,000 and $4,908,000, respectively, included in trade payables that represented the reclassification of outstanding checks in excess of related bank balances.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provision for doubtful accounts included in selling, general and administrative expense was $812,000 and $3,358,000 for the years ended October 31, 1997 and 1996, respectively, $720,000 for the 3 months ended October 31, 1995 and $1,543,000 for the year ended July 31,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majority of all inventories are valued at the lower of cost or net realizable value with cost determined by the last-in, first-out (LIFO) method. Had the first-in, first-out (FIFO) method of cost determination been used, inventories would have been $27,219,000 and $25,642,000 higher than reported at October 31, 1997 and 1996, respectively. Under the FIFO method, work-in-process inventories were $78,570,000 and $69,182,000 and finished goods inventories were $108,771,000 and $86,748,000 at October 31, 1997 and 1996,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DEPRECIATION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Property, plant and equipment are carried at cost including capitalization of interest incurred during the construction period for significant capital projects. During the year ended October 31, 1997 the company capitalized $500,000 of interest.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using the units of production method. Expenditures for major renewals and betterments which substantially increase the useful lives of existing assets are capitalized, and maintenance and repairs are charged to operating expenses as incurred. Software is expensed at the time of purchase. The cost and related accumulated depreciation of all plant and equipment disposed of are removed from the accounts, and any gain or loss from such disposal is included in current period earnings.</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Intangible assets, consisting primarily of goodwill, are amortized on a straight-line basis over periods ranging from 3 to 20 years. The company periodically reviews the value of its goodwill and other intangible assets to determine if impairment has occurred. Goodwill included in "Other assets" totaled $53,667,000 and $9,267,000 at October 31, 1997 and 1996, respectively, net of accumulated amortization of $13,744,000 at October 31, 1997 and $3,625,000 at October 31, 1996.</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WARRANTY</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 provides an accrual for estimated future warranty costs based upon the historical relationship of warranty costs to sales.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 AND TRANSACTIONS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functional currency of the company's foreign operations is the applicable local currency. The functional currency is translated into U.S. dollars in accordance with Statement of Financial Accounting Standards No. 52, "Foreign Currency Translation," which is translated for balance sheet accounts using current exchange rates in effect at the balance sheet date and for revenue and expense accounts using a weighted average exchange rate during the period. The gains or losses resulting from such translations are included in stockholders' equity. Gains or losses resulting from transactions denominated in foreign currencies are included in other income, net.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REVENUES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Revenue is recognized at the time products are shipped to distributors, dealers or mass merchandisers.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FINANCING DISTRIBUTOR/DEALER INVENTORY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programs in which the company shares the expense of financing distributor and dealer inventories. These costs of $10,192,000 for the year ended October 31, 1997, $10,252,000 for the year ended October 31, 1996, $2,063,000 for the 3 months ended October 31, 1995, and $9,675,000 for the year ended July 31, 1995, are charged against operations as incurred.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Expenditures for research and development, including engineering, of $36,574,000 for the year ended October 31, 1997, $31,343,000 for the year ended October 31, 1996, $6,864,000 for the 3 months ended October 31, 1995, and $26,513,000 for the year ended July 31, 1995 are charged against operations as incurred.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changes to the company's distribution channels. These costs were $898,000 for the year ended October 31, 1997, $2,533,000 for the year ended October 31, 1996, $823,000 for the 3 months ended October 31, 1995 and $3,400,000 for the year ended July 31, 1995. Those costs associated with business changes are accrued on the basis of historical experience, while costs related to specific changes to the company's distribution system are recorded when authorized.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accordance with Statement of Financial Accounting Standards No. 109, "Accounting for Income Taxes,"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70" w:name="page71"/>
    <w:bookmarkEnd w:id="70"/>
    <w:p>
      <w:pPr>
        <w:ind w:right="3339"/>
        <w:spacing w:after="0" w:line="252" w:lineRule="auto"/>
        <w:rPr>
          <w:sz w:val="20"/>
          <w:szCs w:val="20"/>
          <w:color w:val="auto"/>
        </w:rPr>
      </w:pPr>
      <w:r>
        <w:rPr>
          <w:rFonts w:ascii="Courier New" w:cs="Courier New" w:eastAsia="Courier New" w:hAnsi="Courier New"/>
          <w:sz w:val="14"/>
          <w:szCs w:val="14"/>
          <w:color w:val="auto"/>
        </w:rPr>
        <w:t>in income in the period that includes the enactment date. The company has reflected the necessary deferred tax asset/liability in the accompanying balance sheets. Management believes the future tax deductions will be realized principally through carryback to taxable income in prior years, future reversals of existing taxable temporary differences, and to a lesser extent, future taxable income.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PER SHARE OF COMMON STOCK AND COMMON STOCK EQUIVALENTS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earnings per share of common stock and common stock equivalents are computed by dividing net earnings by the weighted average number of common shares and common stock equivalents outstanding during the respective periods. Common stock equivalents include potentially dilutive stock options. These shares are included under the treasury stock method using the average market price of the company's stock during each period. The effect of full dilution using the year-end price of the company's stock was not significant.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During fiscal 1997, the Financial Accounting Standards Board (FASB) issued Statement of Financial Accounting Standards (SFAS) No. 128, "Earnings Per Share," which establishes new standards for computing and presenting earnings per share information. The company will be required to adopt the new standard beginning in the first quarter of fiscal 1998; earlier application is not permitted. Prior period information is required to be restated to conform with the requirements of the new standard. Pro forma earnings per share for the years ended October 31, 1997 and 1996, the 3 month period ended October 31, 1995 and the year ended July 31, 1995 as computed under SFAS No. 128 are as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4740" w:type="dxa"/>
        <w:tblCellMar>
          <w:top w:w="0" w:type="dxa"/>
          <w:left w:w="0" w:type="dxa"/>
          <w:bottom w:w="0" w:type="dxa"/>
          <w:right w:w="0" w:type="dxa"/>
        </w:tblCellMar>
      </w:tblPr>
      <w:tr>
        <w:trPr>
          <w:trHeight w:val="162"/>
        </w:trPr>
        <w:tc>
          <w:tcPr>
            <w:tcW w:w="21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Year Ended</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 Months Ended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47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OCTOBER 31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October 31</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1996</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Basic earnings per share, before extraordinary loss</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$ 3.02</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$ 2.88</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Diluted</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3420" w:type="dxa"/>
            <w:vAlign w:val="bottom"/>
          </w:tcPr>
          <w:p>
            <w:pPr>
              <w:ind w:left="60"/>
              <w:spacing w:after="0"/>
              <w:rPr>
                <w:sz w:val="20"/>
                <w:szCs w:val="20"/>
                <w:color w:val="auto"/>
              </w:rPr>
            </w:pPr>
            <w:r>
              <w:rPr>
                <w:rFonts w:ascii="Courier New" w:cs="Courier New" w:eastAsia="Courier New" w:hAnsi="Courier New"/>
                <w:sz w:val="14"/>
                <w:szCs w:val="14"/>
                <w:color w:val="auto"/>
              </w:rPr>
              <w:t>per share, before extraordinary loss</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$ 2.93</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w:t>
            </w:r>
          </w:p>
        </w:tc>
      </w:tr>
      <w:tr>
        <w:trPr>
          <w:trHeight w:val="166"/>
        </w:trPr>
        <w:tc>
          <w:tcPr>
            <w:tcW w:w="4840" w:type="dxa"/>
            <w:vAlign w:val="bottom"/>
            <w:gridSpan w:val="4"/>
          </w:tcPr>
          <w:p>
            <w:pPr>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5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Diluted</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3420" w:type="dxa"/>
            <w:vAlign w:val="bottom"/>
          </w:tcPr>
          <w:p>
            <w:pPr>
              <w:ind w:left="60"/>
              <w:spacing w:after="0"/>
              <w:rPr>
                <w:sz w:val="20"/>
                <w:szCs w:val="20"/>
                <w:color w:val="auto"/>
              </w:rPr>
            </w:pPr>
            <w:r>
              <w:rPr>
                <w:rFonts w:ascii="Courier New" w:cs="Courier New" w:eastAsia="Courier New" w:hAnsi="Courier New"/>
                <w:sz w:val="14"/>
                <w:szCs w:val="14"/>
                <w:color w:val="auto"/>
              </w:rPr>
              <w:t>per share</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$ 2.80</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$2.90</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$0.32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w:t>
            </w:r>
          </w:p>
        </w:tc>
      </w:tr>
    </w:tbl>
    <w:p>
      <w:pPr>
        <w:spacing w:after="0" w:line="4" w:lineRule="exact"/>
        <w:rPr>
          <w:sz w:val="20"/>
          <w:szCs w:val="20"/>
          <w:color w:val="auto"/>
        </w:rPr>
      </w:pPr>
    </w:p>
    <w:p>
      <w:pPr>
        <w:ind w:left="180" w:hanging="172"/>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fiscal 1997, the FASB also issued SFAS 129, SFAS 130 and SFAS 131. SFAS 129, "Disclosure of Information about Capital Structure," consolidates existing disclosure requirements and will have no impact on the company's financial statements. SFAS 130, "Reporting Comprehensive Income," establishes standards for reporting and displaying the components of comprehensive income and will be adopted by the company in fiscal 1998. The statement requires additional disclosures, but has no impact on consolidated net earnings. SFAS 131, "Disclosures about Segments of an Enterprise and Related Information," establishes standards for determining operating segments and reporting operating segment information. SFAS 131 is required to be adopted beginning with the company's fiscal 1999 year-end annual report. The company has not yet evaluated the effects of this pronouncement to determine what changes, if any, to its current reporting format will be required.</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December 1, 1996 the company acquired the James Hardie Irrigation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(Hardie) from James Hardie Industries Limited (JHI Limited)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$118,030,000 based on estimated, unaudited aggregate shareholders' equity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Hardie on December 1, 1996, subject to further adjustment based on final audit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w:t>
      </w:r>
    </w:p>
    <w:p>
      <w:pPr>
        <w:spacing w:after="0" w:line="173"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JHI Limited to the company. In addition, under the procedures established in the purchase agreement, the company and JHI Limited have entered into an arbitration process related to the valuation of assets, accounting methods applied, estimates used and other items. The resolution of these matters may result in an additional reduction of the purchase price.</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acquisition is accounted for using the purchase accounting method and, accordingly, the initial purchase price of $118,030,000 has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The related effect of these adjustments on the Consolidated Statement of Earnings of the company is not expected to be material.</w:t>
      </w:r>
    </w:p>
    <w:p>
      <w:pPr>
        <w:spacing w:after="0" w:line="16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327" w:lineRule="exact"/>
        <w:rPr>
          <w:sz w:val="20"/>
          <w:szCs w:val="20"/>
          <w:color w:val="auto"/>
        </w:rPr>
      </w:pPr>
    </w:p>
    <w:p>
      <w:pPr>
        <w:ind w:left="180" w:hanging="172"/>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840"/>
        <w:spacing w:after="0"/>
        <w:tabs>
          <w:tab w:leader="none" w:pos="594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spacing w:after="0"/>
        <w:tabs>
          <w:tab w:leader="none" w:pos="5320" w:val="left"/>
          <w:tab w:leader="none" w:pos="644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$1,065,370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$1,074,783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 before</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extraordinary</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34,811</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30,423</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Extraordinary loss,</w:t>
            </w: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net of income</w:t>
            </w:r>
          </w:p>
        </w:tc>
        <w:tc>
          <w:tcPr>
            <w:tcW w:w="1460" w:type="dxa"/>
            <w:vAlign w:val="bottom"/>
          </w:tcPr>
          <w:p>
            <w:pPr>
              <w:ind w:left="40"/>
              <w:spacing w:after="0"/>
              <w:rPr>
                <w:sz w:val="20"/>
                <w:szCs w:val="20"/>
                <w:color w:val="auto"/>
              </w:rPr>
            </w:pPr>
            <w:r>
              <w:rPr>
                <w:rFonts w:ascii="Courier New" w:cs="Courier New" w:eastAsia="Courier New" w:hAnsi="Courier New"/>
                <w:sz w:val="14"/>
                <w:szCs w:val="14"/>
                <w:color w:val="auto"/>
              </w:rPr>
              <w:t>tax benefit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1,663</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33,148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30,423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Primary</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per</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share before extraordinary</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2.42</w:t>
            </w:r>
          </w:p>
        </w:tc>
      </w:tr>
      <w:tr>
        <w:trPr>
          <w:trHeight w:val="166"/>
        </w:trPr>
        <w:tc>
          <w:tcPr>
            <w:tcW w:w="4100" w:type="dxa"/>
            <w:vAlign w:val="bottom"/>
            <w:gridSpan w:val="5"/>
          </w:tcPr>
          <w:p>
            <w:pPr>
              <w:spacing w:after="0"/>
              <w:rPr>
                <w:sz w:val="20"/>
                <w:szCs w:val="20"/>
                <w:color w:val="auto"/>
              </w:rPr>
            </w:pPr>
            <w:r>
              <w:rPr>
                <w:rFonts w:ascii="Courier New" w:cs="Courier New" w:eastAsia="Courier New" w:hAnsi="Courier New"/>
                <w:sz w:val="14"/>
                <w:szCs w:val="14"/>
                <w:color w:val="auto"/>
              </w:rPr>
              <w:t>Extraordinary loss per share, net of income tax</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36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0.13</w:t>
            </w:r>
          </w:p>
        </w:tc>
        <w:tc>
          <w:tcPr>
            <w:tcW w:w="380" w:type="dxa"/>
            <w:vAlign w:val="bottom"/>
          </w:tcPr>
          <w:p>
            <w:pPr>
              <w:spacing w:after="0"/>
              <w:rPr>
                <w:sz w:val="14"/>
                <w:szCs w:val="14"/>
                <w:color w:val="auto"/>
              </w:rPr>
            </w:pP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gridSpan w:val="2"/>
          </w:tcPr>
          <w:p>
            <w:pPr>
              <w:spacing w:after="0"/>
              <w:rPr>
                <w:sz w:val="20"/>
                <w:szCs w:val="20"/>
                <w:color w:val="auto"/>
              </w:rPr>
            </w:pPr>
            <w:r>
              <w:rPr>
                <w:rFonts w:ascii="Courier New" w:cs="Courier New" w:eastAsia="Courier New" w:hAnsi="Courier New"/>
                <w:sz w:val="14"/>
                <w:szCs w:val="14"/>
                <w:color w:val="auto"/>
              </w:rPr>
              <w:t>Primary</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per</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680" w:type="dxa"/>
            <w:vAlign w:val="bottom"/>
          </w:tcPr>
          <w:p>
            <w:pPr>
              <w:spacing w:after="0"/>
              <w:rPr>
                <w:sz w:val="14"/>
                <w:szCs w:val="14"/>
                <w:color w:val="auto"/>
              </w:rPr>
            </w:pPr>
          </w:p>
        </w:tc>
        <w:tc>
          <w:tcPr>
            <w:tcW w:w="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2.42</w:t>
            </w:r>
          </w:p>
        </w:tc>
      </w:tr>
    </w:tbl>
    <w:p>
      <w:pPr>
        <w:spacing w:after="0" w:line="4" w:lineRule="exact"/>
        <w:rPr>
          <w:sz w:val="20"/>
          <w:szCs w:val="20"/>
          <w:color w:val="auto"/>
        </w:rPr>
      </w:pPr>
    </w:p>
    <w:p>
      <w:pPr>
        <w:ind w:left="180" w:hanging="172"/>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Effective November 1, 1997 the company acquired Exmark Manufacturing Company Incorporated (Exmark), a leading manufacturer of equipment for the professional landscape contractor industry. Exmark is headquartered in Beatrice, Nebraska and produces mid-sized walk-behind power mowers and zero-turning-radius riding mowers for professional contractors. Exmark had net sales of $53.4 million and net earnings of $2.8 million for its fiscal year ended August 31, 1997.</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exchange for all of the capital stock of Exmark, the company issued 598,051 shares of its common stock and paid approximately $5.5 million in cash. In addition, under the terms of the purchase agreement, the company will be required to make contingent payments to Exmark shareholders if Exmark's post-acquisition earnings and sales growth from November 1, 1997 through October 31, 1999 exceed minimum levels established in the purchase agreement. The maximum amount of these contingent payments is $28,000,000. Contingent payments will be paid with a combination of cash and the company's common stock. The acquisition is accounted for using the purchase method of accounting and accordingly, the purchase price is allocated based on the fair</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72" w:name="page73"/>
    <w:bookmarkEnd w:id="72"/>
    <w:p>
      <w:pPr>
        <w:ind w:right="3519"/>
        <w:spacing w:after="0" w:line="252" w:lineRule="auto"/>
        <w:rPr>
          <w:sz w:val="20"/>
          <w:szCs w:val="20"/>
          <w:color w:val="auto"/>
        </w:rPr>
      </w:pPr>
      <w:r>
        <w:rPr>
          <w:rFonts w:ascii="Courier New" w:cs="Courier New" w:eastAsia="Courier New" w:hAnsi="Courier New"/>
          <w:sz w:val="14"/>
          <w:szCs w:val="14"/>
          <w:color w:val="auto"/>
        </w:rPr>
        <w:t>value of assets acquired and liabilities assumed. The excess of the purchase price, including any contingent payment amounts, over the fair value of net assets acquired will be recorded as goodwill, and amortized on a straight-line basis over a 20 year period.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CAPITAL RESOURCES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At October 31, 1997 the company had available unsecured lines of credit with four banks in the aggregate of $190,000,000. Most of these agreements require the company to pay a fee of 0.175% per year on the available lines of credit, which is included in interest expense.</w:t>
      </w:r>
    </w:p>
    <w:p>
      <w:pPr>
        <w:spacing w:after="0" w:line="162" w:lineRule="exact"/>
        <w:rPr>
          <w:sz w:val="20"/>
          <w:szCs w:val="20"/>
          <w:color w:val="auto"/>
        </w:rPr>
      </w:pPr>
    </w:p>
    <w:p>
      <w:pPr>
        <w:ind w:right="3519" w:firstLine="258"/>
        <w:spacing w:after="0" w:line="253" w:lineRule="auto"/>
        <w:rPr>
          <w:sz w:val="20"/>
          <w:szCs w:val="20"/>
          <w:color w:val="auto"/>
        </w:rPr>
      </w:pPr>
      <w:r>
        <w:rPr>
          <w:rFonts w:ascii="Courier New" w:cs="Courier New" w:eastAsia="Courier New" w:hAnsi="Courier New"/>
          <w:sz w:val="14"/>
          <w:szCs w:val="14"/>
          <w:color w:val="auto"/>
        </w:rPr>
        <w:t>The company had $41,000,000 outstanding at October 31, 1997 and $41,025,000 outstanding at October 31, 1996. The weighted average interest rate on short-term borrowing was 5.95% and 6.18% at October 31, 1997 and 1996, respectively.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summary of long-term debt is as follows:</w:t>
      </w:r>
    </w:p>
    <w:p>
      <w:pPr>
        <w:spacing w:after="0" w:line="173" w:lineRule="exact"/>
        <w:rPr>
          <w:sz w:val="20"/>
          <w:szCs w:val="20"/>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(Dollars in thousands) October 31</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7.125% Notes, due June 15, 2007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75,000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7.80% Debentures, due June 15, 2027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100,000</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11% Sinking Fund Debentures due annually</w:t>
            </w: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August 1998-2017 called August 1, 1997</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Industrial Revenue Bond due annually</w:t>
            </w: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June 1997-2004 with various interest rates</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3,015</w:t>
            </w: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3,365</w:t>
            </w:r>
          </w:p>
        </w:tc>
      </w:tr>
    </w:tbl>
    <w:p>
      <w:pPr>
        <w:spacing w:after="0" w:line="4" w:lineRule="exact"/>
        <w:rPr>
          <w:sz w:val="20"/>
          <w:szCs w:val="20"/>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178,015</w:t>
      </w:r>
      <w:r>
        <w:rPr>
          <w:rFonts w:ascii="Courier New" w:cs="Courier New" w:eastAsia="Courier New" w:hAnsi="Courier New"/>
          <w:sz w:val="13"/>
          <w:szCs w:val="13"/>
          <w:color w:val="auto"/>
        </w:rPr>
        <w:t>53,365</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$177,650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$53,015</w:t>
            </w:r>
          </w:p>
        </w:tc>
      </w:tr>
    </w:tbl>
    <w:p>
      <w:pPr>
        <w:spacing w:after="0" w:line="4" w:lineRule="exact"/>
        <w:rPr>
          <w:sz w:val="20"/>
          <w:szCs w:val="20"/>
          <w:color w:val="auto"/>
        </w:rPr>
      </w:pPr>
    </w:p>
    <w:p>
      <w:pPr>
        <w:ind w:left="180" w:hanging="172"/>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June 1997, the company issued $175.0 million of debt securities consisting of $75.0 million of 7.125% coupon 10-year Notes and $100.0 million of 7.80% coupon 30-year Debentures. The proceeds from the debt securities issued were used, in part, to repay short-term indebtedness, which was primarily related to the acquisition of Hardie, and to redeem on August 1, 1997 the company's $50.0 million principal amount of 11% Sinking Fund Debentures. The company paid a prepayment penalty of $2.8 million for the early retirement of the 11% Debentures. This penalty is reported in the consolidated statement of earnings as an extraordinary loss, net of the related income tax benefit.</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connection with the issuance of the $175.0 million in long-term debt securities, the company paid $23.7 million to terminate three forward-starting interest rate swap agreements with notational amounts totaling $125.0 million. These swap agreements had been entered into to reduce exposure to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of the termination fees over the deferred income recorded has been deferred and is being recognized as an adjustment to interest expense over the term of the new debt securities issued.</w:t>
      </w:r>
    </w:p>
    <w:p>
      <w:pPr>
        <w:spacing w:after="0" w:line="329" w:lineRule="exact"/>
        <w:rPr>
          <w:sz w:val="20"/>
          <w:szCs w:val="20"/>
          <w:color w:val="auto"/>
        </w:rPr>
      </w:pPr>
    </w:p>
    <w:p>
      <w:pPr>
        <w:jc w:val="both"/>
        <w:ind w:right="3599" w:firstLine="258"/>
        <w:spacing w:after="0" w:line="252" w:lineRule="auto"/>
        <w:rPr>
          <w:sz w:val="20"/>
          <w:szCs w:val="20"/>
          <w:color w:val="auto"/>
        </w:rPr>
      </w:pPr>
      <w:r>
        <w:rPr>
          <w:rFonts w:ascii="Courier New" w:cs="Courier New" w:eastAsia="Courier New" w:hAnsi="Courier New"/>
          <w:sz w:val="14"/>
          <w:szCs w:val="14"/>
          <w:color w:val="auto"/>
        </w:rPr>
        <w:t>Under the terms of the long-term debt agreements the company is subject to certain covenants. At October 31, 1997 the company was in compliance with all such covenants.</w:t>
      </w:r>
    </w:p>
    <w:p>
      <w:pPr>
        <w:spacing w:after="0" w:line="16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Principal payments required on long-term debt in each of the next five years ending October 31 are as follows: 1998, $365,000; 1999, $385,000; 2000, $405,000; 2001, $425,000; 2002, $450,000; and after 2002, $175,985,000.</w:t>
      </w:r>
    </w:p>
    <w:p>
      <w:pPr>
        <w:spacing w:after="0" w:line="16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4740"/>
        <w:spacing w:after="0" w:line="255" w:lineRule="auto"/>
        <w:rPr>
          <w:sz w:val="20"/>
          <w:szCs w:val="20"/>
          <w:color w:val="auto"/>
        </w:rPr>
      </w:pPr>
      <w:r>
        <w:rPr>
          <w:rFonts w:ascii="Courier New" w:cs="Courier New" w:eastAsia="Courier New" w:hAnsi="Courier New"/>
          <w:sz w:val="14"/>
          <w:szCs w:val="14"/>
          <w:color w:val="auto"/>
        </w:rPr>
        <w:t>A reconciliation of the statutory federal income tax rate to the company's consolidated effective tax rate is summarized as follows:</w:t>
      </w:r>
    </w:p>
    <w:p>
      <w:pPr>
        <w:spacing w:after="0" w:line="200" w:lineRule="exact"/>
        <w:rPr>
          <w:sz w:val="20"/>
          <w:szCs w:val="20"/>
          <w:color w:val="auto"/>
        </w:rPr>
      </w:pPr>
    </w:p>
    <w:p>
      <w:pPr>
        <w:spacing w:after="0" w:line="291" w:lineRule="exact"/>
        <w:rPr>
          <w:sz w:val="20"/>
          <w:szCs w:val="20"/>
          <w:color w:val="auto"/>
        </w:rPr>
      </w:pPr>
    </w:p>
    <w:p>
      <w:pPr>
        <w:ind w:left="180" w:hanging="172"/>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980"/>
        <w:spacing w:after="0"/>
        <w:tabs>
          <w:tab w:leader="none" w:pos="8600" w:val="left"/>
          <w:tab w:leader="none" w:pos="998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tab/>
        <w:t>Year Ended</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460"/>
        <w:spacing w:after="0"/>
        <w:tabs>
          <w:tab w:leader="none" w:pos="7560" w:val="left"/>
          <w:tab w:leader="none" w:pos="8940" w:val="left"/>
          <w:tab w:leader="none" w:pos="1024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ind w:left="6980"/>
        <w:spacing w:after="0"/>
        <w:tabs>
          <w:tab w:leader="none" w:pos="8080" w:val="left"/>
          <w:tab w:leader="none" w:pos="9460" w:val="left"/>
          <w:tab w:leader="none" w:pos="10500" w:val="left"/>
        </w:tabs>
        <w:rPr>
          <w:sz w:val="20"/>
          <w:szCs w:val="20"/>
          <w:color w:val="auto"/>
        </w:rPr>
      </w:pP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Increase (reduction) in income taxes resulting from:</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Benefits from foreign sales corporation</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State and local income taxes, net of federal income tax benefit</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Effect of foreign source income</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0.9</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Goodwill amortization</w:t>
            </w: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r>
        <w:trPr>
          <w:trHeight w:val="166"/>
        </w:trPr>
        <w:tc>
          <w:tcPr>
            <w:tcW w:w="6380" w:type="dxa"/>
            <w:vAlign w:val="bottom"/>
          </w:tcPr>
          <w:p>
            <w:pPr>
              <w:ind w:left="440"/>
              <w:spacing w:after="0"/>
              <w:rPr>
                <w:sz w:val="20"/>
                <w:szCs w:val="20"/>
                <w:color w:val="auto"/>
              </w:rPr>
            </w:pPr>
            <w:r>
              <w:rPr>
                <w:rFonts w:ascii="Courier New" w:cs="Courier New" w:eastAsia="Courier New" w:hAnsi="Courier New"/>
                <w:sz w:val="14"/>
                <w:szCs w:val="14"/>
                <w:color w:val="auto"/>
              </w:rPr>
              <w:t>Other, net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Consolidated effective tax rate</w:t>
            </w:r>
          </w:p>
        </w:tc>
        <w:tc>
          <w:tcPr>
            <w:tcW w:w="2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39.5%</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spacing w:after="0" w:line="4"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Components of the provision for income taxes are as follows:</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980"/>
        <w:spacing w:after="0"/>
        <w:tabs>
          <w:tab w:leader="none" w:pos="8600" w:val="left"/>
          <w:tab w:leader="none" w:pos="998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tab/>
        <w:t>Year Ended</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460"/>
        <w:spacing w:after="0"/>
        <w:tabs>
          <w:tab w:leader="none" w:pos="7560" w:val="left"/>
          <w:tab w:leader="none" w:pos="8940" w:val="left"/>
          <w:tab w:leader="none" w:pos="1024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6960" w:val="left"/>
          <w:tab w:leader="none" w:pos="8080" w:val="left"/>
          <w:tab w:leader="none" w:pos="9460" w:val="left"/>
          <w:tab w:leader="none" w:pos="1050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$15,985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$22,479</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$24,878</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1,445</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2,754</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Current provision</w:t>
            </w:r>
          </w:p>
        </w:tc>
        <w:tc>
          <w:tcPr>
            <w:tcW w:w="32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17,430</w:t>
            </w:r>
          </w:p>
        </w:tc>
        <w:tc>
          <w:tcPr>
            <w:tcW w:w="1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25,233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27,820</w:t>
            </w:r>
          </w:p>
        </w:tc>
      </w:tr>
    </w:tbl>
    <w:p>
      <w:pPr>
        <w:spacing w:after="0" w:line="4" w:lineRule="exact"/>
        <w:rPr>
          <w:sz w:val="20"/>
          <w:szCs w:val="20"/>
          <w:color w:val="auto"/>
        </w:rPr>
      </w:pPr>
    </w:p>
    <w:p>
      <w:pPr>
        <w:ind w:left="180" w:hanging="172"/>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3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4,182</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(2,689)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36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1,137</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6880" w:val="left"/>
          <w:tab w:leader="none" w:pos="7920" w:val="left"/>
          <w:tab w:leader="none" w:pos="9380" w:val="left"/>
          <w:tab w:leader="none" w:pos="10320" w:val="left"/>
        </w:tabs>
        <w:rPr>
          <w:sz w:val="20"/>
          <w:szCs w:val="20"/>
          <w:color w:val="auto"/>
        </w:rPr>
      </w:pPr>
      <w:r>
        <w:rPr>
          <w:rFonts w:ascii="Courier New" w:cs="Courier New" w:eastAsia="Courier New" w:hAnsi="Courier New"/>
          <w:sz w:val="14"/>
          <w:szCs w:val="14"/>
          <w:color w:val="auto"/>
        </w:rPr>
        <w:t>Deferred provision</w:t>
      </w:r>
      <w:r>
        <w:rPr>
          <w:sz w:val="20"/>
          <w:szCs w:val="20"/>
          <w:color w:val="auto"/>
        </w:rPr>
        <w:tab/>
      </w:r>
      <w:r>
        <w:rPr>
          <w:rFonts w:ascii="Courier New" w:cs="Courier New" w:eastAsia="Courier New" w:hAnsi="Courier New"/>
          <w:sz w:val="14"/>
          <w:szCs w:val="14"/>
          <w:color w:val="auto"/>
        </w:rPr>
        <w:t>5,319</w:t>
      </w:r>
      <w:r>
        <w:rPr>
          <w:sz w:val="20"/>
          <w:szCs w:val="20"/>
          <w:color w:val="auto"/>
        </w:rPr>
        <w:tab/>
      </w:r>
      <w:r>
        <w:rPr>
          <w:rFonts w:ascii="Courier New" w:cs="Courier New" w:eastAsia="Courier New" w:hAnsi="Courier New"/>
          <w:sz w:val="14"/>
          <w:szCs w:val="14"/>
          <w:color w:val="auto"/>
        </w:rPr>
        <w:t>(1,462)</w:t>
      </w:r>
      <w:r>
        <w:rPr>
          <w:sz w:val="20"/>
          <w:szCs w:val="20"/>
          <w:color w:val="auto"/>
        </w:rPr>
        <w:tab/>
      </w:r>
      <w:r>
        <w:rPr>
          <w:rFonts w:ascii="Courier New" w:cs="Courier New" w:eastAsia="Courier New" w:hAnsi="Courier New"/>
          <w:sz w:val="14"/>
          <w:szCs w:val="14"/>
          <w:color w:val="auto"/>
        </w:rPr>
        <w:t>1,640</w:t>
      </w:r>
      <w:r>
        <w:rPr>
          <w:sz w:val="20"/>
          <w:szCs w:val="20"/>
          <w:color w:val="auto"/>
        </w:rPr>
        <w:tab/>
      </w:r>
      <w:r>
        <w:rPr>
          <w:rFonts w:ascii="Courier New" w:cs="Courier New" w:eastAsia="Courier New" w:hAnsi="Courier New"/>
          <w:sz w:val="14"/>
          <w:szCs w:val="14"/>
          <w:color w:val="auto"/>
        </w:rPr>
        <w:t>(3,375)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700" w:val="left"/>
          <w:tab w:leader="none" w:pos="7820" w:val="left"/>
          <w:tab w:leader="none" w:pos="9300" w:val="left"/>
          <w:tab w:leader="none" w:pos="10240" w:val="left"/>
        </w:tabs>
        <w:rPr>
          <w:sz w:val="20"/>
          <w:szCs w:val="20"/>
          <w:color w:val="auto"/>
        </w:rPr>
      </w:pPr>
      <w:r>
        <w:rPr>
          <w:rFonts w:ascii="Courier New" w:cs="Courier New" w:eastAsia="Courier New" w:hAnsi="Courier New"/>
          <w:sz w:val="14"/>
          <w:szCs w:val="14"/>
          <w:color w:val="auto"/>
        </w:rPr>
        <w:t>Total provision for income taxes</w:t>
      </w:r>
      <w:r>
        <w:rPr>
          <w:sz w:val="20"/>
          <w:szCs w:val="20"/>
          <w:color w:val="auto"/>
        </w:rPr>
        <w:tab/>
      </w:r>
      <w:r>
        <w:rPr>
          <w:rFonts w:ascii="Courier New" w:cs="Courier New" w:eastAsia="Courier New" w:hAnsi="Courier New"/>
          <w:sz w:val="14"/>
          <w:szCs w:val="14"/>
          <w:color w:val="auto"/>
        </w:rPr>
        <w:t>$22,749</w:t>
      </w:r>
      <w:r>
        <w:rPr>
          <w:sz w:val="20"/>
          <w:szCs w:val="20"/>
          <w:color w:val="auto"/>
        </w:rPr>
        <w:tab/>
      </w:r>
      <w:r>
        <w:rPr>
          <w:rFonts w:ascii="Courier New" w:cs="Courier New" w:eastAsia="Courier New" w:hAnsi="Courier New"/>
          <w:sz w:val="14"/>
          <w:szCs w:val="14"/>
          <w:color w:val="auto"/>
        </w:rPr>
        <w:t>$23,771</w:t>
      </w:r>
      <w:r>
        <w:rPr>
          <w:sz w:val="20"/>
          <w:szCs w:val="20"/>
          <w:color w:val="auto"/>
        </w:rPr>
        <w:tab/>
      </w:r>
      <w:r>
        <w:rPr>
          <w:rFonts w:ascii="Courier New" w:cs="Courier New" w:eastAsia="Courier New" w:hAnsi="Courier New"/>
          <w:sz w:val="14"/>
          <w:szCs w:val="14"/>
          <w:color w:val="auto"/>
        </w:rPr>
        <w:t>$2,609</w:t>
      </w:r>
      <w:r>
        <w:rPr>
          <w:sz w:val="20"/>
          <w:szCs w:val="20"/>
          <w:color w:val="auto"/>
        </w:rPr>
        <w:tab/>
      </w:r>
      <w:r>
        <w:rPr>
          <w:rFonts w:ascii="Courier New" w:cs="Courier New" w:eastAsia="Courier New" w:hAnsi="Courier New"/>
          <w:sz w:val="14"/>
          <w:szCs w:val="14"/>
          <w:color w:val="auto"/>
        </w:rPr>
        <w:t>$24,445</w:t>
      </w:r>
    </w:p>
    <w:p>
      <w:pPr>
        <w:spacing w:after="0" w:line="7" w:lineRule="exact"/>
        <w:rPr>
          <w:sz w:val="20"/>
          <w:szCs w:val="20"/>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400" w:firstLine="258"/>
        <w:spacing w:after="0" w:line="255" w:lineRule="auto"/>
        <w:rPr>
          <w:sz w:val="20"/>
          <w:szCs w:val="20"/>
          <w:color w:val="auto"/>
        </w:rPr>
      </w:pPr>
      <w:r>
        <w:rPr>
          <w:rFonts w:ascii="Courier New" w:cs="Courier New" w:eastAsia="Courier New" w:hAnsi="Courier New"/>
          <w:sz w:val="14"/>
          <w:szCs w:val="14"/>
          <w:color w:val="auto"/>
        </w:rPr>
        <w:t>The tax effects of temporary differences that give rise to the net deferred income tax assets at October 31, 1997 and 1996 are presented below.</w:t>
      </w:r>
    </w:p>
    <w:p>
      <w:pPr>
        <w:spacing w:after="0" w:line="160" w:lineRule="exact"/>
        <w:rPr>
          <w:sz w:val="20"/>
          <w:szCs w:val="20"/>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$ 5,070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$ 5,151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Inventory reserves</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1,900</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Uniform capitalization</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Warranty reserves</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15,028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12,881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Marketing programs</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2,018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Distributor reserves</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Restructuring reserves</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1,954</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Product liability</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2,316</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1,957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Accrued retirement</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3,961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Accrued vacation pay</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2,087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Consolidated deferred income tax assets</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$31,477</w:t>
            </w:r>
          </w:p>
        </w:tc>
      </w:tr>
    </w:tbl>
    <w:p>
      <w:pPr>
        <w:spacing w:after="0" w:line="4" w:lineRule="exact"/>
        <w:rPr>
          <w:sz w:val="20"/>
          <w:szCs w:val="20"/>
          <w:color w:val="auto"/>
        </w:rPr>
      </w:pPr>
    </w:p>
    <w:p>
      <w:pPr>
        <w:ind w:left="180" w:hanging="172"/>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4480" w:firstLine="258"/>
        <w:spacing w:after="0" w:line="251" w:lineRule="auto"/>
        <w:rPr>
          <w:sz w:val="20"/>
          <w:szCs w:val="20"/>
          <w:color w:val="auto"/>
        </w:rPr>
      </w:pPr>
      <w:r>
        <w:rPr>
          <w:rFonts w:ascii="Courier New" w:cs="Courier New" w:eastAsia="Courier New" w:hAnsi="Courier New"/>
          <w:sz w:val="14"/>
          <w:szCs w:val="14"/>
          <w:color w:val="auto"/>
        </w:rPr>
        <w:t>During the years ended October 31, 1997 and 1996, respectively, $2,611,000 and $1,490,000 was added to additional paid-in capital in accordance with Accounting Principal Board Opinion 25 reflecting the permanent book to tax difference in accounting for tax benefits related to employee stock option transactions.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120"/>
          </w:cols>
          <w:pgMar w:left="220" w:top="616" w:right="559" w:bottom="922"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COMMON STOCKHOLDERS' EQUITY</w:t>
      </w:r>
    </w:p>
    <w:p>
      <w:pPr>
        <w:spacing w:after="0" w:line="173" w:lineRule="exact"/>
        <w:rPr>
          <w:sz w:val="20"/>
          <w:szCs w:val="20"/>
          <w:color w:val="auto"/>
        </w:rPr>
      </w:pPr>
    </w:p>
    <w:p>
      <w:pPr>
        <w:ind w:right="4480"/>
        <w:spacing w:after="0" w:line="252" w:lineRule="auto"/>
        <w:rPr>
          <w:sz w:val="20"/>
          <w:szCs w:val="20"/>
          <w:color w:val="auto"/>
        </w:rPr>
      </w:pPr>
      <w:r>
        <w:rPr>
          <w:rFonts w:ascii="Courier New" w:cs="Courier New" w:eastAsia="Courier New" w:hAnsi="Courier New"/>
          <w:sz w:val="14"/>
          <w:szCs w:val="14"/>
          <w:color w:val="auto"/>
        </w:rPr>
        <w:t>Changes in the components of common stockholders' equity during the fiscal years ended October 31, 1997 and 1996, the 3 months ended October 31, 1995 and the fiscal year ended July 31, 1995 were as follows:</w:t>
      </w:r>
    </w:p>
    <w:p>
      <w:pPr>
        <w:spacing w:after="0" w:line="200" w:lineRule="exact"/>
        <w:rPr>
          <w:sz w:val="20"/>
          <w:szCs w:val="20"/>
          <w:color w:val="auto"/>
        </w:rPr>
      </w:pPr>
    </w:p>
    <w:p>
      <w:pPr>
        <w:spacing w:after="0" w:line="294" w:lineRule="exact"/>
        <w:rPr>
          <w:sz w:val="20"/>
          <w:szCs w:val="20"/>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440" w:right="26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w:t>
      </w:r>
    </w:p>
    <w:p>
      <w:pPr>
        <w:spacing w:after="0" w:line="1" w:lineRule="exact"/>
        <w:rPr>
          <w:sz w:val="20"/>
          <w:szCs w:val="20"/>
          <w:color w:val="auto"/>
        </w:rPr>
      </w:pPr>
    </w:p>
    <w:p>
      <w:pPr>
        <w:ind w:left="5520"/>
        <w:spacing w:after="0"/>
        <w:tabs>
          <w:tab w:leader="none" w:pos="6880" w:val="left"/>
          <w:tab w:leader="none" w:pos="8080" w:val="left"/>
          <w:tab w:leader="none" w:pos="9040" w:val="left"/>
          <w:tab w:leader="none" w:pos="10060" w:val="left"/>
        </w:tabs>
        <w:rPr>
          <w:sz w:val="20"/>
          <w:szCs w:val="20"/>
          <w:color w:val="auto"/>
        </w:rPr>
      </w:pP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Receivable</w:t>
        <w:tab/>
        <w:t>Translation</w:t>
      </w:r>
    </w:p>
    <w:p>
      <w:pPr>
        <w:spacing w:after="0" w:line="7" w:lineRule="exact"/>
        <w:rPr>
          <w:sz w:val="20"/>
          <w:szCs w:val="20"/>
          <w:color w:val="auto"/>
        </w:rPr>
      </w:pPr>
    </w:p>
    <w:p>
      <w:pPr>
        <w:spacing w:after="0"/>
        <w:tabs>
          <w:tab w:leader="none" w:pos="5580" w:val="left"/>
          <w:tab w:leader="none" w:pos="6440" w:val="left"/>
          <w:tab w:leader="none" w:pos="8080" w:val="left"/>
          <w:tab w:leader="none" w:pos="9120" w:val="left"/>
          <w:tab w:leader="none" w:pos="1024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Paid-In 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from ESOP</w:t>
      </w:r>
      <w:r>
        <w:rPr>
          <w:sz w:val="20"/>
          <w:szCs w:val="20"/>
          <w:color w:val="auto"/>
        </w:rPr>
        <w:tab/>
      </w:r>
      <w:r>
        <w:rPr>
          <w:rFonts w:ascii="Courier New" w:cs="Courier New" w:eastAsia="Courier New" w:hAnsi="Courier New"/>
          <w:sz w:val="14"/>
          <w:szCs w:val="14"/>
          <w:color w:val="auto"/>
        </w:rPr>
        <w:t>Adjustment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Balance at July 31, 1994</w:t>
            </w:r>
          </w:p>
        </w:tc>
        <w:tc>
          <w:tcPr>
            <w:tcW w:w="2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$12,561</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$ 49,420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$109,688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(405)</w:t>
            </w:r>
          </w:p>
        </w:tc>
      </w:tr>
    </w:tbl>
    <w:p>
      <w:pPr>
        <w:spacing w:after="0" w:line="4" w:lineRule="exact"/>
        <w:rPr>
          <w:sz w:val="20"/>
          <w:szCs w:val="20"/>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Common dividends</w:t>
            </w:r>
          </w:p>
        </w:tc>
        <w:tc>
          <w:tcPr>
            <w:tcW w:w="14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paid ($0.48 per</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(6,002)</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Issuance of 444,783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under</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stock option plans</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445</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7,806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Purchase of 965,757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shares</w:t>
            </w:r>
          </w:p>
        </w:tc>
        <w:tc>
          <w:tcPr>
            <w:tcW w:w="24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(966)</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(25,259)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Payment received</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from ESOP</w:t>
            </w:r>
          </w:p>
        </w:tc>
        <w:tc>
          <w:tcPr>
            <w:tcW w:w="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392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translation adjustment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r>
        <w:trPr>
          <w:trHeight w:val="166"/>
        </w:trPr>
        <w:tc>
          <w:tcPr>
            <w:tcW w:w="2860" w:type="dxa"/>
            <w:vAlign w:val="bottom"/>
            <w:gridSpan w:val="4"/>
          </w:tcPr>
          <w:p>
            <w:pPr>
              <w:spacing w:after="0"/>
              <w:rPr>
                <w:sz w:val="20"/>
                <w:szCs w:val="20"/>
                <w:color w:val="auto"/>
              </w:rPr>
            </w:pPr>
            <w:r>
              <w:rPr>
                <w:rFonts w:ascii="Courier New" w:cs="Courier New" w:eastAsia="Courier New" w:hAnsi="Courier New"/>
                <w:sz w:val="14"/>
                <w:szCs w:val="14"/>
                <w:color w:val="auto"/>
              </w:rPr>
              <w:t>Tax benefits related to employee</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stock option transactions</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36,667</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420" w:val="left"/>
          <w:tab w:leader="none" w:pos="7060" w:val="left"/>
          <w:tab w:leader="none" w:pos="8080" w:val="left"/>
          <w:tab w:leader="none" w:pos="9300" w:val="left"/>
          <w:tab w:leader="none" w:pos="9800" w:val="left"/>
          <w:tab w:leader="none" w:pos="10500" w:val="left"/>
          <w:tab w:leader="none" w:pos="10840" w:val="left"/>
        </w:tabs>
        <w:rPr>
          <w:sz w:val="20"/>
          <w:szCs w:val="20"/>
          <w:color w:val="auto"/>
        </w:rPr>
      </w:pPr>
      <w:r>
        <w:rPr>
          <w:rFonts w:ascii="Courier New" w:cs="Courier New" w:eastAsia="Courier New" w:hAnsi="Courier New"/>
          <w:sz w:val="14"/>
          <w:szCs w:val="14"/>
          <w:color w:val="auto"/>
        </w:rPr>
        <w:t>Balance at July 31, 1995</w:t>
      </w:r>
      <w:r>
        <w:rPr>
          <w:sz w:val="20"/>
          <w:szCs w:val="20"/>
          <w:color w:val="auto"/>
        </w:rPr>
        <w:tab/>
      </w:r>
      <w:r>
        <w:rPr>
          <w:rFonts w:ascii="Courier New" w:cs="Courier New" w:eastAsia="Courier New" w:hAnsi="Courier New"/>
          <w:sz w:val="14"/>
          <w:szCs w:val="14"/>
          <w:color w:val="auto"/>
        </w:rPr>
        <w:t>$12,040</w:t>
      </w:r>
      <w:r>
        <w:rPr>
          <w:sz w:val="20"/>
          <w:szCs w:val="20"/>
          <w:color w:val="auto"/>
        </w:rPr>
        <w:tab/>
      </w:r>
      <w:r>
        <w:rPr>
          <w:rFonts w:ascii="Courier New" w:cs="Courier New" w:eastAsia="Courier New" w:hAnsi="Courier New"/>
          <w:sz w:val="14"/>
          <w:szCs w:val="14"/>
          <w:color w:val="auto"/>
        </w:rPr>
        <w:t>$ 33,145</w:t>
      </w:r>
      <w:r>
        <w:rPr>
          <w:sz w:val="20"/>
          <w:szCs w:val="20"/>
          <w:color w:val="auto"/>
        </w:rPr>
        <w:tab/>
      </w:r>
      <w:r>
        <w:rPr>
          <w:rFonts w:ascii="Courier New" w:cs="Courier New" w:eastAsia="Courier New" w:hAnsi="Courier New"/>
          <w:sz w:val="14"/>
          <w:szCs w:val="14"/>
          <w:color w:val="auto"/>
        </w:rPr>
        <w:t>$140,353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Common dividends paid ($0.12 per</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share)</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(1,459)</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Issuance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156,263 shares under</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stock option plans</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156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Purchase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28,204 common shares</w:t>
            </w:r>
          </w:p>
        </w:tc>
        <w:tc>
          <w:tcPr>
            <w:tcW w:w="2300" w:type="dxa"/>
            <w:vAlign w:val="bottom"/>
          </w:tcPr>
          <w:p>
            <w:pPr>
              <w:spacing w:after="0"/>
              <w:rPr>
                <w:sz w:val="14"/>
                <w:szCs w:val="14"/>
                <w:color w:val="auto"/>
              </w:rPr>
            </w:pPr>
          </w:p>
        </w:tc>
        <w:tc>
          <w:tcPr>
            <w:tcW w:w="1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00" w:type="dxa"/>
            <w:vAlign w:val="bottom"/>
            <w:gridSpan w:val="3"/>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6"/>
        </w:trPr>
        <w:tc>
          <w:tcPr>
            <w:tcW w:w="2800" w:type="dxa"/>
            <w:vAlign w:val="bottom"/>
            <w:gridSpan w:val="2"/>
          </w:tcPr>
          <w:p>
            <w:pPr>
              <w:spacing w:after="0"/>
              <w:rPr>
                <w:sz w:val="20"/>
                <w:szCs w:val="20"/>
                <w:color w:val="auto"/>
              </w:rPr>
            </w:pPr>
            <w:r>
              <w:rPr>
                <w:rFonts w:ascii="Courier New" w:cs="Courier New" w:eastAsia="Courier New" w:hAnsi="Courier New"/>
                <w:sz w:val="14"/>
                <w:szCs w:val="14"/>
                <w:color w:val="auto"/>
              </w:rPr>
              <w:t>Net earnings</w:t>
            </w:r>
          </w:p>
        </w:tc>
        <w:tc>
          <w:tcPr>
            <w:tcW w:w="2300" w:type="dxa"/>
            <w:vAlign w:val="bottom"/>
          </w:tcPr>
          <w:p>
            <w:pPr>
              <w:spacing w:after="0"/>
              <w:rPr>
                <w:sz w:val="14"/>
                <w:szCs w:val="14"/>
                <w:color w:val="auto"/>
              </w:rPr>
            </w:pP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3,997</w:t>
            </w: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420" w:val="left"/>
          <w:tab w:leader="none" w:pos="7060" w:val="left"/>
          <w:tab w:leader="none" w:pos="8080" w:val="left"/>
          <w:tab w:leader="none" w:pos="9300" w:val="left"/>
          <w:tab w:leader="none" w:pos="9800" w:val="left"/>
          <w:tab w:leader="none" w:pos="10580" w:val="left"/>
          <w:tab w:leader="none" w:pos="10840" w:val="left"/>
        </w:tabs>
        <w:rPr>
          <w:sz w:val="20"/>
          <w:szCs w:val="20"/>
          <w:color w:val="auto"/>
        </w:rPr>
      </w:pPr>
      <w:r>
        <w:rPr>
          <w:rFonts w:ascii="Courier New" w:cs="Courier New" w:eastAsia="Courier New" w:hAnsi="Courier New"/>
          <w:sz w:val="14"/>
          <w:szCs w:val="14"/>
          <w:color w:val="auto"/>
        </w:rPr>
        <w:t>Balance at October 31, 1995</w:t>
      </w:r>
      <w:r>
        <w:rPr>
          <w:sz w:val="20"/>
          <w:szCs w:val="20"/>
          <w:color w:val="auto"/>
        </w:rPr>
        <w:tab/>
      </w:r>
      <w:r>
        <w:rPr>
          <w:rFonts w:ascii="Courier New" w:cs="Courier New" w:eastAsia="Courier New" w:hAnsi="Courier New"/>
          <w:sz w:val="14"/>
          <w:szCs w:val="14"/>
          <w:color w:val="auto"/>
        </w:rPr>
        <w:t>$12,168</w:t>
      </w:r>
      <w:r>
        <w:rPr>
          <w:sz w:val="20"/>
          <w:szCs w:val="20"/>
          <w:color w:val="auto"/>
        </w:rPr>
        <w:tab/>
      </w:r>
      <w:r>
        <w:rPr>
          <w:rFonts w:ascii="Courier New" w:cs="Courier New" w:eastAsia="Courier New" w:hAnsi="Courier New"/>
          <w:sz w:val="14"/>
          <w:szCs w:val="14"/>
          <w:color w:val="auto"/>
        </w:rPr>
        <w:t>$ 35,712</w:t>
      </w:r>
      <w:r>
        <w:rPr>
          <w:sz w:val="20"/>
          <w:szCs w:val="20"/>
          <w:color w:val="auto"/>
        </w:rPr>
        <w:tab/>
      </w:r>
      <w:r>
        <w:rPr>
          <w:rFonts w:ascii="Courier New" w:cs="Courier New" w:eastAsia="Courier New" w:hAnsi="Courier New"/>
          <w:sz w:val="14"/>
          <w:szCs w:val="14"/>
          <w:color w:val="auto"/>
        </w:rPr>
        <w:t>$142,891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tab/>
        <w:t>121</w:t>
      </w:r>
    </w:p>
    <w:p>
      <w:pPr>
        <w:spacing w:after="0" w:line="7" w:lineRule="exact"/>
        <w:rPr>
          <w:sz w:val="20"/>
          <w:szCs w:val="20"/>
          <w:color w:val="auto"/>
        </w:rPr>
      </w:pPr>
    </w:p>
    <w:p>
      <w:pPr>
        <w:ind w:left="180" w:hanging="172"/>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Common dividends paid ($0.48 per</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(5,834)</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294,324</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shares under</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stock option plans</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4,333</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Purchase of 429,692</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common shares</w:t>
            </w:r>
          </w:p>
        </w:tc>
        <w:tc>
          <w:tcPr>
            <w:tcW w:w="24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(13,073)</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Tax benefits related to employee</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stock option transactions</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164</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36,409</w:t>
            </w: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420" w:val="left"/>
          <w:tab w:leader="none" w:pos="7060" w:val="left"/>
          <w:tab w:leader="none" w:pos="8080" w:val="left"/>
          <w:tab w:leader="none" w:pos="9300" w:val="left"/>
          <w:tab w:leader="none" w:pos="9800" w:val="left"/>
          <w:tab w:leader="none" w:pos="10500" w:val="left"/>
          <w:tab w:leader="none" w:pos="10760" w:val="left"/>
        </w:tabs>
        <w:rPr>
          <w:sz w:val="20"/>
          <w:szCs w:val="20"/>
          <w:color w:val="auto"/>
        </w:rPr>
      </w:pPr>
      <w:r>
        <w:rPr>
          <w:rFonts w:ascii="Courier New" w:cs="Courier New" w:eastAsia="Courier New" w:hAnsi="Courier New"/>
          <w:sz w:val="14"/>
          <w:szCs w:val="14"/>
          <w:color w:val="auto"/>
        </w:rPr>
        <w:t>Balance at October 31, 1996</w:t>
      </w:r>
      <w:r>
        <w:rPr>
          <w:sz w:val="20"/>
          <w:szCs w:val="20"/>
          <w:color w:val="auto"/>
        </w:rPr>
        <w:tab/>
      </w:r>
      <w:r>
        <w:rPr>
          <w:rFonts w:ascii="Courier New" w:cs="Courier New" w:eastAsia="Courier New" w:hAnsi="Courier New"/>
          <w:sz w:val="14"/>
          <w:szCs w:val="14"/>
          <w:color w:val="auto"/>
        </w:rPr>
        <w:t>$12,032</w:t>
      </w:r>
      <w:r>
        <w:rPr>
          <w:sz w:val="20"/>
          <w:szCs w:val="20"/>
          <w:color w:val="auto"/>
        </w:rPr>
        <w:tab/>
      </w:r>
      <w:r>
        <w:rPr>
          <w:rFonts w:ascii="Courier New" w:cs="Courier New" w:eastAsia="Courier New" w:hAnsi="Courier New"/>
          <w:sz w:val="14"/>
          <w:szCs w:val="14"/>
          <w:color w:val="auto"/>
        </w:rPr>
        <w:t>$ 28,462</w:t>
      </w:r>
      <w:r>
        <w:rPr>
          <w:sz w:val="20"/>
          <w:szCs w:val="20"/>
          <w:color w:val="auto"/>
        </w:rPr>
        <w:tab/>
      </w:r>
      <w:r>
        <w:rPr>
          <w:rFonts w:ascii="Courier New" w:cs="Courier New" w:eastAsia="Courier New" w:hAnsi="Courier New"/>
          <w:sz w:val="14"/>
          <w:szCs w:val="14"/>
          <w:color w:val="auto"/>
        </w:rPr>
        <w:t>$173,630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tab/>
        <w:t>(557)</w:t>
      </w:r>
    </w:p>
    <w:p>
      <w:pPr>
        <w:spacing w:after="0" w:line="7" w:lineRule="exact"/>
        <w:rPr>
          <w:sz w:val="20"/>
          <w:szCs w:val="20"/>
          <w:color w:val="auto"/>
        </w:rPr>
      </w:pPr>
    </w:p>
    <w:p>
      <w:pPr>
        <w:ind w:left="180" w:hanging="172"/>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Common dividends paid ($0.48 per</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(5,794)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389,101</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shares under</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stock option plans</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389</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8,018</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Purchase of 232,000</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common shares</w:t>
            </w:r>
          </w:p>
        </w:tc>
        <w:tc>
          <w:tcPr>
            <w:tcW w:w="2480" w:type="dxa"/>
            <w:vAlign w:val="bottom"/>
          </w:tcPr>
          <w:p>
            <w:pPr>
              <w:spacing w:after="0"/>
              <w:rPr>
                <w:sz w:val="14"/>
                <w:szCs w:val="14"/>
                <w:color w:val="auto"/>
              </w:rPr>
            </w:pP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(232)</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(7,720)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3"/>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(4,521)</w:t>
            </w:r>
          </w:p>
        </w:tc>
      </w:tr>
      <w:tr>
        <w:trPr>
          <w:trHeight w:val="166"/>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Tax benefits related to employee</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stock option transactions</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34,845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420" w:val="left"/>
          <w:tab w:leader="none" w:pos="7060" w:val="left"/>
          <w:tab w:leader="none" w:pos="8080" w:val="left"/>
          <w:tab w:leader="none" w:pos="9300" w:val="left"/>
          <w:tab w:leader="none" w:pos="9800" w:val="left"/>
          <w:tab w:leader="none" w:pos="10500" w:val="left"/>
        </w:tabs>
        <w:rPr>
          <w:sz w:val="20"/>
          <w:szCs w:val="20"/>
          <w:color w:val="auto"/>
        </w:rPr>
      </w:pPr>
      <w:r>
        <w:rPr>
          <w:rFonts w:ascii="Courier New" w:cs="Courier New" w:eastAsia="Courier New" w:hAnsi="Courier New"/>
          <w:sz w:val="14"/>
          <w:szCs w:val="14"/>
          <w:color w:val="auto"/>
        </w:rPr>
        <w:t>BALANCE AT OCTOBER 31, 1997</w:t>
      </w:r>
      <w:r>
        <w:rPr>
          <w:sz w:val="20"/>
          <w:szCs w:val="20"/>
          <w:color w:val="auto"/>
        </w:rPr>
        <w:tab/>
      </w:r>
      <w:r>
        <w:rPr>
          <w:rFonts w:ascii="Courier New" w:cs="Courier New" w:eastAsia="Courier New" w:hAnsi="Courier New"/>
          <w:sz w:val="14"/>
          <w:szCs w:val="14"/>
          <w:color w:val="auto"/>
        </w:rPr>
        <w:t>$12,189</w:t>
      </w:r>
      <w:r>
        <w:rPr>
          <w:sz w:val="20"/>
          <w:szCs w:val="20"/>
          <w:color w:val="auto"/>
        </w:rPr>
        <w:tab/>
      </w:r>
      <w:r>
        <w:rPr>
          <w:rFonts w:ascii="Courier New" w:cs="Courier New" w:eastAsia="Courier New" w:hAnsi="Courier New"/>
          <w:sz w:val="14"/>
          <w:szCs w:val="14"/>
          <w:color w:val="auto"/>
        </w:rPr>
        <w:t>$ 31,371</w:t>
      </w:r>
      <w:r>
        <w:rPr>
          <w:sz w:val="20"/>
          <w:szCs w:val="20"/>
          <w:color w:val="auto"/>
        </w:rPr>
        <w:tab/>
      </w:r>
      <w:r>
        <w:rPr>
          <w:rFonts w:ascii="Courier New" w:cs="Courier New" w:eastAsia="Courier New" w:hAnsi="Courier New"/>
          <w:sz w:val="14"/>
          <w:szCs w:val="14"/>
          <w:color w:val="auto"/>
        </w:rPr>
        <w:t>$202,681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$(5,078)</w:t>
      </w:r>
    </w:p>
    <w:p>
      <w:pPr>
        <w:spacing w:after="0" w:line="7" w:lineRule="exact"/>
        <w:rPr>
          <w:sz w:val="20"/>
          <w:szCs w:val="20"/>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480" w:firstLine="258"/>
        <w:spacing w:after="0" w:line="251" w:lineRule="auto"/>
        <w:rPr>
          <w:sz w:val="20"/>
          <w:szCs w:val="20"/>
          <w:color w:val="auto"/>
        </w:rPr>
      </w:pPr>
      <w:r>
        <w:rPr>
          <w:rFonts w:ascii="Courier New" w:cs="Courier New" w:eastAsia="Courier New" w:hAnsi="Courier New"/>
          <w:sz w:val="14"/>
          <w:szCs w:val="14"/>
          <w:color w:val="auto"/>
        </w:rPr>
        <w:t>Under the terms of a Rights Agreement established June 14, 1988 each share of the company's common stock entitles its holder to one preferred share purchase right. Each right entitles the registered holder to purchase from the company one one-hundredth of a share of Series B Junior Participating Voting Preferred Stock, $1.00 par value at a price of $85 per one one-hundredth of a Preferred Share. The rights become exercisable and tradable 10 days after a person or a group acquires 20% or more, or makes an offer to acquire 20% or more, of the company's outstanding common stock. At no time do the rights have any voting power. The rights may be redeemed by the company for $0.01 per right at any time prior to the time that a person or group has acquired beneficial ownership of 20% or more of the common shares.</w:t>
      </w:r>
    </w:p>
    <w:p>
      <w:pPr>
        <w:spacing w:after="0" w:line="16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1380"/>
          </w:cols>
          <w:pgMar w:left="220" w:top="616" w:right="299"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STOCK OPTION PLANS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grants incentive and nonqualified stock options under the terms of the 1989 and 1993 Stock Option Plans. Each option is granted at an exercise price equal to 100% of the fair market value of the common stock on the date of grant, except for performance based stock options, such as those granted in connection with the Continuous Performance Award Plan (CPAP) for which the exercise price is an average of the closing stock prices for the 3 months preceding the grant date and may be higher or lower than fair market value. Stock options other than performance based options are generally exercisable immediately and can be exercised in whole or in part until expiration or termination of employment. Stock options granted under the plans, with the exception of options granted in connection with the CPAP, expire 5 to 10 years from the date of grant.</w:t>
      </w:r>
    </w:p>
    <w:p>
      <w:pPr>
        <w:spacing w:after="0" w:line="329"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Performance based options are granted under the CPAP and generally vest at the end of the succeeding three fiscal years. Vested options expire 90 days after the public release of the fiscal year-end earnings. Based on performance over the three year term, some or all of the options granted may be cancelled. Options granted under this plan totaled 40,474 and 48,768 for the years ended October 31, 1997 and 1996, respectively, zero for the 3 months ended October 31, 1995 and 40,031 for the year ended July 31, 1995. CPAP options cancelled were 33,812 during the year ended October 31, 1997 and 18,532 during the year ended July 31, 1995. There were no CPAP options cancelled during the year ended October 31, 1996 or during the 3 months ended October 31, 1995.</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company also grants options to members of its Board of Directors under the 1992 Director Stock Plan. Each option granted under the plan is exercisable at 100% of the fair market value of the common stock on the date of grant. Options granted under this plan were 7,000 and 6,000 for the years ended October 31, 1997 and 1996, respectively.</w:t>
      </w:r>
    </w:p>
    <w:p>
      <w:pPr>
        <w:spacing w:after="0" w:line="165" w:lineRule="exact"/>
        <w:rPr>
          <w:sz w:val="20"/>
          <w:szCs w:val="20"/>
          <w:color w:val="auto"/>
        </w:rPr>
      </w:pPr>
    </w:p>
    <w:p>
      <w:pPr>
        <w:ind w:right="4019" w:firstLine="258"/>
        <w:spacing w:after="0" w:line="255" w:lineRule="auto"/>
        <w:rPr>
          <w:sz w:val="20"/>
          <w:szCs w:val="20"/>
          <w:color w:val="auto"/>
        </w:rPr>
      </w:pPr>
      <w:r>
        <w:rPr>
          <w:rFonts w:ascii="Courier New" w:cs="Courier New" w:eastAsia="Courier New" w:hAnsi="Courier New"/>
          <w:sz w:val="14"/>
          <w:szCs w:val="14"/>
          <w:color w:val="auto"/>
        </w:rPr>
        <w:t>A summary of stock option activity under the plans described above is presented below:</w:t>
      </w:r>
    </w:p>
    <w:p>
      <w:pPr>
        <w:spacing w:after="0" w:line="160" w:lineRule="exact"/>
        <w:rPr>
          <w:sz w:val="20"/>
          <w:szCs w:val="20"/>
          <w:color w:val="auto"/>
        </w:rPr>
      </w:pPr>
    </w:p>
    <w:p>
      <w:pPr>
        <w:ind w:left="180" w:hanging="172"/>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jc w:val="right"/>
        <w:ind w:right="3779"/>
        <w:spacing w:after="0"/>
        <w:tabs>
          <w:tab w:leader="none" w:pos="2920" w:val="left"/>
          <w:tab w:leader="none" w:pos="1200" w:val="left"/>
        </w:tabs>
        <w:rPr>
          <w:sz w:val="20"/>
          <w:szCs w:val="20"/>
          <w:color w:val="auto"/>
        </w:rPr>
      </w:pPr>
      <w:r>
        <w:rPr>
          <w:rFonts w:ascii="Courier New" w:cs="Courier New" w:eastAsia="Courier New" w:hAnsi="Courier New"/>
          <w:sz w:val="14"/>
          <w:szCs w:val="14"/>
          <w:color w:val="auto"/>
        </w:rPr>
        <w:t>Options available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jc w:val="right"/>
        <w:ind w:right="3779"/>
        <w:spacing w:after="0"/>
        <w:tabs>
          <w:tab w:leader="none" w:pos="3260" w:val="left"/>
          <w:tab w:leader="none" w:pos="1800" w:val="left"/>
        </w:tabs>
        <w:rPr>
          <w:sz w:val="20"/>
          <w:szCs w:val="20"/>
          <w:color w:val="auto"/>
        </w:rPr>
      </w:pPr>
      <w:r>
        <w:rPr>
          <w:rFonts w:ascii="Courier New" w:cs="Courier New" w:eastAsia="Courier New" w:hAnsi="Courier New"/>
          <w:sz w:val="14"/>
          <w:szCs w:val="14"/>
          <w:color w:val="auto"/>
        </w:rPr>
        <w:t>for grant</w:t>
      </w:r>
      <w:r>
        <w:rPr>
          <w:sz w:val="20"/>
          <w:szCs w:val="20"/>
          <w:color w:val="auto"/>
        </w:rPr>
        <w:tab/>
      </w: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exercise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August 1, 1994</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1,005,486</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1,259,509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$16.35</w:t>
            </w: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Granted</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(323,474)</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323,474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23.69</w:t>
            </w: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(394,432)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16.61</w:t>
            </w: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Cancelled</w:t>
            </w:r>
          </w:p>
        </w:tc>
        <w:tc>
          <w:tcPr>
            <w:tcW w:w="1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21,972</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(21,972)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19.37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July 31, 1995</w:t>
            </w:r>
          </w:p>
        </w:tc>
        <w:tc>
          <w:tcPr>
            <w:tcW w:w="1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703,984</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1,166,579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18.24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(256,496)</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256,496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29.00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(161,694)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17.49</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8,070</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(8,070)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October 31, 1995</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455,558</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1,253,311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20.56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24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(48,768)</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48,768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29.77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24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(193,221)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18.85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24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29.13</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Increase in</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available</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for grant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600,000</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October 31, 1996</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1,007,790</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1,107,858</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(251,620)</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251,620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32.74</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(443,516)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21.93</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33,812</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(33,812)</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OCTOBER 31, 1997</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789,982</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882,150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$24.06</w:t>
            </w:r>
          </w:p>
        </w:tc>
      </w:tr>
    </w:tbl>
    <w:p>
      <w:pPr>
        <w:spacing w:after="0" w:line="4" w:lineRule="exact"/>
        <w:rPr>
          <w:sz w:val="20"/>
          <w:szCs w:val="20"/>
          <w:color w:val="auto"/>
        </w:rPr>
      </w:pPr>
    </w:p>
    <w:p>
      <w:pPr>
        <w:ind w:left="180" w:hanging="172"/>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76" w:name="page77"/>
    <w:bookmarkEnd w:id="76"/>
    <w:p>
      <w:pPr>
        <w:ind w:right="3519" w:firstLine="258"/>
        <w:spacing w:after="0" w:line="252" w:lineRule="auto"/>
        <w:rPr>
          <w:sz w:val="20"/>
          <w:szCs w:val="20"/>
          <w:color w:val="auto"/>
        </w:rPr>
      </w:pPr>
      <w:r>
        <w:rPr>
          <w:rFonts w:ascii="Courier New" w:cs="Courier New" w:eastAsia="Courier New" w:hAnsi="Courier New"/>
          <w:sz w:val="14"/>
          <w:szCs w:val="14"/>
          <w:color w:val="auto"/>
        </w:rPr>
        <w:t>The table below presents the number, weighted average remaining contractual life and weighted average exercise price for options outstanding at October 31, 1997.</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80" w:hanging="172"/>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WeightedWeighted</w:t>
      </w:r>
    </w:p>
    <w:p>
      <w:pPr>
        <w:spacing w:after="0" w:line="7" w:lineRule="exact"/>
        <w:rPr>
          <w:sz w:val="20"/>
          <w:szCs w:val="20"/>
          <w:color w:val="auto"/>
        </w:rPr>
      </w:pPr>
    </w:p>
    <w:p>
      <w:pPr>
        <w:ind w:left="4660"/>
        <w:spacing w:after="0"/>
        <w:tabs>
          <w:tab w:leader="none" w:pos="6280" w:val="left"/>
          <w:tab w:leader="none" w:pos="748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 time</w:t>
      </w:r>
    </w:p>
    <w:p>
      <w:pPr>
        <w:spacing w:after="0" w:line="7" w:lineRule="exact"/>
        <w:rPr>
          <w:sz w:val="20"/>
          <w:szCs w:val="20"/>
          <w:color w:val="auto"/>
        </w:rPr>
      </w:pPr>
    </w:p>
    <w:p>
      <w:pPr>
        <w:spacing w:after="0"/>
        <w:tabs>
          <w:tab w:leader="none" w:pos="4300" w:val="left"/>
          <w:tab w:leader="none" w:pos="5680" w:val="left"/>
          <w:tab w:leader="none" w:pos="7480" w:val="left"/>
        </w:tabs>
        <w:rPr>
          <w:sz w:val="20"/>
          <w:szCs w:val="20"/>
          <w:color w:val="auto"/>
        </w:rPr>
      </w:pPr>
      <w:r>
        <w:rPr>
          <w:rFonts w:ascii="Courier New" w:cs="Courier New" w:eastAsia="Courier New" w:hAnsi="Courier New"/>
          <w:sz w:val="14"/>
          <w:szCs w:val="14"/>
          <w:color w:val="auto"/>
        </w:rPr>
        <w:t>Exercise price range</w:t>
      </w:r>
      <w:r>
        <w:rPr>
          <w:sz w:val="20"/>
          <w:szCs w:val="20"/>
          <w:color w:val="auto"/>
        </w:rPr>
        <w:tab/>
      </w:r>
      <w:r>
        <w:rPr>
          <w:rFonts w:ascii="Courier New" w:cs="Courier New" w:eastAsia="Courier New" w:hAnsi="Courier New"/>
          <w:sz w:val="14"/>
          <w:szCs w:val="14"/>
          <w:color w:val="auto"/>
        </w:rPr>
        <w:t>of options</w:t>
      </w:r>
      <w:r>
        <w:rPr>
          <w:sz w:val="20"/>
          <w:szCs w:val="20"/>
          <w:color w:val="auto"/>
        </w:rPr>
        <w:tab/>
      </w:r>
      <w:r>
        <w:rPr>
          <w:rFonts w:ascii="Courier New" w:cs="Courier New" w:eastAsia="Courier New" w:hAnsi="Courier New"/>
          <w:sz w:val="14"/>
          <w:szCs w:val="14"/>
          <w:color w:val="auto"/>
        </w:rPr>
        <w:t>exercise price</w:t>
      </w:r>
      <w:r>
        <w:rPr>
          <w:sz w:val="20"/>
          <w:szCs w:val="20"/>
          <w:color w:val="auto"/>
        </w:rPr>
        <w:tab/>
      </w:r>
      <w:r>
        <w:rPr>
          <w:rFonts w:ascii="Courier New" w:cs="Courier New" w:eastAsia="Courier New" w:hAnsi="Courier New"/>
          <w:sz w:val="14"/>
          <w:szCs w:val="14"/>
          <w:color w:val="auto"/>
        </w:rPr>
        <w:t>to expiration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Options exercisable at October 31, 1997:</w:t>
            </w: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$14.75</w:t>
            </w:r>
          </w:p>
        </w:tc>
        <w:tc>
          <w:tcPr>
            <w:tcW w:w="1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300,000</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$14.75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8.1</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$20.40</w:t>
            </w:r>
          </w:p>
        </w:tc>
        <w:tc>
          <w:tcPr>
            <w:tcW w:w="3020" w:type="dxa"/>
            <w:vAlign w:val="bottom"/>
            <w:gridSpan w:val="2"/>
          </w:tcPr>
          <w:p>
            <w:pPr>
              <w:jc w:val="right"/>
              <w:ind w:right="2128"/>
              <w:spacing w:after="0"/>
              <w:rPr>
                <w:sz w:val="20"/>
                <w:szCs w:val="20"/>
                <w:color w:val="auto"/>
              </w:rPr>
            </w:pPr>
            <w:r>
              <w:rPr>
                <w:rFonts w:ascii="Courier New" w:cs="Courier New" w:eastAsia="Courier New" w:hAnsi="Courier New"/>
                <w:sz w:val="14"/>
                <w:szCs w:val="14"/>
                <w:color w:val="auto"/>
              </w:rPr>
              <w:t>- $23.625</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118,098</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23.09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$25.50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84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$29.125</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204,059</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28.30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$31.75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840" w:type="dxa"/>
            <w:vAlign w:val="bottom"/>
          </w:tcPr>
          <w:p>
            <w:pPr>
              <w:jc w:val="right"/>
              <w:ind w:right="2128"/>
              <w:spacing w:after="0"/>
              <w:rPr>
                <w:sz w:val="20"/>
                <w:szCs w:val="20"/>
                <w:color w:val="auto"/>
              </w:rPr>
            </w:pPr>
            <w:r>
              <w:rPr>
                <w:rFonts w:ascii="Courier New" w:cs="Courier New" w:eastAsia="Courier New" w:hAnsi="Courier New"/>
                <w:sz w:val="14"/>
                <w:szCs w:val="14"/>
                <w:color w:val="auto"/>
              </w:rPr>
              <w:t>$36.375</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162,208</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33.85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480" w:type="dxa"/>
            <w:vAlign w:val="bottom"/>
          </w:tcPr>
          <w:p>
            <w:pPr>
              <w:ind w:left="60"/>
              <w:spacing w:after="0"/>
              <w:rPr>
                <w:sz w:val="20"/>
                <w:szCs w:val="20"/>
                <w:color w:val="auto"/>
              </w:rPr>
            </w:pPr>
            <w:r>
              <w:rPr>
                <w:rFonts w:ascii="Courier New" w:cs="Courier New" w:eastAsia="Courier New" w:hAnsi="Courier New"/>
                <w:sz w:val="14"/>
                <w:szCs w:val="14"/>
                <w:color w:val="auto"/>
                <w:w w:val="95"/>
              </w:rPr>
              <w:t>years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4560" w:val="left"/>
          <w:tab w:leader="none" w:pos="6360" w:val="left"/>
          <w:tab w:leader="none" w:pos="78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784,365</w:t>
      </w:r>
      <w:r>
        <w:rPr>
          <w:sz w:val="20"/>
          <w:szCs w:val="20"/>
          <w:color w:val="auto"/>
        </w:rPr>
        <w:tab/>
      </w:r>
      <w:r>
        <w:rPr>
          <w:rFonts w:ascii="Courier New" w:cs="Courier New" w:eastAsia="Courier New" w:hAnsi="Courier New"/>
          <w:sz w:val="14"/>
          <w:szCs w:val="14"/>
          <w:color w:val="auto"/>
        </w:rPr>
        <w:t>$23.48</w:t>
      </w:r>
      <w:r>
        <w:rPr>
          <w:sz w:val="20"/>
          <w:szCs w:val="20"/>
          <w:color w:val="auto"/>
        </w:rPr>
        <w:tab/>
      </w:r>
      <w:r>
        <w:rPr>
          <w:rFonts w:ascii="Courier New" w:cs="Courier New" w:eastAsia="Courier New" w:hAnsi="Courier New"/>
          <w:sz w:val="14"/>
          <w:szCs w:val="14"/>
          <w:color w:val="auto"/>
        </w:rPr>
        <w:t>4.8 years</w:t>
      </w:r>
    </w:p>
    <w:p>
      <w:pPr>
        <w:spacing w:after="0" w:line="7" w:lineRule="exact"/>
        <w:rPr>
          <w:sz w:val="20"/>
          <w:szCs w:val="20"/>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not exercisable at October 31, 1997:</w:t>
      </w:r>
    </w:p>
    <w:p>
      <w:pPr>
        <w:spacing w:after="0" w:line="7" w:lineRule="exact"/>
        <w:rPr>
          <w:sz w:val="20"/>
          <w:szCs w:val="20"/>
          <w:color w:val="auto"/>
        </w:rPr>
      </w:pPr>
    </w:p>
    <w:p>
      <w:pPr>
        <w:ind w:left="440"/>
        <w:spacing w:after="0"/>
        <w:tabs>
          <w:tab w:leader="none" w:pos="4640" w:val="left"/>
          <w:tab w:leader="none" w:pos="6360" w:val="left"/>
          <w:tab w:leader="none" w:pos="7820" w:val="left"/>
        </w:tabs>
        <w:rPr>
          <w:sz w:val="20"/>
          <w:szCs w:val="20"/>
          <w:color w:val="auto"/>
        </w:rPr>
      </w:pPr>
      <w:r>
        <w:rPr>
          <w:rFonts w:ascii="Courier New" w:cs="Courier New" w:eastAsia="Courier New" w:hAnsi="Courier New"/>
          <w:sz w:val="14"/>
          <w:szCs w:val="14"/>
          <w:color w:val="auto"/>
        </w:rPr>
        <w:t>$24.12 - $32.31</w:t>
      </w:r>
      <w:r>
        <w:rPr>
          <w:sz w:val="20"/>
          <w:szCs w:val="20"/>
          <w:color w:val="auto"/>
        </w:rPr>
        <w:tab/>
      </w:r>
      <w:r>
        <w:rPr>
          <w:rFonts w:ascii="Courier New" w:cs="Courier New" w:eastAsia="Courier New" w:hAnsi="Courier New"/>
          <w:sz w:val="14"/>
          <w:szCs w:val="14"/>
          <w:color w:val="auto"/>
        </w:rPr>
        <w:t>97,785</w:t>
      </w:r>
      <w:r>
        <w:rPr>
          <w:sz w:val="20"/>
          <w:szCs w:val="20"/>
          <w:color w:val="auto"/>
        </w:rPr>
        <w:tab/>
      </w:r>
      <w:r>
        <w:rPr>
          <w:rFonts w:ascii="Courier New" w:cs="Courier New" w:eastAsia="Courier New" w:hAnsi="Courier New"/>
          <w:sz w:val="14"/>
          <w:szCs w:val="14"/>
          <w:color w:val="auto"/>
        </w:rPr>
        <w:t>$28.76</w:t>
      </w:r>
      <w:r>
        <w:rPr>
          <w:sz w:val="20"/>
          <w:szCs w:val="20"/>
          <w:color w:val="auto"/>
        </w:rPr>
        <w:tab/>
      </w:r>
      <w:r>
        <w:rPr>
          <w:rFonts w:ascii="Courier New" w:cs="Courier New" w:eastAsia="Courier New" w:hAnsi="Courier New"/>
          <w:sz w:val="14"/>
          <w:szCs w:val="14"/>
          <w:color w:val="auto"/>
        </w:rPr>
        <w:t>1.3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40"/>
        <w:spacing w:after="0"/>
        <w:tabs>
          <w:tab w:leader="none" w:pos="4560" w:val="left"/>
          <w:tab w:leader="none" w:pos="6360" w:val="left"/>
          <w:tab w:leader="none" w:pos="7820" w:val="left"/>
        </w:tabs>
        <w:rPr>
          <w:sz w:val="20"/>
          <w:szCs w:val="20"/>
          <w:color w:val="auto"/>
        </w:rPr>
      </w:pPr>
      <w:r>
        <w:rPr>
          <w:rFonts w:ascii="Courier New" w:cs="Courier New" w:eastAsia="Courier New" w:hAnsi="Courier New"/>
          <w:sz w:val="14"/>
          <w:szCs w:val="14"/>
          <w:color w:val="auto"/>
        </w:rPr>
        <w:t>Grand total</w:t>
      </w:r>
      <w:r>
        <w:rPr>
          <w:sz w:val="20"/>
          <w:szCs w:val="20"/>
          <w:color w:val="auto"/>
        </w:rPr>
        <w:tab/>
      </w:r>
      <w:r>
        <w:rPr>
          <w:rFonts w:ascii="Courier New" w:cs="Courier New" w:eastAsia="Courier New" w:hAnsi="Courier New"/>
          <w:sz w:val="14"/>
          <w:szCs w:val="14"/>
          <w:color w:val="auto"/>
        </w:rPr>
        <w:t>882,150</w:t>
      </w:r>
      <w:r>
        <w:rPr>
          <w:sz w:val="20"/>
          <w:szCs w:val="20"/>
          <w:color w:val="auto"/>
        </w:rPr>
        <w:tab/>
      </w:r>
      <w:r>
        <w:rPr>
          <w:rFonts w:ascii="Courier New" w:cs="Courier New" w:eastAsia="Courier New" w:hAnsi="Courier New"/>
          <w:sz w:val="14"/>
          <w:szCs w:val="14"/>
          <w:color w:val="auto"/>
        </w:rPr>
        <w:t>$24.06</w:t>
      </w:r>
      <w:r>
        <w:rPr>
          <w:sz w:val="20"/>
          <w:szCs w:val="20"/>
          <w:color w:val="auto"/>
        </w:rPr>
        <w:tab/>
      </w:r>
      <w:r>
        <w:rPr>
          <w:rFonts w:ascii="Courier New" w:cs="Courier New" w:eastAsia="Courier New" w:hAnsi="Courier New"/>
          <w:sz w:val="14"/>
          <w:szCs w:val="14"/>
          <w:color w:val="auto"/>
        </w:rPr>
        <w:t>4.4 years</w:t>
      </w:r>
    </w:p>
    <w:p>
      <w:pPr>
        <w:spacing w:after="0" w:line="7" w:lineRule="exact"/>
        <w:rPr>
          <w:sz w:val="20"/>
          <w:szCs w:val="20"/>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company applies APB Opinion No. 25 and related interpretations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its stock options. Accordingly, no compensation expense has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recognized for stock option grants, except performance based options.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recognized compensation expense of $545,000, $483,000, $127,000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$534,000 for the years ended October 31, 1997 and 1996, the 3 month transition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 ended October 31, 1995 and the year ended July 31, 1995, respectively.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had elected to recognize compensation cost consistent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methodology prescribed under SFAS 123, "Accounting for Stock-Based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the company's net income and earnings per share for the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October 31, 1997 and 1996 would have been as follows:</w:t>
      </w:r>
    </w:p>
    <w:p>
      <w:pPr>
        <w:spacing w:after="0" w:line="173" w:lineRule="exact"/>
        <w:rPr>
          <w:sz w:val="20"/>
          <w:szCs w:val="20"/>
          <w:color w:val="auto"/>
        </w:rPr>
      </w:pPr>
    </w:p>
    <w:p>
      <w:pPr>
        <w:ind w:left="180" w:hanging="172"/>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5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jc w:val="right"/>
        <w:ind w:right="35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599"/>
        <w:spacing w:after="0"/>
        <w:tabs>
          <w:tab w:leader="none" w:pos="3000" w:val="left"/>
        </w:tabs>
        <w:rPr>
          <w:sz w:val="20"/>
          <w:szCs w:val="20"/>
          <w:color w:val="auto"/>
        </w:rPr>
      </w:pPr>
      <w:r>
        <w:rPr>
          <w:rFonts w:ascii="Courier New" w:cs="Courier New" w:eastAsia="Courier New" w:hAnsi="Courier New"/>
          <w:sz w:val="14"/>
          <w:szCs w:val="14"/>
          <w:color w:val="auto"/>
        </w:rPr>
        <w:t>OCTOBER 31</w:t>
        <w:tab/>
        <w:t>October 31</w:t>
      </w:r>
    </w:p>
    <w:p>
      <w:pPr>
        <w:spacing w:after="0" w:line="7" w:lineRule="exact"/>
        <w:rPr>
          <w:sz w:val="20"/>
          <w:szCs w:val="20"/>
          <w:color w:val="auto"/>
        </w:rPr>
      </w:pPr>
    </w:p>
    <w:p>
      <w:pPr>
        <w:jc w:val="right"/>
        <w:ind w:right="3599"/>
        <w:spacing w:after="0"/>
        <w:tabs>
          <w:tab w:leader="none" w:pos="3520" w:val="left"/>
          <w:tab w:leader="none" w:pos="2480" w:val="left"/>
        </w:tabs>
        <w:rPr>
          <w:sz w:val="20"/>
          <w:szCs w:val="20"/>
          <w:color w:val="auto"/>
        </w:rPr>
      </w:pPr>
      <w:r>
        <w:rPr>
          <w:rFonts w:ascii="Courier New" w:cs="Courier New" w:eastAsia="Courier New" w:hAnsi="Courier New"/>
          <w:sz w:val="14"/>
          <w:szCs w:val="14"/>
          <w:color w:val="auto"/>
        </w:rPr>
        <w:t>(Dollars in thousands, except per share amounts)</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3200" w:type="dxa"/>
            <w:vAlign w:val="bottom"/>
          </w:tcPr>
          <w:p>
            <w:pPr>
              <w:ind w:left="60"/>
              <w:spacing w:after="0"/>
              <w:rPr>
                <w:sz w:val="20"/>
                <w:szCs w:val="20"/>
                <w:color w:val="auto"/>
              </w:rPr>
            </w:pPr>
            <w:r>
              <w:rPr>
                <w:rFonts w:ascii="Courier New" w:cs="Courier New" w:eastAsia="Courier New" w:hAnsi="Courier New"/>
                <w:sz w:val="14"/>
                <w:szCs w:val="14"/>
                <w:color w:val="auto"/>
              </w:rPr>
              <w:t>income, as reported</w:t>
            </w:r>
          </w:p>
        </w:tc>
        <w:tc>
          <w:tcPr>
            <w:tcW w:w="2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$34,845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$36,409</w:t>
            </w: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Pro</w:t>
            </w:r>
          </w:p>
        </w:tc>
        <w:tc>
          <w:tcPr>
            <w:tcW w:w="3200" w:type="dxa"/>
            <w:vAlign w:val="bottom"/>
          </w:tcPr>
          <w:p>
            <w:pPr>
              <w:ind w:left="60"/>
              <w:spacing w:after="0"/>
              <w:rPr>
                <w:sz w:val="20"/>
                <w:szCs w:val="20"/>
                <w:color w:val="auto"/>
              </w:rPr>
            </w:pPr>
            <w:r>
              <w:rPr>
                <w:rFonts w:ascii="Courier New" w:cs="Courier New" w:eastAsia="Courier New" w:hAnsi="Courier New"/>
                <w:sz w:val="14"/>
                <w:szCs w:val="14"/>
                <w:color w:val="auto"/>
              </w:rPr>
              <w:t>forma net income</w:t>
            </w:r>
          </w:p>
        </w:tc>
        <w:tc>
          <w:tcPr>
            <w:tcW w:w="2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36,640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Earnings per share, as</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reported</w:t>
            </w: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2.90</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Pro forma earnings per</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share</w:t>
            </w:r>
          </w:p>
        </w:tc>
        <w:tc>
          <w:tcPr>
            <w:tcW w:w="20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bl>
    <w:p>
      <w:pPr>
        <w:spacing w:after="0" w:line="4" w:lineRule="exact"/>
        <w:rPr>
          <w:sz w:val="20"/>
          <w:szCs w:val="20"/>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fair market value of each option grant is estimated on the date of grant using the Black-Scholes option pricing model and using an expected dividend yield of 1.5%, expected stock price volatility of 20%, risk free interest rate of 5.75% and an expected life of 3.5 years for performance based options and 3 years for all other options.</w:t>
      </w:r>
    </w:p>
    <w:p>
      <w:pPr>
        <w:spacing w:after="0" w:line="165"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weighted average fair market value of options on the grant date was $6.44 and $6.07 for options issued during the years ended October 31, 1997 and 1996, respectively.</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On July 31, 1995 the company issued 17,467 shares of restricted stock and 17,467 performance units to the CEO under the terms of the Chief Executive Officer Succession Plan. The value of each performance unit is equal to the fair market value of a share of common stock. The restricted stock and performance units vest based upon achievement of specified succession planning goals. Dividends are paid and the shares may be voted. Portions of the restricted stock and performance unit awards</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77" w:name="page78"/>
    <w:bookmarkEnd w:id="77"/>
    <w:p>
      <w:pPr>
        <w:ind w:right="3419"/>
        <w:spacing w:after="0" w:line="251" w:lineRule="auto"/>
        <w:rPr>
          <w:sz w:val="20"/>
          <w:szCs w:val="20"/>
          <w:color w:val="auto"/>
        </w:rPr>
      </w:pPr>
      <w:r>
        <w:rPr>
          <w:rFonts w:ascii="Courier New" w:cs="Courier New" w:eastAsia="Courier New" w:hAnsi="Courier New"/>
          <w:sz w:val="14"/>
          <w:szCs w:val="14"/>
          <w:color w:val="auto"/>
        </w:rPr>
        <w:t>will be forfeited if certain goals are not achieved at various dates, ending on October 31, 2003 or termination of employment. Compensation expense related to this plan was $350,000, $254,000 and $57,000 for the years ended October 31, 1997 and 1996 and the 3 month transition period ended October 31, 1995 respectively. There was no expense for the period ended July 31, 1995.</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BENEFIT PROGRAMS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adopted a new employee benefit program effective August 1, 1995 replacing the existing employee benefit plans. Under this new benefit program, eligible employees receive a pre-established percentage of their salary. Contributions to the plan were $7,245,000 in fiscal 1997 for benefits earned in fiscal 1996, and $2,539,000 in fiscal 1996 for benefits earned during the</w:t>
      </w:r>
    </w:p>
    <w:p>
      <w:pPr>
        <w:spacing w:after="0" w:line="2"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3 month transition period ended October 31, 1995. In addition, this plan provides for company matching contributions of up to two percent of salary. Matching contributions were $2,024,000 and $1,679,000 for the years ended October 31, 1997 and 1996, respectively.</w:t>
      </w:r>
    </w:p>
    <w:p>
      <w:pPr>
        <w:spacing w:after="0" w:line="162"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Prior to August 1, 1995 employee benefits consisted of a leveraged Employee Stock Ownership Plan (ESOP), as well as a profit sharing and matching stock plan. At July 31, 1995 the ESOP indebtedness was repaid in full. For the year ended July 31, 1995 principal payments of ESOP debt were $2,612,000, interest incurred on ESOP debt and received by the company was $258,000 and dividends on ESOP shares used for debt service were $107,000. The company's contributions to the ESOP, net of dividends, were $639,000 for the year ended October 31, 1996 and $2,762,000 for the year ended July 31, 1995. Contributions to the former profit sharing and matching stock plans were $3,833,000 for the 3 month period ended October 31,1995 and $4,760,000 for the year ended July 31, 1995.</w:t>
      </w:r>
    </w:p>
    <w:p>
      <w:pPr>
        <w:spacing w:after="0" w:line="16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In addition, the company and its subsidiaries have supplemental and other retirement plans covering certain employees. The expense related to these plans is not significant.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DATA</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International sales were $232,808,000 for the year ended October 31, 1997, $174,249,000 for the year ended October 31, 1996, $20,935,000 for the 3 months ended October 31, 1995 and $152,409,000 for the year ended July 31, 1995. Of these amounts, export sales were $161,836,000 for the year ended October 31, 1997, $140,919,000 for the year ended October 31, 1996, $18,557,000 for the 3 months ended October 31, 1995 and $126,560,000 for the year ended July 31, 1995. Export sales by geographic area are as follows:</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76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Year Ended</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 Months Ended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460" w:type="dxa"/>
            <w:vAlign w:val="bottom"/>
          </w:tcPr>
          <w:p>
            <w:pPr>
              <w:spacing w:after="0"/>
              <w:rPr>
                <w:sz w:val="14"/>
                <w:szCs w:val="14"/>
                <w:color w:val="auto"/>
              </w:rPr>
            </w:pPr>
          </w:p>
        </w:tc>
        <w:tc>
          <w:tcPr>
            <w:tcW w:w="5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October 31</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$ 79,515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$ 71,325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$ 6,098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$ 60,239</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33,349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29,578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4,848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31,921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Pacific Rim</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34,417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34,975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28,979</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14,555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5,041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5,421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Total export sales</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$161,836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$140,919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$18,557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$126,560</w:t>
            </w:r>
          </w:p>
        </w:tc>
      </w:tr>
    </w:tbl>
    <w:p>
      <w:pPr>
        <w:spacing w:after="0" w:line="4" w:lineRule="exact"/>
        <w:rPr>
          <w:sz w:val="20"/>
          <w:szCs w:val="20"/>
          <w:color w:val="auto"/>
        </w:rPr>
      </w:pPr>
    </w:p>
    <w:p>
      <w:pPr>
        <w:ind w:left="180" w:hanging="172"/>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4"/>
          <w:szCs w:val="14"/>
          <w:color w:val="auto"/>
        </w:rPr>
        <w:t>LEASE COMMITMENTS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Minimum lease commitments in future years under noncancelable operating leases are as follows: 1998, $7,555,000; 1999, $5,431,000; 2000, 3,339,000; 2001, $2,135,000; 2002, $845,000; and after 2002, $178,000.</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Total lease expense was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31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Year Ended</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 Months Ended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680" w:type="dxa"/>
            <w:vAlign w:val="bottom"/>
          </w:tcPr>
          <w:p>
            <w:pPr>
              <w:spacing w:after="0"/>
              <w:rPr>
                <w:sz w:val="14"/>
                <w:szCs w:val="14"/>
                <w:color w:val="auto"/>
              </w:rPr>
            </w:pPr>
          </w:p>
        </w:tc>
        <w:tc>
          <w:tcPr>
            <w:tcW w:w="5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31</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1997</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Warehouse and office space</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$3,291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905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$3,360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Trucks and autos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1,959</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2,191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374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1,890</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4,297</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3,933</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$9,860</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$9,415</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$2,203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$8,971</w:t>
            </w:r>
          </w:p>
        </w:tc>
      </w:tr>
    </w:tbl>
    <w:p>
      <w:pPr>
        <w:spacing w:after="0" w:line="4" w:lineRule="exact"/>
        <w:rPr>
          <w:sz w:val="20"/>
          <w:szCs w:val="20"/>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CONTINGENT LIABILITIES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was contingently liable to repurchase $9,438,000 at October 31, 1997 and $10,578,000 at October 31, 1996 of inventory relating to receivables under dealer financing arrangements. Additionally, debts incurred by certain distributors, aggregating $5,600,000 at October 31, 1997 and $1,008,000 at October 31, 1996 have been guaranteed by the company.</w:t>
      </w:r>
    </w:p>
    <w:p>
      <w:pPr>
        <w:spacing w:after="0" w:line="165"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In the ordinary course of business the company may become liable with respect to pending and threatened litigation, tax, environmental, and other matters. While the ultimate results of investigations, lawsuits, and claims involving the company cannot be determined, management does not expect that these matters will have a material adverse effect on the consolidated financial position of the company.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RISK</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Letters of credit are issued by the company during the ordinary course of business, as required by certain vendor contracts, through major domestic banks. As of October 31, 1997 and 1996 the company had $25,985,000 and $19,705,000, respectively, in outstanding letters of credit.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accounts receivable which are concentrated in a single business segment, outdoor maintenance equipment. The credit risk associated with this segment is limited because of the large number of customers in the company's customer base and their geographic dispersion.</w:t>
      </w:r>
    </w:p>
    <w:p>
      <w:pPr>
        <w:spacing w:after="0" w:line="16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78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4"/>
          <w:szCs w:val="14"/>
          <w:color w:val="auto"/>
        </w:rPr>
        <w:t>FOREIGN CURRENCY INVESTMENTS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foreign currency exchange contracts. These contracts are designed to hedge firm anticipated foreign currency transactions. Gains and losses on foreign currency contracts are deferred and recognized upon settlement of the underlying hedged transaction.</w:t>
      </w:r>
    </w:p>
    <w:p>
      <w:pPr>
        <w:spacing w:after="0" w:line="164"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At October 31, 1997 the company had contracts maturing at various dates to purchase $5,781,000 in foreign currencies and to sell $42,478,000 in foreign currencies at the contract rates. In addition, the company had range forward options of $3,000,000 at October 31, 1997.</w:t>
      </w:r>
    </w:p>
    <w:p>
      <w:pPr>
        <w:spacing w:after="0" w:line="162" w:lineRule="exact"/>
        <w:rPr>
          <w:sz w:val="20"/>
          <w:szCs w:val="20"/>
          <w:color w:val="auto"/>
        </w:rPr>
      </w:pPr>
    </w:p>
    <w:p>
      <w:pPr>
        <w:jc w:val="both"/>
        <w:ind w:right="3679" w:firstLine="258"/>
        <w:spacing w:after="0" w:line="252" w:lineRule="auto"/>
        <w:rPr>
          <w:sz w:val="20"/>
          <w:szCs w:val="20"/>
          <w:color w:val="auto"/>
        </w:rPr>
      </w:pPr>
      <w:r>
        <w:rPr>
          <w:rFonts w:ascii="Courier New" w:cs="Courier New" w:eastAsia="Courier New" w:hAnsi="Courier New"/>
          <w:sz w:val="14"/>
          <w:szCs w:val="14"/>
          <w:color w:val="auto"/>
        </w:rPr>
        <w:t>The company enters into forward currency exchange contracts on behalf of certain distributors in order to cover a portion of the payments owed by the distributor to the company. Any currency losses incurred by the company are reimbursed by the distributor.</w:t>
      </w:r>
    </w:p>
    <w:p>
      <w:pPr>
        <w:spacing w:after="0" w:line="162" w:lineRule="exact"/>
        <w:rPr>
          <w:sz w:val="20"/>
          <w:szCs w:val="20"/>
          <w:color w:val="auto"/>
        </w:rPr>
      </w:pPr>
    </w:p>
    <w:p>
      <w:pPr>
        <w:ind w:right="4199" w:firstLine="258"/>
        <w:spacing w:after="0" w:line="252" w:lineRule="auto"/>
        <w:rPr>
          <w:sz w:val="20"/>
          <w:szCs w:val="20"/>
          <w:color w:val="auto"/>
        </w:rPr>
      </w:pPr>
      <w:r>
        <w:rPr>
          <w:rFonts w:ascii="Courier New" w:cs="Courier New" w:eastAsia="Courier New" w:hAnsi="Courier New"/>
          <w:sz w:val="14"/>
          <w:szCs w:val="14"/>
          <w:color w:val="auto"/>
        </w:rPr>
        <w:t>Changes in the market value of the foreign currency instruments are recognized in the financial statements upon settlement of the hedged transaction.</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As discussed under the Long-term Debt caption in these Notes to the Consolidated Financial Statements, the company entered into interest rate exchange or swap agreements to hedge interest rate exposure on the anticipated issuance of new long-term debt securities. The net loss on these swap agreements has been deferred and is being amortized as an adjustment to interest expense over the term of the debt securities. In June 1997, the company terminated all of its outstanding interest rate exchange agreements upon the issuance of the new long-term debt securities.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following disclosure of the estimated fair value of financial instruments is made in accordance with the requirements of FAS Statement 107, "Disclosures about Fair Value of Financial Instruments." 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w:t>
      </w:r>
    </w:p>
    <w:p>
      <w:pPr>
        <w:spacing w:after="0" w:line="164" w:lineRule="exact"/>
        <w:rPr>
          <w:sz w:val="20"/>
          <w:szCs w:val="20"/>
          <w:color w:val="auto"/>
        </w:rPr>
      </w:pPr>
    </w:p>
    <w:p>
      <w:pPr>
        <w:ind w:right="3679" w:firstLine="258"/>
        <w:spacing w:after="0" w:line="255" w:lineRule="auto"/>
        <w:rPr>
          <w:sz w:val="20"/>
          <w:szCs w:val="20"/>
          <w:color w:val="auto"/>
        </w:rPr>
      </w:pPr>
      <w:r>
        <w:rPr>
          <w:rFonts w:ascii="Courier New" w:cs="Courier New" w:eastAsia="Courier New" w:hAnsi="Courier New"/>
          <w:sz w:val="14"/>
          <w:szCs w:val="14"/>
          <w:color w:val="auto"/>
        </w:rPr>
        <w:t>For cash and cash equivalents, receivables and accounts payable, carrying value is a reasonable estimate of fair value.</w:t>
      </w:r>
    </w:p>
    <w:p>
      <w:pPr>
        <w:spacing w:after="0" w:line="160"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At October 31, 1997 the estimated fair value of long-term debt with fixed interest rates was $187,713,000 compared to its carrying value of $178,015,000. The fair value is estimated by discounting the projected cash flows using the rate at which similar amounts could currently be borrowed.</w:t>
      </w:r>
    </w:p>
    <w:p>
      <w:pPr>
        <w:spacing w:after="0" w:line="162"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80" w:name="page81"/>
    <w:bookmarkEnd w:id="80"/>
    <w:p>
      <w:pPr>
        <w:ind w:left="2860"/>
        <w:spacing w:after="0"/>
        <w:rPr>
          <w:sz w:val="20"/>
          <w:szCs w:val="20"/>
          <w:color w:val="auto"/>
        </w:rPr>
      </w:pPr>
      <w:r>
        <w:rPr>
          <w:rFonts w:ascii="Courier New" w:cs="Courier New" w:eastAsia="Courier New" w:hAnsi="Courier New"/>
          <w:sz w:val="14"/>
          <w:szCs w:val="14"/>
          <w:color w:val="auto"/>
        </w:rPr>
        <w:t>(unaudited)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Summarized quarterly financial data for 1997 and 1996 is as follows: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4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OCTOBER 31, 1997</w:t>
      </w:r>
    </w:p>
    <w:p>
      <w:pPr>
        <w:spacing w:after="0" w:line="7" w:lineRule="exact"/>
        <w:rPr>
          <w:sz w:val="20"/>
          <w:szCs w:val="20"/>
          <w:color w:val="auto"/>
        </w:rPr>
      </w:pPr>
    </w:p>
    <w:p>
      <w:pPr>
        <w:jc w:val="right"/>
        <w:ind w:right="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600"/>
        <w:spacing w:after="0"/>
        <w:tabs>
          <w:tab w:leader="none" w:pos="4900" w:val="left"/>
          <w:tab w:leader="none" w:pos="3680" w:val="left"/>
          <w:tab w:leader="none" w:pos="2400" w:val="left"/>
          <w:tab w:leader="none" w:pos="1100" w:val="left"/>
        </w:tabs>
        <w:rPr>
          <w:sz w:val="20"/>
          <w:szCs w:val="20"/>
          <w:color w:val="auto"/>
        </w:rPr>
      </w:pPr>
      <w:r>
        <w:rPr>
          <w:rFonts w:ascii="Courier New" w:cs="Courier New" w:eastAsia="Courier New" w:hAnsi="Courier New"/>
          <w:sz w:val="14"/>
          <w:szCs w:val="14"/>
          <w:color w:val="auto"/>
        </w:rPr>
        <w:t>Quarter (Dollars in thousands, except per share data)</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$208,957</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$352,203</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$249,274</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$240,770</w:t>
            </w:r>
          </w:p>
        </w:tc>
        <w:tc>
          <w:tcPr>
            <w:tcW w:w="38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75,227</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125,117</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92,395</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95,298</w:t>
            </w:r>
          </w:p>
        </w:tc>
        <w:tc>
          <w:tcPr>
            <w:tcW w:w="38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earnings, before extraordinary loss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2,491</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19,040</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9,949</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5,028</w:t>
            </w:r>
          </w:p>
        </w:tc>
        <w:tc>
          <w:tcPr>
            <w:tcW w:w="38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2,491</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19,040</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8,286</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5,028</w:t>
            </w:r>
          </w:p>
        </w:tc>
        <w:tc>
          <w:tcPr>
            <w:tcW w:w="38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and common stock equivalent, before extraordinary loss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0.20</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0.80</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c>
          <w:tcPr>
            <w:tcW w:w="38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common stock equivalent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0.20</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0.67</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c>
          <w:tcPr>
            <w:tcW w:w="38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380" w:type="dxa"/>
            <w:vAlign w:val="bottom"/>
          </w:tcPr>
          <w:p>
            <w:pPr>
              <w:spacing w:after="0"/>
              <w:rPr>
                <w:sz w:val="14"/>
                <w:szCs w:val="14"/>
                <w:color w:val="auto"/>
              </w:rPr>
            </w:pPr>
          </w:p>
        </w:tc>
      </w:tr>
      <w:tr>
        <w:trPr>
          <w:trHeight w:val="166"/>
        </w:trPr>
        <w:tc>
          <w:tcPr>
            <w:tcW w:w="522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High bid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r>
      <w:tr>
        <w:trPr>
          <w:trHeight w:val="166"/>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Low bid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7/16</w:t>
            </w:r>
          </w:p>
        </w:tc>
      </w:tr>
    </w:tbl>
    <w:p>
      <w:pPr>
        <w:spacing w:after="0" w:line="4" w:lineRule="exact"/>
        <w:rPr>
          <w:sz w:val="20"/>
          <w:szCs w:val="20"/>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Fiscal Year Ended October 31, 1996</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580" w:val="left"/>
          <w:tab w:leader="none" w:pos="6800" w:val="left"/>
          <w:tab w:leader="none" w:pos="8080" w:val="left"/>
          <w:tab w:leader="none" w:pos="9380" w:val="left"/>
        </w:tabs>
        <w:rPr>
          <w:sz w:val="20"/>
          <w:szCs w:val="20"/>
          <w:color w:val="auto"/>
        </w:rPr>
      </w:pPr>
      <w:r>
        <w:rPr>
          <w:rFonts w:ascii="Courier New" w:cs="Courier New" w:eastAsia="Courier New" w:hAnsi="Courier New"/>
          <w:sz w:val="14"/>
          <w:szCs w:val="14"/>
          <w:color w:val="auto"/>
        </w:rPr>
        <w:t>Quarter (Dollars in thousands, except per share data)</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$211,501</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$288,646</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$232,565</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$198,197</w:t>
            </w:r>
          </w:p>
        </w:tc>
        <w:tc>
          <w:tcPr>
            <w:tcW w:w="3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76,329</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103,810</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85,884</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75,700</w:t>
            </w:r>
          </w:p>
        </w:tc>
        <w:tc>
          <w:tcPr>
            <w:tcW w:w="3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8,498</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16,820</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6,465</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4,626</w:t>
            </w:r>
          </w:p>
        </w:tc>
        <w:tc>
          <w:tcPr>
            <w:tcW w:w="3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common stock equivalent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0.67</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1.33</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0.52</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0.37</w:t>
            </w:r>
          </w:p>
        </w:tc>
        <w:tc>
          <w:tcPr>
            <w:tcW w:w="3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c>
          <w:tcPr>
            <w:tcW w:w="30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High bid</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Low bid</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4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1997 Annual Report</w:t>
      </w:r>
    </w:p>
    <w:p>
      <w:pPr>
        <w:spacing w:after="0" w:line="7"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520"/>
          </w:cols>
          <w:pgMar w:left="220" w:top="616" w:right="1159" w:bottom="1440" w:gutter="0" w:footer="0" w:header="0"/>
        </w:sectPr>
      </w:pPr>
    </w:p>
    <w:bookmarkStart w:id="81" w:name="page82"/>
    <w:bookmarkEnd w:id="81"/>
    <w:p>
      <w:pPr>
        <w:jc w:val="right"/>
        <w:ind w:right="3519"/>
        <w:spacing w:after="0"/>
        <w:rPr>
          <w:sz w:val="20"/>
          <w:szCs w:val="20"/>
          <w:color w:val="auto"/>
        </w:rPr>
      </w:pPr>
      <w:r>
        <w:rPr>
          <w:rFonts w:ascii="Courier New" w:cs="Courier New" w:eastAsia="Courier New" w:hAnsi="Courier New"/>
          <w:sz w:val="14"/>
          <w:szCs w:val="14"/>
          <w:color w:val="auto"/>
        </w:rPr>
        <w:t>Exhibit 21</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All of the following are subsidiaries of The Toro Company as of December 17, 1997.</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Courier New" w:cs="Courier New" w:eastAsia="Courier New" w:hAnsi="Courier New"/>
                <w:sz w:val="14"/>
                <w:szCs w:val="14"/>
                <w:color w:val="auto"/>
              </w:rPr>
              <w:t>STATE OR OTHER</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PERCENTAGE OF VOTING</w:t>
            </w:r>
          </w:p>
        </w:tc>
      </w:tr>
      <w:tr>
        <w:trPr>
          <w:trHeight w:val="166"/>
        </w:trPr>
        <w:tc>
          <w:tcPr>
            <w:tcW w:w="2960" w:type="dxa"/>
            <w:vAlign w:val="bottom"/>
          </w:tcPr>
          <w:p>
            <w:pPr>
              <w:spacing w:after="0"/>
              <w:rPr>
                <w:sz w:val="14"/>
                <w:szCs w:val="14"/>
                <w:color w:val="auto"/>
              </w:rPr>
            </w:pPr>
          </w:p>
        </w:tc>
        <w:tc>
          <w:tcPr>
            <w:tcW w:w="1720" w:type="dxa"/>
            <w:vAlign w:val="bottom"/>
          </w:tcPr>
          <w:p>
            <w:pPr>
              <w:ind w:left="140"/>
              <w:spacing w:after="0"/>
              <w:rPr>
                <w:sz w:val="20"/>
                <w:szCs w:val="20"/>
                <w:color w:val="auto"/>
              </w:rPr>
            </w:pPr>
            <w:r>
              <w:rPr>
                <w:rFonts w:ascii="Courier New" w:cs="Courier New" w:eastAsia="Courier New" w:hAnsi="Courier New"/>
                <w:sz w:val="14"/>
                <w:szCs w:val="14"/>
                <w:color w:val="auto"/>
              </w:rPr>
              <w:t>JURISDICTION</w:t>
            </w:r>
          </w:p>
        </w:tc>
        <w:tc>
          <w:tcPr>
            <w:tcW w:w="1940" w:type="dxa"/>
            <w:vAlign w:val="bottom"/>
          </w:tcPr>
          <w:p>
            <w:pPr>
              <w:jc w:val="right"/>
              <w:spacing w:after="0"/>
              <w:rPr>
                <w:sz w:val="20"/>
                <w:szCs w:val="20"/>
                <w:color w:val="auto"/>
              </w:rPr>
            </w:pPr>
            <w:r>
              <w:rPr>
                <w:rFonts w:ascii="Courier New" w:cs="Courier New" w:eastAsia="Courier New" w:hAnsi="Courier New"/>
                <w:sz w:val="14"/>
                <w:szCs w:val="14"/>
                <w:color w:val="auto"/>
              </w:rPr>
              <w:t>SECURITIES OWNED BY</w:t>
            </w:r>
          </w:p>
        </w:tc>
      </w:tr>
      <w:tr>
        <w:trPr>
          <w:trHeight w:val="166"/>
        </w:trPr>
        <w:tc>
          <w:tcPr>
            <w:tcW w:w="2960" w:type="dxa"/>
            <w:vAlign w:val="bottom"/>
          </w:tcPr>
          <w:p>
            <w:pPr>
              <w:ind w:left="940"/>
              <w:spacing w:after="0"/>
              <w:rPr>
                <w:sz w:val="20"/>
                <w:szCs w:val="20"/>
                <w:color w:val="auto"/>
              </w:rPr>
            </w:pPr>
            <w:r>
              <w:rPr>
                <w:rFonts w:ascii="Courier New" w:cs="Courier New" w:eastAsia="Courier New" w:hAnsi="Courier New"/>
                <w:sz w:val="14"/>
                <w:szCs w:val="14"/>
                <w:color w:val="auto"/>
              </w:rPr>
              <w:t>NAME</w:t>
            </w:r>
          </w:p>
        </w:tc>
        <w:tc>
          <w:tcPr>
            <w:tcW w:w="1720" w:type="dxa"/>
            <w:vAlign w:val="bottom"/>
          </w:tcPr>
          <w:p>
            <w:pPr>
              <w:ind w:left="140"/>
              <w:spacing w:after="0"/>
              <w:rPr>
                <w:sz w:val="20"/>
                <w:szCs w:val="20"/>
                <w:color w:val="auto"/>
              </w:rPr>
            </w:pPr>
            <w:r>
              <w:rPr>
                <w:rFonts w:ascii="Courier New" w:cs="Courier New" w:eastAsia="Courier New" w:hAnsi="Courier New"/>
                <w:sz w:val="14"/>
                <w:szCs w:val="14"/>
                <w:color w:val="auto"/>
              </w:rPr>
              <w:t>OF INCORPORATION</w:t>
            </w:r>
          </w:p>
        </w:tc>
        <w:tc>
          <w:tcPr>
            <w:tcW w:w="1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IMMEDIATE PARENT</w:t>
            </w:r>
          </w:p>
        </w:tc>
      </w:tr>
      <w:tr>
        <w:trPr>
          <w:trHeight w:val="497"/>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Toro Australia Pty. Limited</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Australia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Toro Credit Company</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Minnesota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Toro Europe</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Belgium</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Toro Foreign Sales Corporation</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Barbados</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Lawn-Boy Inc.</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Delaware</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Toro Probiotic Products, Inc.</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Minnesota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Toro Sales Company</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Minnesota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Toro Southwest, Inc.</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California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Toro International Company</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Minnesota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Hahn Equipment Co.</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Minnesota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Professional Turf Products of</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Texas</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Texas, Inc.</w:t>
            </w: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Integration Control Systems &amp;</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Texas</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Services, Inc.</w:t>
            </w: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Turf Management Systems, Inc.</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Minnesota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James Hardie Irrigation Pty.</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Australia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Limited</w:t>
            </w: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Irritrol Systems of Europe S.p.A.</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Italy</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960" w:type="dxa"/>
            <w:vAlign w:val="bottom"/>
          </w:tcPr>
          <w:p>
            <w:pPr>
              <w:spacing w:after="0"/>
              <w:rPr>
                <w:sz w:val="20"/>
                <w:szCs w:val="20"/>
                <w:color w:val="auto"/>
              </w:rPr>
            </w:pPr>
            <w:r>
              <w:rPr>
                <w:rFonts w:ascii="Courier New" w:cs="Courier New" w:eastAsia="Courier New" w:hAnsi="Courier New"/>
                <w:sz w:val="14"/>
                <w:szCs w:val="14"/>
                <w:color w:val="auto"/>
              </w:rPr>
              <w:t>Exmark Manufacturing Company</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Nebraska</w:t>
            </w:r>
          </w:p>
        </w:tc>
        <w:tc>
          <w:tcPr>
            <w:tcW w:w="19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Incorporated</w:t>
            </w:r>
          </w:p>
        </w:tc>
        <w:tc>
          <w:tcPr>
            <w:tcW w:w="172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497"/>
        </w:trPr>
        <w:tc>
          <w:tcPr>
            <w:tcW w:w="2960" w:type="dxa"/>
            <w:vAlign w:val="bottom"/>
          </w:tcPr>
          <w:p>
            <w:pPr>
              <w:spacing w:after="0"/>
              <w:rPr>
                <w:sz w:val="24"/>
                <w:szCs w:val="24"/>
                <w:color w:val="auto"/>
              </w:rPr>
            </w:pPr>
          </w:p>
        </w:tc>
        <w:tc>
          <w:tcPr>
            <w:tcW w:w="1720" w:type="dxa"/>
            <w:vAlign w:val="bottom"/>
          </w:tcPr>
          <w:p>
            <w:pPr>
              <w:ind w:left="220"/>
              <w:spacing w:after="0"/>
              <w:rPr>
                <w:sz w:val="20"/>
                <w:szCs w:val="20"/>
                <w:color w:val="auto"/>
              </w:rPr>
            </w:pPr>
            <w:r>
              <w:rPr>
                <w:rFonts w:ascii="Courier New" w:cs="Courier New" w:eastAsia="Courier New" w:hAnsi="Courier New"/>
                <w:sz w:val="14"/>
                <w:szCs w:val="14"/>
                <w:color w:val="auto"/>
              </w:rPr>
              <w:t>26</w:t>
            </w:r>
          </w:p>
        </w:tc>
        <w:tc>
          <w:tcPr>
            <w:tcW w:w="1940" w:type="dxa"/>
            <w:vAlign w:val="bottom"/>
          </w:tcPr>
          <w:p>
            <w:pPr>
              <w:spacing w:after="0"/>
              <w:rPr>
                <w:sz w:val="24"/>
                <w:szCs w:val="24"/>
                <w:color w:val="auto"/>
              </w:rPr>
            </w:pPr>
          </w:p>
        </w:tc>
      </w:tr>
    </w:tbl>
    <w:p>
      <w:pPr>
        <w:sectPr>
          <w:pgSz w:w="11900" w:h="16838" w:orient="portrait"/>
          <w:cols w:equalWidth="0" w:num="1">
            <w:col w:w="10239"/>
          </w:cols>
          <w:pgMar w:left="220" w:top="307" w:right="1440" w:bottom="1440" w:gutter="0" w:footer="0" w:header="0"/>
        </w:sectPr>
      </w:pPr>
    </w:p>
    <w:bookmarkStart w:id="82" w:name="page83"/>
    <w:bookmarkEnd w:id="82"/>
    <w:p>
      <w:pPr>
        <w:ind w:left="2500"/>
        <w:spacing w:after="0"/>
        <w:rPr>
          <w:sz w:val="20"/>
          <w:szCs w:val="20"/>
          <w:color w:val="auto"/>
        </w:rPr>
      </w:pPr>
      <w:r>
        <w:rPr>
          <w:rFonts w:ascii="Courier New" w:cs="Courier New" w:eastAsia="Courier New" w:hAnsi="Courier New"/>
          <w:sz w:val="14"/>
          <w:szCs w:val="14"/>
          <w:color w:val="auto"/>
        </w:rPr>
        <w:t>[LETTERHEAD]</w:t>
      </w:r>
    </w:p>
    <w:p>
      <w:pPr>
        <w:spacing w:after="0" w:line="173"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Exhibit 23</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INDEPENDENT AUDITORS' CONSENT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consent to incorporation by reference in the Registration Statements (Nos.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33-26268, 33-31586, 33-38308, 33-44668, 33-51563, 33-55550, 33-59563,</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333-4521 and 333-20901) on Forms S-3 and S-8 of The Toro Company of our reports dated December 12, 1997, relating to the consolidated balance sheets of The Toro Company and subsidiaries as of October 31, 1997 and 1996, and the related consolidated statements of earnings and cash flows and related financial statement schedule for the years ended October 31, 1997 and 1996, three-month period ended October 31, 1995 and the year ended July 31, 1995, which reports are included in or incorporated by reference in the annual report on Form 10-K of The Toro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1998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73" w:right="1440" w:bottom="1440" w:gutter="0" w:footer="0" w:header="0"/>
        </w:sectPr>
      </w:pPr>
    </w:p>
    <w:bookmarkStart w:id="83" w:name="page84"/>
    <w:bookmarkEnd w:id="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ind w:left="10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40" w:right="3999"/>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STATEMENTS OF EARNINGS, THE BALANCE SHEETS AND 10-K SCHEDULE II AND EXHIBIT 11 AND IS QUALIFIED IN ITS ENTIRETY BY REFERENCE TO SUCH FINANCIAL STATEMENTS.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OCT-31-1997</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NOV-01-1996</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OCT-31-1997</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255,318</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9,832</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160,122</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472,044</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297,841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180,989</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661,634</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237,833</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178,015</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12,189</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228,974</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661,634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1,051,204</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1,051,204</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663,167</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315,690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(7,897)</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812</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19,900</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60,344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23,836</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36,508</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(1,663)</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34,845</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2.80</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2.77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long-term debt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Does not include additional-paid-in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1)"/>
      <w:numFmt w:val="lowerLetter"/>
      <w:start w:val="1"/>
    </w:lvl>
  </w:abstractNum>
  <w:abstractNum w:abstractNumId="7">
    <w:nsid w:val="8F2B15E"/>
    <w:multiLevelType w:val="hybridMultilevel"/>
    <w:lvl w:ilvl="0">
      <w:lvlJc w:val="left"/>
      <w:lvlText w:val="(%1)"/>
      <w:numFmt w:val="lowerLetter"/>
      <w:start w:val="1"/>
    </w:lvl>
  </w:abstractNum>
  <w:abstractNum w:abstractNumId="8">
    <w:nsid w:val="1A32234B"/>
    <w:multiLevelType w:val="hybridMultilevel"/>
    <w:lvl w:ilvl="0">
      <w:lvlJc w:val="left"/>
      <w:lvlText w:val="%1"/>
      <w:numFmt w:val="decimal"/>
      <w:start w:val="11"/>
    </w:lvl>
  </w:abstractNum>
  <w:abstractNum w:abstractNumId="9">
    <w:nsid w:val="3B0FD379"/>
    <w:multiLevelType w:val="hybridMultilevel"/>
    <w:lvl w:ilvl="0">
      <w:lvlJc w:val="left"/>
      <w:lvlText w:val="(%1)"/>
      <w:numFmt w:val="lowerLetter"/>
      <w:start w:val="2"/>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lvl w:ilvl="1">
      <w:lvlJc w:val="left"/>
      <w:lvlText w:val="(%2)"/>
      <w:numFmt w:val="lowerLetter"/>
      <w:start w:val="1"/>
    </w:lvl>
  </w:abstractNum>
  <w:abstractNum w:abstractNumId="22">
    <w:nsid w:val="94211F2"/>
    <w:multiLevelType w:val="hybridMultilevel"/>
    <w:lvl w:ilvl="0">
      <w:lvlJc w:val="left"/>
      <w:lvlText w:val="%1."/>
      <w:numFmt w:val="decimal"/>
      <w:start w:val="1"/>
    </w:lvl>
  </w:abstractNum>
  <w:abstractNum w:abstractNumId="23">
    <w:nsid w:val="885E1B"/>
    <w:multiLevelType w:val="hybridMultilevel"/>
    <w:lvl w:ilvl="0">
      <w:lvlJc w:val="left"/>
      <w:lvlText w:val="%1."/>
      <w:numFmt w:val="decimal"/>
      <w:start w:val="4"/>
    </w:lvl>
  </w:abstractNum>
  <w:abstractNum w:abstractNumId="24">
    <w:nsid w:val="76272110"/>
    <w:multiLevelType w:val="hybridMultilevel"/>
    <w:lvl w:ilvl="0">
      <w:lvlJc w:val="left"/>
      <w:lvlText w:val="%1."/>
      <w:numFmt w:val="upperLetter"/>
      <w:start w:val="1"/>
    </w:lvl>
    <w:lvl w:ilvl="1">
      <w:lvlJc w:val="left"/>
      <w:lvlText w:val="(%2)"/>
      <w:numFmt w:val="lowerRoman"/>
      <w:start w:val="1"/>
    </w:lvl>
  </w:abstractNum>
  <w:abstractNum w:abstractNumId="25">
    <w:nsid w:val="4C04A8AF"/>
    <w:multiLevelType w:val="hybridMultilevel"/>
    <w:lvl w:ilvl="0">
      <w:lvlJc w:val="left"/>
      <w:lvlText w:val="%1"/>
      <w:numFmt w:val="upperLetter"/>
      <w:start w:val="1"/>
    </w:lvl>
    <w:lvl w:ilvl="1">
      <w:lvlJc w:val="left"/>
      <w:lvlText w:val="(%2)"/>
      <w:numFmt w:val="lowerRoman"/>
      <w:start w:val="3"/>
    </w:lvl>
    <w:lvl w:ilvl="2">
      <w:lvlJc w:val="left"/>
      <w:lvlText w:val="(%3)"/>
      <w:numFmt w:val="lowerRoman"/>
      <w:start w:val="4"/>
    </w:lvl>
  </w:abstractNum>
  <w:abstractNum w:abstractNumId="26">
    <w:nsid w:val="1716703B"/>
    <w:multiLevelType w:val="hybridMultilevel"/>
    <w:lvl w:ilvl="0">
      <w:lvlJc w:val="left"/>
      <w:lvlText w:val="%1."/>
      <w:numFmt w:val="upperLetter"/>
      <w:start w:val="6"/>
    </w:lvl>
    <w:lvl w:ilvl="1">
      <w:lvlJc w:val="left"/>
      <w:lvlText w:val="%2"/>
      <w:numFmt w:val="lowerRoman"/>
      <w:start w:val="1"/>
    </w:lvl>
    <w:lvl w:ilvl="2">
      <w:lvlJc w:val="left"/>
      <w:lvlText w:val="%3"/>
      <w:numFmt w:val="lowerRoman"/>
      <w:start w:val="1"/>
    </w:lvl>
  </w:abstractNum>
  <w:abstractNum w:abstractNumId="27">
    <w:nsid w:val="14E17E33"/>
    <w:multiLevelType w:val="hybridMultilevel"/>
    <w:lvl w:ilvl="0">
      <w:lvlJc w:val="left"/>
      <w:lvlText w:val="(%1)"/>
      <w:numFmt w:val="lowerRoman"/>
      <w:start w:val="2"/>
    </w:lvl>
  </w:abstractNum>
  <w:abstractNum w:abstractNumId="28">
    <w:nsid w:val="3222E7CD"/>
    <w:multiLevelType w:val="hybridMultilevel"/>
    <w:lvl w:ilvl="0">
      <w:lvlJc w:val="left"/>
      <w:lvlText w:val="%1."/>
      <w:numFmt w:val="upperLetter"/>
      <w:start w:val="7"/>
    </w:lvl>
  </w:abstractNum>
  <w:abstractNum w:abstractNumId="29">
    <w:nsid w:val="74DE0EE3"/>
    <w:multiLevelType w:val="hybridMultilevel"/>
    <w:lvl w:ilvl="0">
      <w:lvlJc w:val="left"/>
      <w:lvlText w:val="%1"/>
      <w:numFmt w:val="decimal"/>
      <w:start w:val="1"/>
    </w:lvl>
    <w:lvl w:ilvl="1">
      <w:lvlJc w:val="left"/>
      <w:lvlText w:val="%2."/>
      <w:numFmt w:val="upperLetter"/>
      <w:start w:val="10"/>
    </w:lvl>
  </w:abstractNum>
  <w:abstractNum w:abstractNumId="30">
    <w:nsid w:val="68EBC550"/>
    <w:multiLevelType w:val="hybridMultilevel"/>
    <w:lvl w:ilvl="0">
      <w:lvlJc w:val="left"/>
      <w:lvlText w:val="%1."/>
      <w:numFmt w:val="decimal"/>
      <w:start w:val="8"/>
    </w:lvl>
    <w:lvl w:ilvl="1">
      <w:lvlJc w:val="left"/>
      <w:lvlText w:val="%2."/>
      <w:numFmt w:val="upperLetter"/>
      <w:start w:val="1"/>
    </w:lvl>
  </w:abstractNum>
  <w:abstractNum w:abstractNumId="31">
    <w:nsid w:val="2DF6D648"/>
    <w:multiLevelType w:val="hybridMultilevel"/>
    <w:lvl w:ilvl="0">
      <w:lvlJc w:val="left"/>
      <w:lvlText w:val="%1"/>
      <w:numFmt w:val="decimal"/>
      <w:start w:val="1"/>
    </w:lvl>
    <w:lvl w:ilvl="1">
      <w:lvlJc w:val="left"/>
      <w:lvlText w:val="%2."/>
      <w:numFmt w:val="upperLetter"/>
      <w:start w:val="2"/>
    </w:lvl>
  </w:abstractNum>
  <w:abstractNum w:abstractNumId="32">
    <w:nsid w:val="46B7D447"/>
    <w:multiLevelType w:val="hybridMultilevel"/>
    <w:lvl w:ilvl="0">
      <w:lvlJc w:val="left"/>
      <w:lvlText w:val="%1."/>
      <w:numFmt w:val="decimal"/>
      <w:start w:val="9"/>
    </w:lvl>
    <w:lvl w:ilvl="1">
      <w:lvlJc w:val="left"/>
      <w:lvlText w:val="%2."/>
      <w:numFmt w:val="upperLetter"/>
      <w:start w:val="1"/>
    </w:lvl>
  </w:abstractNum>
  <w:abstractNum w:abstractNumId="33">
    <w:nsid w:val="4A2AC315"/>
    <w:multiLevelType w:val="hybridMultilevel"/>
    <w:lvl w:ilvl="0">
      <w:lvlJc w:val="left"/>
      <w:lvlText w:val="%1."/>
      <w:numFmt w:val="decimal"/>
      <w:start w:val="1"/>
    </w:lvl>
  </w:abstractNum>
  <w:abstractNum w:abstractNumId="34">
    <w:nsid w:val="39EE015C"/>
    <w:multiLevelType w:val="hybridMultilevel"/>
    <w:lvl w:ilvl="0">
      <w:lvlJc w:val="left"/>
      <w:lvlText w:val="%1."/>
      <w:numFmt w:val="decimal"/>
      <w:start w:val="4"/>
    </w:lvl>
  </w:abstractNum>
  <w:abstractNum w:abstractNumId="35">
    <w:nsid w:val="57FC4FBB"/>
    <w:multiLevelType w:val="hybridMultilevel"/>
    <w:lvl w:ilvl="0">
      <w:lvlJc w:val="left"/>
      <w:lvlText w:val="(%1)"/>
      <w:numFmt w:val="lowerRoman"/>
      <w:start w:val="1"/>
    </w:lvl>
    <w:lvl w:ilvl="1">
      <w:lvlJc w:val="left"/>
      <w:lvlText w:val="(%2)"/>
      <w:numFmt w:val="upperLetter"/>
      <w:start w:val="9"/>
    </w:lvl>
  </w:abstractNum>
  <w:abstractNum w:abstractNumId="36">
    <w:nsid w:val="CC1016F"/>
    <w:multiLevelType w:val="hybridMultilevel"/>
    <w:lvl w:ilvl="0">
      <w:lvlJc w:val="left"/>
      <w:lvlText w:val="%1"/>
      <w:numFmt w:val="upperLetter"/>
      <w:start w:val="1"/>
    </w:lvl>
    <w:lvl w:ilvl="1">
      <w:lvlJc w:val="left"/>
      <w:lvlText w:val="(%2)"/>
      <w:numFmt w:val="lowerRoman"/>
      <w:start w:val="3"/>
    </w:lvl>
    <w:lvl w:ilvl="2">
      <w:lvlJc w:val="left"/>
      <w:lvlText w:val="(%3)"/>
      <w:numFmt w:val="lowerRoman"/>
      <w:start w:val="5"/>
    </w:lvl>
  </w:abstractNum>
  <w:abstractNum w:abstractNumId="37">
    <w:nsid w:val="43F18422"/>
    <w:multiLevelType w:val="hybridMultilevel"/>
    <w:lvl w:ilvl="0">
      <w:lvlJc w:val="left"/>
      <w:lvlText w:val="%1."/>
      <w:numFmt w:val="upperLetter"/>
      <w:start w:val="6"/>
    </w:lvl>
    <w:lvl w:ilvl="1">
      <w:lvlJc w:val="left"/>
      <w:lvlText w:val="%2"/>
      <w:numFmt w:val="lowerRoman"/>
      <w:start w:val="1"/>
    </w:lvl>
    <w:lvl w:ilvl="2">
      <w:lvlJc w:val="left"/>
      <w:lvlText w:val="%3"/>
      <w:numFmt w:val="lowerRoman"/>
      <w:start w:val="1"/>
    </w:lvl>
  </w:abstractNum>
  <w:abstractNum w:abstractNumId="38">
    <w:nsid w:val="60EF0119"/>
    <w:multiLevelType w:val="hybridMultilevel"/>
    <w:lvl w:ilvl="0">
      <w:lvlJc w:val="left"/>
      <w:lvlText w:val="(%1)"/>
      <w:numFmt w:val="lowerRoman"/>
      <w:start w:val="2"/>
    </w:lvl>
  </w:abstractNum>
  <w:abstractNum w:abstractNumId="39">
    <w:nsid w:val="26F324BA"/>
    <w:multiLevelType w:val="hybridMultilevel"/>
    <w:lvl w:ilvl="0">
      <w:lvlJc w:val="left"/>
      <w:lvlText w:val="%1."/>
      <w:numFmt w:val="upperLetter"/>
      <w:start w:val="7"/>
    </w:lvl>
  </w:abstractNum>
  <w:abstractNum w:abstractNumId="40">
    <w:nsid w:val="7F01579B"/>
    <w:multiLevelType w:val="hybridMultilevel"/>
    <w:lvl w:ilvl="0">
      <w:lvlJc w:val="left"/>
      <w:lvlText w:val="%1"/>
      <w:numFmt w:val="decimal"/>
      <w:start w:val="1"/>
    </w:lvl>
    <w:lvl w:ilvl="1">
      <w:lvlJc w:val="left"/>
      <w:lvlText w:val="%2."/>
      <w:numFmt w:val="upperLetter"/>
      <w:start w:val="10"/>
    </w:lvl>
  </w:abstractNum>
  <w:abstractNum w:abstractNumId="41">
    <w:nsid w:val="49DA307D"/>
    <w:multiLevelType w:val="hybridMultilevel"/>
    <w:lvl w:ilvl="0">
      <w:lvlJc w:val="left"/>
      <w:lvlText w:val="%1."/>
      <w:numFmt w:val="decimal"/>
      <w:start w:val="8"/>
    </w:lvl>
    <w:lvl w:ilvl="1">
      <w:lvlJc w:val="left"/>
      <w:lvlText w:val="%2."/>
      <w:numFmt w:val="upperLetter"/>
      <w:start w:val="1"/>
    </w:lvl>
  </w:abstractNum>
  <w:abstractNum w:abstractNumId="42">
    <w:nsid w:val="7055A5F5"/>
    <w:multiLevelType w:val="hybridMultilevel"/>
    <w:lvl w:ilvl="0">
      <w:lvlJc w:val="left"/>
      <w:lvlText w:val="%1"/>
      <w:numFmt w:val="decimal"/>
      <w:start w:val="1"/>
    </w:lvl>
    <w:lvl w:ilvl="1">
      <w:lvlJc w:val="left"/>
      <w:lvlText w:val="%2."/>
      <w:numFmt w:val="upperLetter"/>
      <w:start w:val="2"/>
    </w:lvl>
  </w:abstractNum>
  <w:abstractNum w:abstractNumId="43">
    <w:nsid w:val="5FB8370B"/>
    <w:multiLevelType w:val="hybridMultilevel"/>
    <w:lvl w:ilvl="0">
      <w:lvlJc w:val="left"/>
      <w:lvlText w:val="%1."/>
      <w:numFmt w:val="decimal"/>
      <w:start w:val="9"/>
    </w:lvl>
    <w:lvl w:ilvl="1">
      <w:lvlJc w:val="left"/>
      <w:lvlText w:val="%2."/>
      <w:numFmt w:val="upperLetter"/>
      <w:start w:val="1"/>
    </w:lvl>
  </w:abstractNum>
  <w:abstractNum w:abstractNumId="44">
    <w:nsid w:val="50801EE1"/>
    <w:multiLevelType w:val="hybridMultilevel"/>
    <w:lvl w:ilvl="0">
      <w:lvlJc w:val="left"/>
      <w:lvlText w:val="%1."/>
      <w:numFmt w:val="decimal"/>
      <w:start w:val="1"/>
    </w:lvl>
    <w:lvl w:ilvl="1">
      <w:lvlJc w:val="left"/>
      <w:lvlText w:val="(%2)"/>
      <w:numFmt w:val="lowerLetter"/>
      <w:start w:val="1"/>
    </w:lvl>
  </w:abstractNum>
  <w:abstractNum w:abstractNumId="45">
    <w:nsid w:val="488AC1A"/>
    <w:multiLevelType w:val="hybridMultilevel"/>
    <w:lvl w:ilvl="0">
      <w:lvlJc w:val="left"/>
      <w:lvlText w:val="%1"/>
      <w:numFmt w:val="decimal"/>
      <w:start w:val="1"/>
    </w:lvl>
    <w:lvl w:ilvl="1">
      <w:lvlJc w:val="left"/>
      <w:lvlText w:val="(%2)"/>
      <w:numFmt w:val="upperLetter"/>
      <w:start w:val="4"/>
    </w:lvl>
  </w:abstractNum>
  <w:abstractNum w:abstractNumId="46">
    <w:nsid w:val="5FB8011C"/>
    <w:multiLevelType w:val="hybridMultilevel"/>
    <w:lvl w:ilvl="0">
      <w:lvlJc w:val="left"/>
      <w:lvlText w:val="%1."/>
      <w:numFmt w:val="decimal"/>
      <w:start w:val="4"/>
    </w:lvl>
    <w:lvl w:ilvl="1">
      <w:lvlJc w:val="left"/>
      <w:lvlText w:val="%2"/>
      <w:numFmt w:val="upperLetter"/>
      <w:start w:val="1"/>
    </w:lvl>
  </w:abstractNum>
  <w:abstractNum w:abstractNumId="47">
    <w:nsid w:val="6AA78F7F"/>
    <w:multiLevelType w:val="hybridMultilevel"/>
    <w:lvl w:ilvl="0">
      <w:lvlJc w:val="left"/>
      <w:lvlText w:val="%1."/>
      <w:numFmt w:val="decimal"/>
      <w:start w:val="1"/>
    </w:lvl>
    <w:lvl w:ilvl="1">
      <w:lvlJc w:val="left"/>
      <w:lvlText w:val="%2."/>
      <w:numFmt w:val="lowerLetter"/>
      <w:start w:val="1"/>
    </w:lvl>
  </w:abstractNum>
  <w:abstractNum w:abstractNumId="48">
    <w:nsid w:val="7672BD23"/>
    <w:multiLevelType w:val="hybridMultilevel"/>
    <w:lvl w:ilvl="0">
      <w:lvlJc w:val="left"/>
      <w:lvlText w:val="%1"/>
      <w:numFmt w:val="decimal"/>
      <w:start w:val="1"/>
    </w:lvl>
    <w:lvl w:ilvl="1">
      <w:lvlJc w:val="left"/>
      <w:lvlText w:val="%2."/>
      <w:numFmt w:val="lowerLetter"/>
      <w:start w:val="2"/>
    </w:lvl>
  </w:abstractNum>
  <w:abstractNum w:abstractNumId="49">
    <w:nsid w:val="6FC75AF8"/>
    <w:multiLevelType w:val="hybridMultilevel"/>
    <w:lvl w:ilvl="0">
      <w:lvlJc w:val="left"/>
      <w:lvlText w:val="%1."/>
      <w:numFmt w:val="decimal"/>
      <w:start w:val="6"/>
    </w:lvl>
    <w:lvl w:ilvl="1">
      <w:lvlJc w:val="left"/>
      <w:lvlText w:val="%2."/>
      <w:numFmt w:val="lowerLetter"/>
      <w:start w:val="1"/>
    </w:lvl>
  </w:abstractNum>
  <w:abstractNum w:abstractNumId="50">
    <w:nsid w:val="6A5F7029"/>
    <w:multiLevelType w:val="hybridMultilevel"/>
    <w:lvl w:ilvl="0">
      <w:lvlJc w:val="left"/>
      <w:lvlText w:val="%1."/>
      <w:numFmt w:val="lowerRoman"/>
      <w:start w:val="1"/>
    </w:lvl>
    <w:lvl w:ilvl="1">
      <w:lvlJc w:val="left"/>
      <w:lvlText w:val="(%2)"/>
      <w:numFmt w:val="upperLetter"/>
      <w:start w:val="1"/>
    </w:lvl>
  </w:abstractNum>
  <w:abstractNum w:abstractNumId="51">
    <w:nsid w:val="7D5E18F8"/>
    <w:multiLevelType w:val="hybridMultilevel"/>
    <w:lvl w:ilvl="0">
      <w:lvlJc w:val="left"/>
      <w:lvlText w:val="(%1)"/>
      <w:numFmt w:val="upperLetter"/>
      <w:start w:val="2"/>
    </w:lvl>
  </w:abstractNum>
  <w:abstractNum w:abstractNumId="52">
    <w:nsid w:val="5F3534A4"/>
    <w:multiLevelType w:val="hybridMultilevel"/>
    <w:lvl w:ilvl="0">
      <w:lvlJc w:val="left"/>
      <w:lvlText w:val="%1"/>
      <w:numFmt w:val="lowerLetter"/>
      <w:start w:val="1"/>
    </w:lvl>
    <w:lvl w:ilvl="1">
      <w:lvlJc w:val="left"/>
      <w:lvlText w:val="%2."/>
      <w:numFmt w:val="lowerRoman"/>
      <w:start w:val="2"/>
    </w:lvl>
  </w:abstractNum>
  <w:abstractNum w:abstractNumId="53">
    <w:nsid w:val="73A1821B"/>
    <w:multiLevelType w:val="hybridMultilevel"/>
    <w:lvl w:ilvl="0">
      <w:lvlJc w:val="left"/>
      <w:lvlText w:val="%1."/>
      <w:numFmt w:val="lowerLetter"/>
      <w:start w:val="2"/>
    </w:lvl>
    <w:lvl w:ilvl="1">
      <w:lvlJc w:val="left"/>
      <w:lvlText w:val="%2"/>
      <w:numFmt w:val="lowerRoman"/>
      <w:start w:val="1"/>
    </w:lvl>
  </w:abstractNum>
  <w:abstractNum w:abstractNumId="54">
    <w:nsid w:val="7DE67713"/>
    <w:multiLevelType w:val="hybridMultilevel"/>
    <w:lvl w:ilvl="0">
      <w:lvlJc w:val="left"/>
      <w:lvlText w:val="%1."/>
      <w:numFmt w:val="lowerLetter"/>
      <w:start w:val="3"/>
    </w:lvl>
    <w:lvl w:ilvl="1">
      <w:lvlJc w:val="left"/>
      <w:lvlText w:val="%2."/>
      <w:numFmt w:val="lowerRoman"/>
      <w:start w:val="1"/>
    </w:lvl>
  </w:abstractNum>
  <w:abstractNum w:abstractNumId="55">
    <w:nsid w:val="555C55B5"/>
    <w:multiLevelType w:val="hybridMultilevel"/>
    <w:lvl w:ilvl="0">
      <w:lvlJc w:val="left"/>
      <w:lvlText w:val="%1."/>
      <w:numFmt w:val="lowerLetter"/>
      <w:start w:val="4"/>
    </w:lvl>
    <w:lvl w:ilvl="1">
      <w:lvlJc w:val="left"/>
      <w:lvlText w:val="%2"/>
      <w:numFmt w:val="lowerLetter"/>
      <w:start w:val="1"/>
    </w:lvl>
  </w:abstractNum>
  <w:abstractNum w:abstractNumId="56">
    <w:nsid w:val="3FA62ACA"/>
    <w:multiLevelType w:val="hybridMultilevel"/>
    <w:lvl w:ilvl="0">
      <w:lvlJc w:val="left"/>
      <w:lvlText w:val="%1."/>
      <w:numFmt w:val="lowerRoman"/>
      <w:start w:val="2"/>
    </w:lvl>
  </w:abstractNum>
  <w:abstractNum w:abstractNumId="57">
    <w:nsid w:val="14FCE74E"/>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58">
    <w:nsid w:val="6A3DD3E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59">
    <w:nsid w:val="71C91298"/>
    <w:multiLevelType w:val="hybridMultilevel"/>
    <w:lvl w:ilvl="0">
      <w:lvlJc w:val="left"/>
      <w:lvlText w:val="%1."/>
      <w:numFmt w:val="decimal"/>
      <w:start w:val="7"/>
    </w:lvl>
  </w:abstractNum>
  <w:abstractNum w:abstractNumId="60">
    <w:nsid w:val="9DAF632"/>
    <w:multiLevelType w:val="hybridMultilevel"/>
    <w:lvl w:ilvl="0">
      <w:lvlJc w:val="left"/>
      <w:lvlText w:val="%1."/>
      <w:numFmt w:val="decimal"/>
      <w:start w:val="8"/>
    </w:lvl>
  </w:abstractNum>
  <w:abstractNum w:abstractNumId="61">
    <w:nsid w:val="53299938"/>
    <w:multiLevelType w:val="hybridMultilevel"/>
    <w:lvl w:ilvl="0">
      <w:lvlJc w:val="left"/>
      <w:lvlText w:val="%1."/>
      <w:numFmt w:val="decimal"/>
      <w:start w:val="13"/>
    </w:lvl>
  </w:abstractNum>
  <w:abstractNum w:abstractNumId="62">
    <w:nsid w:val="1FBFE8E0"/>
    <w:multiLevelType w:val="hybridMultilevel"/>
    <w:lvl w:ilvl="0">
      <w:lvlJc w:val="left"/>
      <w:lvlText w:val="-"/>
      <w:numFmt w:val="bullet"/>
      <w:start w:val="1"/>
    </w:lvl>
  </w:abstractNum>
  <w:abstractNum w:abstractNumId="63">
    <w:nsid w:val="5092CA79"/>
    <w:multiLevelType w:val="hybridMultilevel"/>
    <w:lvl w:ilvl="0">
      <w:lvlJc w:val="left"/>
      <w:lvlText w:val="-"/>
      <w:numFmt w:val="bullet"/>
      <w:start w:val="1"/>
    </w:lvl>
  </w:abstractNum>
  <w:abstractNum w:abstractNumId="64">
    <w:nsid w:val="1D545C4D"/>
    <w:multiLevelType w:val="hybridMultilevel"/>
    <w:lvl w:ilvl="0">
      <w:lvlJc w:val="left"/>
      <w:lvlText w:val="-"/>
      <w:numFmt w:val="bullet"/>
      <w:start w:val="1"/>
    </w:lvl>
  </w:abstractNum>
  <w:abstractNum w:abstractNumId="65">
    <w:nsid w:val="59ADEA3D"/>
    <w:multiLevelType w:val="hybridMultilevel"/>
    <w:lvl w:ilvl="0">
      <w:lvlJc w:val="left"/>
      <w:lvlText w:val="(%1)"/>
      <w:numFmt w:val="decimal"/>
      <w:start w:val="1"/>
    </w:lvl>
  </w:abstractNum>
  <w:abstractNum w:abstractNumId="66">
    <w:nsid w:val="288F1A34"/>
    <w:multiLevelType w:val="hybridMultilevel"/>
    <w:lvl w:ilvl="0">
      <w:lvlJc w:val="left"/>
      <w:lvlText w:val="-"/>
      <w:numFmt w:val="bullet"/>
      <w:start w:val="1"/>
    </w:lvl>
  </w:abstractNum>
  <w:abstractNum w:abstractNumId="67">
    <w:nsid w:val="2A155DBC"/>
    <w:multiLevelType w:val="hybridMultilevel"/>
    <w:lvl w:ilvl="0">
      <w:lvlJc w:val="left"/>
      <w:lvlText w:val="-"/>
      <w:numFmt w:val="bullet"/>
      <w:start w:val="1"/>
    </w:lvl>
  </w:abstractNum>
  <w:abstractNum w:abstractNumId="68">
    <w:nsid w:val="1D9F6E5F"/>
    <w:multiLevelType w:val="hybridMultilevel"/>
    <w:lvl w:ilvl="0">
      <w:lvlJc w:val="left"/>
      <w:lvlText w:val="-"/>
      <w:numFmt w:val="bullet"/>
      <w:start w:val="1"/>
    </w:lvl>
  </w:abstractNum>
  <w:abstractNum w:abstractNumId="69">
    <w:nsid w:val="97E1B4E"/>
    <w:multiLevelType w:val="hybridMultilevel"/>
    <w:lvl w:ilvl="0">
      <w:lvlJc w:val="left"/>
      <w:lvlText w:val="-"/>
      <w:numFmt w:val="bullet"/>
      <w:start w:val="1"/>
    </w:lvl>
  </w:abstractNum>
  <w:abstractNum w:abstractNumId="70">
    <w:nsid w:val="51088277"/>
    <w:multiLevelType w:val="hybridMultilevel"/>
    <w:lvl w:ilvl="0">
      <w:lvlJc w:val="left"/>
      <w:lvlText w:val="(%1)"/>
      <w:numFmt w:val="decimal"/>
      <w:start w:val="1"/>
    </w:lvl>
  </w:abstractNum>
  <w:abstractNum w:abstractNumId="71">
    <w:nsid w:val="1CA0C5FA"/>
    <w:multiLevelType w:val="hybridMultilevel"/>
    <w:lvl w:ilvl="0">
      <w:lvlJc w:val="left"/>
      <w:lvlText w:val="-"/>
      <w:numFmt w:val="bullet"/>
      <w:start w:val="1"/>
    </w:lvl>
  </w:abstractNum>
  <w:abstractNum w:abstractNumId="72">
    <w:nsid w:val="53584BCB"/>
    <w:multiLevelType w:val="hybridMultilevel"/>
    <w:lvl w:ilvl="0">
      <w:lvlJc w:val="left"/>
      <w:lvlText w:val="-"/>
      <w:numFmt w:val="bullet"/>
      <w:start w:val="1"/>
    </w:lvl>
  </w:abstractNum>
  <w:abstractNum w:abstractNumId="73">
    <w:nsid w:val="415E286C"/>
    <w:multiLevelType w:val="hybridMultilevel"/>
    <w:lvl w:ilvl="0">
      <w:lvlJc w:val="left"/>
      <w:lvlText w:val="-"/>
      <w:numFmt w:val="bullet"/>
      <w:start w:val="1"/>
    </w:lvl>
  </w:abstractNum>
  <w:abstractNum w:abstractNumId="74">
    <w:nsid w:val="7C58FD05"/>
    <w:multiLevelType w:val="hybridMultilevel"/>
    <w:lvl w:ilvl="0">
      <w:lvlJc w:val="left"/>
      <w:lvlText w:val="-"/>
      <w:numFmt w:val="bullet"/>
      <w:start w:val="1"/>
    </w:lvl>
  </w:abstractNum>
  <w:abstractNum w:abstractNumId="75">
    <w:nsid w:val="23D86AAC"/>
    <w:multiLevelType w:val="hybridMultilevel"/>
    <w:lvl w:ilvl="0">
      <w:lvlJc w:val="left"/>
      <w:lvlText w:val="-"/>
      <w:numFmt w:val="bullet"/>
      <w:start w:val="1"/>
    </w:lvl>
  </w:abstractNum>
  <w:abstractNum w:abstractNumId="76">
    <w:nsid w:val="45E6D486"/>
    <w:multiLevelType w:val="hybridMultilevel"/>
    <w:lvl w:ilvl="0">
      <w:lvlJc w:val="left"/>
      <w:lvlText w:val="-"/>
      <w:numFmt w:val="bullet"/>
      <w:start w:val="1"/>
    </w:lvl>
    <w:lvl w:ilvl="1">
      <w:lvlJc w:val="left"/>
      <w:lvlText w:val="(%2)"/>
      <w:numFmt w:val="decimal"/>
      <w:start w:val="1"/>
    </w:lvl>
  </w:abstractNum>
  <w:abstractNum w:abstractNumId="77">
    <w:nsid w:val="5C10FE21"/>
    <w:multiLevelType w:val="hybridMultilevel"/>
    <w:lvl w:ilvl="0">
      <w:lvlJc w:val="left"/>
      <w:lvlText w:val="-"/>
      <w:numFmt w:val="bullet"/>
      <w:start w:val="1"/>
    </w:lvl>
  </w:abstractNum>
  <w:abstractNum w:abstractNumId="78">
    <w:nsid w:val="E7FFA2B"/>
    <w:multiLevelType w:val="hybridMultilevel"/>
    <w:lvl w:ilvl="0">
      <w:lvlJc w:val="left"/>
      <w:lvlText w:val="-"/>
      <w:numFmt w:val="bullet"/>
      <w:start w:val="1"/>
    </w:lvl>
  </w:abstractNum>
  <w:abstractNum w:abstractNumId="79">
    <w:nsid w:val="3C5991AA"/>
    <w:multiLevelType w:val="hybridMultilevel"/>
    <w:lvl w:ilvl="0">
      <w:lvlJc w:val="left"/>
      <w:lvlText w:val="-"/>
      <w:numFmt w:val="bullet"/>
      <w:start w:val="1"/>
    </w:lvl>
  </w:abstractNum>
  <w:abstractNum w:abstractNumId="80">
    <w:nsid w:val="4BD8591A"/>
    <w:multiLevelType w:val="hybridMultilevel"/>
    <w:lvl w:ilvl="0">
      <w:lvlJc w:val="left"/>
      <w:lvlText w:val="-"/>
      <w:numFmt w:val="bullet"/>
      <w:start w:val="1"/>
    </w:lvl>
  </w:abstractNum>
  <w:abstractNum w:abstractNumId="81">
    <w:nsid w:val="78DF6A55"/>
    <w:multiLevelType w:val="hybridMultilevel"/>
    <w:lvl w:ilvl="0">
      <w:lvlJc w:val="left"/>
      <w:lvlText w:val="-"/>
      <w:numFmt w:val="bullet"/>
      <w:start w:val="1"/>
    </w:lvl>
  </w:abstractNum>
  <w:abstractNum w:abstractNumId="82">
    <w:nsid w:val="39B7AAA2"/>
    <w:multiLevelType w:val="hybridMultilevel"/>
    <w:lvl w:ilvl="0">
      <w:lvlJc w:val="left"/>
      <w:lvlText w:val="-"/>
      <w:numFmt w:val="bullet"/>
      <w:start w:val="1"/>
    </w:lvl>
  </w:abstractNum>
  <w:abstractNum w:abstractNumId="83">
    <w:nsid w:val="2B0D8DBE"/>
    <w:multiLevelType w:val="hybridMultilevel"/>
    <w:lvl w:ilvl="0">
      <w:lvlJc w:val="left"/>
      <w:lvlText w:val="-"/>
      <w:numFmt w:val="bullet"/>
      <w:start w:val="1"/>
    </w:lvl>
  </w:abstractNum>
  <w:abstractNum w:abstractNumId="84">
    <w:nsid w:val="6C80EC70"/>
    <w:multiLevelType w:val="hybridMultilevel"/>
    <w:lvl w:ilvl="0">
      <w:lvlJc w:val="left"/>
      <w:lvlText w:val="-"/>
      <w:numFmt w:val="bullet"/>
      <w:start w:val="1"/>
    </w:lvl>
  </w:abstractNum>
  <w:abstractNum w:abstractNumId="85">
    <w:nsid w:val="379E21B5"/>
    <w:multiLevelType w:val="hybridMultilevel"/>
    <w:lvl w:ilvl="0">
      <w:lvlJc w:val="left"/>
      <w:lvlText w:val="-"/>
      <w:numFmt w:val="bullet"/>
      <w:start w:val="1"/>
    </w:lvl>
  </w:abstractNum>
  <w:abstractNum w:abstractNumId="86">
    <w:nsid w:val="69E373"/>
    <w:multiLevelType w:val="hybridMultilevel"/>
    <w:lvl w:ilvl="0">
      <w:lvlJc w:val="left"/>
      <w:lvlText w:val="-"/>
      <w:numFmt w:val="bullet"/>
      <w:start w:val="1"/>
    </w:lvl>
  </w:abstractNum>
  <w:abstractNum w:abstractNumId="87">
    <w:nsid w:val="2C27173B"/>
    <w:multiLevelType w:val="hybridMultilevel"/>
    <w:lvl w:ilvl="0">
      <w:lvlJc w:val="left"/>
      <w:lvlText w:val="-"/>
      <w:numFmt w:val="bullet"/>
      <w:start w:val="1"/>
    </w:lvl>
  </w:abstractNum>
  <w:abstractNum w:abstractNumId="88">
    <w:nsid w:val="4C9B0904"/>
    <w:multiLevelType w:val="hybridMultilevel"/>
    <w:lvl w:ilvl="0">
      <w:lvlJc w:val="left"/>
      <w:lvlText w:val="-"/>
      <w:numFmt w:val="bullet"/>
      <w:start w:val="1"/>
    </w:lvl>
  </w:abstractNum>
  <w:abstractNum w:abstractNumId="89">
    <w:nsid w:val="6AA7B75C"/>
    <w:multiLevelType w:val="hybridMultilevel"/>
    <w:lvl w:ilvl="0">
      <w:lvlJc w:val="left"/>
      <w:lvlText w:val="-"/>
      <w:numFmt w:val="bullet"/>
      <w:start w:val="1"/>
    </w:lvl>
  </w:abstractNum>
  <w:abstractNum w:abstractNumId="90">
    <w:nsid w:val="1DF029D3"/>
    <w:multiLevelType w:val="hybridMultilevel"/>
    <w:lvl w:ilvl="0">
      <w:lvlJc w:val="left"/>
      <w:lvlText w:val="-"/>
      <w:numFmt w:val="bullet"/>
      <w:start w:val="1"/>
    </w:lvl>
  </w:abstractNum>
  <w:abstractNum w:abstractNumId="91">
    <w:nsid w:val="5675FF36"/>
    <w:multiLevelType w:val="hybridMultilevel"/>
    <w:lvl w:ilvl="0">
      <w:lvlJc w:val="left"/>
      <w:lvlText w:val="-"/>
      <w:numFmt w:val="bullet"/>
      <w:start w:val="1"/>
    </w:lvl>
  </w:abstractNum>
  <w:abstractNum w:abstractNumId="92">
    <w:nsid w:val="3DD15094"/>
    <w:multiLevelType w:val="hybridMultilevel"/>
    <w:lvl w:ilvl="0">
      <w:lvlJc w:val="left"/>
      <w:lvlText w:val="-"/>
      <w:numFmt w:val="bullet"/>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
      <w:numFmt w:val="bullet"/>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
      <w:numFmt w:val="bullet"/>
      <w:start w:val="1"/>
    </w:lvl>
  </w:abstractNum>
  <w:abstractNum w:abstractNumId="99">
    <w:nsid w:val="34FD6B4F"/>
    <w:multiLevelType w:val="hybridMultilevel"/>
    <w:lvl w:ilvl="0">
      <w:lvlJc w:val="left"/>
      <w:lvlText w:val="-"/>
      <w:numFmt w:val="bullet"/>
      <w:start w:val="1"/>
    </w:lvl>
  </w:abstractNum>
  <w:abstractNum w:abstractNumId="100">
    <w:nsid w:val="5915FF32"/>
    <w:multiLevelType w:val="hybridMultilevel"/>
    <w:lvl w:ilvl="0">
      <w:lvlJc w:val="left"/>
      <w:lvlText w:val="-"/>
      <w:numFmt w:val="bullet"/>
      <w:start w:val="1"/>
    </w:lvl>
  </w:abstractNum>
  <w:abstractNum w:abstractNumId="101">
    <w:nsid w:val="56438D15"/>
    <w:multiLevelType w:val="hybridMultilevel"/>
    <w:lvl w:ilvl="0">
      <w:lvlJc w:val="left"/>
      <w:lvlText w:val="-"/>
      <w:numFmt w:val="bullet"/>
      <w:start w:val="1"/>
    </w:lvl>
  </w:abstractNum>
  <w:abstractNum w:abstractNumId="102">
    <w:nsid w:val="519E3149"/>
    <w:multiLevelType w:val="hybridMultilevel"/>
    <w:lvl w:ilvl="0">
      <w:lvlJc w:val="left"/>
      <w:lvlText w:val="-"/>
      <w:numFmt w:val="bullet"/>
      <w:start w:val="1"/>
    </w:lvl>
  </w:abstractNum>
  <w:abstractNum w:abstractNumId="103">
    <w:nsid w:val="2C6E4AFD"/>
    <w:multiLevelType w:val="hybridMultilevel"/>
    <w:lvl w:ilvl="0">
      <w:lvlJc w:val="left"/>
      <w:lvlText w:val="*"/>
      <w:numFmt w:val="bullet"/>
      <w:start w:val="1"/>
    </w:lvl>
  </w:abstractNum>
  <w:abstractNum w:abstractNumId="104">
    <w:nsid w:val="17A1B582"/>
    <w:multiLevelType w:val="hybridMultilevel"/>
    <w:lvl w:ilvl="0">
      <w:lvlJc w:val="left"/>
      <w:lvlText w:val="**"/>
      <w:numFmt w:val="bullet"/>
      <w:start w:val="1"/>
    </w:lvl>
  </w:abstractNum>
  <w:abstractNum w:abstractNumId="105">
    <w:nsid w:val="4DF72E4E"/>
    <w:multiLevelType w:val="hybridMultilevel"/>
    <w:lvl w:ilvl="0">
      <w:lvlJc w:val="left"/>
      <w:lvlText w:val="-"/>
      <w:numFmt w:val="bullet"/>
      <w:start w:val="1"/>
    </w:lvl>
  </w:abstractNum>
  <w:abstractNum w:abstractNumId="106">
    <w:nsid w:val="5046B5A9"/>
    <w:multiLevelType w:val="hybridMultilevel"/>
    <w:lvl w:ilvl="0">
      <w:lvlJc w:val="left"/>
      <w:lvlText w:val="-"/>
      <w:numFmt w:val="bullet"/>
      <w:start w:val="1"/>
    </w:lvl>
  </w:abstractNum>
  <w:abstractNum w:abstractNumId="107">
    <w:nsid w:val="5D888A08"/>
    <w:multiLevelType w:val="hybridMultilevel"/>
    <w:lvl w:ilvl="0">
      <w:lvlJc w:val="left"/>
      <w:lvlText w:val="-"/>
      <w:numFmt w:val="bullet"/>
      <w:start w:val="1"/>
    </w:lvl>
  </w:abstractNum>
  <w:abstractNum w:abstractNumId="108">
    <w:nsid w:val="2A082C70"/>
    <w:multiLevelType w:val="hybridMultilevel"/>
    <w:lvl w:ilvl="0">
      <w:lvlJc w:val="left"/>
      <w:lvlText w:val="-"/>
      <w:numFmt w:val="bullet"/>
      <w:start w:val="1"/>
    </w:lvl>
  </w:abstractNum>
  <w:abstractNum w:abstractNumId="109">
    <w:nsid w:val="5EC6AFD4"/>
    <w:multiLevelType w:val="hybridMultilevel"/>
    <w:lvl w:ilvl="0">
      <w:lvlJc w:val="left"/>
      <w:lvlText w:val="-"/>
      <w:numFmt w:val="bullet"/>
      <w:start w:val="1"/>
    </w:lvl>
  </w:abstractNum>
  <w:abstractNum w:abstractNumId="110">
    <w:nsid w:val="19E21BB2"/>
    <w:multiLevelType w:val="hybridMultilevel"/>
    <w:lvl w:ilvl="0">
      <w:lvlJc w:val="left"/>
      <w:lvlText w:val="-"/>
      <w:numFmt w:val="bullet"/>
      <w:start w:val="1"/>
    </w:lvl>
  </w:abstractNum>
  <w:abstractNum w:abstractNumId="111">
    <w:nsid w:val="75E0858A"/>
    <w:multiLevelType w:val="hybridMultilevel"/>
    <w:lvl w:ilvl="0">
      <w:lvlJc w:val="left"/>
      <w:lvlText w:val="-"/>
      <w:numFmt w:val="bullet"/>
      <w:start w:val="1"/>
    </w:lvl>
  </w:abstractNum>
  <w:abstractNum w:abstractNumId="112">
    <w:nsid w:val="57A61A29"/>
    <w:multiLevelType w:val="hybridMultilevel"/>
    <w:lvl w:ilvl="0">
      <w:lvlJc w:val="left"/>
      <w:lvlText w:val="-"/>
      <w:numFmt w:val="bullet"/>
      <w:start w:val="1"/>
    </w:lvl>
  </w:abstractNum>
  <w:abstractNum w:abstractNumId="113">
    <w:nsid w:val="5399C654"/>
    <w:multiLevelType w:val="hybridMultilevel"/>
    <w:lvl w:ilvl="0">
      <w:lvlJc w:val="left"/>
      <w:lvlText w:val="-"/>
      <w:numFmt w:val="bullet"/>
      <w:start w:val="1"/>
    </w:lvl>
  </w:abstractNum>
  <w:abstractNum w:abstractNumId="114">
    <w:nsid w:val="20EE1348"/>
    <w:multiLevelType w:val="hybridMultilevel"/>
    <w:lvl w:ilvl="0">
      <w:lvlJc w:val="left"/>
      <w:lvlText w:val="-"/>
      <w:numFmt w:val="bullet"/>
      <w:start w:val="1"/>
    </w:lvl>
  </w:abstractNum>
  <w:abstractNum w:abstractNumId="115">
    <w:nsid w:val="4427069A"/>
    <w:multiLevelType w:val="hybridMultilevel"/>
    <w:lvl w:ilvl="0">
      <w:lvlJc w:val="left"/>
      <w:lvlText w:val="-"/>
      <w:numFmt w:val="bullet"/>
      <w:start w:val="1"/>
    </w:lvl>
  </w:abstractNum>
  <w:abstractNum w:abstractNumId="116">
    <w:nsid w:val="B37E80A"/>
    <w:multiLevelType w:val="hybridMultilevel"/>
    <w:lvl w:ilvl="0">
      <w:lvlJc w:val="left"/>
      <w:lvlText w:val="-"/>
      <w:numFmt w:val="bullet"/>
      <w:start w:val="1"/>
    </w:lvl>
  </w:abstractNum>
  <w:abstractNum w:abstractNumId="117">
    <w:nsid w:val="2157F6BC"/>
    <w:multiLevelType w:val="hybridMultilevel"/>
    <w:lvl w:ilvl="0">
      <w:lvlJc w:val="left"/>
      <w:lvlText w:val="-"/>
      <w:numFmt w:val="bullet"/>
      <w:start w:val="1"/>
    </w:lvl>
  </w:abstractNum>
  <w:abstractNum w:abstractNumId="118">
    <w:nsid w:val="704E1DD5"/>
    <w:multiLevelType w:val="hybridMultilevel"/>
    <w:lvl w:ilvl="0">
      <w:lvlJc w:val="left"/>
      <w:lvlText w:val="-"/>
      <w:numFmt w:val="bullet"/>
      <w:start w:val="1"/>
    </w:lvl>
  </w:abstractNum>
  <w:abstractNum w:abstractNumId="119">
    <w:nsid w:val="57D2F10E"/>
    <w:multiLevelType w:val="hybridMultilevel"/>
    <w:lvl w:ilvl="0">
      <w:lvlJc w:val="left"/>
      <w:lvlText w:val="-"/>
      <w:numFmt w:val="bullet"/>
      <w:start w:val="1"/>
    </w:lvl>
  </w:abstractNum>
  <w:abstractNum w:abstractNumId="120">
    <w:nsid w:val="BFFAE18"/>
    <w:multiLevelType w:val="hybridMultilevel"/>
    <w:lvl w:ilvl="0">
      <w:lvlJc w:val="left"/>
      <w:lvlText w:val="-"/>
      <w:numFmt w:val="bullet"/>
      <w:start w:val="1"/>
    </w:lvl>
  </w:abstractNum>
  <w:abstractNum w:abstractNumId="121">
    <w:nsid w:val="E3E47A8"/>
    <w:multiLevelType w:val="hybridMultilevel"/>
    <w:lvl w:ilvl="0">
      <w:lvlJc w:val="left"/>
      <w:lvlText w:val="-"/>
      <w:numFmt w:val="bullet"/>
      <w:start w:val="1"/>
    </w:lvl>
  </w:abstractNum>
  <w:abstractNum w:abstractNumId="122">
    <w:nsid w:val="2E48F044"/>
    <w:multiLevelType w:val="hybridMultilevel"/>
    <w:lvl w:ilvl="0">
      <w:lvlJc w:val="left"/>
      <w:lvlText w:val="-"/>
      <w:numFmt w:val="bullet"/>
      <w:start w:val="1"/>
    </w:lvl>
  </w:abstractNum>
  <w:abstractNum w:abstractNumId="123">
    <w:nsid w:val="49D0FEAC"/>
    <w:multiLevelType w:val="hybridMultilevel"/>
    <w:lvl w:ilvl="0">
      <w:lvlJc w:val="left"/>
      <w:lvlText w:val="-"/>
      <w:numFmt w:val="bullet"/>
      <w:start w:val="1"/>
    </w:lvl>
  </w:abstractNum>
  <w:abstractNum w:abstractNumId="124">
    <w:nsid w:val="4BEE5A5B"/>
    <w:multiLevelType w:val="hybridMultilevel"/>
    <w:lvl w:ilvl="0">
      <w:lvlJc w:val="left"/>
      <w:lvlText w:val="-"/>
      <w:numFmt w:val="bullet"/>
      <w:start w:val="1"/>
    </w:lvl>
  </w:abstractNum>
  <w:abstractNum w:abstractNumId="125">
    <w:nsid w:val="5551B9F3"/>
    <w:multiLevelType w:val="hybridMultilevel"/>
    <w:lvl w:ilvl="0">
      <w:lvlJc w:val="left"/>
      <w:lvlText w:val="-"/>
      <w:numFmt w:val="bullet"/>
      <w:start w:val="1"/>
    </w:lvl>
  </w:abstractNum>
  <w:abstractNum w:abstractNumId="126">
    <w:nsid w:val="24F6AB8E"/>
    <w:multiLevelType w:val="hybridMultilevel"/>
    <w:lvl w:ilvl="0">
      <w:lvlJc w:val="left"/>
      <w:lvlText w:val="-"/>
      <w:numFmt w:val="bullet"/>
      <w:start w:val="1"/>
    </w:lvl>
  </w:abstractNum>
  <w:abstractNum w:abstractNumId="127">
    <w:nsid w:val="634C574C"/>
    <w:multiLevelType w:val="hybridMultilevel"/>
    <w:lvl w:ilvl="0">
      <w:lvlJc w:val="left"/>
      <w:lvlText w:val="-"/>
      <w:numFmt w:val="bullet"/>
      <w:start w:val="1"/>
    </w:lvl>
  </w:abstractNum>
  <w:abstractNum w:abstractNumId="128">
    <w:nsid w:val="24E99DD7"/>
    <w:multiLevelType w:val="hybridMultilevel"/>
    <w:lvl w:ilvl="0">
      <w:lvlJc w:val="left"/>
      <w:lvlText w:val="-"/>
      <w:numFmt w:val="bullet"/>
      <w:start w:val="1"/>
    </w:lvl>
  </w:abstractNum>
  <w:abstractNum w:abstractNumId="129">
    <w:nsid w:val="2A31B62D"/>
    <w:multiLevelType w:val="hybridMultilevel"/>
    <w:lvl w:ilvl="0">
      <w:lvlJc w:val="left"/>
      <w:lvlText w:val="-"/>
      <w:numFmt w:val="bullet"/>
      <w:start w:val="1"/>
    </w:lvl>
  </w:abstractNum>
  <w:abstractNum w:abstractNumId="130">
    <w:nsid w:val="1849C29B"/>
    <w:multiLevelType w:val="hybridMultilevel"/>
    <w:lvl w:ilvl="0">
      <w:lvlJc w:val="left"/>
      <w:lvlText w:val="-"/>
      <w:numFmt w:val="bullet"/>
      <w:start w:val="1"/>
    </w:lvl>
  </w:abstractNum>
  <w:abstractNum w:abstractNumId="131">
    <w:nsid w:val="7DFF9D09"/>
    <w:multiLevelType w:val="hybridMultilevel"/>
    <w:lvl w:ilvl="0">
      <w:lvlJc w:val="left"/>
      <w:lvlText w:val="-"/>
      <w:numFmt w:val="bullet"/>
      <w:start w:val="1"/>
    </w:lvl>
  </w:abstractNum>
  <w:abstractNum w:abstractNumId="132">
    <w:nsid w:val="754342"/>
    <w:multiLevelType w:val="hybridMultilevel"/>
    <w:lvl w:ilvl="0">
      <w:lvlJc w:val="left"/>
      <w:lvlText w:val="-"/>
      <w:numFmt w:val="bullet"/>
      <w:start w:val="1"/>
    </w:lvl>
  </w:abstractNum>
  <w:abstractNum w:abstractNumId="133">
    <w:nsid w:val="69E7F3E5"/>
    <w:multiLevelType w:val="hybridMultilevel"/>
    <w:lvl w:ilvl="0">
      <w:lvlJc w:val="left"/>
      <w:lvlText w:val="-"/>
      <w:numFmt w:val="bullet"/>
      <w:start w:val="1"/>
    </w:lvl>
  </w:abstractNum>
  <w:abstractNum w:abstractNumId="134">
    <w:nsid w:val="2A6DE806"/>
    <w:multiLevelType w:val="hybridMultilevel"/>
    <w:lvl w:ilvl="0">
      <w:lvlJc w:val="left"/>
      <w:lvlText w:val="-"/>
      <w:numFmt w:val="bullet"/>
      <w:start w:val="1"/>
    </w:lvl>
  </w:abstractNum>
  <w:abstractNum w:abstractNumId="135">
    <w:nsid w:val="1816F8C4"/>
    <w:multiLevelType w:val="hybridMultilevel"/>
    <w:lvl w:ilvl="0">
      <w:lvlJc w:val="left"/>
      <w:lvlText w:val="-"/>
      <w:numFmt w:val="bullet"/>
      <w:start w:val="1"/>
    </w:lvl>
  </w:abstractNum>
  <w:abstractNum w:abstractNumId="136">
    <w:nsid w:val="37DF2233"/>
    <w:multiLevelType w:val="hybridMultilevel"/>
    <w:lvl w:ilvl="0">
      <w:lvlJc w:val="left"/>
      <w:lvlText w:val="-"/>
      <w:numFmt w:val="bullet"/>
      <w:start w:val="1"/>
    </w:lvl>
  </w:abstractNum>
  <w:abstractNum w:abstractNumId="137">
    <w:nsid w:val="7AB49DAF"/>
    <w:multiLevelType w:val="hybridMultilevel"/>
    <w:lvl w:ilvl="0">
      <w:lvlJc w:val="left"/>
      <w:lvlText w:val="-"/>
      <w:numFmt w:val="bullet"/>
      <w:start w:val="1"/>
    </w:lvl>
  </w:abstractNum>
  <w:abstractNum w:abstractNumId="138">
    <w:nsid w:val="759F82CD"/>
    <w:multiLevelType w:val="hybridMultilevel"/>
    <w:lvl w:ilvl="0">
      <w:lvlJc w:val="left"/>
      <w:lvlText w:val="-"/>
      <w:numFmt w:val="bullet"/>
      <w:start w:val="1"/>
    </w:lvl>
  </w:abstractNum>
  <w:abstractNum w:abstractNumId="139">
    <w:nsid w:val="61E74EA3"/>
    <w:multiLevelType w:val="hybridMultilevel"/>
    <w:lvl w:ilvl="0">
      <w:lvlJc w:val="left"/>
      <w:lvlText w:val="-"/>
      <w:numFmt w:val="bullet"/>
      <w:start w:val="1"/>
    </w:lvl>
  </w:abstractNum>
  <w:abstractNum w:abstractNumId="140">
    <w:nsid w:val="597B4D84"/>
    <w:multiLevelType w:val="hybridMultilevel"/>
    <w:lvl w:ilvl="0">
      <w:lvlJc w:val="left"/>
      <w:lvlText w:val="-"/>
      <w:numFmt w:val="bullet"/>
      <w:start w:val="1"/>
    </w:lvl>
  </w:abstractNum>
  <w:abstractNum w:abstractNumId="141">
    <w:nsid w:val="F819E7F"/>
    <w:multiLevelType w:val="hybridMultilevel"/>
    <w:lvl w:ilvl="0">
      <w:lvlJc w:val="left"/>
      <w:lvlText w:val="-"/>
      <w:numFmt w:val="bullet"/>
      <w:start w:val="1"/>
    </w:lvl>
  </w:abstractNum>
  <w:abstractNum w:abstractNumId="142">
    <w:nsid w:val="57C7D42D"/>
    <w:multiLevelType w:val="hybridMultilevel"/>
    <w:lvl w:ilvl="0">
      <w:lvlJc w:val="left"/>
      <w:lvlText w:val="-"/>
      <w:numFmt w:val="bullet"/>
      <w:start w:val="1"/>
    </w:lvl>
  </w:abstractNum>
  <w:abstractNum w:abstractNumId="143">
    <w:nsid w:val="312167AD"/>
    <w:multiLevelType w:val="hybridMultilevel"/>
    <w:lvl w:ilvl="0">
      <w:lvlJc w:val="left"/>
      <w:lvlText w:val="-"/>
      <w:numFmt w:val="bullet"/>
      <w:start w:val="1"/>
    </w:lvl>
  </w:abstractNum>
  <w:abstractNum w:abstractNumId="144">
    <w:nsid w:val="631B64D4"/>
    <w:multiLevelType w:val="hybridMultilevel"/>
    <w:lvl w:ilvl="0">
      <w:lvlJc w:val="left"/>
      <w:lvlText w:val="-"/>
      <w:numFmt w:val="bullet"/>
      <w:start w:val="1"/>
    </w:lvl>
  </w:abstractNum>
  <w:abstractNum w:abstractNumId="145">
    <w:nsid w:val="78B5E776"/>
    <w:multiLevelType w:val="hybridMultilevel"/>
    <w:lvl w:ilvl="0">
      <w:lvlJc w:val="left"/>
      <w:lvlText w:val="-"/>
      <w:numFmt w:val="bullet"/>
      <w:start w:val="1"/>
    </w:lvl>
  </w:abstractNum>
  <w:abstractNum w:abstractNumId="146">
    <w:nsid w:val="75486E47"/>
    <w:multiLevelType w:val="hybridMultilevel"/>
    <w:lvl w:ilvl="0">
      <w:lvlJc w:val="left"/>
      <w:lvlText w:val="-"/>
      <w:numFmt w:val="bullet"/>
      <w:start w:val="1"/>
    </w:lvl>
  </w:abstractNum>
  <w:abstractNum w:abstractNumId="147">
    <w:nsid w:val="6E534CDE"/>
    <w:multiLevelType w:val="hybridMultilevel"/>
    <w:lvl w:ilvl="0">
      <w:lvlJc w:val="left"/>
      <w:lvlText w:val="-"/>
      <w:numFmt w:val="bullet"/>
      <w:start w:val="1"/>
    </w:lvl>
  </w:abstractNum>
  <w:abstractNum w:abstractNumId="148">
    <w:nsid w:val="1A0DDE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2019-12-13T13:39:10Z</dcterms:created>
  <dcterms:modified xsi:type="dcterms:W3CDTF">2019-12-13T13:39:10Z</dcterms:modified>
</cp:coreProperties>
</file>