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DRAZAN MICHAEL 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03/13/2013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63"/>
        <w:spacing w:after="0"/>
        <w:rPr>
          <w:sz w:val="20"/>
          <w:szCs w:val="20"/>
          <w:color w:val="auto"/>
        </w:rPr>
      </w:pPr>
      <w:r>
        <w:rPr>
          <w:rFonts w:ascii="Arial" w:cs="Arial" w:eastAsia="Arial" w:hAnsi="Arial"/>
          <w:sz w:val="18"/>
          <w:szCs w:val="18"/>
          <w:color w:val="0000FF"/>
        </w:rPr>
        <w:t>VP, Global Micro Irrigation</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4"/>
                <w:szCs w:val="14"/>
                <w:color w:val="auto"/>
              </w:rPr>
            </w:pPr>
          </w:p>
        </w:tc>
        <w:tc>
          <w:tcPr>
            <w:tcW w:w="18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3"/>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60"/>
              <w:spacing w:after="0" w:line="135"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620" w:type="dxa"/>
            <w:vAlign w:val="bottom"/>
            <w:gridSpan w:val="2"/>
          </w:tcPr>
          <w:p>
            <w:pPr>
              <w:ind w:left="700"/>
              <w:spacing w:after="0"/>
              <w:rPr>
                <w:sz w:val="20"/>
                <w:szCs w:val="20"/>
                <w:color w:val="auto"/>
              </w:rPr>
            </w:pPr>
            <w:r>
              <w:rPr>
                <w:rFonts w:ascii="Arial" w:cs="Arial" w:eastAsia="Arial" w:hAnsi="Arial"/>
                <w:sz w:val="18"/>
                <w:szCs w:val="18"/>
                <w:color w:val="0000FF"/>
                <w:w w:val="99"/>
              </w:rPr>
              <w:t>03/13/2013</w:t>
            </w: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40" w:type="dxa"/>
            <w:vAlign w:val="bottom"/>
          </w:tcPr>
          <w:p>
            <w:pPr>
              <w:ind w:left="180"/>
              <w:spacing w:after="0"/>
              <w:rPr>
                <w:sz w:val="20"/>
                <w:szCs w:val="20"/>
                <w:color w:val="auto"/>
              </w:rPr>
            </w:pPr>
            <w:r>
              <w:rPr>
                <w:rFonts w:ascii="Arial" w:cs="Arial" w:eastAsia="Arial" w:hAnsi="Arial"/>
                <w:sz w:val="14"/>
                <w:szCs w:val="14"/>
                <w:color w:val="0000FF"/>
              </w:rPr>
              <w:t>G</w:t>
            </w:r>
          </w:p>
        </w:tc>
        <w:tc>
          <w:tcPr>
            <w:tcW w:w="360" w:type="dxa"/>
            <w:vAlign w:val="bottom"/>
          </w:tcPr>
          <w:p>
            <w:pPr>
              <w:ind w:left="140"/>
              <w:spacing w:after="0"/>
              <w:rPr>
                <w:sz w:val="20"/>
                <w:szCs w:val="20"/>
                <w:color w:val="auto"/>
              </w:rPr>
            </w:pPr>
            <w:r>
              <w:rPr>
                <w:rFonts w:ascii="Arial" w:cs="Arial" w:eastAsia="Arial" w:hAnsi="Arial"/>
                <w:sz w:val="14"/>
                <w:szCs w:val="14"/>
                <w:color w:val="0000FF"/>
              </w:rPr>
              <w:t>V</w:t>
            </w:r>
          </w:p>
        </w:tc>
        <w:tc>
          <w:tcPr>
            <w:tcW w:w="740" w:type="dxa"/>
            <w:vAlign w:val="bottom"/>
          </w:tcPr>
          <w:p>
            <w:pPr>
              <w:ind w:left="280"/>
              <w:spacing w:after="0"/>
              <w:rPr>
                <w:sz w:val="20"/>
                <w:szCs w:val="20"/>
                <w:color w:val="auto"/>
              </w:rPr>
            </w:pPr>
            <w:r>
              <w:rPr>
                <w:rFonts w:ascii="Arial" w:cs="Arial" w:eastAsia="Arial" w:hAnsi="Arial"/>
                <w:sz w:val="18"/>
                <w:szCs w:val="18"/>
                <w:color w:val="0000FF"/>
              </w:rPr>
              <w:t>315</w:t>
            </w:r>
          </w:p>
        </w:tc>
        <w:tc>
          <w:tcPr>
            <w:tcW w:w="500" w:type="dxa"/>
            <w:vAlign w:val="bottom"/>
          </w:tcPr>
          <w:p>
            <w:pPr>
              <w:ind w:left="280"/>
              <w:spacing w:after="0"/>
              <w:rPr>
                <w:sz w:val="20"/>
                <w:szCs w:val="20"/>
                <w:color w:val="auto"/>
              </w:rPr>
            </w:pPr>
            <w:r>
              <w:rPr>
                <w:rFonts w:ascii="Arial" w:cs="Arial" w:eastAsia="Arial" w:hAnsi="Arial"/>
                <w:sz w:val="18"/>
                <w:szCs w:val="18"/>
                <w:color w:val="0000FF"/>
              </w:rPr>
              <w:t>D</w:t>
            </w:r>
          </w:p>
        </w:tc>
        <w:tc>
          <w:tcPr>
            <w:tcW w:w="600" w:type="dxa"/>
            <w:vAlign w:val="bottom"/>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40" w:type="dxa"/>
            <w:vAlign w:val="bottom"/>
          </w:tcPr>
          <w:p>
            <w:pPr>
              <w:spacing w:after="0"/>
              <w:rPr>
                <w:sz w:val="23"/>
                <w:szCs w:val="23"/>
                <w:color w:val="auto"/>
              </w:rPr>
            </w:pPr>
          </w:p>
        </w:tc>
        <w:tc>
          <w:tcPr>
            <w:tcW w:w="1340" w:type="dxa"/>
            <w:vAlign w:val="bottom"/>
            <w:gridSpan w:val="3"/>
          </w:tcPr>
          <w:p>
            <w:pPr>
              <w:jc w:val="center"/>
              <w:spacing w:after="0"/>
              <w:rPr>
                <w:sz w:val="20"/>
                <w:szCs w:val="20"/>
                <w:color w:val="auto"/>
              </w:rPr>
            </w:pPr>
            <w:r>
              <w:rPr>
                <w:rFonts w:ascii="Arial" w:cs="Arial" w:eastAsia="Arial" w:hAnsi="Arial"/>
                <w:sz w:val="18"/>
                <w:szCs w:val="18"/>
                <w:color w:val="0000FF"/>
                <w:w w:val="87"/>
              </w:rPr>
              <w:t>50,233</w:t>
            </w:r>
          </w:p>
        </w:tc>
        <w:tc>
          <w:tcPr>
            <w:tcW w:w="300" w:type="dxa"/>
            <w:vAlign w:val="bottom"/>
          </w:tcPr>
          <w:p>
            <w:pPr>
              <w:spacing w:after="0"/>
              <w:rPr>
                <w:sz w:val="23"/>
                <w:szCs w:val="23"/>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0000FF"/>
              </w:rPr>
              <w:t>D</w:t>
            </w: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3"/>
          </w:tcPr>
          <w:p>
            <w:pPr>
              <w:jc w:val="center"/>
              <w:spacing w:after="0" w:line="217" w:lineRule="exact"/>
              <w:rPr>
                <w:sz w:val="20"/>
                <w:szCs w:val="20"/>
                <w:color w:val="auto"/>
              </w:rPr>
            </w:pPr>
            <w:r>
              <w:rPr>
                <w:rFonts w:ascii="Arial" w:cs="Arial" w:eastAsia="Arial" w:hAnsi="Arial"/>
                <w:sz w:val="18"/>
                <w:szCs w:val="18"/>
                <w:color w:val="0000FF"/>
                <w:w w:val="85"/>
              </w:rPr>
              <w:t>4,395.533</w:t>
            </w:r>
            <w:r>
              <w:rPr>
                <w:rFonts w:ascii="Arial" w:cs="Arial" w:eastAsia="Arial" w:hAnsi="Arial"/>
                <w:sz w:val="22"/>
                <w:szCs w:val="22"/>
                <w:color w:val="008000"/>
                <w:w w:val="85"/>
                <w:vertAlign w:val="superscript"/>
              </w:rPr>
              <w:t>(1)</w:t>
            </w:r>
          </w:p>
        </w:tc>
        <w:tc>
          <w:tcPr>
            <w:tcW w:w="30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w w:val="96"/>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1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5"/>
              </w:rPr>
              <w:t>26,841.322</w:t>
            </w:r>
            <w:r>
              <w:rPr>
                <w:rFonts w:ascii="Arial" w:cs="Arial" w:eastAsia="Arial" w:hAnsi="Arial"/>
                <w:sz w:val="22"/>
                <w:szCs w:val="22"/>
                <w:color w:val="008000"/>
                <w:w w:val="85"/>
                <w:vertAlign w:val="superscript"/>
              </w:rPr>
              <w:t>(2)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the following shares of common stock acquired by the reporting person since the date of his last report: 14.074 shares acquired under the dividend reinvestment feature of The Toro Company Investment, Savings &amp; ESOP (IS&amp;ESOP); and 78.014 shares acquired through issuer annual investment fund contributions to the IS&amp;ESOP.</w:t>
      </w:r>
    </w:p>
    <w:p>
      <w:pPr>
        <w:spacing w:after="0" w:line="30" w:lineRule="exact"/>
        <w:rPr>
          <w:rFonts w:ascii="Arial" w:cs="Arial" w:eastAsia="Arial" w:hAnsi="Arial"/>
          <w:sz w:val="14"/>
          <w:szCs w:val="14"/>
          <w:color w:val="008000"/>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87.581 performance share units acquired by the reporting person under the dividend reinvestment feature of The Toro Company Deferred Compensation Plan for Officers since the date of his last report.</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03/20/2013</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9370"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2019-12-17T01:01:04Z</dcterms:created>
  <dcterms:modified xsi:type="dcterms:W3CDTF">2019-12-17T01:01:04Z</dcterms:modified>
</cp:coreProperties>
</file>