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9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37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6"/>
          <w:szCs w:val="16"/>
          <w:color w:val="auto"/>
        </w:rPr>
        <w:t>UNDER THE SECURITIES EXCHANGE ACT OF 1934</w:t>
      </w:r>
    </w:p>
    <w:p>
      <w:pPr>
        <w:sectPr>
          <w:pgSz w:w="11900" w:h="16838" w:orient="portrait"/>
          <w:cols w:equalWidth="0" w:num="1">
            <w:col w:w="10219"/>
          </w:cols>
          <w:pgMar w:left="240" w:top="623" w:right="1440" w:bottom="1440" w:gutter="0" w:footer="0" w:header="0"/>
        </w:sectPr>
      </w:pPr>
    </w:p>
    <w:p>
      <w:pPr>
        <w:spacing w:after="0" w:line="224" w:lineRule="exact"/>
        <w:rPr>
          <w:sz w:val="24"/>
          <w:szCs w:val="24"/>
          <w:color w:val="auto"/>
        </w:rPr>
      </w:pPr>
    </w:p>
    <w:p>
      <w:pPr>
        <w:ind w:left="2860"/>
        <w:spacing w:after="0"/>
        <w:rPr>
          <w:sz w:val="20"/>
          <w:szCs w:val="20"/>
          <w:color w:val="auto"/>
        </w:rPr>
      </w:pPr>
      <w:r>
        <w:rPr>
          <w:rFonts w:ascii="Courier New" w:cs="Courier New" w:eastAsia="Courier New" w:hAnsi="Courier New"/>
          <w:sz w:val="16"/>
          <w:szCs w:val="16"/>
          <w:color w:val="auto"/>
        </w:rPr>
        <w:t>(AMENDMENT NO.</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3</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03" w:lineRule="exact"/>
        <w:rPr>
          <w:sz w:val="24"/>
          <w:szCs w:val="24"/>
          <w:color w:val="auto"/>
        </w:rPr>
      </w:pPr>
    </w:p>
    <w:p>
      <w:pPr>
        <w:sectPr>
          <w:pgSz w:w="11900" w:h="16838" w:orient="portrait"/>
          <w:cols w:equalWidth="0" w:num="3">
            <w:col w:w="4320" w:space="0"/>
            <w:col w:w="840" w:space="0"/>
            <w:col w:w="5059"/>
          </w:cols>
          <w:pgMar w:left="240" w:top="623" w:right="1440" w:bottom="1440" w:gutter="0" w:footer="0" w:header="0"/>
          <w:type w:val="continuous"/>
        </w:sectPr>
      </w:pPr>
    </w:p>
    <w:p>
      <w:pPr>
        <w:ind w:left="3580"/>
        <w:spacing w:after="0"/>
        <w:rPr>
          <w:sz w:val="20"/>
          <w:szCs w:val="20"/>
          <w:color w:val="auto"/>
        </w:rPr>
      </w:pPr>
      <w:r>
        <w:rPr>
          <w:rFonts w:ascii="Courier New" w:cs="Courier New" w:eastAsia="Courier New" w:hAnsi="Courier New"/>
          <w:sz w:val="16"/>
          <w:szCs w:val="16"/>
          <w:color w:val="auto"/>
        </w:rPr>
        <w:t>Toro Company</w:t>
      </w:r>
    </w:p>
    <w:p>
      <w:pPr>
        <w:sectPr>
          <w:pgSz w:w="11900" w:h="16838" w:orient="portrait"/>
          <w:cols w:equalWidth="0" w:num="1">
            <w:col w:w="10219"/>
          </w:cols>
          <w:pgMar w:left="240" w:top="623" w:right="1440" w:bottom="1440" w:gutter="0" w:footer="0" w:header="0"/>
          <w:type w:val="continuous"/>
        </w:sectPr>
      </w:pPr>
    </w:p>
    <w:p>
      <w:pPr>
        <w:spacing w:after="0" w:line="7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891092-10-8</w:t>
      </w:r>
    </w:p>
    <w:p>
      <w:pPr>
        <w:spacing w:after="0" w:line="29"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___________</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372" w:lineRule="exact"/>
        <w:rPr>
          <w:sz w:val="24"/>
          <w:szCs w:val="24"/>
          <w:color w:val="auto"/>
        </w:rPr>
      </w:pPr>
    </w:p>
    <w:p>
      <w:pPr>
        <w:ind w:right="1879"/>
        <w:spacing w:after="0" w:line="260" w:lineRule="auto"/>
        <w:rPr>
          <w:sz w:val="20"/>
          <w:szCs w:val="20"/>
          <w:color w:val="auto"/>
        </w:rPr>
      </w:pPr>
      <w:r>
        <w:rPr>
          <w:rFonts w:ascii="Courier New" w:cs="Courier New" w:eastAsia="Courier New" w:hAnsi="Courier New"/>
          <w:sz w:val="18"/>
          <w:szCs w:val="18"/>
          <w:color w:val="auto"/>
        </w:rPr>
        <w:t>Check the following box if a fee is being paid with this statement [_]. (A fee is not required only if the filing person: (I) has a previous statement on file reporting beneficial ownership of more than five percent of the class of securities described in Item l; and (2) has filed no amendment subsequent thereto reporting beneficial ownership of five percent or less of such class.) (See Rule 13d-7).</w:t>
      </w:r>
    </w:p>
    <w:p>
      <w:pPr>
        <w:spacing w:after="0" w:line="93" w:lineRule="exact"/>
        <w:rPr>
          <w:sz w:val="24"/>
          <w:szCs w:val="24"/>
          <w:color w:val="auto"/>
        </w:rPr>
      </w:pPr>
    </w:p>
    <w:p>
      <w:pPr>
        <w:ind w:right="1779"/>
        <w:spacing w:after="0" w:line="274"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2" w:lineRule="exact"/>
        <w:rPr>
          <w:sz w:val="24"/>
          <w:szCs w:val="24"/>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90"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PAGE 1 OF 6 PAGES</w:t>
      </w:r>
    </w:p>
    <w:p>
      <w:pPr>
        <w:sectPr>
          <w:pgSz w:w="11900" w:h="16838" w:orient="portrait"/>
          <w:cols w:equalWidth="0" w:num="1">
            <w:col w:w="10219"/>
          </w:cols>
          <w:pgMar w:left="240" w:top="623"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328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1940" w:type="dxa"/>
            <w:vAlign w:val="bottom"/>
            <w:vMerge w:val="restart"/>
          </w:tcPr>
          <w:p>
            <w:pPr>
              <w:ind w:left="780"/>
              <w:spacing w:after="0"/>
              <w:rPr>
                <w:sz w:val="20"/>
                <w:szCs w:val="20"/>
                <w:color w:val="auto"/>
              </w:rPr>
            </w:pPr>
            <w:r>
              <w:rPr>
                <w:rFonts w:ascii="Courier New" w:cs="Courier New" w:eastAsia="Courier New" w:hAnsi="Courier New"/>
                <w:sz w:val="18"/>
                <w:szCs w:val="18"/>
                <w:color w:val="auto"/>
              </w:rPr>
              <w:t>13G</w:t>
            </w:r>
          </w:p>
        </w:tc>
        <w:tc>
          <w:tcPr>
            <w:tcW w:w="3060" w:type="dxa"/>
            <w:vAlign w:val="bottom"/>
          </w:tcPr>
          <w:p>
            <w:pPr>
              <w:ind w:left="840"/>
              <w:spacing w:after="0"/>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2"/>
              </w:rPr>
              <w:t>-</w:t>
            </w:r>
          </w:p>
        </w:tc>
        <w:tc>
          <w:tcPr>
            <w:tcW w:w="3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CUSIP NO. 891092-10-8</w:t>
            </w:r>
          </w:p>
        </w:tc>
        <w:tc>
          <w:tcPr>
            <w:tcW w:w="1940" w:type="dxa"/>
            <w:vAlign w:val="bottom"/>
            <w:vMerge w:val="continue"/>
          </w:tcPr>
          <w:p>
            <w:pPr>
              <w:spacing w:after="0"/>
              <w:rPr>
                <w:sz w:val="17"/>
                <w:szCs w:val="17"/>
                <w:color w:val="auto"/>
              </w:rPr>
            </w:pPr>
          </w:p>
        </w:tc>
        <w:tc>
          <w:tcPr>
            <w:tcW w:w="30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PAGE 2 OF 6 PAGES</w:t>
            </w:r>
          </w:p>
        </w:tc>
        <w:tc>
          <w:tcPr>
            <w:tcW w:w="0" w:type="dxa"/>
            <w:vAlign w:val="bottom"/>
          </w:tcPr>
          <w:p>
            <w:pPr>
              <w:spacing w:after="0"/>
              <w:rPr>
                <w:sz w:val="1"/>
                <w:szCs w:val="1"/>
                <w:color w:val="auto"/>
              </w:rPr>
            </w:pPr>
          </w:p>
        </w:tc>
      </w:tr>
      <w:tr>
        <w:trPr>
          <w:trHeight w:val="296"/>
        </w:trPr>
        <w:tc>
          <w:tcPr>
            <w:tcW w:w="160" w:type="dxa"/>
            <w:vAlign w:val="bottom"/>
            <w:vMerge w:val="continue"/>
          </w:tcPr>
          <w:p>
            <w:pPr>
              <w:spacing w:after="0"/>
              <w:rPr>
                <w:sz w:val="24"/>
                <w:szCs w:val="24"/>
                <w:color w:val="auto"/>
              </w:rPr>
            </w:pPr>
          </w:p>
        </w:tc>
        <w:tc>
          <w:tcPr>
            <w:tcW w:w="328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1940" w:type="dxa"/>
            <w:vAlign w:val="bottom"/>
          </w:tcPr>
          <w:p>
            <w:pPr>
              <w:spacing w:after="0"/>
              <w:rPr>
                <w:sz w:val="24"/>
                <w:szCs w:val="24"/>
                <w:color w:val="auto"/>
              </w:rPr>
            </w:pPr>
          </w:p>
        </w:tc>
        <w:tc>
          <w:tcPr>
            <w:tcW w:w="3060" w:type="dxa"/>
            <w:vAlign w:val="bottom"/>
          </w:tcPr>
          <w:p>
            <w:pPr>
              <w:ind w:left="840"/>
              <w:spacing w:after="0"/>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REPORTING PERSON S.S. OR I.R.S.</w:t>
      </w:r>
    </w:p>
    <w:p>
      <w:pPr>
        <w:ind w:left="640" w:right="5999" w:hanging="527"/>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1IDENTIFICATION NO. OF ABOVE PERSON First Bank System Inc.</w:t>
      </w:r>
    </w:p>
    <w:p>
      <w:pPr>
        <w:ind w:left="640" w:right="683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601 2nd Ave. South Minneapolis, MN 55402-4302 Tax I.D. No.: 41-0255900</w:t>
      </w: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THE APPROPRIATE BOX IF A MEMBER OF A GROUP</w:t>
      </w:r>
    </w:p>
    <w:tbl>
      <w:tblPr>
        <w:tblLayout w:type="fixed"/>
        <w:tblInd w:w="120" w:type="dxa"/>
        <w:tblCellMar>
          <w:top w:w="0" w:type="dxa"/>
          <w:left w:w="0" w:type="dxa"/>
          <w:bottom w:w="0" w:type="dxa"/>
          <w:right w:w="0" w:type="dxa"/>
        </w:tblCellMar>
      </w:tblPr>
      <w:tr>
        <w:trPr>
          <w:trHeight w:val="171"/>
        </w:trPr>
        <w:tc>
          <w:tcPr>
            <w:tcW w:w="3360" w:type="dxa"/>
            <w:vAlign w:val="bottom"/>
          </w:tcPr>
          <w:p>
            <w:pPr>
              <w:jc w:val="right"/>
              <w:ind w:right="3172"/>
              <w:spacing w:after="0" w:line="171" w:lineRule="exact"/>
              <w:rPr>
                <w:sz w:val="20"/>
                <w:szCs w:val="20"/>
                <w:color w:val="auto"/>
              </w:rPr>
            </w:pPr>
            <w:r>
              <w:rPr>
                <w:rFonts w:ascii="Courier New" w:cs="Courier New" w:eastAsia="Courier New" w:hAnsi="Courier New"/>
                <w:sz w:val="18"/>
                <w:szCs w:val="18"/>
                <w:color w:val="auto"/>
                <w:w w:val="73"/>
              </w:rPr>
              <w:t>2</w:t>
            </w:r>
          </w:p>
        </w:tc>
        <w:tc>
          <w:tcPr>
            <w:tcW w:w="3640" w:type="dxa"/>
            <w:vAlign w:val="bottom"/>
          </w:tcPr>
          <w:p>
            <w:pPr>
              <w:ind w:left="3260"/>
              <w:spacing w:after="0" w:line="171" w:lineRule="exact"/>
              <w:rPr>
                <w:sz w:val="20"/>
                <w:szCs w:val="20"/>
                <w:color w:val="auto"/>
              </w:rPr>
            </w:pPr>
            <w:r>
              <w:rPr>
                <w:rFonts w:ascii="Courier New" w:cs="Courier New" w:eastAsia="Courier New" w:hAnsi="Courier New"/>
                <w:sz w:val="18"/>
                <w:szCs w:val="18"/>
                <w:color w:val="auto"/>
              </w:rPr>
              <w:t>(a)</w:t>
            </w:r>
          </w:p>
        </w:tc>
        <w:tc>
          <w:tcPr>
            <w:tcW w:w="36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rPr>
              <w:t>[_]</w:t>
            </w:r>
          </w:p>
        </w:tc>
      </w:tr>
      <w:tr>
        <w:trPr>
          <w:trHeight w:val="296"/>
        </w:trPr>
        <w:tc>
          <w:tcPr>
            <w:tcW w:w="3360" w:type="dxa"/>
            <w:vAlign w:val="bottom"/>
          </w:tcPr>
          <w:p>
            <w:pPr>
              <w:spacing w:after="0"/>
              <w:rPr>
                <w:sz w:val="24"/>
                <w:szCs w:val="24"/>
                <w:color w:val="auto"/>
              </w:rPr>
            </w:pPr>
          </w:p>
        </w:tc>
        <w:tc>
          <w:tcPr>
            <w:tcW w:w="3640" w:type="dxa"/>
            <w:vAlign w:val="bottom"/>
          </w:tcPr>
          <w:p>
            <w:pPr>
              <w:ind w:left="3260"/>
              <w:spacing w:after="0"/>
              <w:rPr>
                <w:sz w:val="20"/>
                <w:szCs w:val="20"/>
                <w:color w:val="auto"/>
              </w:rPr>
            </w:pPr>
            <w:r>
              <w:rPr>
                <w:rFonts w:ascii="Courier New" w:cs="Courier New" w:eastAsia="Courier New" w:hAnsi="Courier New"/>
                <w:sz w:val="18"/>
                <w:szCs w:val="18"/>
                <w:color w:val="auto"/>
              </w:rPr>
              <w:t>(b)</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[_]</w:t>
            </w:r>
          </w:p>
        </w:tc>
      </w:tr>
    </w:tbl>
    <w:p>
      <w:pPr>
        <w:spacing w:after="0" w:line="109"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 USE ONLY</w:t>
      </w:r>
    </w:p>
    <w:p>
      <w:pPr>
        <w:ind w:left="120"/>
        <w:spacing w:after="0"/>
        <w:rPr>
          <w:sz w:val="20"/>
          <w:szCs w:val="20"/>
          <w:color w:val="auto"/>
        </w:rPr>
      </w:pPr>
      <w:r>
        <w:rPr>
          <w:rFonts w:ascii="Courier New" w:cs="Courier New" w:eastAsia="Courier New" w:hAnsi="Courier New"/>
          <w:sz w:val="18"/>
          <w:szCs w:val="18"/>
          <w:color w:val="auto"/>
        </w:rPr>
        <w:t>3</w:t>
      </w:r>
    </w:p>
    <w:p>
      <w:pPr>
        <w:spacing w:after="0" w:line="372"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CITIZENSHIP OR PLACE OF ORGANIZATION</w:t>
      </w:r>
    </w:p>
    <w:p>
      <w:pPr>
        <w:ind w:left="120"/>
        <w:spacing w:after="0"/>
        <w:rPr>
          <w:sz w:val="20"/>
          <w:szCs w:val="20"/>
          <w:color w:val="auto"/>
        </w:rPr>
      </w:pPr>
      <w:r>
        <w:rPr>
          <w:rFonts w:ascii="Courier New" w:cs="Courier New" w:eastAsia="Courier New" w:hAnsi="Courier New"/>
          <w:sz w:val="18"/>
          <w:szCs w:val="18"/>
          <w:color w:val="auto"/>
        </w:rPr>
        <w:t>4</w:t>
      </w:r>
    </w:p>
    <w:p>
      <w:pPr>
        <w:ind w:left="640"/>
        <w:spacing w:after="0"/>
        <w:rPr>
          <w:sz w:val="20"/>
          <w:szCs w:val="20"/>
          <w:color w:val="auto"/>
        </w:rPr>
      </w:pPr>
      <w:r>
        <w:rPr>
          <w:rFonts w:ascii="Courier New" w:cs="Courier New" w:eastAsia="Courier New" w:hAnsi="Courier New"/>
          <w:sz w:val="18"/>
          <w:szCs w:val="18"/>
          <w:color w:val="auto"/>
        </w:rPr>
        <w:t>Delaware, U.S.A.</w:t>
      </w:r>
    </w:p>
    <w:p>
      <w:pPr>
        <w:spacing w:after="0" w:line="169"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2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SOLE VOTING POWER</w:t>
      </w:r>
    </w:p>
    <w:tbl>
      <w:tblPr>
        <w:tblLayout w:type="fixed"/>
        <w:tblInd w:w="320" w:type="dxa"/>
        <w:tblCellMar>
          <w:top w:w="0" w:type="dxa"/>
          <w:left w:w="0" w:type="dxa"/>
          <w:bottom w:w="0" w:type="dxa"/>
          <w:right w:w="0" w:type="dxa"/>
        </w:tblCellMar>
      </w:tblPr>
      <w:tr>
        <w:trPr>
          <w:trHeight w:val="296"/>
        </w:trPr>
        <w:tc>
          <w:tcPr>
            <w:tcW w:w="148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NUMBER OF</w:t>
            </w:r>
          </w:p>
        </w:tc>
        <w:tc>
          <w:tcPr>
            <w:tcW w:w="940" w:type="dxa"/>
            <w:vAlign w:val="bottom"/>
          </w:tcPr>
          <w:p>
            <w:pPr>
              <w:jc w:val="right"/>
              <w:ind w:right="354"/>
              <w:spacing w:after="0"/>
              <w:rPr>
                <w:sz w:val="20"/>
                <w:szCs w:val="20"/>
                <w:color w:val="auto"/>
              </w:rPr>
            </w:pPr>
            <w:r>
              <w:rPr>
                <w:rFonts w:ascii="Courier New" w:cs="Courier New" w:eastAsia="Courier New" w:hAnsi="Courier New"/>
                <w:sz w:val="18"/>
                <w:szCs w:val="18"/>
                <w:color w:val="auto"/>
              </w:rPr>
              <w:t>5</w:t>
            </w:r>
          </w:p>
        </w:tc>
        <w:tc>
          <w:tcPr>
            <w:tcW w:w="5480" w:type="dxa"/>
            <w:vAlign w:val="bottom"/>
          </w:tcPr>
          <w:p>
            <w:pPr>
              <w:jc w:val="right"/>
              <w:ind w:right="339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71"/>
        </w:trPr>
        <w:tc>
          <w:tcPr>
            <w:tcW w:w="148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5"/>
        </w:trPr>
        <w:tc>
          <w:tcPr>
            <w:tcW w:w="148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8"/>
              </w:rPr>
              <w:t>SHARES</w:t>
            </w:r>
          </w:p>
        </w:tc>
        <w:tc>
          <w:tcPr>
            <w:tcW w:w="940" w:type="dxa"/>
            <w:vAlign w:val="bottom"/>
          </w:tcPr>
          <w:p>
            <w:pPr>
              <w:ind w:left="200"/>
              <w:spacing w:after="0"/>
              <w:rPr>
                <w:sz w:val="20"/>
                <w:szCs w:val="20"/>
                <w:color w:val="auto"/>
              </w:rPr>
            </w:pPr>
            <w:r>
              <w:rPr>
                <w:rFonts w:ascii="Courier New" w:cs="Courier New" w:eastAsia="Courier New" w:hAnsi="Courier New"/>
                <w:sz w:val="2"/>
                <w:szCs w:val="2"/>
                <w:color w:val="auto"/>
              </w:rPr>
              <w:t>-----------------------------------------------------------</w:t>
            </w:r>
          </w:p>
        </w:tc>
        <w:tc>
          <w:tcPr>
            <w:tcW w:w="5480" w:type="dxa"/>
            <w:vAlign w:val="bottom"/>
            <w:vMerge w:val="restart"/>
          </w:tcPr>
          <w:p>
            <w:pPr>
              <w:jc w:val="right"/>
              <w:ind w:right="3392"/>
              <w:spacing w:after="0"/>
              <w:rPr>
                <w:sz w:val="20"/>
                <w:szCs w:val="20"/>
                <w:color w:val="auto"/>
              </w:rPr>
            </w:pPr>
            <w:r>
              <w:rPr>
                <w:rFonts w:ascii="Courier New" w:cs="Courier New" w:eastAsia="Courier New" w:hAnsi="Courier New"/>
                <w:sz w:val="18"/>
                <w:szCs w:val="18"/>
                <w:color w:val="auto"/>
                <w:w w:val="96"/>
              </w:rPr>
              <w:t>SHARED VOTING POWER</w:t>
            </w:r>
          </w:p>
        </w:tc>
        <w:tc>
          <w:tcPr>
            <w:tcW w:w="0" w:type="dxa"/>
            <w:vAlign w:val="bottom"/>
          </w:tcPr>
          <w:p>
            <w:pPr>
              <w:spacing w:after="0"/>
              <w:rPr>
                <w:sz w:val="1"/>
                <w:szCs w:val="1"/>
                <w:color w:val="auto"/>
              </w:rPr>
            </w:pPr>
          </w:p>
        </w:tc>
      </w:tr>
      <w:tr>
        <w:trPr>
          <w:trHeight w:val="203"/>
        </w:trPr>
        <w:tc>
          <w:tcPr>
            <w:tcW w:w="1480" w:type="dxa"/>
            <w:vAlign w:val="bottom"/>
            <w:vMerge w:val="restart"/>
          </w:tcPr>
          <w:p>
            <w:pPr>
              <w:jc w:val="center"/>
              <w:ind w:right="132"/>
              <w:spacing w:after="0"/>
              <w:rPr>
                <w:sz w:val="20"/>
                <w:szCs w:val="20"/>
                <w:color w:val="auto"/>
              </w:rPr>
            </w:pPr>
            <w:r>
              <w:rPr>
                <w:rFonts w:ascii="Courier New" w:cs="Courier New" w:eastAsia="Courier New" w:hAnsi="Courier New"/>
                <w:sz w:val="18"/>
                <w:szCs w:val="18"/>
                <w:color w:val="auto"/>
                <w:w w:val="97"/>
              </w:rPr>
              <w:t>BENEFICIALLY</w:t>
            </w:r>
          </w:p>
        </w:tc>
        <w:tc>
          <w:tcPr>
            <w:tcW w:w="940" w:type="dxa"/>
            <w:vAlign w:val="bottom"/>
            <w:vMerge w:val="restart"/>
          </w:tcPr>
          <w:p>
            <w:pPr>
              <w:jc w:val="right"/>
              <w:ind w:right="354"/>
              <w:spacing w:after="0"/>
              <w:rPr>
                <w:sz w:val="20"/>
                <w:szCs w:val="20"/>
                <w:color w:val="auto"/>
              </w:rPr>
            </w:pPr>
            <w:r>
              <w:rPr>
                <w:rFonts w:ascii="Courier New" w:cs="Courier New" w:eastAsia="Courier New" w:hAnsi="Courier New"/>
                <w:sz w:val="18"/>
                <w:szCs w:val="18"/>
                <w:color w:val="auto"/>
              </w:rPr>
              <w:t>6</w:t>
            </w:r>
          </w:p>
        </w:tc>
        <w:tc>
          <w:tcPr>
            <w:tcW w:w="5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5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148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7"/>
              </w:rPr>
              <w:t>OWNED BY</w:t>
            </w:r>
          </w:p>
        </w:tc>
        <w:tc>
          <w:tcPr>
            <w:tcW w:w="940" w:type="dxa"/>
            <w:vAlign w:val="bottom"/>
          </w:tcPr>
          <w:p>
            <w:pPr>
              <w:spacing w:after="0"/>
              <w:rPr>
                <w:sz w:val="24"/>
                <w:szCs w:val="24"/>
                <w:color w:val="auto"/>
              </w:rPr>
            </w:pPr>
          </w:p>
        </w:tc>
        <w:tc>
          <w:tcPr>
            <w:tcW w:w="5480" w:type="dxa"/>
            <w:vAlign w:val="bottom"/>
          </w:tcPr>
          <w:p>
            <w:pPr>
              <w:jc w:val="right"/>
              <w:ind w:right="339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480" w:type="dxa"/>
            <w:vAlign w:val="bottom"/>
            <w:vMerge w:val="restart"/>
          </w:tcPr>
          <w:p>
            <w:pPr>
              <w:jc w:val="center"/>
              <w:ind w:right="132"/>
              <w:spacing w:after="0"/>
              <w:rPr>
                <w:sz w:val="20"/>
                <w:szCs w:val="20"/>
                <w:color w:val="auto"/>
              </w:rPr>
            </w:pPr>
            <w:r>
              <w:rPr>
                <w:rFonts w:ascii="Courier New" w:cs="Courier New" w:eastAsia="Courier New" w:hAnsi="Courier New"/>
                <w:sz w:val="18"/>
                <w:szCs w:val="18"/>
                <w:color w:val="auto"/>
                <w:w w:val="97"/>
              </w:rPr>
              <w:t>EACH</w:t>
            </w:r>
          </w:p>
        </w:tc>
        <w:tc>
          <w:tcPr>
            <w:tcW w:w="64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1480" w:type="dxa"/>
            <w:vAlign w:val="bottom"/>
            <w:vMerge w:val="continue"/>
          </w:tcPr>
          <w:p>
            <w:pPr>
              <w:spacing w:after="0"/>
              <w:rPr>
                <w:sz w:val="24"/>
                <w:szCs w:val="24"/>
                <w:color w:val="auto"/>
              </w:rPr>
            </w:pPr>
          </w:p>
        </w:tc>
        <w:tc>
          <w:tcPr>
            <w:tcW w:w="940" w:type="dxa"/>
            <w:vAlign w:val="bottom"/>
            <w:vMerge w:val="restart"/>
          </w:tcPr>
          <w:p>
            <w:pPr>
              <w:jc w:val="right"/>
              <w:ind w:right="354"/>
              <w:spacing w:after="0"/>
              <w:rPr>
                <w:sz w:val="20"/>
                <w:szCs w:val="20"/>
                <w:color w:val="auto"/>
              </w:rPr>
            </w:pPr>
            <w:r>
              <w:rPr>
                <w:rFonts w:ascii="Courier New" w:cs="Courier New" w:eastAsia="Courier New" w:hAnsi="Courier New"/>
                <w:sz w:val="18"/>
                <w:szCs w:val="18"/>
                <w:color w:val="auto"/>
              </w:rPr>
              <w:t>7</w:t>
            </w:r>
          </w:p>
        </w:tc>
        <w:tc>
          <w:tcPr>
            <w:tcW w:w="5480" w:type="dxa"/>
            <w:vAlign w:val="bottom"/>
          </w:tcPr>
          <w:p>
            <w:pPr>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48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REPORTING</w:t>
            </w:r>
          </w:p>
        </w:tc>
        <w:tc>
          <w:tcPr>
            <w:tcW w:w="940" w:type="dxa"/>
            <w:vAlign w:val="bottom"/>
            <w:vMerge w:val="continue"/>
          </w:tcPr>
          <w:p>
            <w:pPr>
              <w:spacing w:after="0"/>
              <w:rPr>
                <w:sz w:val="17"/>
                <w:szCs w:val="17"/>
                <w:color w:val="auto"/>
              </w:rPr>
            </w:pPr>
          </w:p>
        </w:tc>
        <w:tc>
          <w:tcPr>
            <w:tcW w:w="5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5480" w:type="dxa"/>
            <w:vAlign w:val="bottom"/>
            <w:vMerge w:val="restart"/>
          </w:tcPr>
          <w:p>
            <w:pPr>
              <w:jc w:val="right"/>
              <w:ind w:right="339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1480" w:type="dxa"/>
            <w:vAlign w:val="bottom"/>
            <w:vMerge w:val="restart"/>
          </w:tcPr>
          <w:p>
            <w:pPr>
              <w:jc w:val="center"/>
              <w:ind w:right="112"/>
              <w:spacing w:after="0"/>
              <w:rPr>
                <w:sz w:val="20"/>
                <w:szCs w:val="20"/>
                <w:color w:val="auto"/>
              </w:rPr>
            </w:pPr>
            <w:r>
              <w:rPr>
                <w:rFonts w:ascii="Courier New" w:cs="Courier New" w:eastAsia="Courier New" w:hAnsi="Courier New"/>
                <w:sz w:val="18"/>
                <w:szCs w:val="18"/>
                <w:color w:val="auto"/>
                <w:w w:val="98"/>
              </w:rPr>
              <w:t>PERSON</w:t>
            </w:r>
          </w:p>
        </w:tc>
        <w:tc>
          <w:tcPr>
            <w:tcW w:w="940" w:type="dxa"/>
            <w:vAlign w:val="bottom"/>
          </w:tcPr>
          <w:p>
            <w:pPr>
              <w:spacing w:after="0"/>
              <w:rPr>
                <w:sz w:val="9"/>
                <w:szCs w:val="9"/>
                <w:color w:val="auto"/>
              </w:rPr>
            </w:pPr>
          </w:p>
        </w:tc>
        <w:tc>
          <w:tcPr>
            <w:tcW w:w="5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1480" w:type="dxa"/>
            <w:vAlign w:val="bottom"/>
            <w:vMerge w:val="continue"/>
          </w:tcPr>
          <w:p>
            <w:pPr>
              <w:spacing w:after="0"/>
              <w:rPr>
                <w:sz w:val="24"/>
                <w:szCs w:val="24"/>
                <w:color w:val="auto"/>
              </w:rPr>
            </w:pPr>
          </w:p>
        </w:tc>
        <w:tc>
          <w:tcPr>
            <w:tcW w:w="940" w:type="dxa"/>
            <w:vAlign w:val="bottom"/>
          </w:tcPr>
          <w:p>
            <w:pPr>
              <w:ind w:left="200"/>
              <w:spacing w:after="0"/>
              <w:rPr>
                <w:sz w:val="20"/>
                <w:szCs w:val="20"/>
                <w:color w:val="auto"/>
              </w:rPr>
            </w:pPr>
            <w:r>
              <w:rPr>
                <w:rFonts w:ascii="Courier New" w:cs="Courier New" w:eastAsia="Courier New" w:hAnsi="Courier New"/>
                <w:sz w:val="2"/>
                <w:szCs w:val="2"/>
                <w:color w:val="auto"/>
              </w:rPr>
              <w:t>-----------------------------------------------------------</w:t>
            </w:r>
          </w:p>
        </w:tc>
        <w:tc>
          <w:tcPr>
            <w:tcW w:w="5480" w:type="dxa"/>
            <w:vAlign w:val="bottom"/>
            <w:vMerge w:val="restart"/>
          </w:tcPr>
          <w:p>
            <w:pPr>
              <w:spacing w:after="0"/>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r>
        <w:trPr>
          <w:trHeight w:val="203"/>
        </w:trPr>
        <w:tc>
          <w:tcPr>
            <w:tcW w:w="1480" w:type="dxa"/>
            <w:vAlign w:val="bottom"/>
            <w:vMerge w:val="restart"/>
          </w:tcPr>
          <w:p>
            <w:pPr>
              <w:jc w:val="center"/>
              <w:ind w:right="132"/>
              <w:spacing w:after="0"/>
              <w:rPr>
                <w:sz w:val="20"/>
                <w:szCs w:val="20"/>
                <w:color w:val="auto"/>
              </w:rPr>
            </w:pPr>
            <w:r>
              <w:rPr>
                <w:rFonts w:ascii="Courier New" w:cs="Courier New" w:eastAsia="Courier New" w:hAnsi="Courier New"/>
                <w:sz w:val="18"/>
                <w:szCs w:val="18"/>
                <w:color w:val="auto"/>
                <w:w w:val="97"/>
              </w:rPr>
              <w:t>WITH</w:t>
            </w:r>
          </w:p>
        </w:tc>
        <w:tc>
          <w:tcPr>
            <w:tcW w:w="940" w:type="dxa"/>
            <w:vAlign w:val="bottom"/>
            <w:vMerge w:val="restart"/>
          </w:tcPr>
          <w:p>
            <w:pPr>
              <w:jc w:val="right"/>
              <w:ind w:right="354"/>
              <w:spacing w:after="0"/>
              <w:rPr>
                <w:sz w:val="20"/>
                <w:szCs w:val="20"/>
                <w:color w:val="auto"/>
              </w:rPr>
            </w:pPr>
            <w:r>
              <w:rPr>
                <w:rFonts w:ascii="Courier New" w:cs="Courier New" w:eastAsia="Courier New" w:hAnsi="Courier New"/>
                <w:sz w:val="18"/>
                <w:szCs w:val="18"/>
                <w:color w:val="auto"/>
              </w:rPr>
              <w:t>8</w:t>
            </w:r>
          </w:p>
        </w:tc>
        <w:tc>
          <w:tcPr>
            <w:tcW w:w="5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5480" w:type="dxa"/>
            <w:vAlign w:val="bottom"/>
            <w:vMerge w:val="restart"/>
          </w:tcPr>
          <w:p>
            <w:pPr>
              <w:jc w:val="right"/>
              <w:ind w:right="339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AGGREGATE AMOUNT BENEFICIALLY OWNED BY EACH REPORTING PERSON</w:t>
      </w:r>
    </w:p>
    <w:p>
      <w:pPr>
        <w:ind w:left="120"/>
        <w:spacing w:after="0"/>
        <w:rPr>
          <w:sz w:val="20"/>
          <w:szCs w:val="20"/>
          <w:color w:val="auto"/>
        </w:rPr>
      </w:pPr>
      <w:r>
        <w:rPr>
          <w:rFonts w:ascii="Courier New" w:cs="Courier New" w:eastAsia="Courier New" w:hAnsi="Courier New"/>
          <w:sz w:val="18"/>
          <w:szCs w:val="18"/>
          <w:color w:val="auto"/>
        </w:rPr>
        <w:t>9</w:t>
      </w:r>
    </w:p>
    <w:p>
      <w:pPr>
        <w:spacing w:after="0" w:line="372"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BOX IF THE AGGREGATE AMOUNT IN ROW (9) EXCLUDES CERTAIN SHARES*</w:t>
      </w:r>
    </w:p>
    <w:p>
      <w:pPr>
        <w:spacing w:after="0"/>
        <w:rPr>
          <w:sz w:val="20"/>
          <w:szCs w:val="20"/>
          <w:color w:val="auto"/>
        </w:rPr>
      </w:pPr>
      <w:r>
        <w:rPr>
          <w:rFonts w:ascii="Courier New" w:cs="Courier New" w:eastAsia="Courier New" w:hAnsi="Courier New"/>
          <w:sz w:val="18"/>
          <w:szCs w:val="18"/>
          <w:color w:val="auto"/>
        </w:rPr>
        <w:t>10</w:t>
      </w:r>
    </w:p>
    <w:p>
      <w:pPr>
        <w:spacing w:after="0" w:line="372"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PERCENT OF CLASS REPRESENTED BY AMOUNT IN ROW (9)</w:t>
      </w:r>
    </w:p>
    <w:p>
      <w:pPr>
        <w:spacing w:after="0"/>
        <w:rPr>
          <w:sz w:val="20"/>
          <w:szCs w:val="20"/>
          <w:color w:val="auto"/>
        </w:rPr>
      </w:pPr>
      <w:r>
        <w:rPr>
          <w:rFonts w:ascii="Courier New" w:cs="Courier New" w:eastAsia="Courier New" w:hAnsi="Courier New"/>
          <w:sz w:val="18"/>
          <w:szCs w:val="18"/>
          <w:color w:val="auto"/>
        </w:rPr>
        <w:t>11</w:t>
      </w:r>
    </w:p>
    <w:p>
      <w:pPr>
        <w:ind w:left="4220" w:hanging="209"/>
        <w:spacing w:after="0"/>
        <w:tabs>
          <w:tab w:leader="none" w:pos="422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less than 5%</w:t>
      </w:r>
    </w:p>
    <w:p>
      <w:pPr>
        <w:spacing w:after="0" w:line="16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TYPE OF REPORTING PERSON*</w:t>
      </w:r>
    </w:p>
    <w:p>
      <w:pPr>
        <w:spacing w:after="0"/>
        <w:rPr>
          <w:sz w:val="20"/>
          <w:szCs w:val="20"/>
          <w:color w:val="auto"/>
        </w:rPr>
      </w:pPr>
      <w:r>
        <w:rPr>
          <w:rFonts w:ascii="Courier New" w:cs="Courier New" w:eastAsia="Courier New" w:hAnsi="Courier New"/>
          <w:sz w:val="18"/>
          <w:szCs w:val="18"/>
          <w:color w:val="auto"/>
        </w:rPr>
        <w:t>12</w:t>
      </w:r>
    </w:p>
    <w:p>
      <w:pPr>
        <w:ind w:left="640"/>
        <w:spacing w:after="0"/>
        <w:rPr>
          <w:sz w:val="20"/>
          <w:szCs w:val="20"/>
          <w:color w:val="auto"/>
        </w:rPr>
      </w:pPr>
      <w:r>
        <w:rPr>
          <w:rFonts w:ascii="Courier New" w:cs="Courier New" w:eastAsia="Courier New" w:hAnsi="Courier New"/>
          <w:sz w:val="18"/>
          <w:szCs w:val="18"/>
          <w:color w:val="auto"/>
        </w:rPr>
        <w:t>H.C.</w:t>
      </w:r>
    </w:p>
    <w:p>
      <w:pPr>
        <w:spacing w:after="0" w:line="169"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9"/>
          </w:cols>
          <w:pgMar w:left="240" w:top="689" w:right="1440" w:bottom="1440" w:gutter="0" w:footer="0" w:header="0"/>
        </w:sectPr>
      </w:pPr>
    </w:p>
    <w:bookmarkStart w:id="2" w:name="page3"/>
    <w:bookmarkEnd w:id="2"/>
    <w:p>
      <w:pPr>
        <w:jc w:val="right"/>
        <w:ind w:right="1779"/>
        <w:spacing w:after="0"/>
        <w:rPr>
          <w:sz w:val="20"/>
          <w:szCs w:val="20"/>
          <w:color w:val="auto"/>
        </w:rPr>
      </w:pPr>
      <w:r>
        <w:rPr>
          <w:rFonts w:ascii="Courier New" w:cs="Courier New" w:eastAsia="Courier New" w:hAnsi="Courier New"/>
          <w:sz w:val="18"/>
          <w:szCs w:val="18"/>
          <w:color w:val="auto"/>
        </w:rPr>
        <w:t>Page 3 of 6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ind w:left="1280" w:hanging="429"/>
        <w:spacing w:after="0"/>
        <w:tabs>
          <w:tab w:leader="none" w:pos="12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30"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Toro Company</w:t>
      </w:r>
    </w:p>
    <w:p>
      <w:pPr>
        <w:spacing w:after="0" w:line="201"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30"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Toro Company</w:t>
      </w:r>
    </w:p>
    <w:p>
      <w:pPr>
        <w:spacing w:after="0" w:line="30" w:lineRule="exact"/>
        <w:rPr>
          <w:rFonts w:ascii="Courier New" w:cs="Courier New" w:eastAsia="Courier New" w:hAnsi="Courier New"/>
          <w:sz w:val="18"/>
          <w:szCs w:val="18"/>
          <w:color w:val="auto"/>
        </w:rPr>
      </w:pPr>
    </w:p>
    <w:p>
      <w:pPr>
        <w:ind w:left="1280" w:right="5999"/>
        <w:spacing w:after="0" w:line="37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8111 Lyndale Aye So. Minneapolis, Minnesota 55420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ind w:left="1280" w:hanging="429"/>
        <w:spacing w:after="0"/>
        <w:tabs>
          <w:tab w:leader="none" w:pos="12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30"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First Bank System, Inc.</w:t>
      </w:r>
    </w:p>
    <w:p>
      <w:pPr>
        <w:spacing w:after="0" w:line="201"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Person's Filing Principal Executive Offices:</w:t>
      </w:r>
    </w:p>
    <w:p>
      <w:pPr>
        <w:spacing w:after="0" w:line="30"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rFonts w:ascii="Courier New" w:cs="Courier New" w:eastAsia="Courier New" w:hAnsi="Courier New"/>
          <w:sz w:val="18"/>
          <w:szCs w:val="18"/>
          <w:color w:val="auto"/>
        </w:rPr>
      </w:pPr>
    </w:p>
    <w:p>
      <w:pPr>
        <w:ind w:left="1280" w:right="6099"/>
        <w:spacing w:after="0" w:line="29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601 2nd Ave South Minneapolis, MN 55402-4302 United States</w:t>
      </w:r>
    </w:p>
    <w:p>
      <w:pPr>
        <w:spacing w:after="0" w:line="66"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30"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w:t>
      </w:r>
    </w:p>
    <w:p>
      <w:pPr>
        <w:spacing w:after="0" w:line="201"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30"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891092-10-8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The person filing this statement is a:</w:t>
      </w:r>
    </w:p>
    <w:p>
      <w:pPr>
        <w:spacing w:after="0" w:line="3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(g) [x] Parent Holding Company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Ownership:</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691" w:right="1440" w:bottom="1440" w:gutter="0" w:footer="0" w:header="0"/>
        </w:sectPr>
      </w:pPr>
    </w:p>
    <w:p>
      <w:pPr>
        <w:spacing w:after="0" w:line="169" w:lineRule="exact"/>
        <w:rPr>
          <w:sz w:val="20"/>
          <w:szCs w:val="20"/>
          <w:color w:val="auto"/>
        </w:rPr>
      </w:pPr>
    </w:p>
    <w:p>
      <w:pPr>
        <w:ind w:left="860"/>
        <w:spacing w:after="0"/>
        <w:tabs>
          <w:tab w:leader="none" w:pos="146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Amount beneficially owned:</w:t>
      </w:r>
    </w:p>
    <w:p>
      <w:pPr>
        <w:spacing w:after="0" w:line="53" w:lineRule="exact"/>
        <w:rPr>
          <w:sz w:val="20"/>
          <w:szCs w:val="20"/>
          <w:color w:val="auto"/>
        </w:rPr>
      </w:pPr>
    </w:p>
    <w:p>
      <w:pPr>
        <w:ind w:left="860"/>
        <w:spacing w:after="0"/>
        <w:tabs>
          <w:tab w:leader="none" w:pos="14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Percentage of Class: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w:t>
      </w:r>
    </w:p>
    <w:p>
      <w:pPr>
        <w:spacing w:after="0" w:line="53"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w:t>
      </w:r>
    </w:p>
    <w:p>
      <w:pPr>
        <w:spacing w:after="0" w:line="59" w:lineRule="exact"/>
        <w:rPr>
          <w:sz w:val="20"/>
          <w:szCs w:val="20"/>
          <w:color w:val="auto"/>
        </w:rPr>
      </w:pPr>
    </w:p>
    <w:p>
      <w:pPr>
        <w:sectPr>
          <w:pgSz w:w="11900" w:h="16838" w:orient="portrait"/>
          <w:cols w:equalWidth="0" w:num="2">
            <w:col w:w="7300" w:space="720"/>
            <w:col w:w="2199"/>
          </w:cols>
          <w:pgMar w:left="240" w:top="691" w:right="1440" w:bottom="1440" w:gutter="0" w:footer="0" w:header="0"/>
          <w:type w:val="continuous"/>
        </w:sectPr>
      </w:pPr>
    </w:p>
    <w:p>
      <w:pPr>
        <w:ind w:left="1480" w:hanging="629"/>
        <w:spacing w:after="0"/>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108" w:lineRule="exact"/>
        <w:rPr>
          <w:sz w:val="20"/>
          <w:szCs w:val="20"/>
          <w:color w:val="auto"/>
        </w:rPr>
      </w:pPr>
    </w:p>
    <w:tbl>
      <w:tblPr>
        <w:tblLayout w:type="fixed"/>
        <w:tblInd w:w="1480" w:type="dxa"/>
        <w:tblCellMar>
          <w:top w:w="0" w:type="dxa"/>
          <w:left w:w="0" w:type="dxa"/>
          <w:bottom w:w="0" w:type="dxa"/>
          <w:right w:w="0" w:type="dxa"/>
        </w:tblCellMar>
      </w:tblPr>
      <w:tr>
        <w:trPr>
          <w:trHeight w:val="204"/>
        </w:trPr>
        <w:tc>
          <w:tcPr>
            <w:tcW w:w="4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1.</w:t>
            </w:r>
          </w:p>
        </w:tc>
        <w:tc>
          <w:tcPr>
            <w:tcW w:w="680" w:type="dxa"/>
            <w:vAlign w:val="bottom"/>
          </w:tcPr>
          <w:p>
            <w:pPr>
              <w:ind w:left="220"/>
              <w:spacing w:after="0"/>
              <w:rPr>
                <w:sz w:val="20"/>
                <w:szCs w:val="20"/>
                <w:color w:val="auto"/>
              </w:rPr>
            </w:pPr>
            <w:r>
              <w:rPr>
                <w:rFonts w:ascii="Courier New" w:cs="Courier New" w:eastAsia="Courier New" w:hAnsi="Courier New"/>
                <w:sz w:val="18"/>
                <w:szCs w:val="18"/>
                <w:color w:val="auto"/>
              </w:rPr>
              <w:t>Sole</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power</w:t>
            </w:r>
          </w:p>
        </w:tc>
        <w:tc>
          <w:tcPr>
            <w:tcW w:w="11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to vote or</w:t>
            </w:r>
          </w:p>
        </w:tc>
        <w:tc>
          <w:tcPr>
            <w:tcW w:w="3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direct the vote:</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2.</w:t>
            </w:r>
          </w:p>
        </w:tc>
        <w:tc>
          <w:tcPr>
            <w:tcW w:w="184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8"/>
              </w:rPr>
              <w:t>Shared power to</w:t>
            </w:r>
          </w:p>
        </w:tc>
        <w:tc>
          <w:tcPr>
            <w:tcW w:w="8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vote or</w:t>
            </w:r>
          </w:p>
        </w:tc>
        <w:tc>
          <w:tcPr>
            <w:tcW w:w="3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direct vote:</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3.</w:t>
            </w:r>
          </w:p>
        </w:tc>
        <w:tc>
          <w:tcPr>
            <w:tcW w:w="6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Sole</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w:t>
            </w:r>
          </w:p>
        </w:tc>
        <w:tc>
          <w:tcPr>
            <w:tcW w:w="1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to dispose</w:t>
            </w:r>
          </w:p>
        </w:tc>
        <w:tc>
          <w:tcPr>
            <w:tcW w:w="3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or direct the disposition: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96"/>
        </w:trPr>
        <w:tc>
          <w:tcPr>
            <w:tcW w:w="4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4.</w:t>
            </w:r>
          </w:p>
        </w:tc>
        <w:tc>
          <w:tcPr>
            <w:tcW w:w="1840" w:type="dxa"/>
            <w:vAlign w:val="bottom"/>
            <w:gridSpan w:val="3"/>
          </w:tcPr>
          <w:p>
            <w:pPr>
              <w:ind w:left="220"/>
              <w:spacing w:after="0"/>
              <w:rPr>
                <w:sz w:val="20"/>
                <w:szCs w:val="20"/>
                <w:color w:val="auto"/>
              </w:rPr>
            </w:pPr>
            <w:r>
              <w:rPr>
                <w:rFonts w:ascii="Courier New" w:cs="Courier New" w:eastAsia="Courier New" w:hAnsi="Courier New"/>
                <w:sz w:val="18"/>
                <w:szCs w:val="18"/>
                <w:color w:val="auto"/>
                <w:w w:val="98"/>
              </w:rPr>
              <w:t>Shared power to</w:t>
            </w:r>
          </w:p>
        </w:tc>
        <w:tc>
          <w:tcPr>
            <w:tcW w:w="8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dispose</w:t>
            </w:r>
          </w:p>
        </w:tc>
        <w:tc>
          <w:tcPr>
            <w:tcW w:w="3160" w:type="dxa"/>
            <w:vAlign w:val="bottom"/>
          </w:tcPr>
          <w:p>
            <w:pPr>
              <w:ind w:left="40"/>
              <w:spacing w:after="0"/>
              <w:rPr>
                <w:sz w:val="20"/>
                <w:szCs w:val="20"/>
                <w:color w:val="auto"/>
              </w:rPr>
            </w:pPr>
            <w:r>
              <w:rPr>
                <w:rFonts w:ascii="Courier New" w:cs="Courier New" w:eastAsia="Courier New" w:hAnsi="Courier New"/>
                <w:sz w:val="18"/>
                <w:szCs w:val="18"/>
                <w:color w:val="auto"/>
              </w:rPr>
              <w:t>or direct the disposition:</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w:t>
      </w:r>
    </w:p>
    <w:p>
      <w:pPr>
        <w:spacing w:after="0" w:line="201" w:lineRule="exact"/>
        <w:rPr>
          <w:sz w:val="20"/>
          <w:szCs w:val="20"/>
          <w:color w:val="auto"/>
        </w:rPr>
      </w:pPr>
    </w:p>
    <w:p>
      <w:pPr>
        <w:ind w:right="1879"/>
        <w:spacing w:after="0" w:line="265" w:lineRule="auto"/>
        <w:rPr>
          <w:sz w:val="20"/>
          <w:szCs w:val="20"/>
          <w:color w:val="auto"/>
        </w:rPr>
      </w:pPr>
      <w:r>
        <w:rPr>
          <w:rFonts w:ascii="Courier New" w:cs="Courier New" w:eastAsia="Courier New" w:hAnsi="Courier New"/>
          <w:sz w:val="18"/>
          <w:szCs w:val="18"/>
          <w:color w:val="auto"/>
        </w:rPr>
        <w:t>/1/ The number of "allocated" shares held in The Toro Company Employee Stock Ownership Plan and Trust for which an affiliate of First Bank System, Inc. acts as trustee is not included in the calculation of the number of shares beneficially owned by First Bank System, Inc. affiliates, based on our interpretation of SEC staff no action letters.</w:t>
      </w:r>
    </w:p>
    <w:p>
      <w:pPr>
        <w:sectPr>
          <w:pgSz w:w="11900" w:h="16838" w:orient="portrait"/>
          <w:cols w:equalWidth="0" w:num="1">
            <w:col w:w="10219"/>
          </w:cols>
          <w:pgMar w:left="240" w:top="691" w:right="1440" w:bottom="1440" w:gutter="0" w:footer="0" w:header="0"/>
          <w:type w:val="continuous"/>
        </w:sectPr>
      </w:pPr>
    </w:p>
    <w:bookmarkStart w:id="3" w:name="page4"/>
    <w:bookmarkEnd w:id="3"/>
    <w:p>
      <w:pPr>
        <w:jc w:val="right"/>
        <w:ind w:right="1779"/>
        <w:spacing w:after="0"/>
        <w:rPr>
          <w:sz w:val="20"/>
          <w:szCs w:val="20"/>
          <w:color w:val="auto"/>
        </w:rPr>
      </w:pPr>
      <w:r>
        <w:rPr>
          <w:rFonts w:ascii="Courier New" w:cs="Courier New" w:eastAsia="Courier New" w:hAnsi="Courier New"/>
          <w:sz w:val="18"/>
          <w:szCs w:val="18"/>
          <w:color w:val="auto"/>
        </w:rPr>
        <w:t>Page 4 of 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ind w:left="860"/>
        <w:spacing w:after="0"/>
        <w:tabs>
          <w:tab w:leader="none" w:pos="5580" w:val="left"/>
        </w:tabs>
        <w:rPr>
          <w:sz w:val="20"/>
          <w:szCs w:val="20"/>
          <w:color w:val="auto"/>
        </w:rPr>
      </w:pPr>
      <w:r>
        <w:rPr>
          <w:rFonts w:ascii="Courier New" w:cs="Courier New" w:eastAsia="Courier New" w:hAnsi="Courier New"/>
          <w:sz w:val="18"/>
          <w:szCs w:val="18"/>
          <w:color w:val="auto"/>
        </w:rPr>
        <w:t>Ownership of Five Percent or less of Class:</w:t>
      </w:r>
      <w:r>
        <w:rPr>
          <w:sz w:val="20"/>
          <w:szCs w:val="20"/>
          <w:color w:val="auto"/>
        </w:rPr>
        <w:tab/>
      </w:r>
      <w:r>
        <w:rPr>
          <w:rFonts w:ascii="Courier New" w:cs="Courier New" w:eastAsia="Courier New" w:hAnsi="Courier New"/>
          <w:sz w:val="16"/>
          <w:szCs w:val="16"/>
          <w:color w:val="auto"/>
        </w:rPr>
        <w:t>( XX )</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Ownership of More Than Five Percent on Behalf of Another Person:</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860" w:right="1999"/>
        <w:spacing w:after="0" w:line="274" w:lineRule="auto"/>
        <w:rPr>
          <w:sz w:val="20"/>
          <w:szCs w:val="20"/>
          <w:color w:val="auto"/>
        </w:rPr>
      </w:pPr>
      <w:r>
        <w:rPr>
          <w:rFonts w:ascii="Courier New" w:cs="Courier New" w:eastAsia="Courier New" w:hAnsi="Courier New"/>
          <w:sz w:val="18"/>
          <w:szCs w:val="18"/>
          <w:color w:val="auto"/>
        </w:rPr>
        <w:t>Other persons have the right to receive or the power to direct the receipt of, dividend from, or the proceeds from the sale of, such securities. To our knowledge no interest of any such person relates to more than 5% of the class.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Identification and Classification of Members of the Subsidiary which</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t>
      </w:r>
    </w:p>
    <w:p>
      <w:pPr>
        <w:ind w:left="860"/>
        <w:spacing w:after="0" w:line="238" w:lineRule="auto"/>
        <w:rPr>
          <w:sz w:val="20"/>
          <w:szCs w:val="20"/>
          <w:color w:val="auto"/>
        </w:rPr>
      </w:pPr>
      <w:r>
        <w:rPr>
          <w:rFonts w:ascii="Courier New" w:cs="Courier New" w:eastAsia="Courier New" w:hAnsi="Courier New"/>
          <w:sz w:val="18"/>
          <w:szCs w:val="18"/>
          <w:color w:val="auto"/>
        </w:rPr>
        <w:t>Acquired the Security Being Reported on by Parent Holding Company</w:t>
      </w:r>
    </w:p>
    <w:p>
      <w:pPr>
        <w:ind w:left="8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Identification and Classification of Members of the Group:</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Notice of Dissolution of Group:</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Certification</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187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9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3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1879"/>
        <w:spacing w:after="0" w:line="42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76" w:lineRule="exact"/>
        <w:rPr>
          <w:sz w:val="20"/>
          <w:szCs w:val="20"/>
          <w:color w:val="auto"/>
        </w:rPr>
      </w:pPr>
    </w:p>
    <w:p>
      <w:pPr>
        <w:ind w:left="3060" w:right="2099" w:hanging="3475"/>
        <w:spacing w:after="0" w:line="347" w:lineRule="auto"/>
        <w:tabs>
          <w:tab w:leader="none" w:pos="3040" w:val="left"/>
        </w:tabs>
        <w:rPr>
          <w:sz w:val="20"/>
          <w:szCs w:val="20"/>
          <w:color w:val="auto"/>
        </w:rPr>
      </w:pPr>
      <w:r>
        <w:rPr>
          <w:rFonts w:ascii="Courier New" w:cs="Courier New" w:eastAsia="Courier New" w:hAnsi="Courier New"/>
          <w:sz w:val="18"/>
          <w:szCs w:val="18"/>
          <w:color w:val="auto"/>
        </w:rPr>
        <w:t>Dated: September 22, 1994</w:t>
      </w:r>
      <w:r>
        <w:rPr>
          <w:sz w:val="20"/>
          <w:szCs w:val="20"/>
          <w:color w:val="auto"/>
        </w:rPr>
        <w:tab/>
      </w:r>
      <w:r>
        <w:rPr>
          <w:rFonts w:ascii="Courier New" w:cs="Courier New" w:eastAsia="Courier New" w:hAnsi="Courier New"/>
          <w:sz w:val="18"/>
          <w:szCs w:val="18"/>
          <w:color w:val="auto"/>
        </w:rPr>
        <w:t>(Revising the February 10, 1994 filing which was completed as of December 31, 1993)</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Bruce L. Wilson</w:t>
      </w:r>
    </w:p>
    <w:p>
      <w:pPr>
        <w:spacing w:after="0" w:line="29"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right="8639"/>
        <w:spacing w:after="0" w:line="37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Bruce L. Wilson Vice President</w:t>
      </w:r>
    </w:p>
    <w:p>
      <w:pPr>
        <w:sectPr>
          <w:pgSz w:w="11900" w:h="16838" w:orient="portrait"/>
          <w:cols w:equalWidth="0" w:num="1">
            <w:col w:w="10219"/>
          </w:cols>
          <w:pgMar w:left="240" w:top="691" w:right="1440" w:bottom="394" w:gutter="0" w:footer="0" w:header="0"/>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Page 5 of 6</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Washington D. C. 20549</w:t>
      </w:r>
    </w:p>
    <w:p>
      <w:pPr>
        <w:spacing w:after="0" w:line="169"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13G</w:t>
      </w:r>
    </w:p>
    <w:p>
      <w:pPr>
        <w:spacing w:after="0" w:line="3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16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ind w:right="1779"/>
        <w:spacing w:after="0" w:line="292" w:lineRule="auto"/>
        <w:rPr>
          <w:sz w:val="20"/>
          <w:szCs w:val="20"/>
          <w:color w:val="auto"/>
        </w:rPr>
      </w:pPr>
      <w:r>
        <w:rPr>
          <w:rFonts w:ascii="Courier New" w:cs="Courier New" w:eastAsia="Courier New" w:hAnsi="Courier New"/>
          <w:sz w:val="18"/>
          <w:szCs w:val="18"/>
          <w:color w:val="auto"/>
        </w:rPr>
        <w:t>The Schedule to which this attachment is appended is filed on behalf of the following subsidiary or subsidiaries listed below, which are classified as banks for the purposes of 17 CFR 140.13d-1 (b) (ii) (B).</w:t>
      </w:r>
    </w:p>
    <w:p>
      <w:pPr>
        <w:sectPr>
          <w:pgSz w:w="11900" w:h="16838" w:orient="portrait"/>
          <w:cols w:equalWidth="0" w:num="1">
            <w:col w:w="10219"/>
          </w:cols>
          <w:pgMar w:left="240" w:top="691" w:right="1440" w:bottom="1440" w:gutter="0" w:footer="0" w:header="0"/>
        </w:sectPr>
      </w:pPr>
    </w:p>
    <w:p>
      <w:pPr>
        <w:spacing w:after="0" w:line="66" w:lineRule="exact"/>
        <w:rPr>
          <w:sz w:val="20"/>
          <w:szCs w:val="20"/>
          <w:color w:val="auto"/>
        </w:rPr>
      </w:pPr>
    </w:p>
    <w:p>
      <w:pPr>
        <w:jc w:val="both"/>
        <w:ind w:right="540"/>
        <w:spacing w:after="0" w:line="344" w:lineRule="auto"/>
        <w:rPr>
          <w:sz w:val="20"/>
          <w:szCs w:val="20"/>
          <w:color w:val="auto"/>
        </w:rPr>
      </w:pPr>
      <w:r>
        <w:rPr>
          <w:rFonts w:ascii="Courier New" w:cs="Courier New" w:eastAsia="Courier New" w:hAnsi="Courier New"/>
          <w:sz w:val="16"/>
          <w:szCs w:val="16"/>
          <w:color w:val="auto"/>
        </w:rPr>
        <w:t>First Trust National Association 180 East Fifth Street, Suite 200 St. Paul, Minnesota 55101</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First Bank National Association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601 2nd Ave South</w:t>
      </w:r>
    </w:p>
    <w:p>
      <w:pPr>
        <w:spacing w:after="0"/>
        <w:rPr>
          <w:sz w:val="20"/>
          <w:szCs w:val="20"/>
          <w:color w:val="auto"/>
        </w:rPr>
      </w:pPr>
      <w:r>
        <w:rPr>
          <w:rFonts w:ascii="Courier New" w:cs="Courier New" w:eastAsia="Courier New" w:hAnsi="Courier New"/>
          <w:sz w:val="16"/>
          <w:szCs w:val="16"/>
          <w:color w:val="auto"/>
        </w:rPr>
        <w:t>Minneapolis, Minnesota 55402-4302</w:t>
      </w:r>
    </w:p>
    <w:p>
      <w:pPr>
        <w:spacing w:after="0" w:line="191" w:lineRule="exact"/>
        <w:rPr>
          <w:sz w:val="20"/>
          <w:szCs w:val="20"/>
          <w:color w:val="auto"/>
        </w:rPr>
      </w:pPr>
    </w:p>
    <w:p>
      <w:pPr>
        <w:sectPr>
          <w:pgSz w:w="11900" w:h="16838" w:orient="portrait"/>
          <w:cols w:equalWidth="0" w:num="2">
            <w:col w:w="3920" w:space="720"/>
            <w:col w:w="5579"/>
          </w:cols>
          <w:pgMar w:left="240" w:top="691" w:right="1440" w:bottom="1440" w:gutter="0" w:footer="0" w:header="0"/>
          <w:type w:val="continuous"/>
        </w:sectPr>
      </w:pPr>
    </w:p>
    <w:p>
      <w:pPr>
        <w:ind w:right="960"/>
        <w:spacing w:after="0" w:line="318" w:lineRule="auto"/>
        <w:rPr>
          <w:sz w:val="20"/>
          <w:szCs w:val="20"/>
          <w:color w:val="auto"/>
        </w:rPr>
      </w:pPr>
      <w:r>
        <w:rPr>
          <w:rFonts w:ascii="Courier New" w:cs="Courier New" w:eastAsia="Courier New" w:hAnsi="Courier New"/>
          <w:sz w:val="16"/>
          <w:szCs w:val="16"/>
          <w:color w:val="auto"/>
        </w:rPr>
        <w:t>First Trust Company of North Dakota National Association 505 Second Avenue North Fargo, North Dakota 58102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Colorado National Bank</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 Box 5548</w:t>
      </w:r>
    </w:p>
    <w:p>
      <w:pPr>
        <w:spacing w:after="0"/>
        <w:rPr>
          <w:sz w:val="20"/>
          <w:szCs w:val="20"/>
          <w:color w:val="auto"/>
        </w:rPr>
      </w:pPr>
      <w:r>
        <w:rPr>
          <w:rFonts w:ascii="Courier New" w:cs="Courier New" w:eastAsia="Courier New" w:hAnsi="Courier New"/>
          <w:sz w:val="16"/>
          <w:szCs w:val="16"/>
          <w:color w:val="auto"/>
        </w:rPr>
        <w:t>Denver, Colorado 80217</w:t>
      </w:r>
    </w:p>
    <w:p>
      <w:pPr>
        <w:sectPr>
          <w:pgSz w:w="11900" w:h="16838" w:orient="portrait"/>
          <w:cols w:equalWidth="0" w:num="2">
            <w:col w:w="3920" w:space="720"/>
            <w:col w:w="5579"/>
          </w:cols>
          <w:pgMar w:left="240" w:top="691" w:right="1440" w:bottom="1440" w:gutter="0" w:footer="0" w:header="0"/>
          <w:type w:val="continuous"/>
        </w:sectPr>
      </w:pPr>
    </w:p>
    <w:bookmarkStart w:id="5" w:name="page6"/>
    <w:bookmarkEnd w:id="5"/>
    <w:p>
      <w:pPr>
        <w:jc w:val="right"/>
        <w:ind w:right="1779"/>
        <w:spacing w:after="0"/>
        <w:rPr>
          <w:sz w:val="20"/>
          <w:szCs w:val="20"/>
          <w:color w:val="auto"/>
        </w:rPr>
      </w:pPr>
      <w:r>
        <w:rPr>
          <w:rFonts w:ascii="Courier New" w:cs="Courier New" w:eastAsia="Courier New" w:hAnsi="Courier New"/>
          <w:sz w:val="18"/>
          <w:szCs w:val="18"/>
          <w:color w:val="auto"/>
        </w:rPr>
        <w:t>Page 6 of 6</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EXHIBIT B - DISCLAIMER</w:t>
      </w:r>
    </w:p>
    <w:p>
      <w:pPr>
        <w:spacing w:after="0" w:line="201" w:lineRule="exact"/>
        <w:rPr>
          <w:sz w:val="20"/>
          <w:szCs w:val="20"/>
          <w:color w:val="auto"/>
        </w:rPr>
      </w:pPr>
    </w:p>
    <w:p>
      <w:pPr>
        <w:ind w:right="1999"/>
        <w:spacing w:after="0" w:line="256" w:lineRule="auto"/>
        <w:rPr>
          <w:sz w:val="20"/>
          <w:szCs w:val="20"/>
          <w:color w:val="auto"/>
        </w:rPr>
      </w:pPr>
      <w:r>
        <w:rPr>
          <w:rFonts w:ascii="Courier New" w:cs="Courier New" w:eastAsia="Courier New" w:hAnsi="Courier New"/>
          <w:sz w:val="18"/>
          <w:szCs w:val="18"/>
          <w:color w:val="auto"/>
        </w:rPr>
        <w:t>Information on the attached Schedule 13G is provided solely for the purpose of complying with Section 13(d) and 13(g) of the Securities Exchange Act of 1934 and Regulations promulgated under authority thereof and is not intended as an admission that First Bank System, Inc. or any of its subsidiaries, is a beneficial owner of the securities described herein for any other purpose (including without limitation for purposes of the Minnesota Control Share Acquisition Act).</w:t>
      </w:r>
    </w:p>
    <w:sectPr>
      <w:pgSz w:w="11900" w:h="16838" w:orient="portrait"/>
      <w:cols w:equalWidth="0" w:num="1">
        <w:col w:w="10219"/>
      </w:cols>
      <w:pgMar w:left="240" w:top="6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lvl w:ilvl="1">
      <w:lvlJc w:val="left"/>
      <w:lvlText w:val="%2"/>
      <w:numFmt w:val="decimal"/>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lvl w:ilvl="1">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3"/>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2019-12-13T13:51:03Z</dcterms:created>
  <dcterms:modified xsi:type="dcterms:W3CDTF">2019-12-13T13:51:03Z</dcterms:modified>
</cp:coreProperties>
</file>