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334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3463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STEINHAFEL GREGG W</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11/01/2011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4"/>
        <w:spacing w:after="0"/>
        <w:tabs>
          <w:tab w:leader="none" w:pos="533" w:val="left"/>
          <w:tab w:leader="none" w:pos="215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4"/>
        <w:spacing w:after="0"/>
        <w:tabs>
          <w:tab w:leader="none" w:pos="215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7"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6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7"/>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6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8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Disposed Of (D) (Instr. 3, 4 and</w:t>
            </w:r>
          </w:p>
        </w:tc>
        <w:tc>
          <w:tcPr>
            <w:tcW w:w="16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11/01/2011</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859</w:t>
            </w:r>
          </w:p>
        </w:tc>
        <w:tc>
          <w:tcPr>
            <w:tcW w:w="68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7,812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5"/>
              </w:rPr>
              <w:t>Common Stock Units</w:t>
            </w: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center"/>
              <w:ind w:right="159"/>
              <w:spacing w:after="0"/>
              <w:rPr>
                <w:sz w:val="20"/>
                <w:szCs w:val="20"/>
                <w:color w:val="auto"/>
              </w:rPr>
            </w:pPr>
            <w:r>
              <w:rPr>
                <w:rFonts w:ascii="Arial" w:cs="Arial" w:eastAsia="Arial" w:hAnsi="Arial"/>
                <w:sz w:val="17"/>
                <w:szCs w:val="17"/>
                <w:color w:val="0000FF"/>
              </w:rPr>
              <w:t>1,283.993</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60" w:type="dxa"/>
            <w:vAlign w:val="bottom"/>
            <w:gridSpan w:val="10"/>
          </w:tcPr>
          <w:p>
            <w:pPr>
              <w:jc w:val="right"/>
              <w:ind w:righ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1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52.96</w:t>
            </w:r>
          </w:p>
        </w:tc>
        <w:tc>
          <w:tcPr>
            <w:tcW w:w="1000" w:type="dxa"/>
            <w:vAlign w:val="bottom"/>
          </w:tcPr>
          <w:p>
            <w:pPr>
              <w:jc w:val="right"/>
              <w:ind w:right="138"/>
              <w:spacing w:after="0"/>
              <w:rPr>
                <w:sz w:val="20"/>
                <w:szCs w:val="20"/>
                <w:color w:val="auto"/>
              </w:rPr>
            </w:pPr>
            <w:r>
              <w:rPr>
                <w:rFonts w:ascii="Arial" w:cs="Arial" w:eastAsia="Arial" w:hAnsi="Arial"/>
                <w:sz w:val="13"/>
                <w:szCs w:val="13"/>
                <w:color w:val="0000FF"/>
              </w:rPr>
              <w:t>11/01/2011</w:t>
            </w:r>
          </w:p>
        </w:tc>
        <w:tc>
          <w:tcPr>
            <w:tcW w:w="1200" w:type="dxa"/>
            <w:vAlign w:val="bottom"/>
          </w:tcPr>
          <w:p>
            <w:pPr>
              <w:spacing w:after="0"/>
              <w:rPr>
                <w:sz w:val="18"/>
                <w:szCs w:val="18"/>
                <w:color w:val="auto"/>
              </w:rPr>
            </w:pPr>
          </w:p>
        </w:tc>
        <w:tc>
          <w:tcPr>
            <w:tcW w:w="740" w:type="dxa"/>
            <w:vAlign w:val="bottom"/>
          </w:tcPr>
          <w:p>
            <w:pPr>
              <w:ind w:left="100"/>
              <w:spacing w:after="0" w:line="212" w:lineRule="exact"/>
              <w:rPr>
                <w:sz w:val="20"/>
                <w:szCs w:val="20"/>
                <w:color w:val="auto"/>
              </w:rPr>
            </w:pPr>
            <w:r>
              <w:rPr>
                <w:rFonts w:ascii="Arial" w:cs="Arial" w:eastAsia="Arial" w:hAnsi="Arial"/>
                <w:sz w:val="24"/>
                <w:szCs w:val="24"/>
                <w:color w:val="0000FF"/>
                <w:vertAlign w:val="subscript"/>
              </w:rPr>
              <w:t>A</w:t>
            </w:r>
            <w:r>
              <w:rPr>
                <w:rFonts w:ascii="Arial" w:cs="Arial" w:eastAsia="Arial" w:hAnsi="Arial"/>
                <w:sz w:val="11"/>
                <w:szCs w:val="11"/>
                <w:color w:val="008000"/>
              </w:rPr>
              <w:t>(3)</w:t>
            </w:r>
          </w:p>
        </w:tc>
        <w:tc>
          <w:tcPr>
            <w:tcW w:w="560" w:type="dxa"/>
            <w:vAlign w:val="bottom"/>
          </w:tcPr>
          <w:p>
            <w:pPr>
              <w:ind w:left="160"/>
              <w:spacing w:after="0"/>
              <w:rPr>
                <w:sz w:val="20"/>
                <w:szCs w:val="20"/>
                <w:color w:val="auto"/>
              </w:rPr>
            </w:pPr>
            <w:r>
              <w:rPr>
                <w:rFonts w:ascii="Arial" w:cs="Arial" w:eastAsia="Arial" w:hAnsi="Arial"/>
                <w:sz w:val="13"/>
                <w:szCs w:val="13"/>
                <w:color w:val="0000FF"/>
              </w:rPr>
              <w:t>2,512</w:t>
            </w:r>
          </w:p>
        </w:tc>
        <w:tc>
          <w:tcPr>
            <w:tcW w:w="280" w:type="dxa"/>
            <w:vAlign w:val="bottom"/>
          </w:tcPr>
          <w:p>
            <w:pPr>
              <w:spacing w:after="0"/>
              <w:rPr>
                <w:sz w:val="18"/>
                <w:szCs w:val="18"/>
                <w:color w:val="auto"/>
              </w:rPr>
            </w:pPr>
          </w:p>
        </w:tc>
        <w:tc>
          <w:tcPr>
            <w:tcW w:w="900" w:type="dxa"/>
            <w:vAlign w:val="bottom"/>
            <w:gridSpan w:val="2"/>
          </w:tcPr>
          <w:p>
            <w:pPr>
              <w:ind w:left="80"/>
              <w:spacing w:after="0" w:line="212" w:lineRule="exact"/>
              <w:rPr>
                <w:sz w:val="20"/>
                <w:szCs w:val="20"/>
                <w:color w:val="auto"/>
              </w:rPr>
            </w:pPr>
            <w:r>
              <w:rPr>
                <w:rFonts w:ascii="Arial" w:cs="Arial" w:eastAsia="Arial" w:hAnsi="Arial"/>
                <w:sz w:val="13"/>
                <w:szCs w:val="13"/>
                <w:color w:val="0000FF"/>
                <w:w w:val="96"/>
              </w:rPr>
              <w:t>11/01/2012</w:t>
            </w:r>
            <w:r>
              <w:rPr>
                <w:rFonts w:ascii="Arial" w:cs="Arial" w:eastAsia="Arial" w:hAnsi="Arial"/>
                <w:sz w:val="22"/>
                <w:szCs w:val="22"/>
                <w:color w:val="008000"/>
                <w:w w:val="96"/>
                <w:vertAlign w:val="superscript"/>
              </w:rPr>
              <w:t>(4)</w:t>
            </w: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11/01/2021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33"/>
              <w:spacing w:after="0"/>
              <w:rPr>
                <w:sz w:val="20"/>
                <w:szCs w:val="20"/>
                <w:color w:val="auto"/>
              </w:rPr>
            </w:pPr>
            <w:r>
              <w:rPr>
                <w:rFonts w:ascii="Arial" w:cs="Arial" w:eastAsia="Arial" w:hAnsi="Arial"/>
                <w:sz w:val="17"/>
                <w:szCs w:val="17"/>
                <w:color w:val="0000FF"/>
                <w:w w:val="98"/>
              </w:rPr>
              <w:t>2,512</w:t>
            </w:r>
          </w:p>
        </w:tc>
        <w:tc>
          <w:tcPr>
            <w:tcW w:w="80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60"/>
              <w:spacing w:after="0"/>
              <w:rPr>
                <w:sz w:val="20"/>
                <w:szCs w:val="20"/>
                <w:color w:val="auto"/>
              </w:rPr>
            </w:pPr>
            <w:r>
              <w:rPr>
                <w:rFonts w:ascii="Arial" w:cs="Arial" w:eastAsia="Arial" w:hAnsi="Arial"/>
                <w:sz w:val="13"/>
                <w:szCs w:val="13"/>
                <w:color w:val="0000FF"/>
                <w:w w:val="98"/>
              </w:rPr>
              <w:t>2,512</w:t>
            </w:r>
          </w:p>
        </w:tc>
        <w:tc>
          <w:tcPr>
            <w:tcW w:w="30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Stock</w:t>
            </w: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ind w:left="140"/>
              <w:spacing w:after="0" w:line="95" w:lineRule="exact"/>
              <w:rPr>
                <w:sz w:val="20"/>
                <w:szCs w:val="20"/>
                <w:color w:val="auto"/>
              </w:rPr>
            </w:pPr>
            <w:r>
              <w:rPr>
                <w:rFonts w:ascii="Arial" w:cs="Arial" w:eastAsia="Arial" w:hAnsi="Arial"/>
                <w:sz w:val="11"/>
                <w:szCs w:val="11"/>
                <w:color w:val="0000FF"/>
              </w:rPr>
              <w:t>Stock</w:t>
            </w: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2010 Equity and Incentive Plan, as amended (the "2010 Plan").</w:t>
      </w:r>
    </w:p>
    <w:p>
      <w:pPr>
        <w:spacing w:after="0" w:line="52" w:lineRule="exact"/>
        <w:rPr>
          <w:rFonts w:ascii="Arial" w:cs="Arial" w:eastAsia="Arial" w:hAnsi="Arial"/>
          <w:sz w:val="13"/>
          <w:szCs w:val="13"/>
          <w:color w:val="008000"/>
        </w:rPr>
      </w:pPr>
    </w:p>
    <w:p>
      <w:pPr>
        <w:ind w:left="40" w:right="24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17.012 common stock units acquired by the reporting person under the dividend reinvestment feature of The Toro Company Deferred Compensation Plan for Non-Employee Directors since the date of his last report.</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2010 Plan.</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in the year following the date of grant.</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Nancy A. McGrath,</w:t>
            </w: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11/03/2011</w:t>
            </w:r>
          </w:p>
        </w:tc>
        <w:tc>
          <w:tcPr>
            <w:tcW w:w="0" w:type="dxa"/>
            <w:vAlign w:val="bottom"/>
          </w:tcPr>
          <w:p>
            <w:pPr>
              <w:spacing w:after="0"/>
              <w:rPr>
                <w:sz w:val="1"/>
                <w:szCs w:val="1"/>
                <w:color w:val="auto"/>
              </w:rPr>
            </w:pPr>
          </w:p>
        </w:tc>
      </w:tr>
      <w:tr>
        <w:trPr>
          <w:trHeight w:val="88"/>
        </w:trPr>
        <w:tc>
          <w:tcPr>
            <w:tcW w:w="1180" w:type="dxa"/>
            <w:vAlign w:val="bottom"/>
            <w:tcBorders>
              <w:top w:val="single" w:sz="8" w:color="auto"/>
            </w:tcBorders>
            <w:vMerge w:val="restart"/>
          </w:tcPr>
          <w:p>
            <w:pPr>
              <w:spacing w:after="0"/>
              <w:rPr>
                <w:sz w:val="20"/>
                <w:szCs w:val="20"/>
                <w:color w:val="auto"/>
              </w:rPr>
            </w:pPr>
            <w:r>
              <w:rPr>
                <w:rFonts w:ascii="Arial" w:cs="Arial" w:eastAsia="Arial" w:hAnsi="Arial"/>
                <w:sz w:val="17"/>
                <w:szCs w:val="17"/>
                <w:color w:val="0000FF"/>
                <w:w w:val="95"/>
              </w:rPr>
              <w:t>Attorney-in-Fact</w:t>
            </w:r>
          </w:p>
        </w:tc>
        <w:tc>
          <w:tcPr>
            <w:tcW w:w="42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8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11"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Amy E. Dahl, Timothy P. Dordell and Nancy A. McGrath, signing singly, true and lawful attorneys-in-fact relative to the filings identified below in connection with the undersigned's derivative and non-derivative securities of The Toro Company (the ?Company?) to:</w:t>
      </w:r>
    </w:p>
    <w:p>
      <w:pPr>
        <w:spacing w:after="0" w:line="198" w:lineRule="exact"/>
        <w:rPr>
          <w:sz w:val="20"/>
          <w:szCs w:val="20"/>
          <w:color w:val="auto"/>
        </w:rPr>
      </w:pPr>
    </w:p>
    <w:p>
      <w:pPr>
        <w:ind w:right="3079" w:firstLine="8"/>
        <w:spacing w:after="0" w:line="252" w:lineRule="auto"/>
        <w:tabs>
          <w:tab w:leader="none" w:pos="83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198" w:lineRule="exact"/>
        <w:rPr>
          <w:rFonts w:ascii="Courier New" w:cs="Courier New" w:eastAsia="Courier New" w:hAnsi="Courier New"/>
          <w:sz w:val="17"/>
          <w:szCs w:val="17"/>
          <w:color w:val="auto"/>
        </w:rPr>
      </w:pPr>
    </w:p>
    <w:p>
      <w:pPr>
        <w:ind w:left="840" w:hanging="832"/>
        <w:spacing w:after="0"/>
        <w:tabs>
          <w:tab w:leader="none" w:pos="8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9" w:lineRule="exact"/>
        <w:rPr>
          <w:sz w:val="20"/>
          <w:szCs w:val="20"/>
          <w:color w:val="auto"/>
        </w:rPr>
      </w:pPr>
    </w:p>
    <w:p>
      <w:pPr>
        <w:jc w:val="both"/>
        <w:ind w:right="3499"/>
        <w:spacing w:after="0" w:line="253" w:lineRule="auto"/>
        <w:rPr>
          <w:sz w:val="20"/>
          <w:szCs w:val="20"/>
          <w:color w:val="auto"/>
        </w:rPr>
      </w:pPr>
      <w:r>
        <w:rPr>
          <w:rFonts w:ascii="Courier New" w:cs="Courier New" w:eastAsia="Courier New" w:hAnsi="Courier New"/>
          <w:sz w:val="17"/>
          <w:szCs w:val="17"/>
          <w:color w:val="auto"/>
        </w:rPr>
        <w:t>in the undersigned?s capacity as a director of the Company, any Form 144 in accordance with Rule 144 under the Securities Act of 1933, as amended, and the rules and regulations thereunder (the ?Securities Act?);</w:t>
      </w:r>
    </w:p>
    <w:p>
      <w:pPr>
        <w:spacing w:after="0" w:line="196" w:lineRule="exact"/>
        <w:rPr>
          <w:sz w:val="20"/>
          <w:szCs w:val="20"/>
          <w:color w:val="auto"/>
        </w:rPr>
      </w:pPr>
    </w:p>
    <w:p>
      <w:pPr>
        <w:ind w:right="3079" w:firstLine="8"/>
        <w:spacing w:after="0" w:line="252" w:lineRule="auto"/>
        <w:tabs>
          <w:tab w:leader="none" w:pos="83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8" w:lineRule="exact"/>
        <w:rPr>
          <w:rFonts w:ascii="Courier New" w:cs="Courier New" w:eastAsia="Courier New" w:hAnsi="Courier New"/>
          <w:sz w:val="17"/>
          <w:szCs w:val="17"/>
          <w:color w:val="auto"/>
        </w:rPr>
      </w:pPr>
    </w:p>
    <w:p>
      <w:pPr>
        <w:ind w:right="3079" w:firstLine="8"/>
        <w:spacing w:after="0" w:line="252" w:lineRule="auto"/>
        <w:tabs>
          <w:tab w:leader="none" w:pos="83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97" w:lineRule="exact"/>
        <w:rPr>
          <w:sz w:val="20"/>
          <w:szCs w:val="20"/>
          <w:color w:val="auto"/>
        </w:rPr>
      </w:pPr>
    </w:p>
    <w:p>
      <w:pPr>
        <w:ind w:right="297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60" w:type="dxa"/>
            <w:vAlign w:val="bottom"/>
          </w:tcPr>
          <w:p>
            <w:pPr>
              <w:spacing w:after="0"/>
              <w:rPr>
                <w:sz w:val="20"/>
                <w:szCs w:val="20"/>
                <w:color w:val="auto"/>
              </w:rPr>
            </w:pPr>
            <w:r>
              <w:rPr>
                <w:rFonts w:ascii="Courier New" w:cs="Courier New" w:eastAsia="Courier New" w:hAnsi="Courier New"/>
                <w:sz w:val="17"/>
                <w:szCs w:val="17"/>
                <w:color w:val="auto"/>
              </w:rPr>
              <w:t>IN</w:t>
            </w:r>
          </w:p>
        </w:tc>
        <w:tc>
          <w:tcPr>
            <w:tcW w:w="38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WITNESS WHEREOF, the undersigned has</w:t>
            </w: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caused this</w:t>
            </w:r>
          </w:p>
        </w:tc>
        <w:tc>
          <w:tcPr>
            <w:tcW w:w="1740" w:type="dxa"/>
            <w:vAlign w:val="bottom"/>
          </w:tcPr>
          <w:p>
            <w:pPr>
              <w:ind w:left="60"/>
              <w:spacing w:after="0"/>
              <w:rPr>
                <w:sz w:val="20"/>
                <w:szCs w:val="20"/>
                <w:color w:val="auto"/>
              </w:rPr>
            </w:pPr>
            <w:r>
              <w:rPr>
                <w:rFonts w:ascii="Courier New" w:cs="Courier New" w:eastAsia="Courier New" w:hAnsi="Courier New"/>
                <w:sz w:val="17"/>
                <w:szCs w:val="17"/>
                <w:color w:val="auto"/>
              </w:rPr>
              <w:t>Limited Power</w:t>
            </w:r>
          </w:p>
        </w:tc>
      </w:tr>
      <w:tr>
        <w:trPr>
          <w:trHeight w:val="202"/>
        </w:trPr>
        <w:tc>
          <w:tcPr>
            <w:tcW w:w="260" w:type="dxa"/>
            <w:vAlign w:val="bottom"/>
          </w:tcPr>
          <w:p>
            <w:pPr>
              <w:spacing w:after="0"/>
              <w:rPr>
                <w:sz w:val="20"/>
                <w:szCs w:val="20"/>
                <w:color w:val="auto"/>
              </w:rPr>
            </w:pPr>
            <w:r>
              <w:rPr>
                <w:rFonts w:ascii="Courier New" w:cs="Courier New" w:eastAsia="Courier New" w:hAnsi="Courier New"/>
                <w:sz w:val="17"/>
                <w:szCs w:val="17"/>
                <w:color w:val="auto"/>
              </w:rPr>
              <w:t>of</w:t>
            </w: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Attorney to</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be</w:t>
            </w:r>
          </w:p>
        </w:tc>
        <w:tc>
          <w:tcPr>
            <w:tcW w:w="2300" w:type="dxa"/>
            <w:vAlign w:val="bottom"/>
          </w:tcPr>
          <w:p>
            <w:pPr>
              <w:jc w:val="right"/>
              <w:spacing w:after="0"/>
              <w:rPr>
                <w:sz w:val="20"/>
                <w:szCs w:val="20"/>
                <w:color w:val="auto"/>
              </w:rPr>
            </w:pPr>
            <w:r>
              <w:rPr>
                <w:rFonts w:ascii="Courier New" w:cs="Courier New" w:eastAsia="Courier New" w:hAnsi="Courier New"/>
                <w:sz w:val="17"/>
                <w:szCs w:val="17"/>
                <w:color w:val="auto"/>
              </w:rPr>
              <w:t>executed effective as</w:t>
            </w: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of the date</w:t>
            </w:r>
          </w:p>
        </w:tc>
        <w:tc>
          <w:tcPr>
            <w:tcW w:w="1740" w:type="dxa"/>
            <w:vAlign w:val="bottom"/>
          </w:tcPr>
          <w:p>
            <w:pPr>
              <w:ind w:left="60"/>
              <w:spacing w:after="0"/>
              <w:rPr>
                <w:sz w:val="20"/>
                <w:szCs w:val="20"/>
                <w:color w:val="auto"/>
              </w:rPr>
            </w:pPr>
            <w:r>
              <w:rPr>
                <w:rFonts w:ascii="Courier New" w:cs="Courier New" w:eastAsia="Courier New" w:hAnsi="Courier New"/>
                <w:sz w:val="17"/>
                <w:szCs w:val="17"/>
                <w:color w:val="auto"/>
              </w:rPr>
              <w:t>indicated below,</w:t>
            </w:r>
          </w:p>
        </w:tc>
      </w:tr>
      <w:tr>
        <w:trPr>
          <w:trHeight w:val="202"/>
        </w:trPr>
        <w:tc>
          <w:tcPr>
            <w:tcW w:w="1520" w:type="dxa"/>
            <w:vAlign w:val="bottom"/>
            <w:gridSpan w:val="2"/>
          </w:tcPr>
          <w:p>
            <w:pPr>
              <w:spacing w:after="0"/>
              <w:rPr>
                <w:sz w:val="20"/>
                <w:szCs w:val="20"/>
                <w:color w:val="auto"/>
              </w:rPr>
            </w:pPr>
            <w:r>
              <w:rPr>
                <w:rFonts w:ascii="Courier New" w:cs="Courier New" w:eastAsia="Courier New" w:hAnsi="Courier New"/>
                <w:sz w:val="17"/>
                <w:szCs w:val="17"/>
                <w:color w:val="auto"/>
              </w:rPr>
              <w:t>and said Power</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of</w:t>
            </w:r>
          </w:p>
        </w:tc>
        <w:tc>
          <w:tcPr>
            <w:tcW w:w="2300" w:type="dxa"/>
            <w:vAlign w:val="bottom"/>
          </w:tcPr>
          <w:p>
            <w:pPr>
              <w:jc w:val="right"/>
              <w:spacing w:after="0"/>
              <w:rPr>
                <w:sz w:val="20"/>
                <w:szCs w:val="20"/>
                <w:color w:val="auto"/>
              </w:rPr>
            </w:pPr>
            <w:r>
              <w:rPr>
                <w:rFonts w:ascii="Courier New" w:cs="Courier New" w:eastAsia="Courier New" w:hAnsi="Courier New"/>
                <w:sz w:val="17"/>
                <w:szCs w:val="17"/>
                <w:color w:val="auto"/>
              </w:rPr>
              <w:t>Attorney shall remain</w:t>
            </w:r>
          </w:p>
        </w:tc>
        <w:tc>
          <w:tcPr>
            <w:tcW w:w="30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in effect until revoked by</w:t>
            </w:r>
          </w:p>
        </w:tc>
      </w:tr>
    </w:tbl>
    <w:p>
      <w:pPr>
        <w:spacing w:after="0" w:line="4" w:lineRule="exact"/>
        <w:rPr>
          <w:sz w:val="20"/>
          <w:szCs w:val="20"/>
          <w:color w:val="auto"/>
        </w:rPr>
      </w:pPr>
    </w:p>
    <w:p>
      <w:pPr>
        <w:ind w:right="3399"/>
        <w:spacing w:after="0" w:line="257" w:lineRule="auto"/>
        <w:rPr>
          <w:sz w:val="20"/>
          <w:szCs w:val="20"/>
          <w:color w:val="auto"/>
        </w:rPr>
      </w:pPr>
      <w:r>
        <w:rPr>
          <w:rFonts w:ascii="Courier New" w:cs="Courier New" w:eastAsia="Courier New" w:hAnsi="Courier New"/>
          <w:sz w:val="17"/>
          <w:szCs w:val="17"/>
          <w:color w:val="auto"/>
        </w:rPr>
        <w:t>the undersigned in writing, or at such time as the undersigned is no longer a director of the Company, whichever first occurs.</w:t>
      </w:r>
    </w:p>
    <w:p>
      <w:pPr>
        <w:sectPr>
          <w:pgSz w:w="11900" w:h="16838" w:orient="portrait"/>
          <w:cols w:equalWidth="0" w:num="1">
            <w:col w:w="10219"/>
          </w:cols>
          <w:pgMar w:left="240" w:top="142" w:right="1440" w:bottom="1440" w:gutter="0" w:footer="0" w:header="0"/>
        </w:sect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Gregg W. Steinhafel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Gregg W. Steinhafel</w:t>
      </w:r>
    </w:p>
    <w:p>
      <w:pPr>
        <w:spacing w:after="0" w:line="200" w:lineRule="exact"/>
        <w:rPr>
          <w:sz w:val="20"/>
          <w:szCs w:val="20"/>
          <w:color w:val="auto"/>
        </w:rPr>
      </w:pPr>
    </w:p>
    <w:p>
      <w:pPr>
        <w:sectPr>
          <w:pgSz w:w="11900" w:h="16838" w:orient="portrait"/>
          <w:cols w:equalWidth="0" w:num="2">
            <w:col w:w="960" w:space="720"/>
            <w:col w:w="8539"/>
          </w:cols>
          <w:pgMar w:left="240" w:top="142"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03/09/2011</w:t>
      </w:r>
    </w:p>
    <w:sectPr>
      <w:pgSz w:w="11900" w:h="16838" w:orient="portrait"/>
      <w:cols w:equalWidth="0" w:num="2">
        <w:col w:w="640" w:space="200"/>
        <w:col w:w="937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172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2019-12-17T00:50:44Z</dcterms:created>
  <dcterms:modified xsi:type="dcterms:W3CDTF">2019-12-17T00:50:44Z</dcterms:modified>
</cp:coreProperties>
</file>