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11-K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40" w:hanging="508"/>
        <w:spacing w:after="0"/>
        <w:tabs>
          <w:tab w:leader="none" w:pos="8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80" w:hanging="548"/>
        <w:spacing w:after="0"/>
        <w:tabs>
          <w:tab w:leader="none" w:pos="88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15(d) OF THE SECURITIES EXCHANGE ACT OF 1934</w:t>
      </w:r>
    </w:p>
    <w:p>
      <w:pPr>
        <w:spacing w:after="0" w:line="227" w:lineRule="exact"/>
        <w:rPr>
          <w:sz w:val="24"/>
          <w:szCs w:val="24"/>
          <w:color w:val="auto"/>
        </w:rPr>
      </w:pPr>
    </w:p>
    <w:p>
      <w:pPr>
        <w:ind w:left="32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 and Employee Stock Ownership Plan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Attn: Director, Human Resources</w:t>
      </w:r>
    </w:p>
    <w:p>
      <w:pPr>
        <w:spacing w:after="0" w:line="211"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AND EMPLOYEE STOCK OWNERSHIP PLAN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20" w:type="dxa"/>
            <w:vAlign w:val="bottom"/>
            <w:gridSpan w:val="2"/>
          </w:tcPr>
          <w:p>
            <w:pPr>
              <w:ind w:left="24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r>
      <w:tr>
        <w:trPr>
          <w:trHeight w:val="365"/>
        </w:trPr>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480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Report of Independent Registered Public Accounting Firm</w:t>
              </w:r>
            </w:hyperlink>
          </w:p>
        </w:tc>
        <w:tc>
          <w:tcPr>
            <w:tcW w:w="6620" w:type="dxa"/>
            <w:vAlign w:val="bottom"/>
            <w:gridSpan w:val="2"/>
          </w:tcPr>
          <w:p>
            <w:pPr>
              <w:jc w:val="center"/>
              <w:ind w:left="5170"/>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24"/>
                <w:szCs w:val="24"/>
                <w:color w:val="auto"/>
              </w:rPr>
            </w:pPr>
          </w:p>
        </w:tc>
      </w:tr>
      <w:tr>
        <w:trPr>
          <w:trHeight w:val="412"/>
        </w:trPr>
        <w:tc>
          <w:tcPr>
            <w:tcW w:w="4220" w:type="dxa"/>
            <w:vAlign w:val="bottom"/>
            <w:tcBorders>
              <w:top w:val="single" w:sz="8" w:color="0000EE"/>
            </w:tcBorders>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w:t>
              </w:r>
            </w:hyperlink>
          </w:p>
        </w:tc>
        <w:tc>
          <w:tcPr>
            <w:tcW w:w="580" w:type="dxa"/>
            <w:vAlign w:val="bottom"/>
            <w:gridSpan w:val="3"/>
          </w:tcPr>
          <w:p>
            <w:pPr>
              <w:spacing w:after="0"/>
              <w:rPr>
                <w:sz w:val="24"/>
                <w:szCs w:val="24"/>
                <w:color w:val="auto"/>
              </w:rPr>
            </w:pPr>
          </w:p>
        </w:tc>
        <w:tc>
          <w:tcPr>
            <w:tcW w:w="6620" w:type="dxa"/>
            <w:vAlign w:val="bottom"/>
            <w:gridSpan w:val="2"/>
          </w:tcPr>
          <w:p>
            <w:pPr>
              <w:jc w:val="center"/>
              <w:ind w:left="5170"/>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3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Statements of Changes in Net Assets Available for Benefits</w:t>
              </w:r>
            </w:hyperlink>
          </w:p>
        </w:tc>
        <w:tc>
          <w:tcPr>
            <w:tcW w:w="500" w:type="dxa"/>
            <w:vAlign w:val="bottom"/>
            <w:gridSpan w:val="2"/>
          </w:tcPr>
          <w:p>
            <w:pPr>
              <w:spacing w:after="0"/>
              <w:rPr>
                <w:sz w:val="24"/>
                <w:szCs w:val="24"/>
                <w:color w:val="auto"/>
              </w:rPr>
            </w:pPr>
          </w:p>
        </w:tc>
        <w:tc>
          <w:tcPr>
            <w:tcW w:w="6620" w:type="dxa"/>
            <w:vAlign w:val="bottom"/>
            <w:gridSpan w:val="2"/>
          </w:tcPr>
          <w:p>
            <w:pPr>
              <w:jc w:val="center"/>
              <w:ind w:left="5170"/>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24"/>
                <w:szCs w:val="24"/>
                <w:color w:val="auto"/>
              </w:rPr>
            </w:pPr>
          </w:p>
        </w:tc>
      </w:tr>
      <w:tr>
        <w:trPr>
          <w:trHeight w:val="412"/>
        </w:trPr>
        <w:tc>
          <w:tcPr>
            <w:tcW w:w="480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6620" w:type="dxa"/>
            <w:vAlign w:val="bottom"/>
            <w:gridSpan w:val="2"/>
          </w:tcPr>
          <w:p>
            <w:pPr>
              <w:jc w:val="center"/>
              <w:ind w:left="5170"/>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24"/>
                <w:szCs w:val="24"/>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4800" w:type="dxa"/>
            <w:vAlign w:val="bottom"/>
            <w:gridSpan w:val="6"/>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Schedule H, Line 4i - Schedule of Assets (Held at End of Year)</w:t>
              </w:r>
            </w:hyperlink>
          </w:p>
        </w:tc>
        <w:tc>
          <w:tcPr>
            <w:tcW w:w="6620" w:type="dxa"/>
            <w:vAlign w:val="bottom"/>
            <w:gridSpan w:val="2"/>
          </w:tcPr>
          <w:p>
            <w:pPr>
              <w:jc w:val="center"/>
              <w:ind w:left="5190"/>
              <w:spacing w:after="0"/>
              <w:rPr>
                <w:sz w:val="20"/>
                <w:szCs w:val="20"/>
                <w:color w:val="auto"/>
              </w:rPr>
            </w:pPr>
            <w:r>
              <w:rPr>
                <w:rFonts w:ascii="Arial" w:cs="Arial" w:eastAsia="Arial" w:hAnsi="Arial"/>
                <w:sz w:val="18"/>
                <w:szCs w:val="18"/>
                <w:color w:val="auto"/>
                <w:w w:val="89"/>
              </w:rPr>
              <w:t>11</w:t>
            </w:r>
          </w:p>
        </w:tc>
        <w:tc>
          <w:tcPr>
            <w:tcW w:w="40" w:type="dxa"/>
            <w:vAlign w:val="bottom"/>
          </w:tcPr>
          <w:p>
            <w:pPr>
              <w:spacing w:after="0"/>
              <w:rPr>
                <w:sz w:val="24"/>
                <w:szCs w:val="24"/>
                <w:color w:val="auto"/>
              </w:rPr>
            </w:pPr>
          </w:p>
        </w:tc>
      </w:tr>
      <w:tr>
        <w:trPr>
          <w:trHeight w:val="368"/>
        </w:trPr>
        <w:tc>
          <w:tcPr>
            <w:tcW w:w="2160" w:type="dxa"/>
            <w:vAlign w:val="bottom"/>
            <w:tcBorders>
              <w:top w:val="single" w:sz="8" w:color="0000EE"/>
              <w:bottom w:val="single" w:sz="8" w:color="010101"/>
            </w:tcBorders>
          </w:tcPr>
          <w:p>
            <w:pPr>
              <w:spacing w:after="0"/>
              <w:rPr>
                <w:sz w:val="24"/>
                <w:szCs w:val="24"/>
                <w:color w:val="auto"/>
              </w:rPr>
            </w:pPr>
          </w:p>
        </w:tc>
        <w:tc>
          <w:tcPr>
            <w:tcW w:w="1280" w:type="dxa"/>
            <w:vAlign w:val="bottom"/>
            <w:tcBorders>
              <w:top w:val="single" w:sz="8" w:color="0000EE"/>
              <w:bottom w:val="single" w:sz="8" w:color="010101"/>
            </w:tcBorders>
          </w:tcPr>
          <w:p>
            <w:pPr>
              <w:spacing w:after="0"/>
              <w:rPr>
                <w:sz w:val="24"/>
                <w:szCs w:val="24"/>
                <w:color w:val="auto"/>
              </w:rPr>
            </w:pPr>
          </w:p>
        </w:tc>
        <w:tc>
          <w:tcPr>
            <w:tcW w:w="780" w:type="dxa"/>
            <w:vAlign w:val="bottom"/>
            <w:tcBorders>
              <w:top w:val="single" w:sz="8" w:color="0000EE"/>
              <w:bottom w:val="single" w:sz="8" w:color="010101"/>
            </w:tcBorders>
          </w:tcPr>
          <w:p>
            <w:pPr>
              <w:spacing w:after="0"/>
              <w:rPr>
                <w:sz w:val="24"/>
                <w:szCs w:val="24"/>
                <w:color w:val="auto"/>
              </w:rPr>
            </w:pPr>
          </w:p>
        </w:tc>
        <w:tc>
          <w:tcPr>
            <w:tcW w:w="80" w:type="dxa"/>
            <w:vAlign w:val="bottom"/>
            <w:tcBorders>
              <w:top w:val="single" w:sz="8" w:color="0000EE"/>
              <w:bottom w:val="single" w:sz="8" w:color="010101"/>
            </w:tcBorders>
          </w:tcPr>
          <w:p>
            <w:pPr>
              <w:spacing w:after="0"/>
              <w:rPr>
                <w:sz w:val="24"/>
                <w:szCs w:val="24"/>
                <w:color w:val="auto"/>
              </w:rPr>
            </w:pPr>
          </w:p>
        </w:tc>
        <w:tc>
          <w:tcPr>
            <w:tcW w:w="260" w:type="dxa"/>
            <w:vAlign w:val="bottom"/>
            <w:tcBorders>
              <w:top w:val="single" w:sz="8" w:color="0000EE"/>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 Employee Stock Ownership Plan:</w:t>
      </w:r>
    </w:p>
    <w:p>
      <w:pPr>
        <w:sectPr>
          <w:pgSz w:w="11900" w:h="16838" w:orient="portrait"/>
          <w:cols w:equalWidth="0" w:num="1">
            <w:col w:w="11460"/>
          </w:cols>
          <w:pgMar w:left="240" w:top="233" w:right="199" w:bottom="153" w:gutter="0" w:footer="0" w:header="0"/>
        </w:sectPr>
      </w:pPr>
    </w:p>
    <w:bookmarkStart w:id="1" w:name="page2"/>
    <w:bookmarkEnd w:id="1"/>
    <w:p>
      <w:pPr>
        <w:spacing w:after="0" w:line="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2010 and 2009,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2010 and 2009, and the changes in net assets available for benefits for the years then ended, in conformity with U.S. generally accepted accounting principles.</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of assets (held at end of year) as of December 31, 2010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 the Toro Company Master Trust Fund</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625,411,544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520,442,217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contribution receivable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61,260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Employer contribution receivable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12,075,607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11,801,421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receivables</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12,138,023</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11,835,106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Total assets before adjustment at fair value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637,549,567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532,277,323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(2,174,255)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(182,381)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tcPr>
          <w:p>
            <w:pPr>
              <w:ind w:left="520"/>
              <w:spacing w:after="0"/>
              <w:rPr>
                <w:sz w:val="20"/>
                <w:szCs w:val="20"/>
                <w:color w:val="auto"/>
              </w:rPr>
            </w:pPr>
            <w:r>
              <w:rPr>
                <w:rFonts w:ascii="Arial" w:cs="Arial" w:eastAsia="Arial" w:hAnsi="Arial"/>
                <w:sz w:val="18"/>
                <w:szCs w:val="18"/>
                <w:color w:val="auto"/>
              </w:rPr>
              <w:t>Net assets available for benefits</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635,375,312</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532,094,942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jc w:val="center"/>
              <w:ind w:left="325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b w:val="1"/>
                <w:bCs w:val="1"/>
                <w:color w:val="auto"/>
              </w:rPr>
              <w:t>THE TORO COMPANY INVESTMENT, SAVINGS,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b w:val="1"/>
                <w:bCs w:val="1"/>
                <w:color w:val="auto"/>
              </w:rPr>
              <w:t>AND EMPLOYEE STOCK OWNERSHIP PLAN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color w:val="auto"/>
                <w:w w:val="90"/>
              </w:rPr>
              <w:t>Statements of Changes in Net Assets Available for Benefits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color w:val="auto"/>
                <w:w w:val="88"/>
              </w:rPr>
              <w:t>Years ended December 31, 2010 and 2009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8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Investment income: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Plan interest in net investment income of the Toro Company Master Trust Fund</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114,071,540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97,533,690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tcPr>
          <w:p>
            <w:pPr>
              <w:ind w:left="70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114,071,540</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97,533,690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Employer contributions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15,267,989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14,413,888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contributions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12,790,079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11,559,241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Rollover contributions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410,336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247,386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-2704465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-2704465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contributions</w:t>
            </w:r>
          </w:p>
        </w:tc>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28,468,404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26,220,515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additions to net assets</w:t>
            </w:r>
          </w:p>
        </w:tc>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142,539,944</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123,754,205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w:t>
            </w:r>
          </w:p>
        </w:tc>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Administrative fees</w:t>
            </w: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(49,572)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(33,097)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 payments</w:t>
            </w:r>
          </w:p>
        </w:tc>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(39,353,415)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(45,898,850)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Total deductions from net assets</w:t>
            </w:r>
          </w:p>
        </w:tc>
        <w:tc>
          <w:tcPr>
            <w:tcW w:w="3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(39,402,987)</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(45,931,947)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Assets transferred to the Plan</w:t>
            </w: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143,413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67,342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80"/>
              <w:spacing w:after="0"/>
              <w:rPr>
                <w:sz w:val="20"/>
                <w:szCs w:val="20"/>
                <w:color w:val="auto"/>
              </w:rPr>
            </w:pPr>
            <w:r>
              <w:rPr>
                <w:rFonts w:ascii="Arial" w:cs="Arial" w:eastAsia="Arial" w:hAnsi="Arial"/>
                <w:sz w:val="18"/>
                <w:szCs w:val="18"/>
                <w:color w:val="auto"/>
              </w:rPr>
              <w:t>Net increase in net assets available for benefits</w:t>
            </w: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103,280,370</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77,889,600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3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532,094,942</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454,205,342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End of year</w:t>
            </w:r>
          </w:p>
        </w:tc>
        <w:tc>
          <w:tcPr>
            <w:tcW w:w="3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635,375,312</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532,094,942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gridSpan w:val="2"/>
            <w:vMerge w:val="continue"/>
          </w:tcPr>
          <w:p>
            <w:pPr>
              <w:spacing w:after="0"/>
              <w:rPr>
                <w:sz w:val="24"/>
                <w:szCs w:val="24"/>
                <w:color w:val="auto"/>
              </w:rPr>
            </w:pPr>
          </w:p>
        </w:tc>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320" w:type="dxa"/>
            <w:vAlign w:val="bottom"/>
          </w:tcPr>
          <w:p>
            <w:pPr>
              <w:jc w:val="right"/>
              <w:ind w:right="245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2010 and 2009</w:t>
      </w:r>
    </w:p>
    <w:p>
      <w:pPr>
        <w:spacing w:after="0" w:line="22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29" w:lineRule="exact"/>
        <w:rPr>
          <w:rFonts w:ascii="Arial" w:cs="Arial" w:eastAsia="Arial" w:hAnsi="Arial"/>
          <w:sz w:val="18"/>
          <w:szCs w:val="18"/>
          <w:b w:val="1"/>
          <w:bCs w:val="1"/>
          <w:color w:val="auto"/>
        </w:rPr>
      </w:pPr>
    </w:p>
    <w:p>
      <w:pPr>
        <w:ind w:left="6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Toro Company Investment, Savings, and Employee Stock Ownership Plan (the Plan) is provided for general information purposes only. Participants should refer to the Plan document restated as of May 8, 2009 for more complete information. The Plan is subject to the provisions of the Employee Retirement Income Security Act of 1974 (ERISA). Effective January 1, 2002, The Toro Company Employee Stock Ownership Plan was merged into The Toro Company Investment and Savings Plan to become the Plan. However, there continues to be an Employee Stock Ownership (ESOP) portion and a profit sharing portion of the Plan. Effective September 2, 2003, the Exmark Manufacturing Company, Inc. 401(k) Profit Sharing Plan was merged into the Plan. The Exmark Manufacturing Company, Inc. 401(k) Profit Sharing Plan offered loans to participants. Since loans are not offered under the Plan, outstanding loan balances were transferred as a result of the merger into the Plan and continue to be repaid by participants. Effective April 4, 2008, the Rain Master Irrigation Systems, Inc. 401(k) Profit Sharing Plan was merged into the Plan.</w:t>
      </w:r>
    </w:p>
    <w:p>
      <w:pPr>
        <w:spacing w:after="0" w:line="197" w:lineRule="exact"/>
        <w:rPr>
          <w:rFonts w:ascii="Arial" w:cs="Arial" w:eastAsia="Arial" w:hAnsi="Arial"/>
          <w:sz w:val="18"/>
          <w:szCs w:val="18"/>
          <w:b w:val="1"/>
          <w:bCs w:val="1"/>
          <w:color w:val="auto"/>
        </w:rPr>
      </w:pPr>
    </w:p>
    <w:p>
      <w:pPr>
        <w:ind w:left="66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primary purpose of the ESOP portion of the Plan is to provide employees who become participants in the Plan an opportunity to have their account balances invested in common stock, par value $1.00 per share (Common Stock), of The Toro Company (the Company). The portions of participant accounts that hold Common Stock of the Company are included in the ESOP portion of the Plan. The portions of participant accounts that do not hold such stock are included in the profit sharing portion of the Plan.</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Participants may make their own contributions to the Plan. These are initially made to the profit sharing portion of the Plan.</w:t>
      </w:r>
    </w:p>
    <w:p>
      <w:pPr>
        <w:spacing w:after="0" w:line="225" w:lineRule="exact"/>
        <w:rPr>
          <w:rFonts w:ascii="Arial" w:cs="Arial" w:eastAsia="Arial" w:hAnsi="Arial"/>
          <w:sz w:val="18"/>
          <w:szCs w:val="18"/>
          <w:b w:val="1"/>
          <w:bCs w:val="1"/>
          <w:color w:val="auto"/>
        </w:rPr>
      </w:pPr>
    </w:p>
    <w:p>
      <w:pPr>
        <w:ind w:left="66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Plan participants are also eligible to have the Company make ESOP and Investment Fund contributions to the Plan on their behalf after two years of qualifying service with the Company. Participants are fully vested in the entire balance of their individual accounts attributable to those contributions. The Company also makes matching contributions to the Plan with respect to participant contributions. Participants are eligible for matching contributions after completing one year of qualifying service with the Company. Company matching contributions, together with income attributable thereto, vest at a rate of 20% after one year of vesting service, with an additional 20% being accumulated annually thereafter until the participant is 100% vested.</w:t>
      </w:r>
    </w:p>
    <w:p>
      <w:pPr>
        <w:spacing w:after="0" w:line="193" w:lineRule="exact"/>
        <w:rPr>
          <w:rFonts w:ascii="Arial" w:cs="Arial" w:eastAsia="Arial" w:hAnsi="Arial"/>
          <w:sz w:val="18"/>
          <w:szCs w:val="18"/>
          <w:b w:val="1"/>
          <w:bCs w:val="1"/>
          <w:color w:val="auto"/>
        </w:rPr>
      </w:pPr>
    </w:p>
    <w:p>
      <w:pPr>
        <w:ind w:left="6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Participants may choose to have their accounts including those initially invested in Common Stock of the Company invested in any of the investment funds made available under the Plan or in Common Stock of the Company. All contributions under the Plan are made to a trust that holds all of the assets of the Plan.</w:t>
      </w:r>
    </w:p>
    <w:p>
      <w:pPr>
        <w:spacing w:after="0" w:line="181" w:lineRule="exact"/>
        <w:rPr>
          <w:rFonts w:ascii="Arial" w:cs="Arial" w:eastAsia="Arial" w:hAnsi="Arial"/>
          <w:sz w:val="18"/>
          <w:szCs w:val="18"/>
          <w:b w:val="1"/>
          <w:bCs w:val="1"/>
          <w:color w:val="auto"/>
        </w:rPr>
      </w:pPr>
    </w:p>
    <w:p>
      <w:pPr>
        <w:ind w:left="660" w:right="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Participants may receive distributions from their vested accounts under the Plan upon termination of employment, retirement,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Company Common Stock, a withdrawal or distribution can be in the form of Common Stock or cash.</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ectPr>
          <w:pgSz w:w="11900" w:h="16838" w:orient="portrait"/>
          <w:cols w:equalWidth="0" w:num="1">
            <w:col w:w="11460"/>
          </w:cols>
          <w:pgMar w:left="240" w:top="140" w:right="19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 and 2009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Benefit payments and transfers of participants’ interests are made by the trustee, Fidelity Investments (the Trustee).</w:t>
      </w:r>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During the years ended December 31, 2010 and 2009, forfeited nonvested accounts totaled $18,350 and $18,268, respectively. These amounts are used to offset future Company contributions.</w:t>
      </w:r>
    </w:p>
    <w:p>
      <w:pPr>
        <w:spacing w:after="0" w:line="170" w:lineRule="exact"/>
        <w:rPr>
          <w:sz w:val="20"/>
          <w:szCs w:val="20"/>
          <w:color w:val="auto"/>
        </w:rPr>
      </w:pPr>
    </w:p>
    <w:p>
      <w:pPr>
        <w:ind w:left="660" w:right="600"/>
        <w:spacing w:after="0" w:line="312" w:lineRule="auto"/>
        <w:rPr>
          <w:sz w:val="20"/>
          <w:szCs w:val="20"/>
          <w:color w:val="auto"/>
        </w:rPr>
      </w:pPr>
      <w:r>
        <w:rPr>
          <w:rFonts w:ascii="Arial" w:cs="Arial" w:eastAsia="Arial" w:hAnsi="Arial"/>
          <w:sz w:val="16"/>
          <w:szCs w:val="16"/>
          <w:color w:val="auto"/>
        </w:rPr>
        <w:t>The Company (administrator of the Plan) designs, manufactures, and markets professional turf maintenance equipment and services, turf and agricultural micro-irrigation systems, landscaping equipment, and residential yard and snow removal products. The Company absorbs all administrative costs of the Plan, with the exception of investment management fees, which are netted against investment income.</w:t>
      </w:r>
    </w:p>
    <w:p>
      <w:pPr>
        <w:spacing w:after="0" w:line="14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1060" w:hanging="404"/>
        <w:spacing w:after="0"/>
        <w:tabs>
          <w:tab w:leader="none" w:pos="10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The accompanying financial statements of the Plan are presented in accordance with U.S generally accepted accounting principles (U.S.</w:t>
      </w:r>
    </w:p>
    <w:p>
      <w:pPr>
        <w:spacing w:after="0" w:line="3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GAAP). The accounting records of the Plan are maintained on the accrual basis.</w:t>
      </w:r>
    </w:p>
    <w:p>
      <w:pPr>
        <w:spacing w:after="0" w:line="211" w:lineRule="exact"/>
        <w:rPr>
          <w:sz w:val="20"/>
          <w:szCs w:val="20"/>
          <w:color w:val="auto"/>
        </w:rPr>
      </w:pPr>
    </w:p>
    <w:p>
      <w:pPr>
        <w:ind w:left="1060" w:hanging="404"/>
        <w:spacing w:after="0"/>
        <w:tabs>
          <w:tab w:leader="none" w:pos="10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1040" w:right="20"/>
        <w:spacing w:after="0" w:line="297" w:lineRule="auto"/>
        <w:rPr>
          <w:sz w:val="20"/>
          <w:szCs w:val="20"/>
          <w:color w:val="auto"/>
        </w:rPr>
      </w:pPr>
      <w:r>
        <w:rPr>
          <w:rFonts w:ascii="Arial" w:cs="Arial" w:eastAsia="Arial" w:hAnsi="Arial"/>
          <w:sz w:val="16"/>
          <w:szCs w:val="16"/>
          <w:color w:val="auto"/>
        </w:rPr>
        <w:t>The Plan’s investments are in a Master Trust held by the Trustee.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58" w:lineRule="exact"/>
        <w:rPr>
          <w:sz w:val="20"/>
          <w:szCs w:val="20"/>
          <w:color w:val="auto"/>
        </w:rPr>
      </w:pPr>
    </w:p>
    <w:p>
      <w:pPr>
        <w:ind w:left="1040" w:right="100"/>
        <w:spacing w:after="0" w:line="255" w:lineRule="auto"/>
        <w:rPr>
          <w:sz w:val="20"/>
          <w:szCs w:val="20"/>
          <w:color w:val="auto"/>
        </w:rPr>
      </w:pPr>
      <w:r>
        <w:rPr>
          <w:rFonts w:ascii="Arial" w:cs="Arial" w:eastAsia="Arial" w:hAnsi="Arial"/>
          <w:sz w:val="18"/>
          <w:szCs w:val="18"/>
          <w:color w:val="auto"/>
        </w:rPr>
        <w:t>The Company maintains one Master Trust for three profit sharing and retirement plans that are sponsored by the Company. The three plans are the Plan, The Toro Company Profit Sharing Plan for Plymouth Union Employees and the Hahn Equipment Company Savings Plan for Union Employees. The purpose of the Master Trust is to pool investment transactions and achieve uniform rates of return on comparable funds under all plans. The Master Trust invests in fully benefit-responsive investment contracts stated at fair value which are then adjusted to contract value. Fair value of the contracts is calculated by discounting the related cash flows based on current yields of similar instruments with comparable durations.</w:t>
      </w:r>
    </w:p>
    <w:p>
      <w:pPr>
        <w:spacing w:after="0" w:line="193" w:lineRule="exact"/>
        <w:rPr>
          <w:sz w:val="20"/>
          <w:szCs w:val="20"/>
          <w:color w:val="auto"/>
        </w:rPr>
      </w:pPr>
    </w:p>
    <w:p>
      <w:pPr>
        <w:ind w:left="1040"/>
        <w:spacing w:after="0" w:line="264" w:lineRule="auto"/>
        <w:rPr>
          <w:sz w:val="20"/>
          <w:szCs w:val="20"/>
          <w:color w:val="auto"/>
        </w:rPr>
      </w:pPr>
      <w:r>
        <w:rPr>
          <w:rFonts w:ascii="Arial" w:cs="Arial" w:eastAsia="Arial" w:hAnsi="Arial"/>
          <w:sz w:val="18"/>
          <w:szCs w:val="18"/>
          <w:color w:val="auto"/>
        </w:rPr>
        <w:t>The Plan’s proportionate share of net investment income (loss) from the Master Trust is based upon the percentage of the fair value of the Plan’s investment in the Master Trust’s net assets. The Plan’s percentage interest in the net assets of the Master Trust was approximately 99% as of December 31, 2010 and 2009.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 and 2009</w:t>
      </w:r>
    </w:p>
    <w:p>
      <w:pPr>
        <w:spacing w:after="0" w:line="225"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25" w:lineRule="exact"/>
        <w:rPr>
          <w:sz w:val="20"/>
          <w:szCs w:val="20"/>
          <w:color w:val="auto"/>
        </w:rPr>
      </w:pPr>
    </w:p>
    <w:p>
      <w:pPr>
        <w:ind w:left="1040" w:right="1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Company, as administrator of the Plan,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187" w:lineRule="exact"/>
        <w:rPr>
          <w:sz w:val="20"/>
          <w:szCs w:val="20"/>
          <w:color w:val="auto"/>
        </w:rPr>
      </w:pPr>
    </w:p>
    <w:p>
      <w:pPr>
        <w:ind w:left="1060" w:hanging="404"/>
        <w:spacing w:after="0"/>
        <w:tabs>
          <w:tab w:leader="none" w:pos="10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jc w:val="both"/>
        <w:ind w:left="1040"/>
        <w:spacing w:after="0" w:line="259"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statements of net assets available for benefits.</w:t>
      </w:r>
    </w:p>
    <w:p>
      <w:pPr>
        <w:spacing w:after="0" w:line="187" w:lineRule="exact"/>
        <w:rPr>
          <w:sz w:val="20"/>
          <w:szCs w:val="20"/>
          <w:color w:val="auto"/>
        </w:rPr>
      </w:pPr>
    </w:p>
    <w:p>
      <w:pPr>
        <w:ind w:left="1040" w:right="120"/>
        <w:spacing w:after="0" w:line="259" w:lineRule="auto"/>
        <w:rPr>
          <w:sz w:val="20"/>
          <w:szCs w:val="20"/>
          <w:color w:val="auto"/>
        </w:rPr>
      </w:pPr>
      <w:r>
        <w:rPr>
          <w:rFonts w:ascii="Arial" w:cs="Arial" w:eastAsia="Arial" w:hAnsi="Arial"/>
          <w:sz w:val="18"/>
          <w:szCs w:val="18"/>
          <w:color w:val="auto"/>
        </w:rPr>
        <w:t>The assets held by the Master Trust include the Common Stock of the Company. At December 31, 2010 and 2009, approximately 34% and 30%, respectively, of the investments of the Master Trust were invested in Common Stock of the Company. The underlying value of the Common Stock of the Company is entirely dependent upon the performance of the Company and the market’s evaluation of such performance and other factors.</w:t>
      </w:r>
    </w:p>
    <w:p>
      <w:pPr>
        <w:spacing w:after="0" w:line="187"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pacing w:after="0" w:line="225" w:lineRule="exact"/>
        <w:rPr>
          <w:sz w:val="20"/>
          <w:szCs w:val="20"/>
          <w:color w:val="auto"/>
        </w:rPr>
      </w:pPr>
    </w:p>
    <w:p>
      <w:pPr>
        <w:ind w:left="1040" w:right="60"/>
        <w:spacing w:after="0" w:line="312" w:lineRule="auto"/>
        <w:rPr>
          <w:sz w:val="20"/>
          <w:szCs w:val="20"/>
          <w:color w:val="auto"/>
        </w:rPr>
      </w:pPr>
      <w:r>
        <w:rPr>
          <w:rFonts w:ascii="Arial" w:cs="Arial" w:eastAsia="Arial" w:hAnsi="Arial"/>
          <w:sz w:val="16"/>
          <w:szCs w:val="16"/>
          <w:color w:val="auto"/>
        </w:rPr>
        <w:t>The Plan indirectly invests in investment contracts and security-backed contracts through the Wells Fargo Stable Value Fund E.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w:t>
      </w:r>
    </w:p>
    <w:p>
      <w:pPr>
        <w:sectPr>
          <w:pgSz w:w="11900" w:h="16838" w:orient="portrait"/>
          <w:cols w:equalWidth="0" w:num="1">
            <w:col w:w="11420"/>
          </w:cols>
          <w:pgMar w:left="240" w:top="125" w:right="239" w:bottom="0" w:gutter="0" w:footer="0" w:header="0"/>
        </w:sectPr>
      </w:pPr>
    </w:p>
    <w:bookmarkStart w:id="4" w:name="page5"/>
    <w:bookmarkEnd w:id="4"/>
    <w:p>
      <w:pPr>
        <w:spacing w:after="0" w:line="5" w:lineRule="exact"/>
        <w:rPr>
          <w:sz w:val="20"/>
          <w:szCs w:val="20"/>
          <w:color w:val="auto"/>
        </w:rPr>
      </w:pPr>
    </w:p>
    <w:p>
      <w:pPr>
        <w:ind w:left="1040" w:right="120"/>
        <w:spacing w:after="0" w:line="308" w:lineRule="auto"/>
        <w:rPr>
          <w:sz w:val="20"/>
          <w:szCs w:val="20"/>
          <w:color w:val="auto"/>
        </w:rPr>
      </w:pPr>
      <w:r>
        <w:rPr>
          <w:rFonts w:ascii="Arial" w:cs="Arial" w:eastAsia="Arial" w:hAnsi="Arial"/>
          <w:sz w:val="17"/>
          <w:szCs w:val="17"/>
          <w:color w:val="auto"/>
        </w:rPr>
        <w:t>income security or portfolio of fixed-income securities; the second part is a contract value guarantee (wrapper) provided by a third party. The yield earned by the Wells Fargo Stable Value Fund E at December 31, 2010 and 2009 was 2.38% and 3.40%, respectively.</w:t>
      </w:r>
    </w:p>
    <w:p>
      <w:pPr>
        <w:spacing w:after="0" w:line="147" w:lineRule="exact"/>
        <w:rPr>
          <w:sz w:val="20"/>
          <w:szCs w:val="20"/>
          <w:color w:val="auto"/>
        </w:rPr>
      </w:pPr>
    </w:p>
    <w:p>
      <w:pPr>
        <w:ind w:left="1040" w:right="120"/>
        <w:spacing w:after="0" w:line="255" w:lineRule="auto"/>
        <w:rPr>
          <w:sz w:val="20"/>
          <w:szCs w:val="20"/>
          <w:color w:val="auto"/>
        </w:rPr>
      </w:pPr>
      <w:r>
        <w:rPr>
          <w:rFonts w:ascii="Arial" w:cs="Arial" w:eastAsia="Arial" w:hAnsi="Arial"/>
          <w:sz w:val="18"/>
          <w:szCs w:val="18"/>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statements of changes in net assets available for benefits is prepared on a contract value basis.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2010 and 2009</w:t>
      </w:r>
    </w:p>
    <w:p>
      <w:pPr>
        <w:spacing w:after="0" w:line="221"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Funding Policy, Contributions, and Plan Transfers</w:t>
      </w:r>
    </w:p>
    <w:p>
      <w:pPr>
        <w:spacing w:after="0" w:line="229" w:lineRule="exact"/>
        <w:rPr>
          <w:rFonts w:ascii="Arial" w:cs="Arial" w:eastAsia="Arial" w:hAnsi="Arial"/>
          <w:sz w:val="18"/>
          <w:szCs w:val="18"/>
          <w:b w:val="1"/>
          <w:bCs w:val="1"/>
          <w:color w:val="auto"/>
        </w:rPr>
      </w:pPr>
    </w:p>
    <w:p>
      <w:pPr>
        <w:ind w:left="6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ESOP portion of the Plan, the Company, at its discretion, may choose to make an annual contribution to a qualified employee’s or participant’s account in the form of Common Stock of the Company. To the extent that a contribution is made for a plan year, it is contributed based on a percentage of the participant’s eligible compensation for the plan year.</w:t>
      </w:r>
    </w:p>
    <w:p>
      <w:pPr>
        <w:spacing w:after="0" w:line="181" w:lineRule="exact"/>
        <w:rPr>
          <w:rFonts w:ascii="Arial" w:cs="Arial" w:eastAsia="Arial" w:hAnsi="Arial"/>
          <w:sz w:val="18"/>
          <w:szCs w:val="18"/>
          <w:b w:val="1"/>
          <w:bCs w:val="1"/>
          <w:color w:val="auto"/>
        </w:rPr>
      </w:pPr>
    </w:p>
    <w:p>
      <w:pPr>
        <w:ind w:left="660"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For the profit sharing portion of the Plan, the Company, at its discretion, may choose to make an annual contribution to a qualified employee’s or participant’s account in the form of cash. This contribution is allocated to a participant’s account based on a participant’s allocation of funds under the 401(k) feature. To the extent that a contribution is made for a plan year, it is contributed based on a percentage of the participant’s eligible compensation for the plan year plus a percentage of the participant’s eligible compensation above the Social Security taxable wage base.</w:t>
      </w:r>
    </w:p>
    <w:p>
      <w:pPr>
        <w:spacing w:after="0" w:line="154" w:lineRule="exact"/>
        <w:rPr>
          <w:rFonts w:ascii="Arial" w:cs="Arial" w:eastAsia="Arial" w:hAnsi="Arial"/>
          <w:sz w:val="18"/>
          <w:szCs w:val="18"/>
          <w:b w:val="1"/>
          <w:bCs w:val="1"/>
          <w:color w:val="auto"/>
        </w:rPr>
      </w:pPr>
    </w:p>
    <w:p>
      <w:pPr>
        <w:ind w:left="6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Participants can also elect salary reduction elections under a 401(k) feature, after-tax contributions and rollover funds from other qualified plans. The Company may, at its discretion, make a matching contribution to employee contributions to the Plan.</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Transfers to/from other funds represent participant elected rollovers to/from plans of other employers or other transfers to/from other plans.</w:t>
      </w:r>
    </w:p>
    <w:p>
      <w:pPr>
        <w:spacing w:after="0" w:line="232" w:lineRule="exact"/>
        <w:rPr>
          <w:rFonts w:ascii="Arial" w:cs="Arial" w:eastAsia="Arial" w:hAnsi="Arial"/>
          <w:sz w:val="18"/>
          <w:szCs w:val="18"/>
          <w:b w:val="1"/>
          <w:bCs w:val="1"/>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29" w:lineRule="exact"/>
        <w:rPr>
          <w:rFonts w:ascii="Arial" w:cs="Arial" w:eastAsia="Arial" w:hAnsi="Arial"/>
          <w:sz w:val="18"/>
          <w:szCs w:val="18"/>
          <w:b w:val="1"/>
          <w:bCs w:val="1"/>
          <w:color w:val="auto"/>
        </w:rPr>
      </w:pPr>
    </w:p>
    <w:p>
      <w:pPr>
        <w:ind w:left="660" w:right="4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Trustee and the Company are parties-in-interest with respect to the Plan. The Plan’s investments are held by the Trustee, and some of the investment funds available to participants include mutual funds managed by the Trustee. In the opinion of the Plan’s legal counsel, transactions between the Plan and the Trustee are exempt from being considered as “prohibited transactions” under the ERISA Section 408(b).</w:t>
      </w:r>
    </w:p>
    <w:p>
      <w:pPr>
        <w:spacing w:after="0" w:line="142" w:lineRule="exact"/>
        <w:rPr>
          <w:rFonts w:ascii="Arial" w:cs="Arial" w:eastAsia="Arial" w:hAnsi="Arial"/>
          <w:sz w:val="18"/>
          <w:szCs w:val="18"/>
          <w:b w:val="1"/>
          <w:bCs w:val="1"/>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61" w:lineRule="exact"/>
        <w:rPr>
          <w:rFonts w:ascii="Arial" w:cs="Arial" w:eastAsia="Arial" w:hAnsi="Arial"/>
          <w:sz w:val="18"/>
          <w:szCs w:val="18"/>
          <w:b w:val="1"/>
          <w:bCs w:val="1"/>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29"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2010 and 2009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values of Master Trust investments at December 31, 2010 and 2009 were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7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116,012,014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104,183,622</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216,205,251</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193,218,407</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211,007,726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158,746,139</w:t>
            </w:r>
          </w:p>
        </w:tc>
        <w:tc>
          <w:tcPr>
            <w:tcW w:w="100" w:type="dxa"/>
            <w:vAlign w:val="bottom"/>
            <w:shd w:val="clear" w:color="auto" w:fill="CCEEFF"/>
          </w:tcPr>
          <w:p>
            <w:pPr>
              <w:spacing w:after="0"/>
              <w:rPr>
                <w:sz w:val="18"/>
                <w:szCs w:val="18"/>
                <w:color w:val="auto"/>
              </w:rPr>
            </w:pPr>
          </w:p>
        </w:tc>
      </w:tr>
    </w:tbl>
    <w:p>
      <w:pPr>
        <w:sectPr>
          <w:pgSz w:w="11900" w:h="16843" w:orient="portrait"/>
          <w:cols w:equalWidth="0" w:num="1">
            <w:col w:w="11380"/>
          </w:cols>
          <w:pgMar w:left="240" w:top="125" w:right="279" w:bottom="0" w:gutter="0" w:footer="0" w:header="0"/>
        </w:sectPr>
      </w:pPr>
    </w:p>
    <w:bookmarkStart w:id="5" w:name="page6"/>
    <w:bookmarkEnd w:id="5"/>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Pooled Funds</w:t>
            </w:r>
          </w:p>
        </w:tc>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85,415,812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67,136,494</w:t>
            </w:r>
          </w:p>
        </w:tc>
      </w:tr>
      <w:tr>
        <w:trPr>
          <w:trHeight w:val="210"/>
        </w:trPr>
        <w:tc>
          <w:tcPr>
            <w:tcW w:w="46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Master Trust Investments</w:t>
            </w:r>
          </w:p>
        </w:tc>
        <w:tc>
          <w:tcPr>
            <w:tcW w:w="2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628,640,803</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523,284,662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Interest in Master Trust</w:t>
            </w:r>
          </w:p>
        </w:tc>
        <w:tc>
          <w:tcPr>
            <w:tcW w:w="2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625,411,544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520,442,217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for the Master Trust for the years-ended December 31, 2010 and 2009 was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realized and unrealized appreciation in fair value of investments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Common Collective Trusts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5,454,739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9,015,165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Registered Investment Securities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25,287,058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42,330,621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72,947,240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35,544,807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Pooled Funds</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8,644,492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12,281,063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Net realized and unrealized appreciation</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112,333,529</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99,171,656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Dividends</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4,457,733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4,215,433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investment income</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116,791,262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103,387,089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jc w:val="both"/>
        <w:ind w:left="980" w:right="240"/>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980" w:right="66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 and 2009</w:t>
      </w:r>
    </w:p>
    <w:p>
      <w:pPr>
        <w:spacing w:after="0" w:line="225" w:lineRule="exact"/>
        <w:rPr>
          <w:sz w:val="20"/>
          <w:szCs w:val="20"/>
          <w:color w:val="auto"/>
        </w:rPr>
      </w:pPr>
    </w:p>
    <w:p>
      <w:pPr>
        <w:ind w:left="660" w:right="340"/>
        <w:spacing w:after="0" w:line="342" w:lineRule="auto"/>
        <w:rPr>
          <w:sz w:val="20"/>
          <w:szCs w:val="20"/>
          <w:color w:val="auto"/>
        </w:rPr>
      </w:pPr>
      <w:r>
        <w:rPr>
          <w:rFonts w:ascii="Arial" w:cs="Arial" w:eastAsia="Arial" w:hAnsi="Arial"/>
          <w:sz w:val="16"/>
          <w:szCs w:val="16"/>
          <w:color w:val="auto"/>
        </w:rPr>
        <w:t>The Master Trust’s investments in Common Stock and registered investment securities are classified as Level 1 assets in the fair value hierarchy, while the Master Trust’s investments in common collective trusts and pooled funds are classified as Level 2 assets in the fair value hierarchy.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measured at fair value, as of December 31, 2010 and December 31, 2009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December 31, 2010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211,007,726</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211,007,726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216,205,251</w:t>
            </w:r>
          </w:p>
        </w:tc>
        <w:tc>
          <w:tcPr>
            <w:tcW w:w="3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216,205,251</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116,012,014</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116,012,014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Pooled Funds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85,415,812</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85,415,812</w:t>
            </w: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427,212,977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201,427,826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628,640,803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700" w:type="dxa"/>
            <w:vAlign w:val="bottom"/>
          </w:tcPr>
          <w:p>
            <w:pPr>
              <w:spacing w:after="0"/>
              <w:rPr>
                <w:sz w:val="20"/>
                <w:szCs w:val="20"/>
                <w:color w:val="auto"/>
              </w:rPr>
            </w:pPr>
            <w:r>
              <w:rPr>
                <w:rFonts w:ascii="Arial" w:cs="Arial" w:eastAsia="Arial" w:hAnsi="Arial"/>
                <w:sz w:val="14"/>
                <w:szCs w:val="14"/>
                <w:b w:val="1"/>
                <w:bCs w:val="1"/>
                <w:color w:val="auto"/>
              </w:rPr>
              <w:t>December 31, 2009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158,746,139</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158,746,139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193,218,407</w:t>
            </w:r>
          </w:p>
        </w:tc>
        <w:tc>
          <w:tcPr>
            <w:tcW w:w="30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193,218,407</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104,183,622</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104,183,622</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Pooled Funds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67,136,494</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67,136,494</w:t>
            </w: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351,964,546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171,320,116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523,284,662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 following presents investments in the Master Trust as of December 31, 2010 and 2009 that represent 5% or more of the Master Trust’s net assets in either year:</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Value Fund 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101,268,883</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91,706,130</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Fidelity Diversified International Fund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33,825,531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36,584,929</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57,928,854</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54,973,274</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Eaton Vance Large Cap Value I</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40,767,149</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38,510,863</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211,007,726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158,746,139</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29" w:lineRule="exact"/>
        <w:rPr>
          <w:rFonts w:ascii="Arial" w:cs="Arial" w:eastAsia="Arial" w:hAnsi="Arial"/>
          <w:sz w:val="18"/>
          <w:szCs w:val="18"/>
          <w:b w:val="1"/>
          <w:bCs w:val="1"/>
          <w:color w:val="auto"/>
        </w:rPr>
      </w:pPr>
    </w:p>
    <w:p>
      <w:pPr>
        <w:ind w:left="660" w:right="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Plan obtained its latest determination letter on February 19, 2008, in which the Internal Revenue Service stated that the Plan, as then designed, was in compliance with the applicable requirements of the Internal Revenue Code. The Plan has been amended since the date of this letter. However,</w:t>
      </w:r>
    </w:p>
    <w:p>
      <w:pPr>
        <w:sectPr>
          <w:pgSz w:w="11900" w:h="16867" w:orient="portrait"/>
          <w:cols w:equalWidth="0" w:num="1">
            <w:col w:w="11420"/>
          </w:cols>
          <w:pgMar w:left="240" w:top="125" w:right="239" w:bottom="0" w:gutter="0" w:footer="0" w:header="0"/>
        </w:sectPr>
      </w:pPr>
    </w:p>
    <w:bookmarkStart w:id="6" w:name="page7"/>
    <w:bookmarkEnd w:id="6"/>
    <w:p>
      <w:pPr>
        <w:ind w:left="660" w:right="460"/>
        <w:spacing w:after="0" w:line="342" w:lineRule="auto"/>
        <w:rPr>
          <w:sz w:val="20"/>
          <w:szCs w:val="20"/>
          <w:color w:val="auto"/>
        </w:rPr>
      </w:pPr>
      <w:r>
        <w:rPr>
          <w:rFonts w:ascii="Arial" w:cs="Arial" w:eastAsia="Arial" w:hAnsi="Arial"/>
          <w:sz w:val="16"/>
          <w:szCs w:val="16"/>
          <w:color w:val="auto"/>
        </w:rPr>
        <w:t>the Company, as the administrator of the Plan, believes that the Plan is currently designed and being operated in compliance with the applicable requirements of the Internal Revenue Code. Therefore, no provision for income taxes has been included in the Plan’s financial statements.</w:t>
      </w:r>
    </w:p>
    <w:p>
      <w:pPr>
        <w:spacing w:after="0" w:line="12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6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financial statements or disclosure in the notes to the financial statements.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2010 and 2009</w:t>
      </w:r>
    </w:p>
    <w:p>
      <w:pPr>
        <w:spacing w:after="0" w:line="22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635,375,312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w w:val="94"/>
              </w:rPr>
              <w:t>Adjustment from contract value to fair value for fully benefit-responsive investment contracts at December 31, 2010</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2,174,255</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Net assets available for benefits as presented on Form 5500</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637,549,567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7"/>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 presented in these financial statements</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103,280,370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Arial" w:cs="Arial" w:eastAsia="Arial" w:hAnsi="Arial"/>
                <w:sz w:val="18"/>
                <w:szCs w:val="18"/>
                <w:color w:val="auto"/>
                <w:w w:val="94"/>
              </w:rPr>
              <w:t>Adjustment from contract value to fair value for fully benefit-responsive investment contracts at December 31, 2010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2,174,255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Adjustment from contract value to fair value for fully benefit-responsive investment contracts at December 31, 2009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(182,381)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 presented on Form 5500</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105,272,244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7340" w:type="dxa"/>
            <w:vAlign w:val="bottom"/>
            <w:tcBorders>
              <w:top w:val="single" w:sz="8" w:color="CCEEFF"/>
              <w:bottom w:val="single" w:sz="8" w:color="CCEEFF"/>
            </w:tcBorders>
            <w:gridSpan w:val="2"/>
            <w:vMerge w:val="restart"/>
          </w:tcPr>
          <w:p>
            <w:pPr>
              <w:jc w:val="center"/>
              <w:ind w:left="2670"/>
              <w:spacing w:after="0"/>
              <w:rPr>
                <w:sz w:val="20"/>
                <w:szCs w:val="20"/>
                <w:color w:val="auto"/>
              </w:rPr>
            </w:pPr>
            <w:r>
              <w:rPr>
                <w:rFonts w:ascii="Arial" w:cs="Arial" w:eastAsia="Arial" w:hAnsi="Arial"/>
                <w:sz w:val="18"/>
                <w:szCs w:val="18"/>
                <w:color w:val="auto"/>
                <w:w w:val="89"/>
              </w:rPr>
              <w:t>10</w:t>
            </w: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gridSpan w:val="2"/>
            <w:vMerge w:val="continue"/>
          </w:tcPr>
          <w:p>
            <w:pPr>
              <w:spacing w:after="0"/>
              <w:rPr>
                <w:sz w:val="24"/>
                <w:szCs w:val="24"/>
                <w:color w:val="auto"/>
              </w:rPr>
            </w:pPr>
          </w:p>
        </w:tc>
        <w:tc>
          <w:tcPr>
            <w:tcW w:w="73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gridSpan w:val="2"/>
          </w:tcPr>
          <w:p>
            <w:pPr>
              <w:spacing w:after="0"/>
              <w:rPr>
                <w:sz w:val="11"/>
                <w:szCs w:val="11"/>
                <w:color w:val="auto"/>
              </w:rPr>
            </w:pPr>
          </w:p>
        </w:tc>
        <w:tc>
          <w:tcPr>
            <w:tcW w:w="67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30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6"/>
          </w:tcPr>
          <w:p>
            <w:pPr>
              <w:ind w:left="520"/>
              <w:spacing w:after="0"/>
              <w:rPr>
                <w:sz w:val="20"/>
                <w:szCs w:val="20"/>
                <w:color w:val="auto"/>
              </w:rPr>
            </w:pPr>
            <w:r>
              <w:rPr>
                <w:rFonts w:ascii="Arial" w:cs="Arial" w:eastAsia="Arial" w:hAnsi="Arial"/>
                <w:sz w:val="18"/>
                <w:szCs w:val="18"/>
                <w:b w:val="1"/>
                <w:bCs w:val="1"/>
                <w:color w:val="auto"/>
                <w:w w:val="88"/>
              </w:rPr>
              <w:t>Schedule 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20" w:type="dxa"/>
            <w:vAlign w:val="bottom"/>
            <w:gridSpan w:val="2"/>
          </w:tcPr>
          <w:p>
            <w:pPr>
              <w:jc w:val="center"/>
              <w:ind w:left="1770"/>
              <w:spacing w:after="0"/>
              <w:rPr>
                <w:sz w:val="20"/>
                <w:szCs w:val="20"/>
                <w:color w:val="auto"/>
              </w:rPr>
            </w:pPr>
            <w:r>
              <w:rPr>
                <w:rFonts w:ascii="Arial" w:cs="Arial" w:eastAsia="Arial" w:hAnsi="Arial"/>
                <w:sz w:val="18"/>
                <w:szCs w:val="18"/>
                <w:b w:val="1"/>
                <w:bCs w:val="1"/>
                <w:color w:val="auto"/>
              </w:rPr>
              <w:t>THE TORO COMPANY INVESTMENT, SAVINGS,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20" w:type="dxa"/>
            <w:vAlign w:val="bottom"/>
            <w:gridSpan w:val="2"/>
          </w:tcPr>
          <w:p>
            <w:pPr>
              <w:jc w:val="center"/>
              <w:ind w:left="1770"/>
              <w:spacing w:after="0"/>
              <w:rPr>
                <w:sz w:val="20"/>
                <w:szCs w:val="20"/>
                <w:color w:val="auto"/>
              </w:rPr>
            </w:pPr>
            <w:r>
              <w:rPr>
                <w:rFonts w:ascii="Arial" w:cs="Arial" w:eastAsia="Arial" w:hAnsi="Arial"/>
                <w:sz w:val="18"/>
                <w:szCs w:val="18"/>
                <w:b w:val="1"/>
                <w:bCs w:val="1"/>
                <w:color w:val="auto"/>
              </w:rPr>
              <w:t>AND EMPLOYEE STOCK OWNERSHIP PLAN</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20" w:type="dxa"/>
            <w:vAlign w:val="bottom"/>
            <w:gridSpan w:val="2"/>
          </w:tcPr>
          <w:p>
            <w:pPr>
              <w:jc w:val="center"/>
              <w:ind w:left="1770"/>
              <w:spacing w:after="0"/>
              <w:rPr>
                <w:sz w:val="20"/>
                <w:szCs w:val="20"/>
                <w:color w:val="auto"/>
              </w:rPr>
            </w:pPr>
            <w:r>
              <w:rPr>
                <w:rFonts w:ascii="Arial" w:cs="Arial" w:eastAsia="Arial" w:hAnsi="Arial"/>
                <w:sz w:val="18"/>
                <w:szCs w:val="18"/>
                <w:color w:val="auto"/>
                <w:w w:val="90"/>
              </w:rPr>
              <w:t>Schedule H, line 4i — Schedule of Assets (Held at End of the Year)</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20" w:type="dxa"/>
            <w:vAlign w:val="bottom"/>
            <w:gridSpan w:val="2"/>
          </w:tcPr>
          <w:p>
            <w:pPr>
              <w:jc w:val="center"/>
              <w:ind w:left="1750"/>
              <w:spacing w:after="0"/>
              <w:rPr>
                <w:sz w:val="20"/>
                <w:szCs w:val="20"/>
                <w:color w:val="auto"/>
              </w:rPr>
            </w:pPr>
            <w:r>
              <w:rPr>
                <w:rFonts w:ascii="Arial" w:cs="Arial" w:eastAsia="Arial" w:hAnsi="Arial"/>
                <w:sz w:val="18"/>
                <w:szCs w:val="18"/>
                <w:color w:val="auto"/>
                <w:w w:val="89"/>
              </w:rPr>
              <w:t>December 31, 2010</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8300" w:type="dxa"/>
            <w:vAlign w:val="bottom"/>
            <w:gridSpan w:val="5"/>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10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gridSpan w:val="2"/>
          </w:tcPr>
          <w:p>
            <w:pPr>
              <w:spacing w:after="0"/>
              <w:rPr>
                <w:sz w:val="18"/>
                <w:szCs w:val="18"/>
                <w:color w:val="auto"/>
              </w:rPr>
            </w:pPr>
          </w:p>
        </w:tc>
        <w:tc>
          <w:tcPr>
            <w:tcW w:w="67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spacing w:after="0"/>
              <w:rPr>
                <w:sz w:val="20"/>
                <w:szCs w:val="20"/>
                <w:color w:val="auto"/>
              </w:rPr>
            </w:pPr>
            <w:r>
              <w:rPr>
                <w:rFonts w:ascii="Arial" w:cs="Arial" w:eastAsia="Arial" w:hAnsi="Arial"/>
                <w:sz w:val="18"/>
                <w:szCs w:val="18"/>
                <w:color w:val="auto"/>
              </w:rPr>
              <w:t>*Party-in-interest as defined by ERISA.</w:t>
            </w: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gridSpan w:val="5"/>
            <w:vMerge w:val="continue"/>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80" w:type="dxa"/>
            <w:vAlign w:val="bottom"/>
            <w:gridSpan w:val="4"/>
          </w:tcPr>
          <w:p>
            <w:pPr>
              <w:ind w:left="320"/>
              <w:spacing w:after="0"/>
              <w:rPr>
                <w:sz w:val="20"/>
                <w:szCs w:val="20"/>
                <w:color w:val="auto"/>
              </w:rPr>
            </w:pPr>
            <w:r>
              <w:rPr>
                <w:rFonts w:ascii="Arial" w:cs="Arial" w:eastAsia="Arial" w:hAnsi="Arial"/>
                <w:sz w:val="18"/>
                <w:szCs w:val="18"/>
                <w:color w:val="auto"/>
              </w:rPr>
              <w:t>See accompanying report of independent registered public accounting firm.</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4"/>
          </w:tcPr>
          <w:p>
            <w:pPr>
              <w:jc w:val="center"/>
              <w:ind w:left="3334"/>
              <w:spacing w:after="0"/>
              <w:rPr>
                <w:sz w:val="20"/>
                <w:szCs w:val="20"/>
                <w:color w:val="auto"/>
              </w:rPr>
            </w:pPr>
            <w:r>
              <w:rPr>
                <w:rFonts w:ascii="Arial" w:cs="Arial" w:eastAsia="Arial" w:hAnsi="Arial"/>
                <w:sz w:val="18"/>
                <w:szCs w:val="18"/>
                <w:color w:val="auto"/>
                <w:w w:val="89"/>
              </w:rPr>
              <w:t>11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67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-3459480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-3459480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200" w:right="260" w:hanging="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Toro Company Investment, Savings,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Employee Stock Ownership Plan</w:t>
      </w:r>
    </w:p>
    <w:p>
      <w:pPr>
        <w:sectPr>
          <w:pgSz w:w="11900" w:h="16838" w:orient="portrait"/>
          <w:cols w:equalWidth="0" w:num="1">
            <w:col w:w="11460"/>
          </w:cols>
          <w:pgMar w:left="240" w:top="125" w:right="19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660" w:type="dxa"/>
            <w:vAlign w:val="bottom"/>
            <w:gridSpan w:val="4"/>
          </w:tcPr>
          <w:p>
            <w:pPr>
              <w:spacing w:after="0"/>
              <w:rPr>
                <w:sz w:val="20"/>
                <w:szCs w:val="20"/>
                <w:color w:val="auto"/>
              </w:rPr>
            </w:pPr>
            <w:r>
              <w:rPr>
                <w:rFonts w:ascii="Arial" w:cs="Arial" w:eastAsia="Arial" w:hAnsi="Arial"/>
                <w:sz w:val="18"/>
                <w:szCs w:val="18"/>
                <w:color w:val="auto"/>
              </w:rPr>
              <w:t>Date: June 23, 2011</w:t>
            </w:r>
          </w:p>
        </w:tc>
        <w:tc>
          <w:tcPr>
            <w:tcW w:w="9760" w:type="dxa"/>
            <w:vAlign w:val="bottom"/>
            <w:gridSpan w:val="2"/>
          </w:tcPr>
          <w:p>
            <w:pPr>
              <w:ind w:left="4060"/>
              <w:spacing w:after="0"/>
              <w:rPr>
                <w:sz w:val="20"/>
                <w:szCs w:val="20"/>
                <w:color w:val="auto"/>
              </w:rPr>
            </w:pPr>
            <w:r>
              <w:rPr>
                <w:rFonts w:ascii="Arial" w:cs="Arial" w:eastAsia="Arial" w:hAnsi="Arial"/>
                <w:sz w:val="18"/>
                <w:szCs w:val="18"/>
                <w:color w:val="auto"/>
              </w:rPr>
              <w:t>By  /s/ Stephen P. Wolfe</w:t>
            </w:r>
          </w:p>
        </w:tc>
        <w:tc>
          <w:tcPr>
            <w:tcW w:w="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60" w:type="dxa"/>
            <w:vAlign w:val="bottom"/>
            <w:gridSpan w:val="2"/>
          </w:tcPr>
          <w:p>
            <w:pPr>
              <w:ind w:left="4060"/>
              <w:spacing w:after="0" w:line="182" w:lineRule="exact"/>
              <w:rPr>
                <w:sz w:val="20"/>
                <w:szCs w:val="20"/>
                <w:color w:val="auto"/>
              </w:rPr>
            </w:pPr>
            <w:r>
              <w:rPr>
                <w:rFonts w:ascii="Arial" w:cs="Arial" w:eastAsia="Arial" w:hAnsi="Arial"/>
                <w:sz w:val="18"/>
                <w:szCs w:val="18"/>
                <w:color w:val="auto"/>
              </w:rPr>
              <w:t>Stephen P. Wolfe</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ind w:left="4060"/>
              <w:spacing w:after="0"/>
              <w:rPr>
                <w:sz w:val="20"/>
                <w:szCs w:val="20"/>
                <w:color w:val="auto"/>
              </w:rPr>
            </w:pPr>
            <w:r>
              <w:rPr>
                <w:rFonts w:ascii="Arial" w:cs="Arial" w:eastAsia="Arial" w:hAnsi="Arial"/>
                <w:sz w:val="18"/>
                <w:szCs w:val="18"/>
                <w:color w:val="auto"/>
              </w:rPr>
              <w:t>Vice President Finance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60" w:type="dxa"/>
            <w:vAlign w:val="bottom"/>
            <w:gridSpan w:val="2"/>
          </w:tcPr>
          <w:p>
            <w:pPr>
              <w:ind w:left="406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gridSpan w:val="2"/>
          </w:tcPr>
          <w:p>
            <w:pPr>
              <w:ind w:left="4060"/>
              <w:spacing w:after="0"/>
              <w:rPr>
                <w:sz w:val="20"/>
                <w:szCs w:val="20"/>
                <w:color w:val="auto"/>
              </w:rPr>
            </w:pPr>
            <w:r>
              <w:rPr>
                <w:rFonts w:ascii="Arial" w:cs="Arial" w:eastAsia="Arial" w:hAnsi="Arial"/>
                <w:sz w:val="18"/>
                <w:szCs w:val="18"/>
                <w:color w:val="auto"/>
              </w:rPr>
              <w:t>of The Toro Company</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tcPr>
          <w:p>
            <w:pPr>
              <w:ind w:left="3960"/>
              <w:spacing w:after="0"/>
              <w:rPr>
                <w:sz w:val="20"/>
                <w:szCs w:val="20"/>
                <w:color w:val="auto"/>
              </w:rPr>
            </w:pPr>
            <w:r>
              <w:rPr>
                <w:rFonts w:ascii="Arial" w:cs="Arial" w:eastAsia="Arial" w:hAnsi="Arial"/>
                <w:sz w:val="18"/>
                <w:szCs w:val="18"/>
                <w:color w:val="auto"/>
              </w:rPr>
              <w:t>12</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44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6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4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2"/>
          </w:tcPr>
          <w:p>
            <w:pPr>
              <w:ind w:left="35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Exhibit Number</w:t>
            </w:r>
          </w:p>
        </w:tc>
        <w:tc>
          <w:tcPr>
            <w:tcW w:w="97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23.1</w:t>
            </w:r>
          </w:p>
        </w:tc>
        <w:tc>
          <w:tcPr>
            <w:tcW w:w="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tcPr>
          <w:p>
            <w:pPr>
              <w:ind w:left="3960"/>
              <w:spacing w:after="0"/>
              <w:rPr>
                <w:sz w:val="20"/>
                <w:szCs w:val="20"/>
                <w:color w:val="auto"/>
              </w:rPr>
            </w:pPr>
            <w:r>
              <w:rPr>
                <w:rFonts w:ascii="Arial" w:cs="Arial" w:eastAsia="Arial" w:hAnsi="Arial"/>
                <w:sz w:val="18"/>
                <w:szCs w:val="18"/>
                <w:color w:val="auto"/>
              </w:rPr>
              <w:t>13</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44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consent to incorporation by reference in the Registration Statement (Nos. 333-59563, 333-11860, 333-100004, 333-119504) on Form S-8 of The Toro Company, of our report dated June 23, 2011, relating to the statements of net assets available for benefits of The Toro Company Investment, Savings, and Employee Stock Ownership Plan as of December 31, 2010 and 2009, the related statements of changes in net assets available for benefits for the years then ended, and the supplemental schedule of Schedule H, line 4i - schedule of assets (held at end of year) as of December 31, 2010, which report appears in the December 31, 2010 annual report on Form 11-K of The Toro Company Investment, Savings, and Employee Stock Ownership Plan.</w:t>
      </w:r>
    </w:p>
    <w:p>
      <w:pPr>
        <w:spacing w:after="0" w:line="37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2"/>
    </w:lvl>
  </w:abstractNum>
  <w:abstractNum w:abstractNumId="6">
    <w:nsid w:val="4DB127F8"/>
    <w:multiLevelType w:val="hybridMultilevel"/>
    <w:lvl w:ilvl="0">
      <w:lvlJc w:val="left"/>
      <w:lvlText w:val="(%1)"/>
      <w:numFmt w:val="lowerLetter"/>
      <w:start w:val="3"/>
    </w:lvl>
  </w:abstractNum>
  <w:abstractNum w:abstractNumId="7">
    <w:nsid w:val="216231B"/>
    <w:multiLevelType w:val="hybridMultilevel"/>
    <w:lvl w:ilvl="0">
      <w:lvlJc w:val="left"/>
      <w:lvlText w:val="(%1)"/>
      <w:numFmt w:val="lowerLetter"/>
      <w:start w:val="4"/>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decimal"/>
      <w:start w:val="3"/>
    </w:lvl>
  </w:abstractNum>
  <w:abstractNum w:abstractNumId="10">
    <w:nsid w:val="66EF438D"/>
    <w:multiLevelType w:val="hybridMultilevel"/>
    <w:lvl w:ilvl="0">
      <w:lvlJc w:val="left"/>
      <w:lvlText w:val="(%1)"/>
      <w:numFmt w:val="decimal"/>
      <w:start w:val="7"/>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2019-12-10T06:18:36Z</dcterms:created>
  <dcterms:modified xsi:type="dcterms:W3CDTF">2019-12-10T06:18:36Z</dcterms:modified>
</cp:coreProperties>
</file>