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132715</wp:posOffset>
            </wp:positionV>
            <wp:extent cx="8572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161290</wp:posOffset>
            </wp:positionV>
            <wp:extent cx="8572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171450</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158750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142875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Toro Company (“TTC”) held its 2023 Annual Meeting of Shareholders on March 21, 2023. The final results for each proposal submitted to a vote of TTC’s shareholders at the meeting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Proposal One—Election of three director</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For</w:t>
            </w:r>
          </w:p>
        </w:tc>
        <w:tc>
          <w:tcPr>
            <w:tcW w:w="180" w:type="dxa"/>
            <w:vAlign w:val="bottom"/>
          </w:tcPr>
          <w:p>
            <w:pPr>
              <w:spacing w:after="0"/>
              <w:rPr>
                <w:sz w:val="17"/>
                <w:szCs w:val="17"/>
                <w:color w:val="auto"/>
              </w:rPr>
            </w:pPr>
          </w:p>
        </w:tc>
        <w:tc>
          <w:tcPr>
            <w:tcW w:w="900" w:type="dxa"/>
            <w:vAlign w:val="bottom"/>
            <w:gridSpan w:val="5"/>
          </w:tcPr>
          <w:p>
            <w:pPr>
              <w:jc w:val="center"/>
              <w:ind w:left="130"/>
              <w:spacing w:after="0"/>
              <w:rPr>
                <w:sz w:val="20"/>
                <w:szCs w:val="20"/>
                <w:color w:val="auto"/>
              </w:rPr>
            </w:pPr>
            <w:r>
              <w:rPr>
                <w:rFonts w:ascii="Arial" w:cs="Arial" w:eastAsia="Arial" w:hAnsi="Arial"/>
                <w:sz w:val="18"/>
                <w:szCs w:val="18"/>
                <w:color w:val="auto"/>
                <w:w w:val="97"/>
              </w:rPr>
              <w:t>Withheld</w:t>
            </w:r>
          </w:p>
        </w:tc>
        <w:tc>
          <w:tcPr>
            <w:tcW w:w="820" w:type="dxa"/>
            <w:vAlign w:val="bottom"/>
          </w:tcPr>
          <w:p>
            <w:pPr>
              <w:spacing w:after="0"/>
              <w:rPr>
                <w:sz w:val="17"/>
                <w:szCs w:val="17"/>
                <w:color w:val="auto"/>
              </w:rPr>
            </w:pPr>
          </w:p>
        </w:tc>
        <w:tc>
          <w:tcPr>
            <w:tcW w:w="1140" w:type="dxa"/>
            <w:vAlign w:val="bottom"/>
            <w:gridSpan w:val="6"/>
          </w:tcPr>
          <w:p>
            <w:pPr>
              <w:ind w:left="20"/>
              <w:spacing w:after="0"/>
              <w:rPr>
                <w:sz w:val="20"/>
                <w:szCs w:val="20"/>
                <w:color w:val="auto"/>
              </w:rPr>
            </w:pPr>
            <w:r>
              <w:rPr>
                <w:rFonts w:ascii="Arial" w:cs="Arial" w:eastAsia="Arial" w:hAnsi="Arial"/>
                <w:sz w:val="18"/>
                <w:szCs w:val="18"/>
                <w:color w:val="auto"/>
              </w:rPr>
              <w:t>Abstain</w:t>
            </w:r>
          </w:p>
        </w:tc>
        <w:tc>
          <w:tcPr>
            <w:tcW w:w="196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Broker Non-Votes</w:t>
            </w:r>
          </w:p>
        </w:tc>
        <w:tc>
          <w:tcPr>
            <w:tcW w:w="0" w:type="dxa"/>
            <w:vAlign w:val="bottom"/>
          </w:tcPr>
          <w:p>
            <w:pPr>
              <w:spacing w:after="0"/>
              <w:rPr>
                <w:sz w:val="1"/>
                <w:szCs w:val="1"/>
                <w:color w:val="auto"/>
              </w:rPr>
            </w:pPr>
          </w:p>
        </w:tc>
      </w:tr>
      <w:tr>
        <w:trPr>
          <w:trHeight w:val="218"/>
        </w:trPr>
        <w:tc>
          <w:tcPr>
            <w:tcW w:w="37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nominees, each to serve for a term</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ending at the 2026 annual meeting of</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Jeffrey M. Ettinger</w:t>
            </w:r>
          </w:p>
        </w:tc>
        <w:tc>
          <w:tcPr>
            <w:tcW w:w="1400" w:type="dxa"/>
            <w:vAlign w:val="bottom"/>
            <w:gridSpan w:val="5"/>
            <w:shd w:val="clear" w:color="auto" w:fill="CCEEFF"/>
          </w:tcPr>
          <w:p>
            <w:pPr>
              <w:jc w:val="center"/>
              <w:ind w:left="30"/>
              <w:spacing w:after="0"/>
              <w:rPr>
                <w:sz w:val="20"/>
                <w:szCs w:val="20"/>
                <w:color w:val="auto"/>
              </w:rPr>
            </w:pPr>
            <w:r>
              <w:rPr>
                <w:rFonts w:ascii="Arial" w:cs="Arial" w:eastAsia="Arial" w:hAnsi="Arial"/>
                <w:sz w:val="18"/>
                <w:szCs w:val="18"/>
                <w:color w:val="auto"/>
                <w:w w:val="88"/>
              </w:rPr>
              <w:t>83,533,879</w:t>
            </w:r>
          </w:p>
        </w:tc>
        <w:tc>
          <w:tcPr>
            <w:tcW w:w="1900" w:type="dxa"/>
            <w:vAlign w:val="bottom"/>
            <w:gridSpan w:val="7"/>
            <w:shd w:val="clear" w:color="auto" w:fill="CCEEFF"/>
          </w:tcPr>
          <w:p>
            <w:pPr>
              <w:jc w:val="center"/>
              <w:ind w:right="330"/>
              <w:spacing w:after="0"/>
              <w:rPr>
                <w:sz w:val="20"/>
                <w:szCs w:val="20"/>
                <w:color w:val="auto"/>
              </w:rPr>
            </w:pPr>
            <w:r>
              <w:rPr>
                <w:rFonts w:ascii="Arial" w:cs="Arial" w:eastAsia="Arial" w:hAnsi="Arial"/>
                <w:sz w:val="18"/>
                <w:szCs w:val="18"/>
                <w:color w:val="auto"/>
                <w:w w:val="89"/>
              </w:rPr>
              <w:t>4,155,058</w:t>
            </w: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center"/>
              <w:ind w:left="370"/>
              <w:spacing w:after="0"/>
              <w:rPr>
                <w:sz w:val="20"/>
                <w:szCs w:val="20"/>
                <w:color w:val="auto"/>
              </w:rPr>
            </w:pPr>
            <w:r>
              <w:rPr>
                <w:rFonts w:ascii="Arial" w:cs="Arial" w:eastAsia="Arial" w:hAnsi="Arial"/>
                <w:sz w:val="18"/>
                <w:szCs w:val="18"/>
                <w:color w:val="auto"/>
                <w:w w:val="87"/>
              </w:rPr>
              <w:t>7,116,683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Eric P. Hansotia</w:t>
            </w:r>
          </w:p>
        </w:tc>
        <w:tc>
          <w:tcPr>
            <w:tcW w:w="1400" w:type="dxa"/>
            <w:vAlign w:val="bottom"/>
            <w:gridSpan w:val="5"/>
          </w:tcPr>
          <w:p>
            <w:pPr>
              <w:jc w:val="center"/>
              <w:ind w:left="30"/>
              <w:spacing w:after="0"/>
              <w:rPr>
                <w:sz w:val="20"/>
                <w:szCs w:val="20"/>
                <w:color w:val="auto"/>
              </w:rPr>
            </w:pPr>
            <w:r>
              <w:rPr>
                <w:rFonts w:ascii="Arial" w:cs="Arial" w:eastAsia="Arial" w:hAnsi="Arial"/>
                <w:sz w:val="18"/>
                <w:szCs w:val="18"/>
                <w:color w:val="auto"/>
                <w:w w:val="88"/>
              </w:rPr>
              <w:t>85,571,953</w:t>
            </w:r>
          </w:p>
        </w:tc>
        <w:tc>
          <w:tcPr>
            <w:tcW w:w="1900" w:type="dxa"/>
            <w:vAlign w:val="bottom"/>
            <w:gridSpan w:val="7"/>
          </w:tcPr>
          <w:p>
            <w:pPr>
              <w:jc w:val="center"/>
              <w:ind w:right="330"/>
              <w:spacing w:after="0"/>
              <w:rPr>
                <w:sz w:val="20"/>
                <w:szCs w:val="20"/>
                <w:color w:val="auto"/>
              </w:rPr>
            </w:pPr>
            <w:r>
              <w:rPr>
                <w:rFonts w:ascii="Arial" w:cs="Arial" w:eastAsia="Arial" w:hAnsi="Arial"/>
                <w:sz w:val="18"/>
                <w:szCs w:val="18"/>
                <w:color w:val="auto"/>
                <w:w w:val="89"/>
              </w:rPr>
              <w:t>2,116,984</w:t>
            </w: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5"/>
          </w:tcPr>
          <w:p>
            <w:pPr>
              <w:jc w:val="center"/>
              <w:ind w:left="370"/>
              <w:spacing w:after="0"/>
              <w:rPr>
                <w:sz w:val="20"/>
                <w:szCs w:val="20"/>
                <w:color w:val="auto"/>
              </w:rPr>
            </w:pPr>
            <w:r>
              <w:rPr>
                <w:rFonts w:ascii="Arial" w:cs="Arial" w:eastAsia="Arial" w:hAnsi="Arial"/>
                <w:sz w:val="18"/>
                <w:szCs w:val="18"/>
                <w:color w:val="auto"/>
                <w:w w:val="87"/>
              </w:rPr>
              <w:t>7,116,683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 Christian Koch</w:t>
            </w:r>
          </w:p>
        </w:tc>
        <w:tc>
          <w:tcPr>
            <w:tcW w:w="1400" w:type="dxa"/>
            <w:vAlign w:val="bottom"/>
            <w:gridSpan w:val="5"/>
            <w:shd w:val="clear" w:color="auto" w:fill="CCEEFF"/>
          </w:tcPr>
          <w:p>
            <w:pPr>
              <w:jc w:val="center"/>
              <w:ind w:left="30"/>
              <w:spacing w:after="0"/>
              <w:rPr>
                <w:sz w:val="20"/>
                <w:szCs w:val="20"/>
                <w:color w:val="auto"/>
              </w:rPr>
            </w:pPr>
            <w:r>
              <w:rPr>
                <w:rFonts w:ascii="Arial" w:cs="Arial" w:eastAsia="Arial" w:hAnsi="Arial"/>
                <w:sz w:val="18"/>
                <w:szCs w:val="18"/>
                <w:color w:val="auto"/>
                <w:w w:val="88"/>
              </w:rPr>
              <w:t>85,482,950</w:t>
            </w:r>
          </w:p>
        </w:tc>
        <w:tc>
          <w:tcPr>
            <w:tcW w:w="1900" w:type="dxa"/>
            <w:vAlign w:val="bottom"/>
            <w:gridSpan w:val="7"/>
            <w:shd w:val="clear" w:color="auto" w:fill="CCEEFF"/>
          </w:tcPr>
          <w:p>
            <w:pPr>
              <w:jc w:val="center"/>
              <w:ind w:right="330"/>
              <w:spacing w:after="0"/>
              <w:rPr>
                <w:sz w:val="20"/>
                <w:szCs w:val="20"/>
                <w:color w:val="auto"/>
              </w:rPr>
            </w:pPr>
            <w:r>
              <w:rPr>
                <w:rFonts w:ascii="Arial" w:cs="Arial" w:eastAsia="Arial" w:hAnsi="Arial"/>
                <w:sz w:val="18"/>
                <w:szCs w:val="18"/>
                <w:color w:val="auto"/>
                <w:w w:val="89"/>
              </w:rPr>
              <w:t>2,205,987</w:t>
            </w: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center"/>
              <w:ind w:left="370"/>
              <w:spacing w:after="0"/>
              <w:rPr>
                <w:sz w:val="20"/>
                <w:szCs w:val="20"/>
                <w:color w:val="auto"/>
              </w:rPr>
            </w:pPr>
            <w:r>
              <w:rPr>
                <w:rFonts w:ascii="Arial" w:cs="Arial" w:eastAsia="Arial" w:hAnsi="Arial"/>
                <w:sz w:val="18"/>
                <w:szCs w:val="18"/>
                <w:color w:val="auto"/>
                <w:w w:val="87"/>
              </w:rPr>
              <w:t>7,116,683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3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For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93"/>
              </w:rPr>
              <w:t>Against</w:t>
            </w:r>
          </w:p>
        </w:tc>
        <w:tc>
          <w:tcPr>
            <w:tcW w:w="820" w:type="dxa"/>
            <w:vAlign w:val="bottom"/>
          </w:tcPr>
          <w:p>
            <w:pPr>
              <w:spacing w:after="0"/>
              <w:rPr>
                <w:sz w:val="24"/>
                <w:szCs w:val="24"/>
                <w:color w:val="auto"/>
              </w:rPr>
            </w:pPr>
          </w:p>
        </w:tc>
        <w:tc>
          <w:tcPr>
            <w:tcW w:w="1140" w:type="dxa"/>
            <w:vAlign w:val="bottom"/>
            <w:gridSpan w:val="6"/>
          </w:tcPr>
          <w:p>
            <w:pPr>
              <w:ind w:left="20"/>
              <w:spacing w:after="0"/>
              <w:rPr>
                <w:sz w:val="20"/>
                <w:szCs w:val="20"/>
                <w:color w:val="auto"/>
              </w:rPr>
            </w:pPr>
            <w:r>
              <w:rPr>
                <w:rFonts w:ascii="Arial" w:cs="Arial" w:eastAsia="Arial" w:hAnsi="Arial"/>
                <w:sz w:val="18"/>
                <w:szCs w:val="18"/>
                <w:color w:val="auto"/>
              </w:rPr>
              <w:t>Abstain</w:t>
            </w:r>
          </w:p>
        </w:tc>
        <w:tc>
          <w:tcPr>
            <w:tcW w:w="196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Broker Non-Votes</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Proposal Two—Ratification of the selection</w:t>
            </w:r>
          </w:p>
        </w:tc>
        <w:tc>
          <w:tcPr>
            <w:tcW w:w="1400" w:type="dxa"/>
            <w:vAlign w:val="bottom"/>
            <w:gridSpan w:val="5"/>
            <w:shd w:val="clear" w:color="auto" w:fill="CCEEFF"/>
          </w:tcPr>
          <w:p>
            <w:pPr>
              <w:jc w:val="center"/>
              <w:ind w:left="30"/>
              <w:spacing w:after="0" w:line="198" w:lineRule="exact"/>
              <w:rPr>
                <w:sz w:val="20"/>
                <w:szCs w:val="20"/>
                <w:color w:val="auto"/>
              </w:rPr>
            </w:pPr>
            <w:r>
              <w:rPr>
                <w:rFonts w:ascii="Arial" w:cs="Arial" w:eastAsia="Arial" w:hAnsi="Arial"/>
                <w:sz w:val="18"/>
                <w:szCs w:val="18"/>
                <w:color w:val="auto"/>
                <w:w w:val="88"/>
              </w:rPr>
              <w:t>92,855,033</w:t>
            </w:r>
          </w:p>
        </w:tc>
        <w:tc>
          <w:tcPr>
            <w:tcW w:w="1900" w:type="dxa"/>
            <w:vAlign w:val="bottom"/>
            <w:gridSpan w:val="7"/>
            <w:shd w:val="clear" w:color="auto" w:fill="CCEEFF"/>
          </w:tcPr>
          <w:p>
            <w:pPr>
              <w:jc w:val="center"/>
              <w:ind w:right="330"/>
              <w:spacing w:after="0" w:line="198" w:lineRule="exact"/>
              <w:rPr>
                <w:sz w:val="20"/>
                <w:szCs w:val="20"/>
                <w:color w:val="auto"/>
              </w:rPr>
            </w:pPr>
            <w:r>
              <w:rPr>
                <w:rFonts w:ascii="Arial" w:cs="Arial" w:eastAsia="Arial" w:hAnsi="Arial"/>
                <w:sz w:val="18"/>
                <w:szCs w:val="18"/>
                <w:color w:val="auto"/>
                <w:w w:val="89"/>
              </w:rPr>
              <w:t>1,697,732</w:t>
            </w:r>
          </w:p>
        </w:tc>
        <w:tc>
          <w:tcPr>
            <w:tcW w:w="840" w:type="dxa"/>
            <w:vAlign w:val="bottom"/>
            <w:gridSpan w:val="5"/>
            <w:shd w:val="clear" w:color="auto" w:fill="CCEEFF"/>
          </w:tcPr>
          <w:p>
            <w:pPr>
              <w:jc w:val="center"/>
              <w:ind w:right="220"/>
              <w:spacing w:after="0" w:line="198" w:lineRule="exact"/>
              <w:rPr>
                <w:sz w:val="20"/>
                <w:szCs w:val="20"/>
                <w:color w:val="auto"/>
              </w:rPr>
            </w:pPr>
            <w:r>
              <w:rPr>
                <w:rFonts w:ascii="Arial" w:cs="Arial" w:eastAsia="Arial" w:hAnsi="Arial"/>
                <w:sz w:val="18"/>
                <w:szCs w:val="18"/>
                <w:color w:val="auto"/>
                <w:w w:val="89"/>
              </w:rPr>
              <w:t>252,855</w:t>
            </w:r>
          </w:p>
        </w:tc>
        <w:tc>
          <w:tcPr>
            <w:tcW w:w="3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center"/>
              <w:ind w:left="650"/>
              <w:spacing w:after="0" w:line="198"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KPMG LLP as TTC’s independent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registered public accounting firm for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TTC’s fiscal year ending October 31,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2023</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Proposal Three—Advisory approval of</w:t>
            </w:r>
          </w:p>
        </w:tc>
        <w:tc>
          <w:tcPr>
            <w:tcW w:w="1400" w:type="dxa"/>
            <w:vAlign w:val="bottom"/>
            <w:gridSpan w:val="5"/>
            <w:shd w:val="clear" w:color="auto" w:fill="CCEEFF"/>
          </w:tcPr>
          <w:p>
            <w:pPr>
              <w:jc w:val="center"/>
              <w:ind w:left="30"/>
              <w:spacing w:after="0" w:line="198" w:lineRule="exact"/>
              <w:rPr>
                <w:sz w:val="20"/>
                <w:szCs w:val="20"/>
                <w:color w:val="auto"/>
              </w:rPr>
            </w:pPr>
            <w:r>
              <w:rPr>
                <w:rFonts w:ascii="Arial" w:cs="Arial" w:eastAsia="Arial" w:hAnsi="Arial"/>
                <w:sz w:val="18"/>
                <w:szCs w:val="18"/>
                <w:color w:val="auto"/>
                <w:w w:val="88"/>
              </w:rPr>
              <w:t>82,610,625</w:t>
            </w:r>
          </w:p>
        </w:tc>
        <w:tc>
          <w:tcPr>
            <w:tcW w:w="1900" w:type="dxa"/>
            <w:vAlign w:val="bottom"/>
            <w:gridSpan w:val="7"/>
            <w:shd w:val="clear" w:color="auto" w:fill="CCEEFF"/>
          </w:tcPr>
          <w:p>
            <w:pPr>
              <w:jc w:val="center"/>
              <w:ind w:right="330"/>
              <w:spacing w:after="0" w:line="198" w:lineRule="exact"/>
              <w:rPr>
                <w:sz w:val="20"/>
                <w:szCs w:val="20"/>
                <w:color w:val="auto"/>
              </w:rPr>
            </w:pPr>
            <w:r>
              <w:rPr>
                <w:rFonts w:ascii="Arial" w:cs="Arial" w:eastAsia="Arial" w:hAnsi="Arial"/>
                <w:sz w:val="18"/>
                <w:szCs w:val="18"/>
                <w:color w:val="auto"/>
                <w:w w:val="89"/>
              </w:rPr>
              <w:t>4,361,104</w:t>
            </w:r>
          </w:p>
        </w:tc>
        <w:tc>
          <w:tcPr>
            <w:tcW w:w="840" w:type="dxa"/>
            <w:vAlign w:val="bottom"/>
            <w:gridSpan w:val="5"/>
            <w:shd w:val="clear" w:color="auto" w:fill="CCEEFF"/>
          </w:tcPr>
          <w:p>
            <w:pPr>
              <w:jc w:val="center"/>
              <w:ind w:right="220"/>
              <w:spacing w:after="0" w:line="198" w:lineRule="exact"/>
              <w:rPr>
                <w:sz w:val="20"/>
                <w:szCs w:val="20"/>
                <w:color w:val="auto"/>
              </w:rPr>
            </w:pPr>
            <w:r>
              <w:rPr>
                <w:rFonts w:ascii="Arial" w:cs="Arial" w:eastAsia="Arial" w:hAnsi="Arial"/>
                <w:sz w:val="18"/>
                <w:szCs w:val="18"/>
                <w:color w:val="auto"/>
                <w:w w:val="89"/>
              </w:rPr>
              <w:t>717,208</w:t>
            </w:r>
          </w:p>
        </w:tc>
        <w:tc>
          <w:tcPr>
            <w:tcW w:w="300" w:type="dxa"/>
            <w:vAlign w:val="bottom"/>
            <w:shd w:val="clear" w:color="auto" w:fill="CCEEFF"/>
          </w:tcPr>
          <w:p>
            <w:pPr>
              <w:spacing w:after="0"/>
              <w:rPr>
                <w:sz w:val="17"/>
                <w:szCs w:val="17"/>
                <w:color w:val="auto"/>
              </w:rPr>
            </w:pPr>
          </w:p>
        </w:tc>
        <w:tc>
          <w:tcPr>
            <w:tcW w:w="1400" w:type="dxa"/>
            <w:vAlign w:val="bottom"/>
            <w:gridSpan w:val="5"/>
            <w:shd w:val="clear" w:color="auto" w:fill="CCEEFF"/>
          </w:tcPr>
          <w:p>
            <w:pPr>
              <w:jc w:val="center"/>
              <w:ind w:left="370"/>
              <w:spacing w:after="0" w:line="198" w:lineRule="exact"/>
              <w:rPr>
                <w:sz w:val="20"/>
                <w:szCs w:val="20"/>
                <w:color w:val="auto"/>
              </w:rPr>
            </w:pPr>
            <w:r>
              <w:rPr>
                <w:rFonts w:ascii="Arial" w:cs="Arial" w:eastAsia="Arial" w:hAnsi="Arial"/>
                <w:sz w:val="18"/>
                <w:szCs w:val="18"/>
                <w:color w:val="auto"/>
                <w:w w:val="87"/>
              </w:rPr>
              <w:t>7,116,683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executive compensation</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00" w:type="dxa"/>
            <w:vAlign w:val="bottom"/>
          </w:tcPr>
          <w:p>
            <w:pPr>
              <w:spacing w:after="0"/>
              <w:rPr>
                <w:sz w:val="24"/>
                <w:szCs w:val="24"/>
                <w:color w:val="auto"/>
              </w:rPr>
            </w:pPr>
          </w:p>
        </w:tc>
        <w:tc>
          <w:tcPr>
            <w:tcW w:w="140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One Year</w:t>
            </w:r>
          </w:p>
        </w:tc>
        <w:tc>
          <w:tcPr>
            <w:tcW w:w="1080" w:type="dxa"/>
            <w:vAlign w:val="bottom"/>
            <w:gridSpan w:val="6"/>
          </w:tcPr>
          <w:p>
            <w:pPr>
              <w:jc w:val="center"/>
              <w:spacing w:after="0"/>
              <w:rPr>
                <w:sz w:val="20"/>
                <w:szCs w:val="20"/>
                <w:color w:val="auto"/>
              </w:rPr>
            </w:pPr>
            <w:r>
              <w:rPr>
                <w:rFonts w:ascii="Arial" w:cs="Arial" w:eastAsia="Arial" w:hAnsi="Arial"/>
                <w:sz w:val="18"/>
                <w:szCs w:val="18"/>
                <w:color w:val="auto"/>
                <w:w w:val="88"/>
              </w:rPr>
              <w:t>Two Years</w:t>
            </w:r>
          </w:p>
        </w:tc>
        <w:tc>
          <w:tcPr>
            <w:tcW w:w="1960" w:type="dxa"/>
            <w:vAlign w:val="bottom"/>
            <w:gridSpan w:val="7"/>
          </w:tcPr>
          <w:p>
            <w:pPr>
              <w:jc w:val="right"/>
              <w:ind w:right="300"/>
              <w:spacing w:after="0"/>
              <w:rPr>
                <w:sz w:val="20"/>
                <w:szCs w:val="20"/>
                <w:color w:val="auto"/>
              </w:rPr>
            </w:pPr>
            <w:r>
              <w:rPr>
                <w:rFonts w:ascii="Arial" w:cs="Arial" w:eastAsia="Arial" w:hAnsi="Arial"/>
                <w:sz w:val="18"/>
                <w:szCs w:val="18"/>
                <w:color w:val="auto"/>
                <w:w w:val="94"/>
              </w:rPr>
              <w:t>Three Years   Abstain</w:t>
            </w:r>
          </w:p>
        </w:tc>
        <w:tc>
          <w:tcPr>
            <w:tcW w:w="280" w:type="dxa"/>
            <w:vAlign w:val="bottom"/>
          </w:tcPr>
          <w:p>
            <w:pPr>
              <w:spacing w:after="0"/>
              <w:rPr>
                <w:sz w:val="24"/>
                <w:szCs w:val="24"/>
                <w:color w:val="auto"/>
              </w:rPr>
            </w:pPr>
          </w:p>
        </w:tc>
        <w:tc>
          <w:tcPr>
            <w:tcW w:w="1680" w:type="dxa"/>
            <w:vAlign w:val="bottom"/>
            <w:gridSpan w:val="6"/>
          </w:tcPr>
          <w:p>
            <w:pPr>
              <w:jc w:val="center"/>
              <w:ind w:right="360"/>
              <w:spacing w:after="0"/>
              <w:rPr>
                <w:sz w:val="20"/>
                <w:szCs w:val="20"/>
                <w:color w:val="auto"/>
              </w:rPr>
            </w:pPr>
            <w:r>
              <w:rPr>
                <w:rFonts w:ascii="Arial" w:cs="Arial" w:eastAsia="Arial" w:hAnsi="Arial"/>
                <w:sz w:val="18"/>
                <w:szCs w:val="18"/>
                <w:color w:val="auto"/>
                <w:w w:val="94"/>
              </w:rPr>
              <w:t>Broker Non-</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86"/>
              </w:rPr>
              <w:t>Votes</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Proposal Four—Advisory approval of</w:t>
            </w:r>
          </w:p>
        </w:tc>
        <w:tc>
          <w:tcPr>
            <w:tcW w:w="1400" w:type="dxa"/>
            <w:vAlign w:val="bottom"/>
            <w:gridSpan w:val="5"/>
            <w:shd w:val="clear" w:color="auto" w:fill="CCEEFF"/>
          </w:tcPr>
          <w:p>
            <w:pPr>
              <w:jc w:val="right"/>
              <w:ind w:right="200"/>
              <w:spacing w:after="0" w:line="198" w:lineRule="exact"/>
              <w:rPr>
                <w:sz w:val="20"/>
                <w:szCs w:val="20"/>
                <w:color w:val="auto"/>
              </w:rPr>
            </w:pPr>
            <w:r>
              <w:rPr>
                <w:rFonts w:ascii="Arial" w:cs="Arial" w:eastAsia="Arial" w:hAnsi="Arial"/>
                <w:sz w:val="18"/>
                <w:szCs w:val="18"/>
                <w:color w:val="auto"/>
              </w:rPr>
              <w:t>85,025,231</w:t>
            </w:r>
          </w:p>
        </w:tc>
        <w:tc>
          <w:tcPr>
            <w:tcW w:w="940" w:type="dxa"/>
            <w:vAlign w:val="bottom"/>
            <w:gridSpan w:val="4"/>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207,070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4"/>
              </w:rPr>
              <w:t>2,233,049</w:t>
            </w:r>
          </w:p>
        </w:tc>
        <w:tc>
          <w:tcPr>
            <w:tcW w:w="1140" w:type="dxa"/>
            <w:vAlign w:val="bottom"/>
            <w:gridSpan w:val="6"/>
            <w:shd w:val="clear" w:color="auto" w:fill="CCEEFF"/>
          </w:tcPr>
          <w:p>
            <w:pPr>
              <w:jc w:val="right"/>
              <w:ind w:right="280"/>
              <w:spacing w:after="0" w:line="198" w:lineRule="exact"/>
              <w:rPr>
                <w:sz w:val="20"/>
                <w:szCs w:val="20"/>
                <w:color w:val="auto"/>
              </w:rPr>
            </w:pPr>
            <w:r>
              <w:rPr>
                <w:rFonts w:ascii="Arial" w:cs="Arial" w:eastAsia="Arial" w:hAnsi="Arial"/>
                <w:sz w:val="18"/>
                <w:szCs w:val="18"/>
                <w:color w:val="auto"/>
              </w:rPr>
              <w:t>223,587</w:t>
            </w:r>
          </w:p>
        </w:tc>
        <w:tc>
          <w:tcPr>
            <w:tcW w:w="1400" w:type="dxa"/>
            <w:vAlign w:val="bottom"/>
            <w:gridSpan w:val="5"/>
            <w:shd w:val="clear" w:color="auto" w:fill="CCEEFF"/>
          </w:tcPr>
          <w:p>
            <w:pPr>
              <w:jc w:val="center"/>
              <w:ind w:left="410"/>
              <w:spacing w:after="0" w:line="198" w:lineRule="exact"/>
              <w:rPr>
                <w:sz w:val="20"/>
                <w:szCs w:val="20"/>
                <w:color w:val="auto"/>
              </w:rPr>
            </w:pPr>
            <w:r>
              <w:rPr>
                <w:rFonts w:ascii="Arial" w:cs="Arial" w:eastAsia="Arial" w:hAnsi="Arial"/>
                <w:sz w:val="18"/>
                <w:szCs w:val="18"/>
                <w:color w:val="auto"/>
                <w:w w:val="87"/>
              </w:rPr>
              <w:t>7,116,683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frequency of advisory approval of</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compensation</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Each of the director nominees in Proposal One was elected by TTC’s shareholders to serve for a term ending at the 2026 annual meeting of shareholders by the required vote. Regarding TTC’s other directors (i) each of Janet K. Cooper, Gary L. Ellis, Jill M. Pemberton and Michael G. Vale continue to serve as a director for a term ending at TTC’s 2024 Annual Meeting of Shareholders, and (ii) each of Jeffrey L. Harmening, Joyce A. Mullen, Richard M. Olson and James C. O’Rourke continue to serve as a director for a term ending at TTC’s 2025 Annual Meeting of Shareholders.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Two was approved by TTC’s shareholders by the required vote.</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With respect to Proposal Three, TTC’s shareholders approved, on an advisory basis, the executive compensation of TTC’s named executive officers, as disclosed in TTC’s proxy statement pursuant to the compensation disclosure rules of the Securities and Exchange Commission.</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 respect to Proposal Four, TTC’s shareholders approved, on an advisory basis, the frequency of every one year for future advisory votes on executive compensation. In light of the results of such vote and consistent with the recommendation of the Board of Directors of TTC with respect to such vote, the Board of Directors of TTC determined that TTC will continue to conduct an advisory vote on executive compensation every year until the next required vote on the frequency of future advisory votes on executive compensation.</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660"/>
              <w:spacing w:after="0"/>
              <w:rPr>
                <w:sz w:val="20"/>
                <w:szCs w:val="20"/>
                <w:color w:val="auto"/>
              </w:rPr>
            </w:pPr>
            <w:r>
              <w:rPr>
                <w:rFonts w:ascii="Arial" w:cs="Arial" w:eastAsia="Arial" w:hAnsi="Arial"/>
                <w:sz w:val="18"/>
                <w:szCs w:val="18"/>
                <w:i w:val="1"/>
                <w:iCs w:val="1"/>
                <w:color w:val="auto"/>
                <w:w w:val="99"/>
              </w:rPr>
              <w:t>(d)</w:t>
            </w:r>
          </w:p>
        </w:tc>
        <w:tc>
          <w:tcPr>
            <w:tcW w:w="10340" w:type="dxa"/>
            <w:vAlign w:val="bottom"/>
          </w:tcPr>
          <w:p>
            <w:pPr>
              <w:jc w:val="right"/>
              <w:ind w:right="9535"/>
              <w:spacing w:after="0"/>
              <w:rPr>
                <w:sz w:val="20"/>
                <w:szCs w:val="20"/>
                <w:color w:val="auto"/>
              </w:rPr>
            </w:pPr>
            <w:r>
              <w:rPr>
                <w:rFonts w:ascii="Arial" w:cs="Arial" w:eastAsia="Arial" w:hAnsi="Arial"/>
                <w:sz w:val="18"/>
                <w:szCs w:val="18"/>
                <w:i w:val="1"/>
                <w:iCs w:val="1"/>
                <w:color w:val="auto"/>
              </w:rPr>
              <w:t>Exhibits.</w:t>
            </w:r>
          </w:p>
        </w:tc>
      </w:tr>
      <w:tr>
        <w:trPr>
          <w:trHeight w:val="439"/>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No.</w:t>
            </w:r>
          </w:p>
        </w:tc>
        <w:tc>
          <w:tcPr>
            <w:tcW w:w="10340" w:type="dxa"/>
            <w:vAlign w:val="bottom"/>
            <w:tcBorders>
              <w:bottom w:val="single" w:sz="8" w:color="auto"/>
            </w:tcBorders>
          </w:tcPr>
          <w:p>
            <w:pPr>
              <w:jc w:val="right"/>
              <w:ind w:right="4635"/>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Pr>
          <w:p>
            <w:pPr>
              <w:jc w:val="right"/>
              <w:ind w:right="4475"/>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r>
        <w:trPr>
          <w:trHeight w:val="568"/>
        </w:trPr>
        <w:tc>
          <w:tcPr>
            <w:tcW w:w="900" w:type="dxa"/>
            <w:vAlign w:val="bottom"/>
          </w:tcPr>
          <w:p>
            <w:pPr>
              <w:spacing w:after="0"/>
              <w:rPr>
                <w:sz w:val="24"/>
                <w:szCs w:val="24"/>
                <w:color w:val="auto"/>
              </w:rPr>
            </w:pPr>
          </w:p>
        </w:tc>
        <w:tc>
          <w:tcPr>
            <w:tcW w:w="10340" w:type="dxa"/>
            <w:vAlign w:val="bottom"/>
          </w:tcPr>
          <w:p>
            <w:pPr>
              <w:jc w:val="right"/>
              <w:ind w:right="5495"/>
              <w:spacing w:after="0"/>
              <w:rPr>
                <w:sz w:val="20"/>
                <w:szCs w:val="20"/>
                <w:color w:val="auto"/>
              </w:rPr>
            </w:pPr>
            <w:r>
              <w:rPr>
                <w:rFonts w:ascii="Arial" w:cs="Arial" w:eastAsia="Arial" w:hAnsi="Arial"/>
                <w:sz w:val="14"/>
                <w:szCs w:val="14"/>
                <w:color w:val="auto"/>
              </w:rPr>
              <w:t>1</w:t>
            </w:r>
          </w:p>
        </w:tc>
      </w:tr>
      <w:tr>
        <w:trPr>
          <w:trHeight w:val="46"/>
        </w:trPr>
        <w:tc>
          <w:tcPr>
            <w:tcW w:w="900" w:type="dxa"/>
            <w:vAlign w:val="bottom"/>
            <w:tcBorders>
              <w:bottom w:val="single" w:sz="8" w:color="auto"/>
            </w:tcBorders>
          </w:tcPr>
          <w:p>
            <w:pPr>
              <w:spacing w:after="0"/>
              <w:rPr>
                <w:sz w:val="4"/>
                <w:szCs w:val="4"/>
                <w:color w:val="auto"/>
              </w:rPr>
            </w:pPr>
          </w:p>
        </w:tc>
        <w:tc>
          <w:tcPr>
            <w:tcW w:w="10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22, 2023</w:t>
      </w:r>
      <w:r>
        <w:rPr>
          <w:sz w:val="20"/>
          <w:szCs w:val="20"/>
          <w:color w:val="auto"/>
        </w:rPr>
        <w:tab/>
      </w:r>
      <w:r>
        <w:rPr>
          <w:rFonts w:ascii="Arial" w:cs="Arial" w:eastAsia="Arial" w:hAnsi="Arial"/>
          <w:sz w:val="17"/>
          <w:szCs w:val="17"/>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Vice President, International, General Counsel and Corporate Secretary</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00"/>
      </w:cols>
      <w:pgMar w:left="32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2023-03-22T18:37:25Z</dcterms:created>
  <dcterms:modified xsi:type="dcterms:W3CDTF">2023-03-22T18:37:25Z</dcterms:modified>
</cp:coreProperties>
</file>