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VP, Irrigation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12/05/2013</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5"/>
              </w:rPr>
              <w:t>4,519</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16,696.51</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89,066</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46,521.522</w:t>
            </w:r>
            <w:r>
              <w:rPr>
                <w:rFonts w:ascii="Arial" w:cs="Arial" w:eastAsia="Arial" w:hAnsi="Arial"/>
                <w:sz w:val="22"/>
                <w:szCs w:val="22"/>
                <w:color w:val="008000"/>
                <w:w w:val="85"/>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7"/>
          </w:tcPr>
          <w:p>
            <w:pPr>
              <w:spacing w:after="0"/>
              <w:rPr>
                <w:sz w:val="8"/>
                <w:szCs w:val="8"/>
                <w:color w:val="auto"/>
              </w:rPr>
            </w:pPr>
          </w:p>
        </w:tc>
        <w:tc>
          <w:tcPr>
            <w:tcW w:w="3540" w:type="dxa"/>
            <w:vAlign w:val="bottom"/>
            <w:tcBorders>
              <w:bottom w:val="single" w:sz="8" w:color="2C2C2C"/>
            </w:tcBorders>
            <w:gridSpan w:val="5"/>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59.5</w:t>
            </w:r>
          </w:p>
        </w:tc>
        <w:tc>
          <w:tcPr>
            <w:tcW w:w="1140" w:type="dxa"/>
            <w:vAlign w:val="bottom"/>
          </w:tcPr>
          <w:p>
            <w:pPr>
              <w:ind w:left="260"/>
              <w:spacing w:after="0"/>
              <w:rPr>
                <w:sz w:val="20"/>
                <w:szCs w:val="20"/>
                <w:color w:val="auto"/>
              </w:rPr>
            </w:pPr>
            <w:r>
              <w:rPr>
                <w:rFonts w:ascii="Arial" w:cs="Arial" w:eastAsia="Arial" w:hAnsi="Arial"/>
                <w:sz w:val="14"/>
                <w:szCs w:val="14"/>
                <w:color w:val="0000FF"/>
              </w:rPr>
              <w:t>12/06/2013</w:t>
            </w:r>
          </w:p>
        </w:tc>
        <w:tc>
          <w:tcPr>
            <w:tcW w:w="1140" w:type="dxa"/>
            <w:vAlign w:val="bottom"/>
          </w:tcPr>
          <w:p>
            <w:pPr>
              <w:spacing w:after="0"/>
              <w:rPr>
                <w:sz w:val="17"/>
                <w:szCs w:val="17"/>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0000FF"/>
              </w:rPr>
              <w:t>A</w:t>
            </w:r>
          </w:p>
        </w:tc>
        <w:tc>
          <w:tcPr>
            <w:tcW w:w="340" w:type="dxa"/>
            <w:vAlign w:val="bottom"/>
          </w:tcPr>
          <w:p>
            <w:pPr>
              <w:spacing w:after="0"/>
              <w:rPr>
                <w:sz w:val="17"/>
                <w:szCs w:val="17"/>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0000FF"/>
              </w:rPr>
              <w:t>4,500</w:t>
            </w:r>
          </w:p>
        </w:tc>
        <w:tc>
          <w:tcPr>
            <w:tcW w:w="300" w:type="dxa"/>
            <w:vAlign w:val="bottom"/>
          </w:tcPr>
          <w:p>
            <w:pPr>
              <w:spacing w:after="0"/>
              <w:rPr>
                <w:sz w:val="17"/>
                <w:szCs w:val="17"/>
                <w:color w:val="auto"/>
              </w:rPr>
            </w:pPr>
          </w:p>
        </w:tc>
        <w:tc>
          <w:tcPr>
            <w:tcW w:w="840" w:type="dxa"/>
            <w:vAlign w:val="bottom"/>
            <w:gridSpan w:val="2"/>
          </w:tcPr>
          <w:p>
            <w:pPr>
              <w:jc w:val="right"/>
              <w:ind w:right="318"/>
              <w:spacing w:after="0"/>
              <w:rPr>
                <w:sz w:val="20"/>
                <w:szCs w:val="20"/>
                <w:color w:val="auto"/>
              </w:rPr>
            </w:pPr>
            <w:r>
              <w:rPr>
                <w:rFonts w:ascii="Arial" w:cs="Arial" w:eastAsia="Arial" w:hAnsi="Arial"/>
                <w:sz w:val="11"/>
                <w:szCs w:val="11"/>
                <w:color w:val="008000"/>
              </w:rPr>
              <w:t>(4)</w:t>
            </w:r>
          </w:p>
        </w:tc>
        <w:tc>
          <w:tcPr>
            <w:tcW w:w="740" w:type="dxa"/>
            <w:vAlign w:val="bottom"/>
          </w:tcPr>
          <w:p>
            <w:pPr>
              <w:ind w:left="40"/>
              <w:spacing w:after="0"/>
              <w:rPr>
                <w:sz w:val="20"/>
                <w:szCs w:val="20"/>
                <w:color w:val="auto"/>
              </w:rPr>
            </w:pPr>
            <w:r>
              <w:rPr>
                <w:rFonts w:ascii="Arial" w:cs="Arial" w:eastAsia="Arial" w:hAnsi="Arial"/>
                <w:sz w:val="14"/>
                <w:szCs w:val="14"/>
                <w:color w:val="0000FF"/>
                <w:w w:val="96"/>
              </w:rPr>
              <w:t>12/06/2023</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4,500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4,500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2011 to Fiscal 2013 Performance Period under The Toro Company 2010 Equity and Incentive Plan, as amended, as approved by the registrant's Compensation &amp; Human Resources Committee of its Board of Directors on December 3, 2013, and which was conditioned upon and subject to confirmation by the registrant's Fiscal 2013 financial results that were released on December 5, 2013.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30.358 performance share units acquired by the reporting person under the dividend reinvestment feature of the Deferred Plan since the date of his last report.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116.066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12/09/2013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w:t>
      </w:r>
    </w:p>
    <w:p>
      <w:pPr>
        <w:spacing w:after="0"/>
        <w:rPr>
          <w:sz w:val="20"/>
          <w:szCs w:val="20"/>
          <w:color w:val="auto"/>
        </w:rPr>
      </w:pPr>
      <w:r>
        <w:rPr>
          <w:rFonts w:ascii="Courier New" w:cs="Courier New" w:eastAsia="Courier New" w:hAnsi="Courier New"/>
          <w:sz w:val="18"/>
          <w:szCs w:val="18"/>
          <w:color w:val="auto"/>
        </w:rPr>
        <w:t>The Toro 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Philip A. Burkart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Philip A. Burkart</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12/02/2013</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2019-12-17T02:21:53Z</dcterms:created>
  <dcterms:modified xsi:type="dcterms:W3CDTF">2019-12-17T02:21:53Z</dcterms:modified>
</cp:coreProperties>
</file>