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August 24, 2006</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24, 2006, The Toro Company announced its earnings for the three and nine months ended August 4, 2006.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883920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August 24,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6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86"/>
              </w:rPr>
              <w:t>Other - Registrant's Press Release dated August 24, 2006 (furnished</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herewith).</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The Toro Company</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8111 Lyndale Ave South</w:t>
      </w:r>
    </w:p>
    <w:p>
      <w:pPr>
        <w:spacing w:after="0"/>
        <w:rPr>
          <w:sz w:val="20"/>
          <w:szCs w:val="20"/>
          <w:color w:val="auto"/>
        </w:rPr>
      </w:pPr>
      <w:r>
        <w:rPr>
          <w:rFonts w:ascii="Arial" w:cs="Arial" w:eastAsia="Arial" w:hAnsi="Arial"/>
          <w:sz w:val="22"/>
          <w:szCs w:val="22"/>
          <w:b w:val="1"/>
          <w:bCs w:val="1"/>
          <w:color w:val="auto"/>
        </w:rPr>
        <w:t>Bloomington, MN 55420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 ,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887-8865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Connie Kotke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Corporate Communications</w:t>
      </w:r>
    </w:p>
    <w:p>
      <w:pPr>
        <w:spacing w:after="0" w:line="9" w:lineRule="exact"/>
        <w:rPr>
          <w:sz w:val="20"/>
          <w:szCs w:val="20"/>
          <w:color w:val="auto"/>
        </w:rPr>
      </w:pPr>
    </w:p>
    <w:p>
      <w:pPr>
        <w:ind w:right="91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887-8984,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www.thetorocompany.com</w:t>
      </w:r>
    </w:p>
    <w:p>
      <w:pPr>
        <w:spacing w:after="0" w:line="85" w:lineRule="exact"/>
        <w:rPr>
          <w:sz w:val="20"/>
          <w:szCs w:val="20"/>
          <w:color w:val="auto"/>
        </w:rPr>
      </w:pPr>
    </w:p>
    <w:p>
      <w:pPr>
        <w:ind w:right="4260"/>
        <w:spacing w:after="0" w:line="256" w:lineRule="auto"/>
        <w:rPr>
          <w:sz w:val="20"/>
          <w:szCs w:val="20"/>
          <w:color w:val="auto"/>
        </w:rPr>
      </w:pPr>
      <w:r>
        <w:rPr>
          <w:rFonts w:ascii="Arial" w:cs="Arial" w:eastAsia="Arial" w:hAnsi="Arial"/>
          <w:sz w:val="22"/>
          <w:szCs w:val="22"/>
          <w:b w:val="1"/>
          <w:bCs w:val="1"/>
          <w:color w:val="auto"/>
        </w:rPr>
        <w:t>TORO REPORTS RECORD THIRD QUARTER SALES AND EARNINGS Net Earnings Per Diluted Share Up 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 (August 24, 2006) – The Toro Company (NYSE: TTC) today reported record fiscal third quarter net earnings of</w:t>
      </w:r>
    </w:p>
    <w:p>
      <w:pPr>
        <w:spacing w:after="0" w:line="39" w:lineRule="exact"/>
        <w:rPr>
          <w:sz w:val="20"/>
          <w:szCs w:val="20"/>
          <w:color w:val="auto"/>
        </w:rPr>
      </w:pPr>
    </w:p>
    <w:p>
      <w:pPr>
        <w:ind w:right="120"/>
        <w:spacing w:after="0" w:line="298" w:lineRule="auto"/>
        <w:rPr>
          <w:sz w:val="20"/>
          <w:szCs w:val="20"/>
          <w:color w:val="auto"/>
        </w:rPr>
      </w:pPr>
      <w:r>
        <w:rPr>
          <w:rFonts w:ascii="Arial" w:cs="Arial" w:eastAsia="Arial" w:hAnsi="Arial"/>
          <w:sz w:val="18"/>
          <w:szCs w:val="18"/>
          <w:color w:val="auto"/>
        </w:rPr>
        <w:t>$40.3 million, or $0.91 per diluted share, on record net sales of $477.9 million for the quarter ended August 4, 2006. In the comparable fiscal 2005 period, the company reported net earnings of $34.4 million, or $0.74 per diluted share, on net sales of $466.9 million.</w:t>
      </w:r>
    </w:p>
    <w:p>
      <w:pPr>
        <w:spacing w:after="0" w:line="145"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For the nine months ended August 4, 2006, Toro reported record net earnings of $124.7 million or $2.78 per diluted share, on record net sales of $1,506.5 million. In the comparable fiscal 2005 period, the company reported net earnings of $107.5 million, or $2.29 per diluted share, on net sales of $1,442.3 million.</w:t>
      </w:r>
    </w:p>
    <w:p>
      <w:pPr>
        <w:spacing w:after="0" w:line="173"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Michael J. Hoffman, The Toro Company’s chairman and chief executive officer, said Toro is on track for another record year as growth in worldwide professional segment sales and earnings continued to offset slight declines in domestic residential segment results. “We remain focused on advancing our market leadership positions with innovative products and strengthening customer relationships,” said Hoffman. “We are also realizing profitability improvement through our company-wide lean initiatives, thereby enabling us to deliver strong, consistent financial results. Despite challenging market conditions, we expect to meet our fiscal 2006 guidance for earnings per share growth.”</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Segment data are provided in the table following the “Condensed Consolidated Statements of Earnings.”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22" w:lineRule="exact"/>
        <w:rPr>
          <w:sz w:val="20"/>
          <w:szCs w:val="20"/>
          <w:color w:val="auto"/>
        </w:rPr>
      </w:pPr>
    </w:p>
    <w:p>
      <w:pPr>
        <w:ind w:left="440" w:right="280" w:hanging="177"/>
        <w:spacing w:after="0" w:line="260" w:lineRule="auto"/>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Professional segment sales for the fiscal 2006 third quarter increased 5.7 percent to $319.7 million. The company continues to benefit from golf course investment in maintenance equipment and irrigation systems.</w:t>
      </w:r>
    </w:p>
    <w:p>
      <w:pPr>
        <w:spacing w:after="0" w:line="176" w:lineRule="exact"/>
        <w:rPr>
          <w:rFonts w:ascii="Arial" w:cs="Arial" w:eastAsia="Arial" w:hAnsi="Arial"/>
          <w:sz w:val="20"/>
          <w:szCs w:val="20"/>
          <w:color w:val="auto"/>
        </w:rPr>
      </w:pPr>
    </w:p>
    <w:p>
      <w:pPr>
        <w:ind w:left="440" w:right="240" w:hanging="177"/>
        <w:spacing w:after="0" w:line="260" w:lineRule="auto"/>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Strong growth in sales of domestic commercial equipment and irrigation products more than offset a slowdown in domestic landscape contractor equipment.</w:t>
      </w:r>
    </w:p>
    <w:p>
      <w:pPr>
        <w:spacing w:after="0" w:line="176" w:lineRule="exact"/>
        <w:rPr>
          <w:rFonts w:ascii="Arial" w:cs="Arial" w:eastAsia="Arial" w:hAnsi="Arial"/>
          <w:sz w:val="20"/>
          <w:szCs w:val="20"/>
          <w:color w:val="auto"/>
        </w:rPr>
      </w:pPr>
    </w:p>
    <w:p>
      <w:pPr>
        <w:ind w:left="440" w:right="20" w:hanging="177"/>
        <w:spacing w:after="0" w:line="260" w:lineRule="auto"/>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Professional segment earnings for the fiscal 2006 third quarter totaled $62.5 million, up 4.3 percent from $59.9 million in the fiscal 2005 third quarter.</w:t>
      </w:r>
    </w:p>
    <w:p>
      <w:pPr>
        <w:spacing w:after="0" w:line="176" w:lineRule="exact"/>
        <w:rPr>
          <w:rFonts w:ascii="Arial" w:cs="Arial" w:eastAsia="Arial" w:hAnsi="Arial"/>
          <w:sz w:val="20"/>
          <w:szCs w:val="20"/>
          <w:color w:val="auto"/>
        </w:rPr>
      </w:pPr>
    </w:p>
    <w:p>
      <w:pPr>
        <w:ind w:left="440" w:right="180" w:hanging="177"/>
        <w:spacing w:after="0" w:line="31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fiscal 2006 to date, professional segment earnings totaled $208.3 million on an 8.1 percent increase in net sales to $1,012.4 million compared with segment net earnings of $183.4 million on net sales of $936.8 million in the first nine months of fiscal 2005.</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22" w:lineRule="exact"/>
        <w:rPr>
          <w:sz w:val="20"/>
          <w:szCs w:val="20"/>
          <w:color w:val="auto"/>
        </w:rPr>
      </w:pPr>
    </w:p>
    <w:p>
      <w:pPr>
        <w:ind w:left="440" w:right="160" w:hanging="177"/>
        <w:spacing w:after="0" w:line="260" w:lineRule="auto"/>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Residential segment sales for the fiscal 2006 third quarter totaled $145.3 million, down 2.2 percent compared with the fiscal 2005 third quarter.</w:t>
      </w:r>
    </w:p>
    <w:p>
      <w:pPr>
        <w:spacing w:after="0" w:line="176" w:lineRule="exact"/>
        <w:rPr>
          <w:rFonts w:ascii="Arial" w:cs="Arial" w:eastAsia="Arial" w:hAnsi="Arial"/>
          <w:sz w:val="20"/>
          <w:szCs w:val="20"/>
          <w:color w:val="auto"/>
        </w:rPr>
      </w:pPr>
    </w:p>
    <w:p>
      <w:pPr>
        <w:ind w:left="440" w:right="320" w:hanging="177"/>
        <w:spacing w:after="0" w:line="260" w:lineRule="auto"/>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decline for the segment was primarily due to slower sales for electric products and retail irrigation products which were partially offset by increased shipments of walk power mowers and zero-turning-radius riding mowers.</w:t>
      </w:r>
    </w:p>
    <w:p>
      <w:pPr>
        <w:spacing w:after="0" w:line="176" w:lineRule="exact"/>
        <w:rPr>
          <w:rFonts w:ascii="Arial" w:cs="Arial" w:eastAsia="Arial" w:hAnsi="Arial"/>
          <w:sz w:val="20"/>
          <w:szCs w:val="20"/>
          <w:color w:val="auto"/>
        </w:rPr>
      </w:pPr>
    </w:p>
    <w:p>
      <w:pPr>
        <w:ind w:left="440" w:right="320" w:hanging="177"/>
        <w:spacing w:after="0" w:line="260" w:lineRule="auto"/>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Residential segment earnings for the fiscal 2006 third quarter totaled $8.8 million, down 13.3 percent from $10.1 million in the fiscal 2005 third quarter.</w:t>
      </w:r>
    </w:p>
    <w:p>
      <w:pPr>
        <w:spacing w:after="0" w:line="176" w:lineRule="exact"/>
        <w:rPr>
          <w:rFonts w:ascii="Arial" w:cs="Arial" w:eastAsia="Arial" w:hAnsi="Arial"/>
          <w:sz w:val="20"/>
          <w:szCs w:val="20"/>
          <w:color w:val="auto"/>
        </w:rPr>
      </w:pPr>
    </w:p>
    <w:p>
      <w:pPr>
        <w:ind w:left="440" w:right="60" w:hanging="177"/>
        <w:spacing w:after="0" w:line="287"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For fiscal 2006 to date, residential segment earnings totaled $32 million on a 1.8 percent decline in net sales to $463.8 million compared with segment net earnings of $43.5 million on net sales of $472.2 million in the first nine months of fiscal 2005.</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REVIEW OF OPERATIONS</w:t>
      </w:r>
    </w:p>
    <w:p>
      <w:pPr>
        <w:spacing w:after="0" w:line="22"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auto"/>
        </w:rPr>
        <w:t>Gross margin for the fiscal 2006 third quarter was 35.6 percent compared with 35 percent for the fiscal 2005 third quarter. Gross margin in the fiscal 2006 third quarter benefited from a more favorable mix in professional products compared with the fiscal 2005 third quarter.</w:t>
      </w:r>
    </w:p>
    <w:p>
      <w:pPr>
        <w:spacing w:after="0" w:line="132" w:lineRule="exact"/>
        <w:rPr>
          <w:sz w:val="20"/>
          <w:szCs w:val="20"/>
          <w:color w:val="auto"/>
        </w:rPr>
      </w:pPr>
    </w:p>
    <w:p>
      <w:pPr>
        <w:ind w:right="400"/>
        <w:spacing w:after="0" w:line="287" w:lineRule="auto"/>
        <w:rPr>
          <w:sz w:val="20"/>
          <w:szCs w:val="20"/>
          <w:color w:val="auto"/>
        </w:rPr>
      </w:pPr>
      <w:r>
        <w:rPr>
          <w:rFonts w:ascii="Arial" w:cs="Arial" w:eastAsia="Arial" w:hAnsi="Arial"/>
          <w:sz w:val="19"/>
          <w:szCs w:val="19"/>
          <w:color w:val="auto"/>
        </w:rPr>
        <w:t>Fiscal 2006 third quarter selling, general and administrative (SG&amp;A) expenses as a percentage of net sales improved to 22.7 percent from 23.2 percent in the fiscal 2005 third quarter. The improvement in SG&amp;A was due to lower administration expenses.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 for the third quarter totaled $4.7 million compared with $4.8 million in the 2005 third quarter.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effective tax rate in the 2006 third quarter was 32.6 percent, compared with 31.9 percent in the same period last year.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 at quarter end totaled $394 million, down slightly compared with the end of the fiscal 2005 third quarter.</w:t>
      </w:r>
    </w:p>
    <w:p>
      <w:pPr>
        <w:sectPr>
          <w:pgSz w:w="11900" w:h="16838" w:orient="portrait"/>
          <w:cols w:equalWidth="0" w:num="1">
            <w:col w:w="11300"/>
          </w:cols>
          <w:pgMar w:left="240" w:top="112" w:right="359" w:bottom="0" w:gutter="0" w:footer="0" w:header="0"/>
        </w:sectPr>
      </w:pPr>
    </w:p>
    <w:bookmarkStart w:id="5" w:name="page6"/>
    <w:bookmarkEnd w:id="5"/>
    <w:p>
      <w:pPr>
        <w:ind w:right="460"/>
        <w:spacing w:after="0" w:line="262" w:lineRule="auto"/>
        <w:rPr>
          <w:sz w:val="20"/>
          <w:szCs w:val="20"/>
          <w:color w:val="auto"/>
        </w:rPr>
      </w:pPr>
      <w:r>
        <w:rPr>
          <w:rFonts w:ascii="Arial" w:cs="Arial" w:eastAsia="Arial" w:hAnsi="Arial"/>
          <w:sz w:val="20"/>
          <w:szCs w:val="20"/>
          <w:color w:val="auto"/>
        </w:rPr>
        <w:t>Quarter-ending inventory totaled $255 million, up $19.9 million or 8.5 percent compared with the end of the fiscal 2005 third quarter. The increase resulted from lower than expected third quarter sales volume.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BUSINESS OUTLOOK</w:t>
      </w:r>
    </w:p>
    <w:p>
      <w:pPr>
        <w:spacing w:after="0" w:line="22"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Commenting on the company’s outlook for the remainder of fiscal 2006, Toro chairman and chief executive officer Michael Hoffman said the company now expects sales growth for fiscal 2006 to range from 3 to 5 percent, with earnings per share growth for the full year of 15 to 17 percent.</w:t>
      </w:r>
    </w:p>
    <w:p>
      <w:pPr>
        <w:spacing w:after="0" w:line="169"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“We have generated solid earnings growth throughout 2006 despite challenges posed by lower than expected revenues and higher commodity costs,” said Hoffman. “In the fiscal year’s final quarter, we will continue to invest in innovation initiatives for future growth while driving improvements in supply chain efficiencies and profitability initiatives to ensure another record year for Toro shareholders.”</w:t>
      </w:r>
    </w:p>
    <w:p>
      <w:pPr>
        <w:spacing w:after="0" w:line="13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Toro Company is a leading worldwide provider of outdoor maintenance and beautification products for home, recreation and commercial landscapes.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24,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181"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i w:val="1"/>
          <w:iCs w:val="1"/>
          <w:color w:val="auto"/>
        </w:rPr>
        <w:t>The Toro Company will conduct a conference call and webcast for investors beginning at 10:00 a.m. Central Time (CDT) on August 24, 2006</w:t>
      </w:r>
      <w:r>
        <w:rPr>
          <w:rFonts w:ascii="Arial" w:cs="Arial" w:eastAsia="Arial" w:hAnsi="Arial"/>
          <w:sz w:val="20"/>
          <w:szCs w:val="20"/>
          <w:color w:val="auto"/>
        </w:rPr>
        <w:t>.</w:t>
      </w:r>
      <w:r>
        <w:rPr>
          <w:rFonts w:ascii="Arial" w:cs="Arial" w:eastAsia="Arial" w:hAnsi="Arial"/>
          <w:sz w:val="20"/>
          <w:szCs w:val="20"/>
          <w:i w:val="1"/>
          <w:iCs w:val="1"/>
          <w:color w:val="auto"/>
        </w:rPr>
        <w:t xml:space="preserve"> The webcast will be available at </w:t>
      </w:r>
      <w:r>
        <w:rPr>
          <w:rFonts w:ascii="Arial" w:cs="Arial" w:eastAsia="Arial" w:hAnsi="Arial"/>
          <w:sz w:val="20"/>
          <w:szCs w:val="20"/>
          <w:i w:val="1"/>
          <w:iCs w:val="1"/>
          <w:u w:val="single" w:color="auto"/>
          <w:color w:val="auto"/>
        </w:rPr>
        <w:t>www.streetevents.com</w:t>
      </w:r>
      <w:r>
        <w:rPr>
          <w:rFonts w:ascii="Arial" w:cs="Arial" w:eastAsia="Arial" w:hAnsi="Arial"/>
          <w:sz w:val="20"/>
          <w:szCs w:val="20"/>
          <w:i w:val="1"/>
          <w:iCs w:val="1"/>
          <w:color w:val="auto"/>
        </w:rPr>
        <w:t xml:space="preserve"> or at </w:t>
      </w:r>
      <w:r>
        <w:rPr>
          <w:rFonts w:ascii="Arial" w:cs="Arial" w:eastAsia="Arial" w:hAnsi="Arial"/>
          <w:sz w:val="20"/>
          <w:szCs w:val="20"/>
          <w:i w:val="1"/>
          <w:iCs w:val="1"/>
          <w:u w:val="single" w:color="auto"/>
          <w:color w:val="auto"/>
        </w:rPr>
        <w:t>www.thetorocompany.com/invest</w:t>
      </w:r>
      <w:r>
        <w:rPr>
          <w:rFonts w:ascii="Arial" w:cs="Arial" w:eastAsia="Arial" w:hAnsi="Arial"/>
          <w:sz w:val="20"/>
          <w:szCs w:val="20"/>
          <w:i w:val="1"/>
          <w:iCs w:val="1"/>
          <w:color w:val="auto"/>
        </w:rPr>
        <w: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initiative which is intended to improve our revenue growth and after-tax return on sales; the company’s ability to achieve sales and earnings per share growth in fiscal 2006; our ability to successfully integrate acquisitions and manage alliances; ability of management to manage around unplanned events; unforeseen product quality problems in the development and production of new and existing products; fluctuations in the cost and availability of raw materials, including steel and other commodities; rising cost of transportation; level of growth in the golf market; increased dependence on The Home Depot as a customer for the residential segment; reduced government spending for grounds maintenance equipment due to reduced tax revenue and tighter government budgets; increased competition; elimination of shelf space for our products at retailers; financial viability of distributors and dealers; market acceptance of existing and new products; unforeseen inventory adjustments or changes in purchasing patterns by our customers; the impact of abnormal weather patterns; and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(Financial tables follow)</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TORO COMPANY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Condensed Consolidated Statements of Earnings (Unaudited)</w:t>
      </w:r>
    </w:p>
    <w:p>
      <w:pPr>
        <w:jc w:val="center"/>
        <w:ind w:right="-39"/>
        <w:spacing w:after="0"/>
        <w:rPr>
          <w:sz w:val="20"/>
          <w:szCs w:val="20"/>
          <w:color w:val="auto"/>
        </w:rPr>
      </w:pPr>
      <w:r>
        <w:rPr>
          <w:rFonts w:ascii="Arial" w:cs="Arial" w:eastAsia="Arial" w:hAnsi="Arial"/>
          <w:sz w:val="22"/>
          <w:szCs w:val="22"/>
          <w:b w:val="1"/>
          <w:bCs w:val="1"/>
          <w:color w:val="auto"/>
        </w:rPr>
        <w:t>(Dollars and shares in thousands, except per-share data)</w:t>
      </w:r>
    </w:p>
    <w:p>
      <w:pPr>
        <w:spacing w:after="0" w:line="200" w:lineRule="exact"/>
        <w:rPr>
          <w:sz w:val="20"/>
          <w:szCs w:val="20"/>
          <w:color w:val="auto"/>
        </w:rPr>
      </w:pP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114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rPr>
              <w:t>August 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87"/>
              </w:rPr>
              <w:t>July 29,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2"/>
              </w:rPr>
              <w:t>August 4,</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July 29,</w:t>
            </w:r>
          </w:p>
        </w:tc>
        <w:tc>
          <w:tcPr>
            <w:tcW w:w="0" w:type="dxa"/>
            <w:vAlign w:val="bottom"/>
          </w:tcPr>
          <w:p>
            <w:pPr>
              <w:spacing w:after="0"/>
              <w:rPr>
                <w:sz w:val="1"/>
                <w:szCs w:val="1"/>
                <w:color w:val="auto"/>
              </w:rPr>
            </w:pPr>
          </w:p>
        </w:tc>
      </w:tr>
      <w:tr>
        <w:trPr>
          <w:trHeight w:val="234"/>
        </w:trPr>
        <w:tc>
          <w:tcPr>
            <w:tcW w:w="474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6"/>
              </w:rPr>
              <w:t>477,861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9"/>
              </w:rPr>
              <w:t>466,942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w w:val="87"/>
              </w:rPr>
              <w:t>1,506,505</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w w:val="87"/>
              </w:rPr>
              <w:t>1,442,296</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170,336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163,261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532,466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501,567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Gross profit percent</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108,615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108,595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340,129</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330,376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140"/>
              <w:spacing w:after="0"/>
              <w:rPr>
                <w:sz w:val="20"/>
                <w:szCs w:val="20"/>
                <w:color w:val="auto"/>
              </w:rPr>
            </w:pPr>
            <w:r>
              <w:rPr>
                <w:rFonts w:ascii="Arial" w:cs="Arial" w:eastAsia="Arial" w:hAnsi="Arial"/>
                <w:sz w:val="18"/>
                <w:szCs w:val="18"/>
                <w:color w:val="auto"/>
              </w:rPr>
              <w:t>Earnings from operations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192,337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171,191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(4,677)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(4,820)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(14,097)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(13,453)</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6,088</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140"/>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59,800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184,328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160,463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59,645</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40,322</w:t>
            </w:r>
          </w:p>
        </w:tc>
        <w:tc>
          <w:tcPr>
            <w:tcW w:w="2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34,377</w:t>
            </w:r>
          </w:p>
        </w:tc>
        <w:tc>
          <w:tcPr>
            <w:tcW w:w="2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124,683</w:t>
            </w: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4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Diluted net earnings per share</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4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w:t>
            </w: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outstanding – Basic</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44,494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43,283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Weighted average number of shares of common stock</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outstanding – Dilutive</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44,360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46,438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44,806</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46,966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121" w:right="259" w:bottom="0" w:gutter="0" w:footer="0" w:header="0"/>
        </w:sectPr>
      </w:pPr>
    </w:p>
    <w:p>
      <w:pPr>
        <w:jc w:val="center"/>
        <w:ind w:right="-19"/>
        <w:spacing w:after="0"/>
        <w:rPr>
          <w:sz w:val="20"/>
          <w:szCs w:val="20"/>
          <w:color w:val="auto"/>
        </w:rPr>
      </w:pPr>
      <w:r>
        <w:rPr>
          <w:rFonts w:ascii="Arial" w:cs="Arial" w:eastAsia="Arial" w:hAnsi="Arial"/>
          <w:sz w:val="19"/>
          <w:szCs w:val="19"/>
          <w:b w:val="1"/>
          <w:bCs w:val="1"/>
          <w:color w:val="auto"/>
        </w:rPr>
        <w:t>Segment Data (Unaudited)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(Dollars in thousands)</w:t>
      </w:r>
    </w:p>
    <w:p>
      <w:pPr>
        <w:sectPr>
          <w:pgSz w:w="11900" w:h="16838" w:orient="portrait"/>
          <w:cols w:equalWidth="0" w:num="1">
            <w:col w:w="11400"/>
          </w:cols>
          <w:pgMar w:left="240" w:top="121" w:right="25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color w:val="auto"/>
              </w:rPr>
              <w:t>Nine Months Ended</w:t>
            </w:r>
          </w:p>
        </w:tc>
      </w:tr>
      <w:tr>
        <w:trPr>
          <w:trHeight w:val="191"/>
        </w:trPr>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ind w:left="260"/>
              <w:spacing w:after="0" w:line="191" w:lineRule="exact"/>
              <w:rPr>
                <w:sz w:val="20"/>
                <w:szCs w:val="20"/>
                <w:color w:val="auto"/>
              </w:rPr>
            </w:pPr>
            <w:r>
              <w:rPr>
                <w:rFonts w:ascii="Arial" w:cs="Arial" w:eastAsia="Arial" w:hAnsi="Arial"/>
                <w:sz w:val="18"/>
                <w:szCs w:val="18"/>
                <w:b w:val="1"/>
                <w:bCs w:val="1"/>
                <w:color w:val="auto"/>
              </w:rPr>
              <w:t>August 4,</w:t>
            </w:r>
          </w:p>
        </w:tc>
        <w:tc>
          <w:tcPr>
            <w:tcW w:w="260" w:type="dxa"/>
            <w:vAlign w:val="bottom"/>
          </w:tcPr>
          <w:p>
            <w:pPr>
              <w:spacing w:after="0"/>
              <w:rPr>
                <w:sz w:val="16"/>
                <w:szCs w:val="16"/>
                <w:color w:val="auto"/>
              </w:rPr>
            </w:pPr>
          </w:p>
        </w:tc>
        <w:tc>
          <w:tcPr>
            <w:tcW w:w="1280" w:type="dxa"/>
            <w:vAlign w:val="bottom"/>
            <w:gridSpan w:val="3"/>
          </w:tcPr>
          <w:p>
            <w:pPr>
              <w:ind w:left="340"/>
              <w:spacing w:after="0" w:line="191" w:lineRule="exact"/>
              <w:rPr>
                <w:sz w:val="20"/>
                <w:szCs w:val="20"/>
                <w:color w:val="auto"/>
              </w:rPr>
            </w:pPr>
            <w:r>
              <w:rPr>
                <w:rFonts w:ascii="Arial" w:cs="Arial" w:eastAsia="Arial" w:hAnsi="Arial"/>
                <w:sz w:val="18"/>
                <w:szCs w:val="18"/>
                <w:b w:val="1"/>
                <w:bCs w:val="1"/>
                <w:color w:val="auto"/>
              </w:rPr>
              <w:t>July 29,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August 4,</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July 29,</w:t>
            </w:r>
          </w:p>
        </w:tc>
      </w:t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Segment Net Sales</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20"/>
                <w:szCs w:val="20"/>
                <w:color w:val="auto"/>
              </w:rPr>
            </w:pPr>
          </w:p>
        </w:tc>
        <w:tc>
          <w:tcPr>
            <w:tcW w:w="12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500" w:type="dxa"/>
            <w:vAlign w:val="bottom"/>
          </w:tcPr>
          <w:p>
            <w:pPr>
              <w:spacing w:after="0"/>
              <w:rPr>
                <w:sz w:val="20"/>
                <w:szCs w:val="20"/>
                <w:color w:val="auto"/>
              </w:rPr>
            </w:pPr>
          </w:p>
        </w:tc>
      </w:tr>
      <w:tr>
        <w:trPr>
          <w:trHeight w:val="195"/>
        </w:trPr>
        <w:tc>
          <w:tcPr>
            <w:tcW w:w="3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260" w:type="dxa"/>
            <w:vAlign w:val="bottom"/>
          </w:tcPr>
          <w:p>
            <w:pPr>
              <w:spacing w:after="0"/>
              <w:rPr>
                <w:sz w:val="16"/>
                <w:szCs w:val="16"/>
                <w:color w:val="auto"/>
              </w:rPr>
            </w:pPr>
          </w:p>
        </w:tc>
        <w:tc>
          <w:tcPr>
            <w:tcW w:w="9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$319,733</w:t>
            </w:r>
          </w:p>
        </w:tc>
        <w:tc>
          <w:tcPr>
            <w:tcW w:w="3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$302,517</w:t>
            </w:r>
          </w:p>
        </w:tc>
        <w:tc>
          <w:tcPr>
            <w:tcW w:w="3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1,012,436</w:t>
            </w:r>
          </w:p>
        </w:tc>
        <w:tc>
          <w:tcPr>
            <w:tcW w:w="4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936,799</w:t>
            </w:r>
          </w:p>
        </w:tc>
        <w:tc>
          <w:tcPr>
            <w:tcW w:w="500" w:type="dxa"/>
            <w:vAlign w:val="bottom"/>
            <w:tcBorders>
              <w:top w:val="single" w:sz="8" w:color="auto"/>
            </w:tcBorders>
          </w:tcPr>
          <w:p>
            <w:pPr>
              <w:spacing w:after="0"/>
              <w:rPr>
                <w:sz w:val="16"/>
                <w:szCs w:val="16"/>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145,308</w:t>
            </w:r>
          </w:p>
        </w:tc>
        <w:tc>
          <w:tcPr>
            <w:tcW w:w="3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148,590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463,786</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472,188</w:t>
            </w:r>
          </w:p>
        </w:tc>
        <w:tc>
          <w:tcPr>
            <w:tcW w:w="500" w:type="dxa"/>
            <w:vAlign w:val="bottom"/>
          </w:tcPr>
          <w:p>
            <w:pPr>
              <w:spacing w:after="0"/>
              <w:rPr>
                <w:sz w:val="18"/>
                <w:szCs w:val="18"/>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12,820</w:t>
            </w:r>
          </w:p>
        </w:tc>
        <w:tc>
          <w:tcPr>
            <w:tcW w:w="3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15,835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30,283</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33,309</w:t>
            </w:r>
          </w:p>
        </w:tc>
        <w:tc>
          <w:tcPr>
            <w:tcW w:w="500" w:type="dxa"/>
            <w:vAlign w:val="bottom"/>
          </w:tcPr>
          <w:p>
            <w:pPr>
              <w:spacing w:after="0"/>
              <w:rPr>
                <w:sz w:val="20"/>
                <w:szCs w:val="20"/>
                <w:color w:val="auto"/>
              </w:rPr>
            </w:pPr>
          </w:p>
        </w:tc>
      </w:tr>
      <w:tr>
        <w:trPr>
          <w:trHeight w:val="223"/>
        </w:trPr>
        <w:tc>
          <w:tcPr>
            <w:tcW w:w="4220" w:type="dxa"/>
            <w:vAlign w:val="bottom"/>
            <w:gridSpan w:val="2"/>
          </w:tcPr>
          <w:p>
            <w:pPr>
              <w:ind w:left="140"/>
              <w:spacing w:after="0"/>
              <w:rPr>
                <w:sz w:val="20"/>
                <w:szCs w:val="20"/>
                <w:color w:val="auto"/>
              </w:rPr>
            </w:pPr>
            <w:r>
              <w:rPr>
                <w:rFonts w:ascii="Arial" w:cs="Arial" w:eastAsia="Arial" w:hAnsi="Arial"/>
                <w:sz w:val="18"/>
                <w:szCs w:val="18"/>
                <w:color w:val="auto"/>
              </w:rPr>
              <w:t>Total *</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477,861</w:t>
            </w:r>
          </w:p>
        </w:tc>
        <w:tc>
          <w:tcPr>
            <w:tcW w:w="3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466,942</w:t>
            </w:r>
          </w:p>
        </w:tc>
        <w:tc>
          <w:tcPr>
            <w:tcW w:w="3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1,506,505</w:t>
            </w:r>
          </w:p>
        </w:tc>
        <w:tc>
          <w:tcPr>
            <w:tcW w:w="4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1,442,296</w:t>
            </w:r>
          </w:p>
        </w:tc>
        <w:tc>
          <w:tcPr>
            <w:tcW w:w="500" w:type="dxa"/>
            <w:vAlign w:val="bottom"/>
          </w:tcPr>
          <w:p>
            <w:pPr>
              <w:spacing w:after="0"/>
              <w:rPr>
                <w:sz w:val="19"/>
                <w:szCs w:val="19"/>
                <w:color w:val="auto"/>
              </w:rPr>
            </w:pPr>
          </w:p>
        </w:tc>
      </w:tr>
      <w:tr>
        <w:trPr>
          <w:trHeight w:val="20"/>
        </w:trPr>
        <w:tc>
          <w:tcPr>
            <w:tcW w:w="4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1"/>
        </w:trPr>
        <w:tc>
          <w:tcPr>
            <w:tcW w:w="422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113,651</w:t>
            </w:r>
          </w:p>
        </w:tc>
        <w:tc>
          <w:tcPr>
            <w:tcW w:w="3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108,353</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402,000</w:t>
            </w:r>
          </w:p>
        </w:tc>
        <w:tc>
          <w:tcPr>
            <w:tcW w:w="4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355,782</w:t>
            </w:r>
          </w:p>
        </w:tc>
        <w:tc>
          <w:tcPr>
            <w:tcW w:w="500" w:type="dxa"/>
            <w:vAlign w:val="bottom"/>
          </w:tcPr>
          <w:p>
            <w:pPr>
              <w:spacing w:after="0"/>
              <w:rPr>
                <w:sz w:val="18"/>
                <w:szCs w:val="18"/>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8"/>
                <w:szCs w:val="18"/>
                <w:color w:val="auto"/>
              </w:rPr>
              <w:t>Nine Months Ended</w:t>
            </w:r>
          </w:p>
        </w:tc>
      </w:tr>
      <w:tr>
        <w:trPr>
          <w:trHeight w:val="191"/>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480"/>
              <w:spacing w:after="0" w:line="191" w:lineRule="exact"/>
              <w:rPr>
                <w:sz w:val="20"/>
                <w:szCs w:val="20"/>
                <w:color w:val="auto"/>
              </w:rPr>
            </w:pPr>
            <w:r>
              <w:rPr>
                <w:rFonts w:ascii="Arial" w:cs="Arial" w:eastAsia="Arial" w:hAnsi="Arial"/>
                <w:sz w:val="18"/>
                <w:szCs w:val="18"/>
                <w:b w:val="1"/>
                <w:bCs w:val="1"/>
                <w:color w:val="auto"/>
              </w:rPr>
              <w:t>August 4,</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87"/>
              </w:rPr>
              <w:t>July 29,</w:t>
            </w:r>
          </w:p>
        </w:tc>
        <w:tc>
          <w:tcPr>
            <w:tcW w:w="360" w:type="dxa"/>
            <w:vAlign w:val="bottom"/>
          </w:tcPr>
          <w:p>
            <w:pPr>
              <w:spacing w:after="0"/>
              <w:rPr>
                <w:sz w:val="16"/>
                <w:szCs w:val="16"/>
                <w:color w:val="auto"/>
              </w:rPr>
            </w:pPr>
          </w:p>
        </w:tc>
        <w:tc>
          <w:tcPr>
            <w:tcW w:w="1360" w:type="dxa"/>
            <w:vAlign w:val="bottom"/>
            <w:gridSpan w:val="3"/>
          </w:tcPr>
          <w:p>
            <w:pPr>
              <w:jc w:val="right"/>
              <w:ind w:right="320"/>
              <w:spacing w:after="0" w:line="191" w:lineRule="exact"/>
              <w:rPr>
                <w:sz w:val="20"/>
                <w:szCs w:val="20"/>
                <w:color w:val="auto"/>
              </w:rPr>
            </w:pPr>
            <w:r>
              <w:rPr>
                <w:rFonts w:ascii="Arial" w:cs="Arial" w:eastAsia="Arial" w:hAnsi="Arial"/>
                <w:sz w:val="18"/>
                <w:szCs w:val="18"/>
                <w:b w:val="1"/>
                <w:bCs w:val="1"/>
                <w:color w:val="auto"/>
              </w:rPr>
              <w:t>August 4,</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0"/>
              </w:rPr>
              <w:t>July 29,</w:t>
            </w: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w w:val="96"/>
              </w:rPr>
              <w:t>Segment Earnings (Loss) Before Income Taxes</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600" w:type="dxa"/>
            <w:vAlign w:val="bottom"/>
          </w:tcPr>
          <w:p>
            <w:pPr>
              <w:spacing w:after="0"/>
              <w:rPr>
                <w:sz w:val="20"/>
                <w:szCs w:val="20"/>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2006</w:t>
            </w:r>
          </w:p>
        </w:tc>
        <w:tc>
          <w:tcPr>
            <w:tcW w:w="4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spacing w:after="0"/>
              <w:rPr>
                <w:sz w:val="20"/>
                <w:szCs w:val="20"/>
                <w:color w:val="auto"/>
              </w:rPr>
            </w:pPr>
          </w:p>
        </w:tc>
      </w:tr>
      <w:tr>
        <w:trPr>
          <w:trHeight w:val="195"/>
        </w:trPr>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320" w:type="dxa"/>
            <w:vAlign w:val="bottom"/>
          </w:tcPr>
          <w:p>
            <w:pPr>
              <w:spacing w:after="0"/>
              <w:rPr>
                <w:sz w:val="16"/>
                <w:szCs w:val="16"/>
                <w:color w:val="auto"/>
              </w:rPr>
            </w:pPr>
          </w:p>
        </w:tc>
        <w:tc>
          <w:tcPr>
            <w:tcW w:w="10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$ 62,474</w:t>
            </w:r>
          </w:p>
        </w:tc>
        <w:tc>
          <w:tcPr>
            <w:tcW w:w="6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$ 59,894</w:t>
            </w:r>
          </w:p>
        </w:tc>
        <w:tc>
          <w:tcPr>
            <w:tcW w:w="4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$208,311</w:t>
            </w:r>
          </w:p>
        </w:tc>
        <w:tc>
          <w:tcPr>
            <w:tcW w:w="4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$183,382</w:t>
            </w:r>
          </w:p>
        </w:tc>
        <w:tc>
          <w:tcPr>
            <w:tcW w:w="420" w:type="dxa"/>
            <w:vAlign w:val="bottom"/>
            <w:tcBorders>
              <w:top w:val="single" w:sz="8" w:color="auto"/>
            </w:tcBorders>
          </w:tcPr>
          <w:p>
            <w:pPr>
              <w:spacing w:after="0"/>
              <w:rPr>
                <w:sz w:val="16"/>
                <w:szCs w:val="16"/>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8,752</w:t>
            </w:r>
          </w:p>
        </w:tc>
        <w:tc>
          <w:tcPr>
            <w:tcW w:w="6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10,096</w:t>
            </w:r>
          </w:p>
        </w:tc>
        <w:tc>
          <w:tcPr>
            <w:tcW w:w="4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32,037</w:t>
            </w:r>
          </w:p>
        </w:tc>
        <w:tc>
          <w:tcPr>
            <w:tcW w:w="4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43,493</w:t>
            </w:r>
          </w:p>
        </w:tc>
        <w:tc>
          <w:tcPr>
            <w:tcW w:w="420" w:type="dxa"/>
            <w:vAlign w:val="bottom"/>
          </w:tcPr>
          <w:p>
            <w:pPr>
              <w:spacing w:after="0"/>
              <w:rPr>
                <w:sz w:val="18"/>
                <w:szCs w:val="18"/>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(11,426)</w:t>
            </w:r>
          </w:p>
        </w:tc>
        <w:tc>
          <w:tcPr>
            <w:tcW w:w="1820" w:type="dxa"/>
            <w:vAlign w:val="bottom"/>
            <w:gridSpan w:val="4"/>
          </w:tcPr>
          <w:p>
            <w:pPr>
              <w:jc w:val="right"/>
              <w:ind w:right="440"/>
              <w:spacing w:after="0"/>
              <w:rPr>
                <w:sz w:val="20"/>
                <w:szCs w:val="20"/>
                <w:color w:val="auto"/>
              </w:rPr>
            </w:pPr>
            <w:r>
              <w:rPr>
                <w:rFonts w:ascii="Arial" w:cs="Arial" w:eastAsia="Arial" w:hAnsi="Arial"/>
                <w:sz w:val="18"/>
                <w:szCs w:val="18"/>
                <w:color w:val="auto"/>
              </w:rPr>
              <w:t>(19,502)</w:t>
            </w:r>
          </w:p>
        </w:tc>
        <w:tc>
          <w:tcPr>
            <w:tcW w:w="1720" w:type="dxa"/>
            <w:vAlign w:val="bottom"/>
            <w:gridSpan w:val="4"/>
          </w:tcPr>
          <w:p>
            <w:pPr>
              <w:jc w:val="right"/>
              <w:ind w:right="360"/>
              <w:spacing w:after="0"/>
              <w:rPr>
                <w:sz w:val="20"/>
                <w:szCs w:val="20"/>
                <w:color w:val="auto"/>
              </w:rPr>
            </w:pPr>
            <w:r>
              <w:rPr>
                <w:rFonts w:ascii="Arial" w:cs="Arial" w:eastAsia="Arial" w:hAnsi="Arial"/>
                <w:sz w:val="18"/>
                <w:szCs w:val="18"/>
                <w:color w:val="auto"/>
              </w:rPr>
              <w:t>(56,020)</w:t>
            </w:r>
          </w:p>
        </w:tc>
        <w:tc>
          <w:tcPr>
            <w:tcW w:w="1740" w:type="dxa"/>
            <w:vAlign w:val="bottom"/>
            <w:gridSpan w:val="4"/>
          </w:tcPr>
          <w:p>
            <w:pPr>
              <w:jc w:val="right"/>
              <w:ind w:right="360"/>
              <w:spacing w:after="0"/>
              <w:rPr>
                <w:sz w:val="20"/>
                <w:szCs w:val="20"/>
                <w:color w:val="auto"/>
              </w:rPr>
            </w:pPr>
            <w:r>
              <w:rPr>
                <w:rFonts w:ascii="Arial" w:cs="Arial" w:eastAsia="Arial" w:hAnsi="Arial"/>
                <w:sz w:val="18"/>
                <w:szCs w:val="18"/>
                <w:color w:val="auto"/>
              </w:rPr>
              <w:t>(66,412)</w:t>
            </w:r>
          </w:p>
        </w:tc>
      </w:tr>
      <w:tr>
        <w:trPr>
          <w:trHeight w:val="223"/>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59,800</w:t>
            </w:r>
          </w:p>
        </w:tc>
        <w:tc>
          <w:tcPr>
            <w:tcW w:w="6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50,488</w:t>
            </w:r>
          </w:p>
        </w:tc>
        <w:tc>
          <w:tcPr>
            <w:tcW w:w="4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184,328</w:t>
            </w:r>
          </w:p>
        </w:tc>
        <w:tc>
          <w:tcPr>
            <w:tcW w:w="4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160,463</w:t>
            </w:r>
          </w:p>
        </w:tc>
        <w:tc>
          <w:tcPr>
            <w:tcW w:w="4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TORO COMPANY AND SUBSIDIARIES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 (Unaudited)</w:t>
      </w: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3"/>
          </w:tcPr>
          <w:p>
            <w:pPr>
              <w:ind w:left="480"/>
              <w:spacing w:after="0"/>
              <w:rPr>
                <w:sz w:val="20"/>
                <w:szCs w:val="20"/>
                <w:color w:val="auto"/>
              </w:rPr>
            </w:pPr>
            <w:r>
              <w:rPr>
                <w:rFonts w:ascii="Arial" w:cs="Arial" w:eastAsia="Arial" w:hAnsi="Arial"/>
                <w:sz w:val="18"/>
                <w:szCs w:val="18"/>
                <w:b w:val="1"/>
                <w:bCs w:val="1"/>
                <w:color w:val="auto"/>
              </w:rPr>
              <w:t>August 4,</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29,</w:t>
            </w:r>
          </w:p>
        </w:tc>
        <w:tc>
          <w:tcPr>
            <w:tcW w:w="0" w:type="dxa"/>
            <w:vAlign w:val="bottom"/>
          </w:tcPr>
          <w:p>
            <w:pPr>
              <w:spacing w:after="0"/>
              <w:rPr>
                <w:sz w:val="1"/>
                <w:szCs w:val="1"/>
                <w:color w:val="auto"/>
              </w:rPr>
            </w:pPr>
          </w:p>
        </w:tc>
      </w:tr>
      <w:tr>
        <w:trPr>
          <w:trHeight w:val="234"/>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4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2005</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gridSpan w:val="3"/>
            <w:vMerge w:val="continue"/>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24,815</w:t>
            </w:r>
          </w:p>
        </w:tc>
        <w:tc>
          <w:tcPr>
            <w:tcW w:w="480" w:type="dxa"/>
            <w:vAlign w:val="bottom"/>
          </w:tcPr>
          <w:p>
            <w:pPr>
              <w:spacing w:after="0"/>
              <w:rPr>
                <w:sz w:val="18"/>
                <w:szCs w:val="18"/>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34,665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Receivables, net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394,038</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394,395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255,031</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235,146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14,624</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14,142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58,203</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746,711</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730,209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163,703</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166,890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Goodwill and other assets</w:t>
            </w: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94,931</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Total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1,005,345</w:t>
            </w:r>
          </w:p>
        </w:tc>
        <w:tc>
          <w:tcPr>
            <w:tcW w:w="4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1,001,385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3"/>
            <w:vMerge w:val="continue"/>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24,535</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54,509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86,998</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75,964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271,022</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267,770</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382,567</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398,288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175,000</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175,012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Long-term deferred income taxes</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872</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Deferred revenue and other long-term liabilities</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9,605</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9,318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437,301</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414,930</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1,005,345</w:t>
            </w:r>
          </w:p>
        </w:tc>
        <w:tc>
          <w:tcPr>
            <w:tcW w:w="4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1,001,385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THE TORO COMPANY AND SUBSIDIARIES</w:t>
      </w:r>
    </w:p>
    <w:p>
      <w:pPr>
        <w:spacing w:after="0" w:line="206"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Condensed Consolidated Statements of Cash Flows (Unaudited)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1"/>
        </w:trPr>
        <w:tc>
          <w:tcPr>
            <w:tcW w:w="7400" w:type="dxa"/>
            <w:vAlign w:val="bottom"/>
          </w:tcPr>
          <w:p>
            <w:pPr>
              <w:spacing w:after="0"/>
              <w:rPr>
                <w:sz w:val="16"/>
                <w:szCs w:val="16"/>
                <w:color w:val="auto"/>
              </w:rPr>
            </w:pPr>
          </w:p>
        </w:tc>
        <w:tc>
          <w:tcPr>
            <w:tcW w:w="1400" w:type="dxa"/>
            <w:vAlign w:val="bottom"/>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rPr>
              <w:t>August 4,</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w w:val="96"/>
              </w:rPr>
              <w:t>July 29,</w:t>
            </w:r>
          </w:p>
        </w:tc>
        <w:tc>
          <w:tcPr>
            <w:tcW w:w="0" w:type="dxa"/>
            <w:vAlign w:val="bottom"/>
          </w:tcPr>
          <w:p>
            <w:pPr>
              <w:spacing w:after="0"/>
              <w:rPr>
                <w:sz w:val="1"/>
                <w:szCs w:val="1"/>
                <w:color w:val="auto"/>
              </w:rPr>
            </w:pPr>
          </w:p>
        </w:tc>
      </w:tr>
      <w:tr>
        <w:trPr>
          <w:trHeight w:val="234"/>
        </w:trPr>
        <w:tc>
          <w:tcPr>
            <w:tcW w:w="74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400" w:type="dxa"/>
            <w:vAlign w:val="bottom"/>
            <w:vMerge w:val="continue"/>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$124,683</w:t>
            </w:r>
          </w:p>
        </w:tc>
        <w:tc>
          <w:tcPr>
            <w:tcW w:w="4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$ 107,510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Equity losses from investments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4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510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Provision for depreciation and amortization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31,490</w:t>
            </w:r>
          </w:p>
        </w:tc>
        <w:tc>
          <w:tcPr>
            <w:tcW w:w="4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30,110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Gain on disposal of property, plant, and equipment</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(84)</w:t>
            </w:r>
          </w:p>
        </w:tc>
        <w:tc>
          <w:tcPr>
            <w:tcW w:w="2040" w:type="dxa"/>
            <w:vAlign w:val="bottom"/>
            <w:gridSpan w:val="4"/>
          </w:tcPr>
          <w:p>
            <w:pPr>
              <w:jc w:val="right"/>
              <w:ind w:right="5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6,018</w:t>
            </w:r>
          </w:p>
        </w:tc>
        <w:tc>
          <w:tcPr>
            <w:tcW w:w="4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7,284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Decrease (increase) in deferred income taxes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400" w:type="dxa"/>
            <w:vAlign w:val="bottom"/>
          </w:tcPr>
          <w:p>
            <w:pPr>
              <w:spacing w:after="0"/>
              <w:rPr>
                <w:sz w:val="18"/>
                <w:szCs w:val="18"/>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(99,062)</w:t>
            </w:r>
          </w:p>
        </w:tc>
        <w:tc>
          <w:tcPr>
            <w:tcW w:w="2040" w:type="dxa"/>
            <w:vAlign w:val="bottom"/>
            <w:gridSpan w:val="4"/>
          </w:tcPr>
          <w:p>
            <w:pPr>
              <w:jc w:val="right"/>
              <w:ind w:right="540"/>
              <w:spacing w:after="0"/>
              <w:rPr>
                <w:sz w:val="20"/>
                <w:szCs w:val="20"/>
                <w:color w:val="auto"/>
              </w:rPr>
            </w:pPr>
            <w:r>
              <w:rPr>
                <w:rFonts w:ascii="Arial" w:cs="Arial" w:eastAsia="Arial" w:hAnsi="Arial"/>
                <w:sz w:val="18"/>
                <w:szCs w:val="18"/>
                <w:color w:val="auto"/>
              </w:rPr>
              <w:t>(86,491)</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(17,481)</w:t>
            </w:r>
          </w:p>
        </w:tc>
        <w:tc>
          <w:tcPr>
            <w:tcW w:w="2040" w:type="dxa"/>
            <w:vAlign w:val="bottom"/>
            <w:gridSpan w:val="4"/>
          </w:tcPr>
          <w:p>
            <w:pPr>
              <w:jc w:val="right"/>
              <w:ind w:right="5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3,042</w:t>
            </w:r>
          </w:p>
        </w:tc>
        <w:tc>
          <w:tcPr>
            <w:tcW w:w="4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2,897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13,836</w:t>
            </w:r>
          </w:p>
        </w:tc>
        <w:tc>
          <w:tcPr>
            <w:tcW w:w="4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14,611</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63,865</w:t>
            </w:r>
          </w:p>
        </w:tc>
        <w:tc>
          <w:tcPr>
            <w:tcW w:w="40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67,844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(26,693)</w:t>
            </w:r>
          </w:p>
        </w:tc>
        <w:tc>
          <w:tcPr>
            <w:tcW w:w="2040" w:type="dxa"/>
            <w:vAlign w:val="bottom"/>
            <w:gridSpan w:val="4"/>
          </w:tcPr>
          <w:p>
            <w:pPr>
              <w:jc w:val="right"/>
              <w:ind w:right="540"/>
              <w:spacing w:after="0"/>
              <w:rPr>
                <w:sz w:val="20"/>
                <w:szCs w:val="20"/>
                <w:color w:val="auto"/>
              </w:rPr>
            </w:pPr>
            <w:r>
              <w:rPr>
                <w:rFonts w:ascii="Arial" w:cs="Arial" w:eastAsia="Arial" w:hAnsi="Arial"/>
                <w:sz w:val="18"/>
                <w:szCs w:val="18"/>
                <w:color w:val="auto"/>
              </w:rPr>
              <w:t>(24,294)</w:t>
            </w:r>
          </w:p>
        </w:tc>
        <w:tc>
          <w:tcPr>
            <w:tcW w:w="0" w:type="dxa"/>
            <w:vAlign w:val="bottom"/>
          </w:tcPr>
          <w:p>
            <w:pPr>
              <w:spacing w:after="0"/>
              <w:rPr>
                <w:sz w:val="1"/>
                <w:szCs w:val="1"/>
                <w:color w:val="auto"/>
              </w:rPr>
            </w:pPr>
          </w:p>
        </w:tc>
      </w:tr>
    </w:tbl>
    <w:p>
      <w:pPr>
        <w:sectPr>
          <w:pgSz w:w="11900" w:h="16838" w:orient="portrait"/>
          <w:cols w:equalWidth="0" w:num="1">
            <w:col w:w="10840"/>
          </w:cols>
          <w:pgMar w:left="540" w:top="341" w:right="519" w:bottom="0" w:gutter="0" w:footer="0" w:header="0"/>
        </w:sectPr>
      </w:pPr>
    </w:p>
    <w:bookmarkStart w:id="7" w:name="page8"/>
    <w:bookmarkEnd w:id="7"/>
    <w:p>
      <w:pPr>
        <w:ind w:left="140"/>
        <w:spacing w:after="0"/>
        <w:rPr>
          <w:sz w:val="20"/>
          <w:szCs w:val="20"/>
          <w:color w:val="auto"/>
        </w:rPr>
      </w:pPr>
      <w:r>
        <w:rPr>
          <w:rFonts w:ascii="Arial" w:cs="Arial" w:eastAsia="Arial" w:hAnsi="Arial"/>
          <w:sz w:val="18"/>
          <w:szCs w:val="18"/>
          <w:color w:val="auto"/>
        </w:rPr>
        <w:t>Proceeds from asset disposals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investments in affiliates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other assets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sale of a business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net of cash acquired</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Net cash used in investing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short-term debt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Repayments of long-term debt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Excess tax benefits from share-based arrangements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exercise of stock options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Purchases of Toro common stock</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Dividends paid on Toro common stock</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Net cash used in financing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rates on cash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23" w:lineRule="exact"/>
        <w:rPr>
          <w:sz w:val="20"/>
          <w:szCs w:val="20"/>
          <w:color w:val="auto"/>
        </w:rPr>
      </w:pPr>
    </w:p>
    <w:p>
      <w:pPr>
        <w:ind w:right="2720"/>
        <w:spacing w:after="0" w:line="358" w:lineRule="auto"/>
        <w:rPr>
          <w:sz w:val="20"/>
          <w:szCs w:val="20"/>
          <w:color w:val="auto"/>
        </w:rPr>
      </w:pPr>
      <w:r>
        <w:rPr>
          <w:rFonts w:ascii="Arial" w:cs="Arial" w:eastAsia="Arial" w:hAnsi="Arial"/>
          <w:sz w:val="16"/>
          <w:szCs w:val="16"/>
          <w:color w:val="auto"/>
        </w:rPr>
        <w:t>Cash and cash equivalents as of the beginning of the period Cash and cash equivalents as of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216"/>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908</w:t>
            </w:r>
          </w:p>
        </w:tc>
        <w:tc>
          <w:tcPr>
            <w:tcW w:w="1160" w:type="dxa"/>
            <w:vAlign w:val="bottom"/>
          </w:tcPr>
          <w:p>
            <w:pPr>
              <w:jc w:val="right"/>
              <w:spacing w:after="0"/>
              <w:rPr>
                <w:sz w:val="20"/>
                <w:szCs w:val="20"/>
                <w:color w:val="auto"/>
              </w:rPr>
            </w:pPr>
            <w:r>
              <w:rPr>
                <w:rFonts w:ascii="Arial" w:cs="Arial" w:eastAsia="Arial" w:hAnsi="Arial"/>
                <w:sz w:val="18"/>
                <w:szCs w:val="18"/>
                <w:color w:val="auto"/>
              </w:rPr>
              <w:t>2,447</w:t>
            </w:r>
          </w:p>
        </w:tc>
      </w:tr>
      <w:tr>
        <w:trPr>
          <w:trHeight w:val="216"/>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(371)</w:t>
            </w:r>
          </w:p>
        </w:tc>
        <w:tc>
          <w:tcPr>
            <w:tcW w:w="11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5,716</w:t>
            </w: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765</w:t>
            </w:r>
          </w:p>
        </w:tc>
      </w:tr>
    </w:tbl>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u w:val="single" w:color="auto"/>
          <w:color w:val="auto"/>
        </w:rPr>
        <w:t>(35,285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377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ind w:left="120"/>
        <w:spacing w:after="0"/>
        <w:tabs>
          <w:tab w:leader="none" w:pos="1940" w:val="left"/>
        </w:tabs>
        <w:rPr>
          <w:sz w:val="20"/>
          <w:szCs w:val="20"/>
          <w:color w:val="auto"/>
        </w:rPr>
      </w:pPr>
      <w:r>
        <w:rPr>
          <w:rFonts w:ascii="Arial" w:cs="Arial" w:eastAsia="Arial" w:hAnsi="Arial"/>
          <w:sz w:val="18"/>
          <w:szCs w:val="18"/>
          <w:u w:val="single" w:color="auto"/>
          <w:color w:val="auto"/>
        </w:rPr>
        <w:t>(20,440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(56,406</w:t>
      </w:r>
      <w:r>
        <w:rPr>
          <w:rFonts w:ascii="Arial" w:cs="Arial" w:eastAsia="Arial" w:hAnsi="Arial"/>
          <w:sz w:val="16"/>
          <w:szCs w:val="16"/>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3"/>
          </w:tcPr>
          <w:p>
            <w:pPr>
              <w:jc w:val="right"/>
              <w:spacing w:after="0"/>
              <w:rPr>
                <w:sz w:val="20"/>
                <w:szCs w:val="20"/>
                <w:color w:val="auto"/>
              </w:rPr>
            </w:pPr>
            <w:r>
              <w:rPr>
                <w:rFonts w:ascii="Arial" w:cs="Arial" w:eastAsia="Arial" w:hAnsi="Arial"/>
                <w:sz w:val="18"/>
                <w:szCs w:val="18"/>
                <w:color w:val="auto"/>
              </w:rPr>
              <w:t>24,191</w:t>
            </w:r>
          </w:p>
        </w:tc>
        <w:tc>
          <w:tcPr>
            <w:tcW w:w="5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53,374</w:t>
            </w:r>
          </w:p>
        </w:tc>
        <w:tc>
          <w:tcPr>
            <w:tcW w:w="60" w:type="dxa"/>
            <w:vAlign w:val="bottom"/>
          </w:tcPr>
          <w:p>
            <w:pPr>
              <w:spacing w:after="0"/>
              <w:rPr>
                <w:sz w:val="18"/>
                <w:szCs w:val="18"/>
                <w:color w:val="auto"/>
              </w:rPr>
            </w:pPr>
          </w:p>
        </w:tc>
      </w:tr>
      <w:tr>
        <w:trPr>
          <w:trHeight w:val="216"/>
        </w:trPr>
        <w:tc>
          <w:tcPr>
            <w:tcW w:w="1260" w:type="dxa"/>
            <w:vAlign w:val="bottom"/>
            <w:gridSpan w:val="4"/>
          </w:tcPr>
          <w:p>
            <w:pPr>
              <w:jc w:val="right"/>
              <w:ind w:right="520"/>
              <w:spacing w:after="0"/>
              <w:rPr>
                <w:sz w:val="20"/>
                <w:szCs w:val="20"/>
                <w:color w:val="auto"/>
              </w:rPr>
            </w:pPr>
            <w:r>
              <w:rPr>
                <w:rFonts w:ascii="Arial" w:cs="Arial" w:eastAsia="Arial" w:hAnsi="Arial"/>
                <w:sz w:val="18"/>
                <w:szCs w:val="18"/>
                <w:color w:val="auto"/>
              </w:rPr>
              <w:t>(34)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0" w:type="dxa"/>
            <w:vAlign w:val="bottom"/>
            <w:gridSpan w:val="3"/>
          </w:tcPr>
          <w:p>
            <w:pPr>
              <w:jc w:val="right"/>
              <w:spacing w:after="0"/>
              <w:rPr>
                <w:sz w:val="20"/>
                <w:szCs w:val="20"/>
                <w:color w:val="auto"/>
              </w:rPr>
            </w:pPr>
            <w:r>
              <w:rPr>
                <w:rFonts w:ascii="Arial" w:cs="Arial" w:eastAsia="Arial" w:hAnsi="Arial"/>
                <w:sz w:val="18"/>
                <w:szCs w:val="18"/>
                <w:color w:val="auto"/>
              </w:rPr>
              <w:t>16,270</w:t>
            </w:r>
          </w:p>
        </w:tc>
        <w:tc>
          <w:tcPr>
            <w:tcW w:w="5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5,665</w:t>
            </w:r>
          </w:p>
        </w:tc>
        <w:tc>
          <w:tcPr>
            <w:tcW w:w="60" w:type="dxa"/>
            <w:vAlign w:val="bottom"/>
          </w:tcPr>
          <w:p>
            <w:pPr>
              <w:spacing w:after="0"/>
              <w:rPr>
                <w:sz w:val="18"/>
                <w:szCs w:val="18"/>
                <w:color w:val="auto"/>
              </w:rPr>
            </w:pPr>
          </w:p>
        </w:tc>
      </w:tr>
      <w:tr>
        <w:trPr>
          <w:trHeight w:val="216"/>
        </w:trPr>
        <w:tc>
          <w:tcPr>
            <w:tcW w:w="700" w:type="dxa"/>
            <w:vAlign w:val="bottom"/>
            <w:gridSpan w:val="3"/>
          </w:tcPr>
          <w:p>
            <w:pPr>
              <w:jc w:val="right"/>
              <w:spacing w:after="0"/>
              <w:rPr>
                <w:sz w:val="20"/>
                <w:szCs w:val="20"/>
                <w:color w:val="auto"/>
              </w:rPr>
            </w:pPr>
            <w:r>
              <w:rPr>
                <w:rFonts w:ascii="Arial" w:cs="Arial" w:eastAsia="Arial" w:hAnsi="Arial"/>
                <w:sz w:val="18"/>
                <w:szCs w:val="18"/>
                <w:color w:val="auto"/>
              </w:rPr>
              <w:t>8,196</w:t>
            </w:r>
          </w:p>
        </w:tc>
        <w:tc>
          <w:tcPr>
            <w:tcW w:w="5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7,609</w:t>
            </w:r>
          </w:p>
        </w:tc>
        <w:tc>
          <w:tcPr>
            <w:tcW w:w="60" w:type="dxa"/>
            <w:vAlign w:val="bottom"/>
          </w:tcPr>
          <w:p>
            <w:pPr>
              <w:spacing w:after="0"/>
              <w:rPr>
                <w:sz w:val="18"/>
                <w:szCs w:val="18"/>
                <w:color w:val="auto"/>
              </w:rPr>
            </w:pPr>
          </w:p>
        </w:tc>
      </w:tr>
      <w:tr>
        <w:trPr>
          <w:trHeight w:val="216"/>
        </w:trPr>
        <w:tc>
          <w:tcPr>
            <w:tcW w:w="1260" w:type="dxa"/>
            <w:vAlign w:val="bottom"/>
            <w:gridSpan w:val="4"/>
          </w:tcPr>
          <w:p>
            <w:pPr>
              <w:jc w:val="right"/>
              <w:ind w:right="520"/>
              <w:spacing w:after="0"/>
              <w:rPr>
                <w:sz w:val="20"/>
                <w:szCs w:val="20"/>
                <w:color w:val="auto"/>
              </w:rPr>
            </w:pPr>
            <w:r>
              <w:rPr>
                <w:rFonts w:ascii="Arial" w:cs="Arial" w:eastAsia="Arial" w:hAnsi="Arial"/>
                <w:sz w:val="18"/>
                <w:szCs w:val="18"/>
                <w:color w:val="auto"/>
              </w:rPr>
              <w:t>(97,388)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(125,093)</w:t>
            </w:r>
          </w:p>
        </w:tc>
      </w:tr>
      <w:tr>
        <w:trPr>
          <w:trHeight w:val="230"/>
        </w:trPr>
        <w:tc>
          <w:tcPr>
            <w:tcW w:w="1260" w:type="dxa"/>
            <w:vAlign w:val="bottom"/>
            <w:gridSpan w:val="4"/>
          </w:tcPr>
          <w:p>
            <w:pPr>
              <w:jc w:val="right"/>
              <w:ind w:right="520"/>
              <w:spacing w:after="0"/>
              <w:rPr>
                <w:sz w:val="20"/>
                <w:szCs w:val="20"/>
                <w:color w:val="auto"/>
              </w:rPr>
            </w:pPr>
            <w:r>
              <w:rPr>
                <w:rFonts w:ascii="Arial" w:cs="Arial" w:eastAsia="Arial" w:hAnsi="Arial"/>
                <w:sz w:val="18"/>
                <w:szCs w:val="18"/>
                <w:color w:val="auto"/>
              </w:rPr>
              <w:t>(11,700)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(8,151)</w:t>
            </w:r>
          </w:p>
        </w:tc>
      </w:tr>
      <w:tr>
        <w:trPr>
          <w:trHeight w:val="223"/>
        </w:trPr>
        <w:tc>
          <w:tcPr>
            <w:tcW w:w="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(60,465</w:t>
            </w:r>
          </w:p>
        </w:tc>
        <w:tc>
          <w:tcPr>
            <w:tcW w:w="580" w:type="dxa"/>
            <w:vAlign w:val="bottom"/>
            <w:gridSpan w:val="2"/>
          </w:tcPr>
          <w:p>
            <w:pPr>
              <w:jc w:val="right"/>
              <w:ind w:right="520"/>
              <w:spacing w:after="0"/>
              <w:rPr>
                <w:sz w:val="20"/>
                <w:szCs w:val="20"/>
                <w:color w:val="auto"/>
              </w:rPr>
            </w:pPr>
            <w:r>
              <w:rPr>
                <w:rFonts w:ascii="Arial" w:cs="Arial" w:eastAsia="Arial" w:hAnsi="Arial"/>
                <w:sz w:val="16"/>
                <w:szCs w:val="16"/>
                <w:color w:val="auto"/>
                <w:w w:val="74"/>
              </w:rPr>
              <w:t>)</w:t>
            </w:r>
          </w:p>
        </w:tc>
        <w:tc>
          <w:tcPr>
            <w:tcW w:w="6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(66,630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453</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9"/>
                <w:szCs w:val="19"/>
                <w:color w:val="auto"/>
              </w:rPr>
            </w:pPr>
          </w:p>
        </w:tc>
      </w:tr>
      <w:tr>
        <w:trPr>
          <w:trHeight w:val="209"/>
        </w:trPr>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3"/>
              </w:rPr>
              <w:t>(16,587)</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(56,091)</w:t>
            </w:r>
          </w:p>
        </w:tc>
        <w:tc>
          <w:tcPr>
            <w:tcW w:w="60" w:type="dxa"/>
            <w:vAlign w:val="bottom"/>
          </w:tcPr>
          <w:p>
            <w:pPr>
              <w:spacing w:after="0"/>
              <w:rPr>
                <w:sz w:val="18"/>
                <w:szCs w:val="18"/>
                <w:color w:val="auto"/>
              </w:rPr>
            </w:pPr>
          </w:p>
        </w:tc>
      </w:tr>
      <w:tr>
        <w:trPr>
          <w:trHeight w:val="230"/>
        </w:trPr>
        <w:tc>
          <w:tcPr>
            <w:tcW w:w="700" w:type="dxa"/>
            <w:vAlign w:val="bottom"/>
            <w:gridSpan w:val="3"/>
          </w:tcPr>
          <w:p>
            <w:pPr>
              <w:jc w:val="right"/>
              <w:spacing w:after="0"/>
              <w:rPr>
                <w:sz w:val="20"/>
                <w:szCs w:val="20"/>
                <w:color w:val="auto"/>
              </w:rPr>
            </w:pPr>
            <w:r>
              <w:rPr>
                <w:rFonts w:ascii="Arial" w:cs="Arial" w:eastAsia="Arial" w:hAnsi="Arial"/>
                <w:sz w:val="18"/>
                <w:szCs w:val="18"/>
                <w:color w:val="auto"/>
              </w:rPr>
              <w:t>41,402</w:t>
            </w:r>
          </w:p>
        </w:tc>
        <w:tc>
          <w:tcPr>
            <w:tcW w:w="5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90,756</w:t>
            </w:r>
          </w:p>
        </w:tc>
        <w:tc>
          <w:tcPr>
            <w:tcW w:w="60" w:type="dxa"/>
            <w:vAlign w:val="bottom"/>
          </w:tcPr>
          <w:p>
            <w:pPr>
              <w:spacing w:after="0"/>
              <w:rPr>
                <w:sz w:val="20"/>
                <w:szCs w:val="20"/>
                <w:color w:val="auto"/>
              </w:rPr>
            </w:pPr>
          </w:p>
        </w:tc>
      </w:tr>
      <w:tr>
        <w:trPr>
          <w:trHeight w:val="22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24,815</w:t>
            </w:r>
          </w:p>
        </w:tc>
        <w:tc>
          <w:tcPr>
            <w:tcW w:w="5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34,665</w:t>
            </w:r>
          </w:p>
        </w:tc>
        <w:tc>
          <w:tcPr>
            <w:tcW w:w="6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7000" w:space="720"/>
        <w:col w:w="2580"/>
      </w:cols>
      <w:pgMar w:left="540" w:top="125"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5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2019-12-13T14:03:26Z</dcterms:created>
  <dcterms:modified xsi:type="dcterms:W3CDTF">2019-12-13T14:03:26Z</dcterms:modified>
</cp:coreProperties>
</file>