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1"/>
        </w:trPr>
        <w:tc>
          <w:tcPr>
            <w:tcW w:w="14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60" w:type="dxa"/>
            <w:vAlign w:val="bottom"/>
            <w:gridSpan w:val="2"/>
          </w:tcPr>
          <w:p>
            <w:pPr>
              <w:ind w:left="6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5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vMerge w:val="restart"/>
          </w:tcPr>
          <w:p>
            <w:pPr>
              <w:spacing w:after="0"/>
              <w:rPr>
                <w:sz w:val="2"/>
                <w:szCs w:val="2"/>
                <w:color w:val="auto"/>
              </w:rPr>
            </w:pPr>
          </w:p>
        </w:tc>
        <w:tc>
          <w:tcPr>
            <w:tcW w:w="1920" w:type="dxa"/>
            <w:vAlign w:val="bottom"/>
            <w:gridSpan w:val="3"/>
            <w:vMerge w:val="restart"/>
          </w:tcPr>
          <w:p>
            <w:pPr>
              <w:jc w:val="center"/>
              <w:ind w:right="296"/>
              <w:spacing w:after="0" w:line="141" w:lineRule="exact"/>
              <w:rPr>
                <w:sz w:val="20"/>
                <w:szCs w:val="20"/>
                <w:color w:val="auto"/>
              </w:rPr>
            </w:pPr>
            <w:r>
              <w:rPr>
                <w:rFonts w:ascii="Arial" w:cs="Arial" w:eastAsia="Arial" w:hAnsi="Arial"/>
                <w:sz w:val="13"/>
                <w:szCs w:val="13"/>
                <w:color w:val="auto"/>
                <w:w w:val="98"/>
              </w:rPr>
              <w:t>Washington, D.C. 20549</w:t>
            </w: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9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60" w:type="dxa"/>
            <w:vAlign w:val="bottom"/>
            <w:gridSpan w:val="8"/>
            <w:vMerge w:val="restart"/>
          </w:tcPr>
          <w:p>
            <w:pPr>
              <w:ind w:left="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0"/>
            <w:vMerge w:val="restart"/>
          </w:tcPr>
          <w:p>
            <w:pPr>
              <w:jc w:val="center"/>
              <w:ind w:right="7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2"/>
                <w:szCs w:val="12"/>
                <w:color w:val="auto"/>
                <w:w w:val="96"/>
              </w:rPr>
              <w:t>Estimated average burden</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20" w:type="dxa"/>
            <w:vAlign w:val="bottom"/>
          </w:tcPr>
          <w:p>
            <w:pPr>
              <w:spacing w:after="0"/>
              <w:rPr>
                <w:sz w:val="11"/>
                <w:szCs w:val="11"/>
                <w:color w:val="auto"/>
              </w:rPr>
            </w:pPr>
          </w:p>
        </w:tc>
        <w:tc>
          <w:tcPr>
            <w:tcW w:w="4520" w:type="dxa"/>
            <w:vAlign w:val="bottom"/>
            <w:gridSpan w:val="18"/>
            <w:vMerge w:val="restart"/>
          </w:tcPr>
          <w:p>
            <w:pPr>
              <w:jc w:val="center"/>
              <w:ind w:right="48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60"/>
              <w:spacing w:after="0" w:line="132" w:lineRule="exact"/>
              <w:rPr>
                <w:sz w:val="20"/>
                <w:szCs w:val="20"/>
                <w:color w:val="auto"/>
              </w:rPr>
            </w:pPr>
            <w:r>
              <w:rPr>
                <w:rFonts w:ascii="Arial" w:cs="Arial" w:eastAsia="Arial" w:hAnsi="Arial"/>
                <w:sz w:val="12"/>
                <w:szCs w:val="12"/>
                <w:color w:val="auto"/>
              </w:rPr>
              <w:t>hours per response:</w:t>
            </w:r>
          </w:p>
        </w:tc>
        <w:tc>
          <w:tcPr>
            <w:tcW w:w="240" w:type="dxa"/>
            <w:vAlign w:val="bottom"/>
          </w:tcPr>
          <w:p>
            <w:pPr>
              <w:spacing w:after="0"/>
              <w:rPr>
                <w:sz w:val="11"/>
                <w:szCs w:val="11"/>
                <w:color w:val="auto"/>
              </w:rPr>
            </w:pPr>
          </w:p>
        </w:tc>
        <w:tc>
          <w:tcPr>
            <w:tcW w:w="520" w:type="dxa"/>
            <w:vAlign w:val="bottom"/>
          </w:tcPr>
          <w:p>
            <w:pPr>
              <w:jc w:val="right"/>
              <w:ind w:right="2"/>
              <w:spacing w:after="0" w:line="132"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8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520" w:type="dxa"/>
            <w:vAlign w:val="bottom"/>
            <w:gridSpan w:val="18"/>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20" w:type="dxa"/>
            <w:vAlign w:val="bottom"/>
            <w:gridSpan w:val="18"/>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gridSpan w:val="9"/>
          </w:tcPr>
          <w:p>
            <w:pPr>
              <w:jc w:val="center"/>
              <w:ind w:right="71"/>
              <w:spacing w:after="0"/>
              <w:rPr>
                <w:sz w:val="20"/>
                <w:szCs w:val="20"/>
                <w:color w:val="auto"/>
              </w:rPr>
            </w:pPr>
            <w:r>
              <w:rPr>
                <w:rFonts w:ascii="Arial" w:cs="Arial" w:eastAsia="Arial" w:hAnsi="Arial"/>
                <w:sz w:val="13"/>
                <w:szCs w:val="13"/>
                <w:color w:val="auto"/>
                <w:w w:val="98"/>
              </w:rPr>
              <w:t>or Section 30(h) of the Investment Company Act of 1940</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gridSpan w:val="11"/>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20" w:type="dxa"/>
            <w:vAlign w:val="bottom"/>
            <w:gridSpan w:val="5"/>
          </w:tcPr>
          <w:p>
            <w:pPr>
              <w:ind w:left="60"/>
              <w:spacing w:after="0" w:line="20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line="236"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King Margeaux</w:t>
              </w:r>
            </w:hyperlink>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gridSpan w:val="8"/>
          </w:tcPr>
          <w:p>
            <w:pPr>
              <w:ind w:left="80"/>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TORO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TTC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7"/>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Borders>
              <w:bottom w:val="single" w:sz="8" w:color="0000EE"/>
            </w:tcBorders>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40" w:type="dxa"/>
            <w:vAlign w:val="bottom"/>
            <w:gridSpan w:val="4"/>
            <w:vMerge w:val="restart"/>
          </w:tcPr>
          <w:p>
            <w:pPr>
              <w:ind w:left="180"/>
              <w:spacing w:after="0" w:line="143"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20" w:type="dxa"/>
            <w:vAlign w:val="bottom"/>
            <w:gridSpan w:val="7"/>
            <w:vMerge w:val="restart"/>
          </w:tcPr>
          <w:p>
            <w:pPr>
              <w:ind w:left="260"/>
              <w:spacing w:after="0" w:line="14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9"/>
            <w:vMerge w:val="restart"/>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gridSpan w:val="3"/>
            <w:vMerge w:val="continue"/>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340" w:type="dxa"/>
            <w:vAlign w:val="bottom"/>
          </w:tcPr>
          <w:p>
            <w:pPr>
              <w:spacing w:after="0"/>
              <w:rPr>
                <w:sz w:val="3"/>
                <w:szCs w:val="3"/>
                <w:color w:val="auto"/>
              </w:rPr>
            </w:pPr>
          </w:p>
        </w:tc>
        <w:tc>
          <w:tcPr>
            <w:tcW w:w="15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4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9"/>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680" w:type="dxa"/>
            <w:vAlign w:val="bottom"/>
          </w:tcPr>
          <w:p>
            <w:pPr>
              <w:ind w:left="180"/>
              <w:spacing w:after="0" w:line="124"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ind w:left="260"/>
              <w:spacing w:after="0" w:line="124"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40" w:type="dxa"/>
            <w:vAlign w:val="bottom"/>
            <w:gridSpan w:val="9"/>
          </w:tcPr>
          <w:p>
            <w:pPr>
              <w:ind w:left="360"/>
              <w:spacing w:after="0"/>
              <w:rPr>
                <w:sz w:val="20"/>
                <w:szCs w:val="20"/>
                <w:color w:val="auto"/>
              </w:rPr>
            </w:pPr>
            <w:r>
              <w:rPr>
                <w:rFonts w:ascii="Arial" w:cs="Arial" w:eastAsia="Arial" w:hAnsi="Arial"/>
                <w:sz w:val="17"/>
                <w:szCs w:val="17"/>
                <w:color w:val="0000FF"/>
              </w:rPr>
              <w:t>08/01/2023</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6"/>
            <w:vMerge w:val="restart"/>
          </w:tcPr>
          <w:p>
            <w:pPr>
              <w:ind w:left="500"/>
              <w:spacing w:after="0"/>
              <w:rPr>
                <w:sz w:val="20"/>
                <w:szCs w:val="20"/>
                <w:color w:val="auto"/>
              </w:rPr>
            </w:pPr>
            <w:r>
              <w:rPr>
                <w:rFonts w:ascii="Arial" w:cs="Arial" w:eastAsia="Arial" w:hAnsi="Arial"/>
                <w:sz w:val="17"/>
                <w:szCs w:val="17"/>
                <w:color w:val="0000FF"/>
                <w:w w:val="87"/>
              </w:rPr>
              <w:t>VP, Human Resources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w w:val="92"/>
              </w:rPr>
              <w:t>8111 LYNDALE AVENUE SOUTH</w:t>
            </w: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8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restart"/>
          </w:tcPr>
          <w:p>
            <w:pPr>
              <w:spacing w:after="0"/>
              <w:rPr>
                <w:sz w:val="20"/>
                <w:szCs w:val="20"/>
                <w:color w:val="auto"/>
              </w:rPr>
            </w:pPr>
            <w:r>
              <w:rPr>
                <w:rFonts w:ascii="Arial" w:cs="Arial" w:eastAsia="Arial" w:hAnsi="Arial"/>
                <w:sz w:val="17"/>
                <w:szCs w:val="17"/>
                <w:color w:val="0000FF"/>
              </w:rPr>
              <w:t>BLOOMINGTON MN</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0000FF"/>
              </w:rPr>
              <w:t>55420</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80" w:type="dxa"/>
            <w:vAlign w:val="bottom"/>
            <w:gridSpan w:val="10"/>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12"/>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180"/>
              <w:spacing w:after="0" w:line="104" w:lineRule="exact"/>
              <w:rPr>
                <w:sz w:val="20"/>
                <w:szCs w:val="20"/>
                <w:color w:val="auto"/>
              </w:rPr>
            </w:pPr>
            <w:r>
              <w:rPr>
                <w:rFonts w:ascii="Arial" w:cs="Arial" w:eastAsia="Arial" w:hAnsi="Arial"/>
                <w:sz w:val="12"/>
                <w:szCs w:val="12"/>
                <w:color w:val="auto"/>
              </w:rPr>
              <w:t>Person</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1"/>
            <w:vMerge w:val="restart"/>
          </w:tcPr>
          <w:p>
            <w:pPr>
              <w:ind w:left="80"/>
              <w:spacing w:after="0"/>
              <w:rPr>
                <w:sz w:val="20"/>
                <w:szCs w:val="20"/>
                <w:color w:val="auto"/>
              </w:rPr>
            </w:pPr>
            <w:r>
              <w:rPr>
                <w:rFonts w:ascii="Arial" w:cs="Arial" w:eastAsia="Arial" w:hAnsi="Arial"/>
                <w:sz w:val="21"/>
                <w:szCs w:val="21"/>
                <w:color w:val="auto"/>
                <w:w w:val="97"/>
              </w:rPr>
              <w:t>Rule 10b5-1(c) Transaction Indication</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1"/>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940" w:type="dxa"/>
            <w:vAlign w:val="bottom"/>
            <w:gridSpan w:val="23"/>
            <w:vMerge w:val="restart"/>
          </w:tcPr>
          <w:p>
            <w:pPr>
              <w:ind w:left="2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94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940" w:type="dxa"/>
            <w:vAlign w:val="bottom"/>
            <w:gridSpan w:val="11"/>
          </w:tcPr>
          <w:p>
            <w:pPr>
              <w:ind w:left="20"/>
              <w:spacing w:after="0" w:line="122" w:lineRule="exact"/>
              <w:rPr>
                <w:sz w:val="20"/>
                <w:szCs w:val="20"/>
                <w:color w:val="auto"/>
              </w:rPr>
            </w:pPr>
            <w:r>
              <w:rPr>
                <w:rFonts w:ascii="Arial" w:cs="Arial" w:eastAsia="Arial" w:hAnsi="Arial"/>
                <w:sz w:val="12"/>
                <w:szCs w:val="12"/>
                <w:color w:val="auto"/>
              </w:rPr>
              <w:t>the affirmative defense conditions of Rule 10b5-1(c). See Instruction 10.</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1"/>
          </w:tcPr>
          <w:p>
            <w:pPr>
              <w:jc w:val="center"/>
              <w:ind w:left="75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8"/>
          </w:tcPr>
          <w:p>
            <w:pPr>
              <w:ind w:left="6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6"/>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8"/>
          </w:tcPr>
          <w:p>
            <w:pPr>
              <w:ind w:left="62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restart"/>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6"/>
            <w:vMerge w:val="restart"/>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8"/>
                <w:szCs w:val="8"/>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22"/>
                <w:szCs w:val="22"/>
                <w:color w:val="auto"/>
              </w:rPr>
            </w:pPr>
          </w:p>
        </w:tc>
        <w:tc>
          <w:tcPr>
            <w:tcW w:w="1540" w:type="dxa"/>
            <w:vAlign w:val="bottom"/>
            <w:gridSpan w:val="7"/>
          </w:tcPr>
          <w:p>
            <w:pPr>
              <w:ind w:left="720"/>
              <w:spacing w:after="0"/>
              <w:rPr>
                <w:sz w:val="20"/>
                <w:szCs w:val="20"/>
                <w:color w:val="auto"/>
              </w:rPr>
            </w:pPr>
            <w:r>
              <w:rPr>
                <w:rFonts w:ascii="Arial" w:cs="Arial" w:eastAsia="Arial" w:hAnsi="Arial"/>
                <w:sz w:val="17"/>
                <w:szCs w:val="17"/>
                <w:color w:val="0000FF"/>
                <w:w w:val="91"/>
              </w:rPr>
              <w:t>08/01/2023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center"/>
              <w:ind w:right="202"/>
              <w:spacing w:after="0"/>
              <w:rPr>
                <w:sz w:val="20"/>
                <w:szCs w:val="20"/>
                <w:color w:val="auto"/>
              </w:rPr>
            </w:pPr>
            <w:r>
              <w:rPr>
                <w:rFonts w:ascii="Arial" w:cs="Arial" w:eastAsia="Arial" w:hAnsi="Arial"/>
                <w:sz w:val="13"/>
                <w:szCs w:val="13"/>
                <w:color w:val="0000FF"/>
              </w:rPr>
              <w:t>M</w:t>
            </w:r>
          </w:p>
        </w:tc>
        <w:tc>
          <w:tcPr>
            <w:tcW w:w="800" w:type="dxa"/>
            <w:vAlign w:val="bottom"/>
            <w:gridSpan w:val="2"/>
          </w:tcPr>
          <w:p>
            <w:pPr>
              <w:ind w:left="160"/>
              <w:spacing w:after="0"/>
              <w:rPr>
                <w:sz w:val="20"/>
                <w:szCs w:val="20"/>
                <w:color w:val="auto"/>
              </w:rPr>
            </w:pPr>
            <w:r>
              <w:rPr>
                <w:rFonts w:ascii="Arial" w:cs="Arial" w:eastAsia="Arial" w:hAnsi="Arial"/>
                <w:sz w:val="17"/>
                <w:szCs w:val="17"/>
                <w:color w:val="0000FF"/>
                <w:w w:val="93"/>
              </w:rPr>
              <w:t>4,161.94</w:t>
            </w:r>
          </w:p>
        </w:tc>
        <w:tc>
          <w:tcPr>
            <w:tcW w:w="520" w:type="dxa"/>
            <w:vAlign w:val="bottom"/>
          </w:tcPr>
          <w:p>
            <w:pPr>
              <w:jc w:val="center"/>
              <w:ind w:left="51"/>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righ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4"/>
          </w:tcPr>
          <w:p>
            <w:pPr>
              <w:jc w:val="center"/>
              <w:ind w:right="22"/>
              <w:spacing w:after="0"/>
              <w:rPr>
                <w:sz w:val="20"/>
                <w:szCs w:val="20"/>
                <w:color w:val="auto"/>
              </w:rPr>
            </w:pPr>
            <w:r>
              <w:rPr>
                <w:rFonts w:ascii="Arial" w:cs="Arial" w:eastAsia="Arial" w:hAnsi="Arial"/>
                <w:sz w:val="17"/>
                <w:szCs w:val="17"/>
                <w:color w:val="0000FF"/>
                <w:w w:val="87"/>
              </w:rPr>
              <w:t>4,161.94</w:t>
            </w:r>
          </w:p>
        </w:tc>
        <w:tc>
          <w:tcPr>
            <w:tcW w:w="340" w:type="dxa"/>
            <w:vAlign w:val="bottom"/>
          </w:tcPr>
          <w:p>
            <w:pPr>
              <w:spacing w:after="0"/>
              <w:rPr>
                <w:sz w:val="22"/>
                <w:szCs w:val="22"/>
                <w:color w:val="auto"/>
              </w:rPr>
            </w:pPr>
          </w:p>
        </w:tc>
        <w:tc>
          <w:tcPr>
            <w:tcW w:w="560" w:type="dxa"/>
            <w:vAlign w:val="bottom"/>
          </w:tcPr>
          <w:p>
            <w:pPr>
              <w:jc w:val="center"/>
              <w:ind w:right="33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22"/>
                <w:szCs w:val="22"/>
                <w:color w:val="auto"/>
              </w:rPr>
            </w:pPr>
          </w:p>
        </w:tc>
        <w:tc>
          <w:tcPr>
            <w:tcW w:w="1540" w:type="dxa"/>
            <w:vAlign w:val="bottom"/>
            <w:gridSpan w:val="7"/>
          </w:tcPr>
          <w:p>
            <w:pPr>
              <w:ind w:left="720"/>
              <w:spacing w:after="0"/>
              <w:rPr>
                <w:sz w:val="20"/>
                <w:szCs w:val="20"/>
                <w:color w:val="auto"/>
              </w:rPr>
            </w:pPr>
            <w:r>
              <w:rPr>
                <w:rFonts w:ascii="Arial" w:cs="Arial" w:eastAsia="Arial" w:hAnsi="Arial"/>
                <w:sz w:val="17"/>
                <w:szCs w:val="17"/>
                <w:color w:val="0000FF"/>
                <w:w w:val="91"/>
              </w:rPr>
              <w:t>08/01/2023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center"/>
              <w:ind w:right="202"/>
              <w:spacing w:after="0"/>
              <w:rPr>
                <w:sz w:val="20"/>
                <w:szCs w:val="20"/>
                <w:color w:val="auto"/>
              </w:rPr>
            </w:pPr>
            <w:r>
              <w:rPr>
                <w:rFonts w:ascii="Arial" w:cs="Arial" w:eastAsia="Arial" w:hAnsi="Arial"/>
                <w:sz w:val="13"/>
                <w:szCs w:val="13"/>
                <w:color w:val="0000FF"/>
              </w:rPr>
              <w:t>F</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1,274</w:t>
            </w:r>
          </w:p>
        </w:tc>
        <w:tc>
          <w:tcPr>
            <w:tcW w:w="100" w:type="dxa"/>
            <w:vAlign w:val="bottom"/>
          </w:tcPr>
          <w:p>
            <w:pPr>
              <w:spacing w:after="0"/>
              <w:rPr>
                <w:sz w:val="22"/>
                <w:szCs w:val="22"/>
                <w:color w:val="auto"/>
              </w:rPr>
            </w:pPr>
          </w:p>
        </w:tc>
        <w:tc>
          <w:tcPr>
            <w:tcW w:w="520" w:type="dxa"/>
            <w:vAlign w:val="bottom"/>
          </w:tcPr>
          <w:p>
            <w:pPr>
              <w:jc w:val="center"/>
              <w:ind w:left="51"/>
              <w:spacing w:after="0"/>
              <w:rPr>
                <w:sz w:val="20"/>
                <w:szCs w:val="20"/>
                <w:color w:val="auto"/>
              </w:rPr>
            </w:pPr>
            <w:r>
              <w:rPr>
                <w:rFonts w:ascii="Arial" w:cs="Arial" w:eastAsia="Arial" w:hAnsi="Arial"/>
                <w:sz w:val="17"/>
                <w:szCs w:val="17"/>
                <w:color w:val="0000FF"/>
                <w:w w:val="97"/>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103.42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4"/>
          </w:tcPr>
          <w:p>
            <w:pPr>
              <w:jc w:val="center"/>
              <w:ind w:right="22"/>
              <w:spacing w:after="0"/>
              <w:rPr>
                <w:sz w:val="20"/>
                <w:szCs w:val="20"/>
                <w:color w:val="auto"/>
              </w:rPr>
            </w:pPr>
            <w:r>
              <w:rPr>
                <w:rFonts w:ascii="Arial" w:cs="Arial" w:eastAsia="Arial" w:hAnsi="Arial"/>
                <w:sz w:val="17"/>
                <w:szCs w:val="17"/>
                <w:color w:val="0000FF"/>
                <w:w w:val="87"/>
              </w:rPr>
              <w:t>2,887.94</w:t>
            </w:r>
          </w:p>
        </w:tc>
        <w:tc>
          <w:tcPr>
            <w:tcW w:w="340" w:type="dxa"/>
            <w:vAlign w:val="bottom"/>
          </w:tcPr>
          <w:p>
            <w:pPr>
              <w:spacing w:after="0"/>
              <w:rPr>
                <w:sz w:val="22"/>
                <w:szCs w:val="22"/>
                <w:color w:val="auto"/>
              </w:rPr>
            </w:pPr>
          </w:p>
        </w:tc>
        <w:tc>
          <w:tcPr>
            <w:tcW w:w="560" w:type="dxa"/>
            <w:vAlign w:val="bottom"/>
          </w:tcPr>
          <w:p>
            <w:pPr>
              <w:jc w:val="center"/>
              <w:ind w:right="334"/>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4"/>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gridSpan w:val="6"/>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vMerge w:val="restart"/>
          </w:tcPr>
          <w:p>
            <w:pPr>
              <w:jc w:val="center"/>
              <w:ind w:left="176"/>
              <w:spacing w:after="0"/>
              <w:rPr>
                <w:sz w:val="20"/>
                <w:szCs w:val="20"/>
                <w:color w:val="auto"/>
              </w:rPr>
            </w:pPr>
            <w:r>
              <w:rPr>
                <w:rFonts w:ascii="Arial" w:cs="Arial" w:eastAsia="Arial" w:hAnsi="Arial"/>
                <w:sz w:val="17"/>
                <w:szCs w:val="17"/>
                <w:color w:val="0000FF"/>
                <w:w w:val="83"/>
              </w:rPr>
              <w:t>1.003</w:t>
            </w:r>
            <w:r>
              <w:rPr>
                <w:rFonts w:ascii="Arial" w:cs="Arial" w:eastAsia="Arial" w:hAnsi="Arial"/>
                <w:sz w:val="21"/>
                <w:szCs w:val="21"/>
                <w:color w:val="008000"/>
                <w:w w:val="83"/>
                <w:vertAlign w:val="superscript"/>
              </w:rPr>
              <w:t>(1)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vMerge w:val="restart"/>
          </w:tcPr>
          <w:p>
            <w:pPr>
              <w:jc w:val="center"/>
              <w:ind w:right="354"/>
              <w:spacing w:after="0"/>
              <w:rPr>
                <w:sz w:val="20"/>
                <w:szCs w:val="20"/>
                <w:color w:val="auto"/>
              </w:rPr>
            </w:pPr>
            <w:r>
              <w:rPr>
                <w:rFonts w:ascii="Arial" w:cs="Arial" w:eastAsia="Arial" w:hAnsi="Arial"/>
                <w:sz w:val="17"/>
                <w:szCs w:val="17"/>
                <w:color w:val="0000FF"/>
              </w:rPr>
              <w:t>I</w:t>
            </w:r>
          </w:p>
        </w:tc>
        <w:tc>
          <w:tcPr>
            <w:tcW w:w="960" w:type="dxa"/>
            <w:vAlign w:val="bottom"/>
            <w:gridSpan w:val="6"/>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60" w:type="dxa"/>
            <w:vAlign w:val="bottom"/>
            <w:gridSpan w:val="6"/>
            <w:vMerge w:val="restart"/>
          </w:tcPr>
          <w:p>
            <w:pPr>
              <w:ind w:left="4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6"/>
          </w:tcPr>
          <w:p>
            <w:pPr>
              <w:ind w:left="4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gridSpan w:val="3"/>
          </w:tcPr>
          <w:p>
            <w:pPr>
              <w:spacing w:after="0"/>
              <w:rPr>
                <w:sz w:val="8"/>
                <w:szCs w:val="8"/>
                <w:color w:val="auto"/>
              </w:rPr>
            </w:pPr>
          </w:p>
        </w:tc>
        <w:tc>
          <w:tcPr>
            <w:tcW w:w="880" w:type="dxa"/>
            <w:vAlign w:val="bottom"/>
            <w:tcBorders>
              <w:bottom w:val="single" w:sz="8" w:color="2C2C2C"/>
            </w:tcBorders>
            <w:gridSpan w:val="5"/>
          </w:tcPr>
          <w:p>
            <w:pPr>
              <w:spacing w:after="0"/>
              <w:rPr>
                <w:sz w:val="8"/>
                <w:szCs w:val="8"/>
                <w:color w:val="auto"/>
              </w:rPr>
            </w:pPr>
          </w:p>
        </w:tc>
        <w:tc>
          <w:tcPr>
            <w:tcW w:w="3220" w:type="dxa"/>
            <w:vAlign w:val="bottom"/>
            <w:tcBorders>
              <w:bottom w:val="single" w:sz="8" w:color="2C2C2C"/>
            </w:tcBorders>
            <w:gridSpan w:val="7"/>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1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1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6"/>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20" w:type="dxa"/>
            <w:vAlign w:val="bottom"/>
            <w:tcBorders>
              <w:right w:val="single" w:sz="8" w:color="2C2C2C"/>
            </w:tcBorders>
            <w:gridSpan w:val="5"/>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3"/>
              </w:rPr>
              <w:t>Conversion</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5"/>
          </w:tcPr>
          <w:p>
            <w:pPr>
              <w:ind w:left="4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Exercise</w:t>
            </w: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Underlying Derivative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2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Security (Instr. 3 and</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5"/>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5"/>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w w:val="94"/>
              </w:rPr>
              <w:t>Transaction(s)</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vMerge w:val="continue"/>
          </w:tcPr>
          <w:p>
            <w:pPr>
              <w:spacing w:after="0"/>
              <w:rPr>
                <w:sz w:val="13"/>
                <w:szCs w:val="13"/>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80" w:type="dxa"/>
            <w:vAlign w:val="bottom"/>
            <w:gridSpan w:val="2"/>
            <w:vMerge w:val="restart"/>
          </w:tcPr>
          <w:p>
            <w:pPr>
              <w:ind w:left="40"/>
              <w:spacing w:after="0"/>
              <w:rPr>
                <w:sz w:val="20"/>
                <w:szCs w:val="20"/>
                <w:color w:val="auto"/>
              </w:rPr>
            </w:pPr>
            <w:r>
              <w:rPr>
                <w:rFonts w:ascii="Arial" w:cs="Arial" w:eastAsia="Arial" w:hAnsi="Arial"/>
                <w:sz w:val="17"/>
                <w:szCs w:val="17"/>
                <w:color w:val="0000FF"/>
                <w:w w:val="93"/>
              </w:rPr>
              <w:t>4,161.94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20" w:type="dxa"/>
            <w:vAlign w:val="bottom"/>
          </w:tcPr>
          <w:p>
            <w:pPr>
              <w:ind w:left="340"/>
              <w:spacing w:after="0"/>
              <w:rPr>
                <w:sz w:val="20"/>
                <w:szCs w:val="20"/>
                <w:color w:val="auto"/>
              </w:rPr>
            </w:pPr>
            <w:r>
              <w:rPr>
                <w:rFonts w:ascii="Arial" w:cs="Arial" w:eastAsia="Arial" w:hAnsi="Arial"/>
                <w:sz w:val="11"/>
                <w:szCs w:val="11"/>
                <w:color w:val="008000"/>
              </w:rPr>
              <w:t>(2)</w:t>
            </w:r>
          </w:p>
        </w:tc>
        <w:tc>
          <w:tcPr>
            <w:tcW w:w="1140" w:type="dxa"/>
            <w:vAlign w:val="bottom"/>
          </w:tcPr>
          <w:p>
            <w:pPr>
              <w:jc w:val="right"/>
              <w:ind w:right="196"/>
              <w:spacing w:after="0" w:line="138" w:lineRule="exact"/>
              <w:rPr>
                <w:sz w:val="20"/>
                <w:szCs w:val="20"/>
                <w:color w:val="auto"/>
              </w:rPr>
            </w:pPr>
            <w:r>
              <w:rPr>
                <w:rFonts w:ascii="Arial" w:cs="Arial" w:eastAsia="Arial" w:hAnsi="Arial"/>
                <w:sz w:val="13"/>
                <w:szCs w:val="13"/>
                <w:color w:val="0000FF"/>
              </w:rPr>
              <w:t>08/01/2023</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5"/>
          </w:tcPr>
          <w:p>
            <w:pPr>
              <w:ind w:left="20"/>
              <w:spacing w:after="0" w:line="138"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1"/>
                <w:szCs w:val="11"/>
                <w:color w:val="auto"/>
              </w:rPr>
            </w:pPr>
          </w:p>
        </w:tc>
        <w:tc>
          <w:tcPr>
            <w:tcW w:w="860" w:type="dxa"/>
            <w:vAlign w:val="bottom"/>
            <w:gridSpan w:val="2"/>
          </w:tcPr>
          <w:p>
            <w:pPr>
              <w:ind w:left="340"/>
              <w:spacing w:after="0" w:line="138" w:lineRule="exact"/>
              <w:rPr>
                <w:sz w:val="20"/>
                <w:szCs w:val="20"/>
                <w:color w:val="auto"/>
              </w:rPr>
            </w:pPr>
            <w:r>
              <w:rPr>
                <w:rFonts w:ascii="Arial" w:cs="Arial" w:eastAsia="Arial" w:hAnsi="Arial"/>
                <w:sz w:val="13"/>
                <w:szCs w:val="13"/>
                <w:color w:val="0000FF"/>
                <w:w w:val="98"/>
              </w:rPr>
              <w:t>4,161.94</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00" w:type="dxa"/>
            <w:vAlign w:val="bottom"/>
          </w:tcPr>
          <w:p>
            <w:pPr>
              <w:ind w:left="280"/>
              <w:spacing w:after="0"/>
              <w:rPr>
                <w:sz w:val="20"/>
                <w:szCs w:val="20"/>
                <w:color w:val="auto"/>
              </w:rPr>
            </w:pPr>
            <w:r>
              <w:rPr>
                <w:rFonts w:ascii="Arial" w:cs="Arial" w:eastAsia="Arial" w:hAnsi="Arial"/>
                <w:sz w:val="11"/>
                <w:szCs w:val="11"/>
                <w:color w:val="008000"/>
              </w:rPr>
              <w:t>(3)</w:t>
            </w:r>
          </w:p>
        </w:tc>
        <w:tc>
          <w:tcPr>
            <w:tcW w:w="6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gridSpan w:val="4"/>
          </w:tcPr>
          <w:p>
            <w:pPr>
              <w:ind w:left="140"/>
              <w:spacing w:after="0" w:line="138" w:lineRule="exact"/>
              <w:rPr>
                <w:sz w:val="20"/>
                <w:szCs w:val="20"/>
                <w:color w:val="auto"/>
              </w:rPr>
            </w:pPr>
            <w:r>
              <w:rPr>
                <w:rFonts w:ascii="Arial" w:cs="Arial" w:eastAsia="Arial" w:hAnsi="Arial"/>
                <w:sz w:val="13"/>
                <w:szCs w:val="13"/>
                <w:color w:val="0000FF"/>
              </w:rPr>
              <w:t>8,323.879</w:t>
            </w:r>
          </w:p>
        </w:tc>
        <w:tc>
          <w:tcPr>
            <w:tcW w:w="560" w:type="dxa"/>
            <w:vAlign w:val="bottom"/>
          </w:tcPr>
          <w:p>
            <w:pPr>
              <w:ind w:left="380"/>
              <w:spacing w:after="0" w:line="138"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40"/>
              <w:spacing w:after="0" w:line="128" w:lineRule="exact"/>
              <w:rPr>
                <w:sz w:val="20"/>
                <w:szCs w:val="20"/>
                <w:color w:val="auto"/>
              </w:rPr>
            </w:pPr>
            <w:r>
              <w:rPr>
                <w:rFonts w:ascii="Arial" w:cs="Arial" w:eastAsia="Arial" w:hAnsi="Arial"/>
                <w:sz w:val="13"/>
                <w:szCs w:val="13"/>
                <w:color w:val="0000FF"/>
              </w:rPr>
              <w:t>Stock</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-6321425</wp:posOffset>
            </wp:positionV>
            <wp:extent cx="7046595" cy="6334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63347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 share of common stock acquired through a standard issuer contribution to The Toro Company Retirement Plan (the "Plan") and 0.003 shares acquired under the dividend reinvestment feature of the Plan by the reporting person since the date of her last report.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TTC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restricted stock units and related dividend equivalents vest and become non-forfeitable in three equal annual installments commencing on August 1, 2023, which is the first anniversary of the date of grant.</w:t>
      </w:r>
    </w:p>
    <w:p>
      <w:pPr>
        <w:ind w:left="6600"/>
        <w:spacing w:after="0" w:line="196" w:lineRule="auto"/>
        <w:rPr>
          <w:sz w:val="20"/>
          <w:szCs w:val="20"/>
          <w:color w:val="auto"/>
        </w:rPr>
      </w:pPr>
      <w:r>
        <w:rPr>
          <w:rFonts w:ascii="Arial" w:cs="Arial" w:eastAsia="Arial" w:hAnsi="Arial"/>
          <w:sz w:val="17"/>
          <w:szCs w:val="17"/>
          <w:color w:val="0000FF"/>
        </w:rPr>
        <w:t xml:space="preserve">/s/ Joanna M. Totsky, Attorney- </w:t>
      </w:r>
      <w:r>
        <w:rPr>
          <w:rFonts w:ascii="Arial" w:cs="Arial" w:eastAsia="Arial" w:hAnsi="Arial"/>
          <w:sz w:val="33"/>
          <w:szCs w:val="33"/>
          <w:color w:val="0000FF"/>
          <w:vertAlign w:val="subscript"/>
        </w:rPr>
        <w:t>08/02/2023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0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299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43" w:lineRule="exact"/>
        <w:rPr>
          <w:sz w:val="20"/>
          <w:szCs w:val="20"/>
          <w:color w:val="auto"/>
        </w:rPr>
      </w:pPr>
    </w:p>
    <w:p>
      <w:pPr>
        <w:ind w:right="3179" w:firstLine="3"/>
        <w:spacing w:after="0" w:line="252" w:lineRule="auto"/>
        <w:tabs>
          <w:tab w:leader="none" w:pos="8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42"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16" w:lineRule="exact"/>
        <w:rPr>
          <w:sz w:val="20"/>
          <w:szCs w:val="20"/>
          <w:color w:val="auto"/>
        </w:rPr>
      </w:pPr>
    </w:p>
    <w:p>
      <w:pPr>
        <w:ind w:right="3579"/>
        <w:spacing w:after="0" w:line="249"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146" w:lineRule="exact"/>
        <w:rPr>
          <w:sz w:val="20"/>
          <w:szCs w:val="20"/>
          <w:color w:val="auto"/>
        </w:rPr>
      </w:pPr>
    </w:p>
    <w:p>
      <w:pPr>
        <w:ind w:right="3179" w:firstLine="3"/>
        <w:spacing w:after="0" w:line="252" w:lineRule="auto"/>
        <w:tabs>
          <w:tab w:leader="none" w:pos="8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42" w:lineRule="exact"/>
        <w:rPr>
          <w:rFonts w:ascii="Courier New" w:cs="Courier New" w:eastAsia="Courier New" w:hAnsi="Courier New"/>
          <w:sz w:val="17"/>
          <w:szCs w:val="17"/>
          <w:color w:val="auto"/>
        </w:rPr>
      </w:pPr>
    </w:p>
    <w:p>
      <w:pPr>
        <w:ind w:right="3179" w:firstLine="3"/>
        <w:spacing w:after="0" w:line="246" w:lineRule="auto"/>
        <w:tabs>
          <w:tab w:leader="none" w:pos="8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16"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6"/>
          <w:szCs w:val="16"/>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16" w:lineRule="exact"/>
        <w:rPr>
          <w:sz w:val="20"/>
          <w:szCs w:val="20"/>
          <w:color w:val="auto"/>
        </w:rPr>
      </w:pPr>
    </w:p>
    <w:p>
      <w:pPr>
        <w:ind w:right="3179"/>
        <w:spacing w:after="0" w:line="270" w:lineRule="auto"/>
        <w:rPr>
          <w:sz w:val="20"/>
          <w:szCs w:val="20"/>
          <w:color w:val="auto"/>
        </w:rPr>
      </w:pPr>
      <w:r>
        <w:rPr>
          <w:rFonts w:ascii="Courier New" w:cs="Courier New" w:eastAsia="Courier New" w:hAnsi="Courier New"/>
          <w:sz w:val="16"/>
          <w:szCs w:val="16"/>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289" w:right="1440" w:bottom="1440" w:gutter="0" w:footer="0" w:header="0"/>
        </w:sect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Margeaux M. King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Margeaux M. King</w:t>
      </w:r>
    </w:p>
    <w:p>
      <w:pPr>
        <w:spacing w:after="0" w:line="176" w:lineRule="exact"/>
        <w:rPr>
          <w:sz w:val="20"/>
          <w:szCs w:val="20"/>
          <w:color w:val="auto"/>
        </w:rPr>
      </w:pPr>
    </w:p>
    <w:p>
      <w:pPr>
        <w:sectPr>
          <w:pgSz w:w="11900" w:h="16838" w:orient="portrait"/>
          <w:cols w:equalWidth="0" w:num="2">
            <w:col w:w="880" w:space="720"/>
            <w:col w:w="8399"/>
          </w:cols>
          <w:pgMar w:left="460" w:top="28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08/01/2023</w:t>
      </w:r>
    </w:p>
    <w:sectPr>
      <w:pgSz w:w="11900" w:h="16838" w:orient="portrait"/>
      <w:cols w:equalWidth="0" w:num="2">
        <w:col w:w="600" w:space="200"/>
        <w:col w:w="9199"/>
      </w:cols>
      <w:pgMar w:left="460" w:top="28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940649" TargetMode="External"/><Relationship Id="rId9"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2023-08-02T14:24:58Z</dcterms:created>
  <dcterms:modified xsi:type="dcterms:W3CDTF">2023-08-02T14:24:58Z</dcterms:modified>
</cp:coreProperties>
</file>