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ind w:left="4120" w:right="2520" w:hanging="1614"/>
        <w:spacing w:after="0" w:line="294" w:lineRule="auto"/>
        <w:tabs>
          <w:tab w:leader="none" w:pos="28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Times New Roman" w:cs="Times New Roman" w:eastAsia="Times New Roman" w:hAnsi="Times New Roman"/>
          <w:sz w:val="1"/>
          <w:szCs w:val="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1-8649</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60"/>
          </w:cols>
          <w:pgMar w:left="320" w:top="826" w:right="319" w:bottom="1440" w:gutter="0" w:footer="0" w:header="0"/>
        </w:sectPr>
      </w:pPr>
    </w:p>
    <w:p>
      <w:pPr>
        <w:spacing w:after="0" w:line="1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41-0580470</w:t>
      </w:r>
    </w:p>
    <w:p>
      <w:pPr>
        <w:spacing w:after="0" w:line="39" w:lineRule="exact"/>
        <w:rPr>
          <w:sz w:val="24"/>
          <w:szCs w:val="24"/>
          <w:color w:val="auto"/>
        </w:rPr>
      </w:pPr>
    </w:p>
    <w:p>
      <w:pPr>
        <w:sectPr>
          <w:pgSz w:w="11900" w:h="16838" w:orient="portrait"/>
          <w:cols w:equalWidth="0" w:num="2">
            <w:col w:w="8660" w:space="720"/>
            <w:col w:w="1880"/>
          </w:cols>
          <w:pgMar w:left="320" w:top="826" w:right="3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 w:lineRule="exact"/>
        <w:rPr>
          <w:sz w:val="24"/>
          <w:szCs w:val="24"/>
          <w:color w:val="auto"/>
        </w:rPr>
      </w:pPr>
    </w:p>
    <w:p>
      <w:pPr>
        <w:sectPr>
          <w:pgSz w:w="11900" w:h="16838" w:orient="portrait"/>
          <w:cols w:equalWidth="0" w:num="2">
            <w:col w:w="8000" w:space="720"/>
            <w:col w:w="2540"/>
          </w:cols>
          <w:pgMar w:left="320" w:top="826"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color w:val="auto"/>
        </w:rPr>
        <w:t>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8111 Lyndale Avenue South</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Number: (952) 888-8801</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Large 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56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6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180" w:type="dxa"/>
            <w:vAlign w:val="bottom"/>
            <w:vMerge w:val="continue"/>
          </w:tcPr>
          <w:p>
            <w:pPr>
              <w:spacing w:after="0"/>
              <w:rPr>
                <w:sz w:val="21"/>
                <w:szCs w:val="21"/>
                <w:color w:val="auto"/>
              </w:rPr>
            </w:pPr>
          </w:p>
        </w:tc>
        <w:tc>
          <w:tcPr>
            <w:tcW w:w="2560" w:type="dxa"/>
            <w:vAlign w:val="bottom"/>
            <w:vMerge w:val="continue"/>
          </w:tcPr>
          <w:p>
            <w:pPr>
              <w:spacing w:after="0"/>
              <w:rPr>
                <w:sz w:val="21"/>
                <w:szCs w:val="21"/>
                <w:color w:val="auto"/>
              </w:rPr>
            </w:pP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the common stock on May 5, 2023, the last business day of the registrant's most recently completed second fiscal quarter, as reported by the New York Stock Exchange, was approximately $11.0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December 13, 2023 was 103,874,211.</w:t>
      </w:r>
    </w:p>
    <w:p>
      <w:pPr>
        <w:spacing w:after="0" w:line="11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registrant's definitive Proxy Statement for the 2024 Annual Meeting of Shareholders expected to be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19,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3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172"/>
        </w:trPr>
        <w:tc>
          <w:tcPr>
            <w:tcW w:w="20" w:type="dxa"/>
            <w:vAlign w:val="bottom"/>
          </w:tcPr>
          <w:p>
            <w:pPr>
              <w:spacing w:after="0"/>
              <w:rPr>
                <w:sz w:val="14"/>
                <w:szCs w:val="14"/>
                <w:color w:val="auto"/>
              </w:rPr>
            </w:pPr>
          </w:p>
        </w:tc>
        <w:tc>
          <w:tcPr>
            <w:tcW w:w="1160" w:type="dxa"/>
            <w:vAlign w:val="bottom"/>
            <w:gridSpan w:val="8"/>
          </w:tcPr>
          <w:p>
            <w:pPr>
              <w:spacing w:after="0" w:line="172" w:lineRule="exact"/>
              <w:rPr>
                <w:sz w:val="20"/>
                <w:szCs w:val="20"/>
                <w:color w:val="auto"/>
              </w:rPr>
            </w:pPr>
            <w:r>
              <w:rPr>
                <w:rFonts w:ascii="Times New Roman" w:cs="Times New Roman" w:eastAsia="Times New Roman" w:hAnsi="Times New Roman"/>
                <w:sz w:val="16"/>
                <w:szCs w:val="16"/>
                <w:color w:val="0000FF"/>
              </w:rPr>
              <w:t>GENERAL</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2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CAUTIONARY NOTE REGARDING FORWARD-LOOKING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Business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1B.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1C.</w:t>
            </w:r>
          </w:p>
        </w:tc>
        <w:tc>
          <w:tcPr>
            <w:tcW w:w="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7"/>
          </w:tcPr>
          <w:p>
            <w:pPr>
              <w:spacing w:after="0"/>
              <w:rPr>
                <w:sz w:val="17"/>
                <w:szCs w:val="17"/>
                <w:color w:val="auto"/>
              </w:rPr>
            </w:pPr>
          </w:p>
        </w:tc>
        <w:tc>
          <w:tcPr>
            <w:tcW w:w="6260" w:type="dxa"/>
            <w:vAlign w:val="bottom"/>
            <w:gridSpan w:val="2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2.</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PART II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716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The Toro Company Common Stock Comparative Performance Graph</w:t>
            </w:r>
          </w:p>
        </w:tc>
        <w:tc>
          <w:tcPr>
            <w:tcW w:w="8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[Reserved]</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2300" w:type="dxa"/>
            <w:vAlign w:val="bottom"/>
            <w:gridSpan w:val="4"/>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8"/>
              </w:rPr>
              <w:t>Results of Operations</w:t>
            </w:r>
          </w:p>
        </w:tc>
        <w:tc>
          <w:tcPr>
            <w:tcW w:w="6580" w:type="dxa"/>
            <w:vAlign w:val="bottom"/>
            <w:gridSpan w:val="2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Position</w:t>
            </w:r>
          </w:p>
        </w:tc>
        <w:tc>
          <w:tcPr>
            <w:tcW w:w="6700" w:type="dxa"/>
            <w:vAlign w:val="bottom"/>
            <w:gridSpan w:val="2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Non-GAAP Financial Measures</w:t>
            </w:r>
          </w:p>
        </w:tc>
        <w:tc>
          <w:tcPr>
            <w:tcW w:w="5900" w:type="dxa"/>
            <w:vAlign w:val="bottom"/>
            <w:gridSpan w:val="2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Critical Accounting Policies and Estimates</w:t>
            </w:r>
          </w:p>
        </w:tc>
        <w:tc>
          <w:tcPr>
            <w:tcW w:w="5200" w:type="dxa"/>
            <w:vAlign w:val="bottom"/>
            <w:gridSpan w:val="16"/>
          </w:tcPr>
          <w:p>
            <w:pPr>
              <w:spacing w:after="0"/>
              <w:rPr>
                <w:sz w:val="24"/>
                <w:szCs w:val="24"/>
                <w:color w:val="auto"/>
              </w:rPr>
            </w:pPr>
          </w:p>
        </w:tc>
        <w:tc>
          <w:tcPr>
            <w:tcW w:w="17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45</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460" w:type="dxa"/>
            <w:vAlign w:val="bottom"/>
            <w:gridSpan w:val="2"/>
          </w:tcPr>
          <w:p>
            <w:pPr>
              <w:spacing w:after="0"/>
              <w:rPr>
                <w:sz w:val="17"/>
                <w:szCs w:val="17"/>
                <w:color w:val="auto"/>
              </w:rPr>
            </w:pPr>
          </w:p>
        </w:tc>
        <w:tc>
          <w:tcPr>
            <w:tcW w:w="39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6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8.</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Management's Report on Internal Control over Financial Reporting</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620" w:type="dxa"/>
            <w:vAlign w:val="bottom"/>
            <w:gridSpan w:val="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Earnings</w:t>
            </w:r>
          </w:p>
        </w:tc>
        <w:tc>
          <w:tcPr>
            <w:tcW w:w="4180" w:type="dxa"/>
            <w:vAlign w:val="bottom"/>
            <w:gridSpan w:val="1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4600" w:type="dxa"/>
            <w:vAlign w:val="bottom"/>
            <w:gridSpan w:val="1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380" w:type="dxa"/>
            <w:vAlign w:val="bottom"/>
            <w:gridSpan w:val="18"/>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4800" w:type="dxa"/>
            <w:vAlign w:val="bottom"/>
            <w:gridSpan w:val="1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460" w:type="dxa"/>
            <w:vAlign w:val="bottom"/>
            <w:gridSpan w:val="2"/>
          </w:tcPr>
          <w:p>
            <w:pPr>
              <w:spacing w:after="0"/>
              <w:rPr>
                <w:sz w:val="17"/>
                <w:szCs w:val="17"/>
                <w:color w:val="auto"/>
              </w:rPr>
            </w:pP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2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9B.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9C.</w:t>
            </w: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36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PART III</w:t>
            </w:r>
          </w:p>
        </w:tc>
        <w:tc>
          <w:tcPr>
            <w:tcW w:w="56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11.</w:t>
            </w:r>
          </w:p>
        </w:tc>
        <w:tc>
          <w:tcPr>
            <w:tcW w:w="500" w:type="dxa"/>
            <w:vAlign w:val="bottom"/>
            <w:gridSpan w:val="4"/>
          </w:tcPr>
          <w:p>
            <w:pPr>
              <w:spacing w:after="0"/>
              <w:rPr>
                <w:sz w:val="17"/>
                <w:szCs w:val="17"/>
                <w:color w:val="auto"/>
              </w:rPr>
            </w:pPr>
          </w:p>
        </w:tc>
        <w:tc>
          <w:tcPr>
            <w:tcW w:w="16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2060" w:type="dxa"/>
            <w:vAlign w:val="bottom"/>
            <w:tcBorders>
              <w:top w:val="single" w:sz="8" w:color="0000FF"/>
            </w:tcBorders>
            <w:gridSpan w:val="12"/>
          </w:tcPr>
          <w:p>
            <w:pPr>
              <w:spacing w:after="0"/>
              <w:rPr>
                <w:sz w:val="17"/>
                <w:szCs w:val="17"/>
                <w:color w:val="auto"/>
              </w:rPr>
            </w:pPr>
          </w:p>
        </w:tc>
        <w:tc>
          <w:tcPr>
            <w:tcW w:w="4400" w:type="dxa"/>
            <w:vAlign w:val="bottom"/>
            <w:gridSpan w:val="1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12.</w:t>
            </w:r>
          </w:p>
        </w:tc>
        <w:tc>
          <w:tcPr>
            <w:tcW w:w="500" w:type="dxa"/>
            <w:vAlign w:val="bottom"/>
            <w:gridSpan w:val="4"/>
          </w:tcPr>
          <w:p>
            <w:pPr>
              <w:spacing w:after="0"/>
              <w:rPr>
                <w:sz w:val="17"/>
                <w:szCs w:val="17"/>
                <w:color w:val="auto"/>
              </w:rPr>
            </w:pPr>
          </w:p>
        </w:tc>
        <w:tc>
          <w:tcPr>
            <w:tcW w:w="658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52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13.</w:t>
            </w:r>
          </w:p>
        </w:tc>
        <w:tc>
          <w:tcPr>
            <w:tcW w:w="500" w:type="dxa"/>
            <w:vAlign w:val="bottom"/>
            <w:gridSpan w:val="4"/>
          </w:tcPr>
          <w:p>
            <w:pPr>
              <w:spacing w:after="0"/>
              <w:rPr>
                <w:sz w:val="17"/>
                <w:szCs w:val="17"/>
                <w:color w:val="auto"/>
              </w:rPr>
            </w:pPr>
          </w:p>
        </w:tc>
        <w:tc>
          <w:tcPr>
            <w:tcW w:w="4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180" w:type="dxa"/>
            <w:vAlign w:val="bottom"/>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99</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PART IV</w:t>
            </w:r>
          </w:p>
        </w:tc>
        <w:tc>
          <w:tcPr>
            <w:tcW w:w="500" w:type="dxa"/>
            <w:vAlign w:val="bottom"/>
            <w:gridSpan w:val="4"/>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15.</w:t>
            </w:r>
          </w:p>
        </w:tc>
        <w:tc>
          <w:tcPr>
            <w:tcW w:w="500" w:type="dxa"/>
            <w:vAlign w:val="bottom"/>
            <w:gridSpan w:val="4"/>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Exhibit and Financial Statement Schedules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0000FF"/>
            </w:tcBorders>
            <w:gridSpan w:val="9"/>
            <w:shd w:val="clear" w:color="auto" w:fill="0000FF"/>
          </w:tcPr>
          <w:p>
            <w:pPr>
              <w:spacing w:after="0" w:line="20" w:lineRule="exact"/>
              <w:rPr>
                <w:sz w:val="1"/>
                <w:szCs w:val="1"/>
                <w:color w:val="auto"/>
              </w:rPr>
            </w:pPr>
          </w:p>
        </w:tc>
        <w:tc>
          <w:tcPr>
            <w:tcW w:w="1380" w:type="dxa"/>
            <w:vAlign w:val="bottom"/>
            <w:tcBorders>
              <w:left w:val="single" w:sz="8" w:color="0000FF"/>
            </w:tcBorders>
            <w:gridSpan w:val="10"/>
            <w:shd w:val="clear" w:color="auto" w:fill="0000FF"/>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16.</w:t>
            </w:r>
          </w:p>
        </w:tc>
        <w:tc>
          <w:tcPr>
            <w:tcW w:w="500" w:type="dxa"/>
            <w:vAlign w:val="bottom"/>
            <w:gridSpan w:val="4"/>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320" w:type="dxa"/>
            <w:vAlign w:val="bottom"/>
            <w:gridSpan w:val="17"/>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“TTC,” the “Company,” “we,” “us,” and “our,” refer to The Toro Company and its consolidated subsidiaries. References to fiscal years, such as "fiscal 2023," are to the fiscal year ending on October 31 of the specified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“Toro” and other marks as trademarks in the United States and/or in other countries. This Annual Report on Form 10-K contains references to our registered or common law trade names, trademarks or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unless otherwise stated.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"looking ahead," "outlook," "guidance,"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Our forward-looking statements generally relate to our future performance and may include, among others, statements relating to:</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results, liquidity requirements, and financial condition;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impacts of current global supply chain disruptions, the inflationary environment, the war between Ukraine and Russia, the war between Israel and Hamas, and the related sanctions and geopolitical tensions, tight labor markets, and other macroeconomic factors;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priorities, goals, and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any impairment, restructuring, or other charges in connection therewith or resulting therefrom;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productivity initiatives and anticipated sales growth, profitability, cost savings, and other benefits associated therewith;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rules, policies, regulations, tax reform, new accounting pronouncements, and outstanding litigation on our business and future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purpose is to help our customers enrich the beauty, productivity, and sustainability of the land. Our products are marketed and sold worldwide through a network of distributors, dealers, mass retailers, hardware retailers, equipment rental centers, and home centers, as well as online and direct to end-users under the primary trademarks of Toro®, Ditch Witch®, eXmark®, Spartan®, BOSS®, Ventrac®, American Augers®, Trencor®, Pope®,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complement our brands, enhance our product portfolios, and improve our technologies through innovation and strategic acquisitions over the more than 100 years we have been in business. We plan to continue to leverage a strategic and disciplined approach to pursue targeted acquisitions that add value to TTC by complementing our existing brands, enhancing our product portfolio, and/or improving our technologies.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 These Other activities consist of earnings (loss) from a wholly-owned domestic distribution company, certain corporate activities, and the elimination of intersegment revenues and expenses. Net sales of our reportable segments and Other activities accounted for the following percentages of our consolidated net sales for fiscal 2023: Professional, 80.7 percent; Residential, 18.8 percent; and Other, 0.5 percent.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environmental, social, and governance priorities, are embedded as part of our commitment to advancing our sustainability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Intimidator Group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13, 2022, during the first quarter of fiscal 2022, we acquired the privately held Intimidator Group ("Intimidator"). For information regarding the acquisition of Intimidator, refer to Note 2, </w:t>
      </w:r>
      <w:r>
        <w:rPr>
          <w:rFonts w:ascii="Times New Roman" w:cs="Times New Roman" w:eastAsia="Times New Roman" w:hAnsi="Times New Roman"/>
          <w:sz w:val="18"/>
          <w:szCs w:val="18"/>
          <w:i w:val="1"/>
          <w:iCs w:val="1"/>
          <w:color w:val="auto"/>
        </w:rPr>
        <w:t>Business Combinations and Asset Acquisitions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by Market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be a leader in adapting advanced technologies to products and services that provide innovative solutions for turf maintenance; landscape and lighting; rental, specialty, and underground construction; snow and ice management; agricultural; and residential demands. The following is a summary of our products, by market, for our Professional segment and our products for our Residential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professional turf maintenance;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to professional and other users, including homeowners,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Golf Market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and Ventrac brands that are intended to provide innovative solutions for golf course turf maintenance. Equipment products for the golf market include large reel and rotary riding mowers for fairway, rough, and trim cutting; riding and walking mowers for greens and specialty areas; greens rollers; all-wheel drive articulating tractors; turf sprayer equipment; utility vehicles; aeration equipment; bunker maintenance equipment, and other specialty turf equipment. We also market and sell irrigation products for the golf market under the Toro brand that are designed to provide innovative water application solutions for golf course turf maintenance. These irrigation products predominantly consist of sprinkler heads, controllers, turf sensors, valves and operating software. These equipment and irrigation products are primarily sold to distributors and dealers, who then sell to owners, managers and/or superintendents of golf courses.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Fields and Grounds Market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debris management products, which include versatile debris vacuums, blowers, and sweepers.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valves and operating software. These products are primarily sold to distributors and dealers, who then sell to owners and/or managers of sports fields, governmental properties, and residential and commercial landscapes, as well as directly to government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Landscape Contractor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eXmark, Spartan and Ventrac brands that are intended to provide innovative turf management solutions to landscape contractors. Equipment products for the landscape contractor market include zero-turn radius riding mowers, heavy-duty walk behind mowers, mid-size walk behind mowers, stand-on mowers, and all-wheel drive articulating tractors, as well as turf application, turf renovation, and tree care equipment. These equipment products are primarily sold to distributors and dealers, who then sell to landscape contractors engaged in turf maintenance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Underground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a range of professional grade products to serve the underground construction market under the Ditch Witch, American Augers, Trencor, HammerHead, Subsite, and Radius brands,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and other utility distribution systems.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Rental and Specialty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material handlers, compaction equipment,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and Ice Management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salt and brine ice control products; accessories for light and medium duty trucks, all-terrain vehicles, utility task vehicles,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Irrigation and Lighting Market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designed to provide innovative water application solutions for both commercial and residential landscapes. Both the Toro and Irritrol brands have received several U.S. Environmental Protection Agency ("EPA") WaterSense awards, as well as the EPA WaterSense certification for numerous irrigation controller families and models. In fiscal 2023, TTC was recognized for the ninth consecutive year with the WaterSense Excellence Award for our dedication to offering products that are designed to help our customers save water, in addition to other factors, as well as for our excellence in outreach, education, training and public relations. In addition to our irrigation products, we market and sell Unique Lighting Systems-branded products primarily consisting of a line of lighting fixtures and transformers designed for 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Ag-Irrigation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 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sell our Residential segment products to homeowners through a variety of distribution channels, including outdoor power equipment distributors and dealers, mass retailers, hardware retailers, and home centers, as well as online and direct to end-users. We also license our trademark on certain home solutions products as a means of expanding our brand presence. The following sections describe our Residential segment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Walk Power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Zero-Turn Riding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Thrower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Home Solutions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home solutions equipment products are designed, manufactured, marketed, and sold under the Toro and Pope brand names.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Toro-branded home solution equipment products consist of a variety of yard tools that generally include battery, electric, and/or gas-powered options and primarily consist of grass trimmers, hedge trimmers, blower-vacuums, chainsaws, edgers, cultivators, string mowers, and related parts and accessories that are designed to provide innovative yard maintenance solutions to homeowners.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Pope-branded home solution products consist of garden watering and irrigation products that primarily include hoses; reels, carts and hangers; sprinklers; hand sprays and wands; hose end fittings; tap timers; and various irrigation tools designed to develop and maintain gardens. These products are primarily sold to our customers in Australia and New Zealand.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currently manufacture our products in the U.S., Mexico, the United Kingdom, Italy, Romania, Germany, Poland, Australia, and China for sale throughout the world. We maintain sales offices in the U.S., the United Kingdom, Australia, Japan, China, Italy, Poland, Germany, Spain, France and Belgium. New product development is pursued primarily in the U.S. with the intention of global distribution. Our net sales outside the U.S. were 20.8 percent, 19.5 percent, and 20.9 percent of total consolidated net sales for fiscal 2023, 2022, and 2021, respectively. For additional financial information regarding our international operations and geographical areas,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Research and Innovation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longstanding commitment to innovation and quality in our products has been a key driver of our market success. We are committed to the development of innovative new products and improvements in the quality and performance of existing products. When applicable, we also may pursue targeted and strategic acquisitions to acquire innovative technologies that we believe bolster our longstanding commitment to innovation in our products and complement and support the development of alternative power, smart-connected, and autonomous products within our Professional and Residential segments.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agreements with third-party manufacturers to produce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 final production. DFM/A principles are used throughout the product development process to optimize product quality and reduce cost.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Professional segment products and Residential segment lawn and garden products are generally manufactured 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the related demand for such products and certain impacts from global supply chain disruptions. Our production levels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management goals are based on estimates of wholesale and retail demand for our products, taking into account production capacity; commodity, component part,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shut down production at our manufacturing facilities in order to allow for maintenance, rearrangement, capital equipment installation, seasonality, and as needed, to adjust for market demand, facility renovation projects, and other factors. Production shut downs of this nature are generally not materially disruptive to our business and are considered to be normal.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Components, Parts, and Accessories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Our 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changing prices, foreign currency fluctuations, tariffs, duties, trade regulatory actions, industry actions,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utilized in our products are generally commercially available from a number of sources. Although we regularly monitor the adequacy of the supply of our commodities, components, parts, and accessories, and the financial health of the companies in our supply chain, and use alternative suppliers when necessary and available, financial hardship, insufficient demand planning, and/or the inability of companies throughout our supply chain to deliver on supply commitments, requirements, and/or demands has caused disruptions in our ability to procure the commodities, components, and parts required to manufacture our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and labor, and other expenses for non-maintenance repairs. We also sell separately priced extended warranty coverage on select products for a prescribed period after the original warranty period expires.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Service support outside of the warranty period is provided by authorized distributors and dealers at the customer's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Safety and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headings titled "Litigation" and "Litigation Settlement"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other operating results for a particular period.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shipment volumes generally precede and overlap the key selling seasons of our channel partners in order to better allow our channel partners to align field inventory levels with the anticipated retail demand from end-customers. As a result, our shipment volumes have historically been the highest in our fiscal second quarter, and retail demand for our products is generally highest in our fiscal third quarter. Typically, our accounts receivable balances increase between January and April as a result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Shipments of our Residential segment products tend to be more seasonal than our Professional segment products, with shipments of lawn and garden products occurring primarily between February and June, depending upon seasonal weather conditions and product demand.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Seasonality of Professional segment product sales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Weather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seasonal weather conditions in particular geographic regions or markets, specifically severe wet or dry conditions, as well as significant weather events such as fires, hurricanes, tornados, drought, rainfall, unseasonably warm winter months, or other weather events, including those exacerbated by global climate change, may adversely or positively affect sales, demand, and field inventory levels of some of our products. In addition, weather conditions in key regions can cause disruption in our seasonality trends and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 For example, persistent hot and dry weather patterns or excessive snowfall across key regions may impact the rate at which inventory needs to be replenished either negatively or positively.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Distribution, and Marketing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market and sell the majority of our products through more than 150 distributors worldwide, as well as a large number of equipment dealers, irrigation dealers and distributors, mass retailers, hardware retailers, equipment rental centers, and home centers, as well as online and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segment products are sold to distributors and dealers primarily for resale to golf courses, sports fields, contractors, government customers, and homeowners who prefer professional solutions,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in certain regions of North America. Snow and ice management products are primarily sold to distributors and dealers for resale to contractors.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segment products, such as walk power mowers, zero-turn riding mowers, and snow throwers, are generally sold to home centers, mass retailers, dealers, and hardware retailers, as well as online and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one wholly-owned domestic distribution company. Our primary purpose in owning a domestic distributorship is to improve operations and test and deploy new strategies and business practices that could be replicated by our independent distributors, as well as facilitating ownership transfers.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marketing strategy is to maintain distinct brands and brand identification for Toro, Ditch Witch, eXmark, Spartan, BOSS, Ventrac, American Augers, Trencor, Pope, Subsite, HammerHead, Radius, Perrot, Hayter, Unique Lighting Systems, Irritrol, and Lawn-Boy products. Across our brands, we market our Professional and Residential segment products during the appropriate seasons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a joint venture with Huntington Distribution Finance, Inc. ("HDF"), a subsidiary of The Huntington National Bank, established as Red Iron Acceptance, LLC ("Red Iron"), the primary purpose of which is to provide inventory financing to certain distributors and dealers of certain of our products in the U.S. For further information on this joint venture, refer to Note 7,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party to inventory financing arrangements with Red Iron, Huntington Commercial Finance Canada, Inc. ("HCFC"), and other third-party financial institutions (collectively, the "financial institutions") which provide inventory financing to certain dealers and distributors of certain of our products in the U.S. and internationally. For further information on these inventory financing arrangements,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Order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order backlog represents unfulfilled customer orders at a point in time. The dollar value of our order backlog is equal to the gross sales value that we expect to bill to the customer and is not reduced for expected variable consideration related to certain of our sales promotions and incentives programs. Order backlog is one of many indicators of business conditions within the markets and industries that we operate; however, our order backlog is considered more representative of business conditions than an indicator of our expectation of our future net sales because the dollar value of our order backlog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markets,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competitive factors in our markets are product innovation; quality and reliability; pricing and sales programs; product support and customer service; warranty; brand and reputation; channel relationships,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and home centers, as well as online and direct to end-users, users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markets in which our businesses operate, and our distribution channels position us well to compete in various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relatively low barriers to entry resulting in numerous other manufacturers selling products that compete directly with our products. Internationally, our Residential segment products face more competition than in the U.S.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Purpose, Vision, Mission and Guiding Principles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commitment to our human capital resources is key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Purpose: To help our customers enrich the beauty, productivity and sustainability of the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Vision: To be the most trusted leader in solutions for the outdoor environment. Every day. Everywhere.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To deliver superior innovation and to deliver superior customer care.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guiding principles, we believe our success is deeply rooted in caring relationships built on trust and integrity. We believe these relationships are the foundation of our market leadership in innovation and solutions that make outdoor environments beautiful, productive and sustainable. We are committed to fostering a meaningful and enriching culture and engaging employee experience. We believe bringing more diversity to our workforce and our commitment to employee wellness and environmental stewardship create a sense of community, allowing employees to take pride in their jobs and live the TTC values.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guided further by our global Code of Conduct, which provides a framework for our actions and is the foundation of our partnership with TTC stakeholders—customers, suppliers, shareholders, communities, employees and others. Our goal is to foster a culture of trust and respect for all stakeholders and create a productive, supportive and thriving work environment for all TTC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2023, we employed an average of 10,982 employees. The total number of employees as of October 31, 2023 was 10,706.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Unions and Collective Bargaining Agreements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2023, approximately 12.4 percent of our employees were represented by a union under a collective bargaining agreement. Our collective bargaining agreements typically are for terms of three to five years, and from time to time, our collective bargaining agreements expire and come up for renegotiation. Our four collective bargaining agreements expire in October 2025, March 2026, June 2026, and October 2026. We consider our employee relations to be good and currently do not expect any significant difficulties in renewing these agreements. We have not experienced any strikes or work stoppages in the past three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safety of our employees is paramount to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 practices are also regularly featured in our employee newsletters and town halls.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all employees with the opportunity to share their opinions and feedback on our culture through an engagement survey. Results of the survey are measured and analyzed to enhance the employee experience, promote employee retention, drive change and leverage the overall success of our organization.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strive to equip our teams and talent to deliver on the company's commitments to excellence by providing all employees a wide range of professional development opportunities, both formal and informal, at all stages in their careers. Our formal career development offerings include apprenticeships, job training, mentoring and coaching, leadership development, tuition reimbursement, a diverse curriculum of learning programs, leadership development experiences, vocational training and external partnerships across the globe. One of our unique leadership development programs is our Leadership in Motion program, a learning experience for nominated current and future TTC leaders to enhance leadership skills and collaborate with TTC colleagues in a cross-functional setting. The global program expands employee networks, provides visibility within the company, and builds capabilities needed for TTC’s future. In small groups, participants work on a challenge critical to the company, such as technological innovation, communications, diversifying the workforce and talent retention. Over three months, they learn as a team, use newly gained skills and ultimately present recommendations related to their challenge to our Enterprise Leadership Team. Insights, themes and recommendations from cohort teams have contributed to actions in many areas for the company.</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transitioned many of our professional development opportunities to virtual delivery options and expanded our offerings for on-demand learning to ensure that robust learning opportunities were still available to our employees who were not required to be physically present at our facilities and sites to perform their job responsibilities. One such example of a virtual development program is our Engaging Effectively program, which we offer to leaders who are required to manage differently in a remote and hybrid environment, yet still engage and achieve high performance standards with their teams.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and wellness of our employees are critical to our success. We provide our employees with access to a variety of innovative, flexible and convenient health and wellness programs, which include but are not limited to, 24/7 call-in service access to a licensed physician, on-site nurses at some of our manufacturing sites to monitor employee health, safety, and wellness on a daily basis, various mobile apps that provide physical and mental well-being support. Such programs are designed to support employees’ physical and mental health by providing tools and resources to help them improve or maintain their health status and encourage engagement in healthy behaviors.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our best performance comes when our teams are diverse, and accordingly, diversity, equity and inclusion ("DEI") is core to us. We believe diversity can take the form of visible and known aspects like race, gender, age, and tenure, to less visible or known aspects like country of origin, gender identity, spirituality and more.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promote DEI in the workplace, our DEI committee is focused on its strategic pillars of nurturing an inclusive workspace, attracting and maintaining a diverse workforce, and impacting the communities and markets in which our employees live and work. Initiatives developed by our DEI committee include, but are not limited to, events to celebrate heritage and awareness months, a new grant program for advancing equitable communities and the inception of an employee resource group to support women in the workforce.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compensation market benchmarking on a regular basis to ensure our pay remains competitive to attract and retain superior talent. In addition to annual base salaries, our total rewards, which vary by country/region, can include annual incentive opportunities, stock-based compensation awards, a 401(k) plan with employee matching opportunities, discretionary profit-sharing contribution to employee retirement plan accounts, healthcare and insurance benefits, health savings and flexible spending accounts, paid time off, family leave, family care resources, flexible work schedules, adoption and surrogacy assistance, employee assistance programs, tuition assistance and on-site services, such as health centers and fitness centers, among many others.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Giving and Community Involvement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heart of TTC is our commitment to people, and we believe that a satisfying life comes from contributing to, and engaging with, the communities where we live and work. Community support is core to our culture and our efforts reflect a dedication to action and engagement that enriches the lives, communities, industries and land that we serve. Our community efforts center on four areas: Employees, Community, Industry and Land. Water. Thrive. Through employee volunteerism and donations, corporate giving, and in-kind product donations, we enhance and beautify outdoor spaces while also supporting the shared value of our partner communities and organization.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around the world volunteer with local charitable and civic organizations to complete beautification, preservation, water conservation, community health, and housing and youth enrichment projects, including supporting the beautification and preservation of outdoor environments, water conservation, community health, housing and youth enrichment. To help our employees make a meaningful impact on organizations that are important to them and us, we provide eligible employees in the U.S. up to 20 hours paid time off to volunteer.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Land. Water. Thrive. effort, we provide immersion experiences for our employees to work with smallholder farmers in developing countries to improve land productivity and agricultural water practices while also strengthening our employees’ empathy and customer-focused approach to problem solving.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respecting human rights in all respects of our global operations under the Toro Company Human Rights Policy. We believe that we have a responsibility to ensure that human rights are understood and observed in every location in which we operate. We strive to foster safe, inclusive and respectful workplaces wherever we do business, including prohibiting all forms of child labor and forced labor including indentured labor, bonded labor, military labor, slave labor and any form of human trafficking. We expect our business partners to comply with local labor and employment laws wherever they operate. We encourage each other to seek guidance on our Code of Conduct or other issues without fear of retaliation of any kind. Employees may anonymously report concerns, misconduct or suspected violation of the Code through our confidential web based reporting tool or over the telephone through our Ethics helpline.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 information is included in our Fiscal 2022 Sustainability Report, which is available on our website under the "Sustainability" section of our website located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Information contained or referenced on our website, including in our Sustainability Report, is not incorporated by reference and does not form a part of this Annual Report on 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Other Governmental Regulation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recycling and waste disposal;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79" w:lineRule="exact"/>
        <w:rPr>
          <w:sz w:val="20"/>
          <w:szCs w:val="20"/>
          <w:color w:val="auto"/>
        </w:rPr>
      </w:pPr>
    </w:p>
    <w:p>
      <w:pPr>
        <w:jc w:val="both"/>
        <w:ind w:left="340" w:hanging="332"/>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EPA, the California Air Resources Board ("CARB"), and similar regulators in other U.S. states and international jurisdictions in which we sell our products have phased in, or are phasing in, emission regulations setting maximum emission standards for certain equipment. Specifically, these agencies from time to time adopt increasingly stringent engine emission regulations. Following the U.S. EPA implementation of Tier 4 emission requirements applicable to diesel engines several years ago, China, the European Union ("EU") and its member states, and the United Kingdom also have adopted similar regulations, and similar emission regulations are also being considered in other global markets, including Australia, in which we sell our products. CARB's two phase implementation of net-zero emissions requirements for small off-road engines, like those contained in many lawn and garden equipment, will begin for all products with model year 2024 and onward.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proposed rules that would require registrants to include certain climate-related disclosures in their registration statements and periodic reports, including greenhouse gas emission data and climate-related financial statement metrics. The state of California has recently passed two bills that will require certain companies doing businesses in the state to disclose greenhouse gas emissions and climate-related financial risk information. The European Union Corporate Sustainability Reporting Directive applies to both EU and non-EU in-scope entities and would require them to disclose various metrics relating to climate change, biodiversity, workforce, supply chain, and business ethics.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government, several U.S. states, and certain international jurisdictions in which we sell our products, including the EU and each of its member states, have implemented one or more of the following: product life-cycle laws, rules, or regulations, which are intended to reduce waste and environmental and human health impact, and require manufacturers to label, collect, dispose, and recycle certain products, including some of our products, at the end of their useful life, including, but not limited to (i)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 rules, or regulations that require notification of use of certain chemicals, or ban or restrict the use of certain chemicals; (iv) the Battery Directive,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(vi) energy efficiency laws, rules, or regulations, which are intended to reduce the use and inefficiencies associated with energy and natural resource consumption and require specified efficiency ratings and capabilities for certain products; (vii) outdoor noise laws, which are intended to reduce noise emissions in the environment from outdoor equipment; (viii) conflict minerals laws, such as the Dodd-Frank Wall Street Reform and Consumer Protection Act and the rules promulgated by the SEC, which require specific procedures for the determination and disclosure of the use of certain minerals, known as "conflict minerals," which are mined from the Democratic Republic of the Congo and adjoining countries; (ix) other product substance restriction laws, some of which require certain labeling of products, such as California Proposition 65; (x) electromagnetic compatibility laws and regulations, such as the EU Electromagnetic Compatibility directive, and similar laws and regulations in other markets; (xi) wireless product type approvals and licenses in global markets and the EU Radio Equipment Directive and similar laws and regulations related to wireless and radio usage; and (xii) supply chain transparency laws and regulations addressing modern slavery and human trafficking.</w:t>
      </w:r>
    </w:p>
    <w:p>
      <w:pPr>
        <w:spacing w:after="0" w:line="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various federal, state, and international laws, rules, and regulations that are designed to protect users, including rules and regulations of the U.S. Consumer Product Safety Commission.</w:t>
      </w: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global competitive position. With respect to acquired properties and businesses, we conduct due diligence regarding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exposure to environmental liabilities and overall regulatory compliance but cannot be certain that we have identified or will identify all adverse environmental conditions or non-compliance with applicable laws, rules and regulations. 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Available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Toro Company was incorporated in Minnesota in 1935 as a successor to a business founded in 1914 and reincorporated in Delaware in 1983. Our executive offices are located at 8111 Lyndale Avenue South, Bloomington, Minnesota, 55420-1196, and our telephone number is (952) 888-8801.</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We make available, free of charge on our website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report, on our website. The information contained on our website or connected to our website is not incorporated by reference into, and should not be considered part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material risk factors known to us that could materially adversely affect our business, reputation, operating results, industry, financial position, or future financial or operational performance. The risks described below are not the only risks we face. Additional risks not presently known to us or that we currently deem immaterial may also impair our business, reputation, operating results, industry, financial position, or future financial or operational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not complete and should be read in conjunction with the more detailed risk factors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Operational Risks</w:t>
      </w:r>
    </w:p>
    <w:p>
      <w:pPr>
        <w:spacing w:after="0" w:line="121" w:lineRule="exact"/>
        <w:rPr>
          <w:sz w:val="20"/>
          <w:szCs w:val="20"/>
          <w:color w:val="auto"/>
        </w:rPr>
      </w:pPr>
    </w:p>
    <w:p>
      <w:pPr>
        <w:ind w:left="340" w:hanging="332"/>
        <w:spacing w:after="0" w:line="26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earnings have been and will likely continue to be adversely affected by economic conditions and outlook in the locations in which we conduct business.</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enhance existing products and develop and market new products, demand for our products may decrease adversely impacting our net sales and earnings.</w:t>
      </w: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and/or shortages in commodities, components, parts, or accessories has adversely affected and could continue to adversely affect our business.</w:t>
      </w: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on several factors, including golf, infrastructure and construction activity.</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on several factors, including product placement, consumer confidence and spending levels and changing customer buying patterns.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have adversely impacted and could continue to adversely impact our operating results.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which could harm our business and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commodities, components, parts, and accessories have adversely affected and could continue to adversely affect our profit margins.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facilities and those of our suppliers and other third parties.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a strong, effective labor force.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other operating results are dependent upon us and our channel customers maintaining appropriate inventory levels.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channel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terms of credit offered to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effective information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involve risk.</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disruptions to our operations from time to time as result of facility changes and renovations.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121"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pursue acquisitions and alliances, strong customer relations, and new joint ventures, investments, and partnerships and our recent activities in this regard involve risk and may prove to be unsuccessful.</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regarding our ESG practices could impact our reputation.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impairment, restructuring, and other charges from time to time which harm our operating results.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may harm our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cost of our credit arrangements and any downgrade in our credit ratings could adversely affect our access to and increase the cost of such arrangements.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and policies and/or assumptions underlying estimates could harm our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21" w:lineRule="exact"/>
        <w:rPr>
          <w:sz w:val="20"/>
          <w:szCs w:val="20"/>
          <w:color w:val="auto"/>
        </w:rPr>
      </w:pPr>
    </w:p>
    <w:p>
      <w:pPr>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trademarks, and contractual provisions may be insufficient to protect our proprietary rights or we may infringe the proprietary rights of others.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which is subject to extensive regulation, involves legal and regulatory risks.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quality issues, product liability claims, and other litigation from time to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financial projections or other business and productivity initiatives, which could have an adverse effect on our business, operating results, and financial condition.</w:t>
      </w:r>
    </w:p>
    <w:p>
      <w:pPr>
        <w:ind w:left="340" w:hanging="332"/>
        <w:spacing w:after="0" w:line="26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executive and other talent or successfully implement key employee transitions, we may be unable to meet strategic objectives and our business could suffer.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 earnings have been and could continue to be adversely affected by economic conditions and outlook in the locations in which we conduct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economic conditions and outlook in the U.S. and in other countries in which we conduct business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government shutdowns;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enhance existing products and develop and market new products, demand for our products may decrease.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our strategies is to develop innovative, customer-valued and high-quality products to generate revenue and earnings growth. In the past, our sales from new products, which we define as those introduced in the current and previous two fiscal years, have represented a significant portion of our net sales and are expected to continue to represent a significant portion of our future net sales. We may not be able to compete as effectively and ultimately satisfy the needs and preferences of our customers, unless we can continue to enhance existing products and develop new and innovative products, including by incorporating new, emerging, and/or disruptive technologies that may become preferred by our customers. For example, we have the transition risk of developing and marketing electric and alternative fuel products to meet market demands for less greenhouse gas intensive products.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and/or shortages in the availability of commodities, components, parts, or accessories has, and could continue to, adversely affect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supply chain disruptions, natural disasters, antidumping and countervailing duty petitions regarding certain engines imported into the U.S. from China, and other tariffs have, to various and differing degrees, impacted the availability of commodities, components, parts, and accessories used in our products. In addition, while most of our commodities, components, parts, or accessories are generally commercially available from a number of sources, certain items are sourced 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This occurred at times during the past couple of years. Any continued or new disruption or shortages in the availability of commodities, components, parts, or accessories, including as a result of labor staffing, workforce shortage, or other challenges that our suppliers may experience as a result of financial hardship,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Weather conditions in particular geographic regions have adversely impacted, and will likely in the future, adversely affect the sales, demand, and field inventory levels and seasonality trends of some of our products. Weather conditions also have disrupted our own manufacturing and distribution facilities and our supply chain, which has impacted our ability to manufacture product to fulfill customer demand, and such disruptions may occur in the future. For example, drought or unusually wet conditions have had, and may continue to have, an adverse effect on sales of certain Residential and Professional mowing equipment products. Unusually rainy weather or severe drought conditions that result in watering bans, or otherwise, have had, and may continue to have, an adverse effect on sales of our irrigation products, and lower snowfall accumulations in key markets have had, and may continue to have,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facilities and other operations and those of our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are 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our operational results. Additionally, increased frequency and intensity of weather events due to climate change could lead to lost sales as customers prioritize basic needs.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Professional segment includes a variety of products that depend on certain and varied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Professional segment includes a variety of products that are sold by distributors or dealers, or directly to government customers, rental companies, construction companies, professional and other users, including homeowners, engaged in maintaining and creating properties and landscapes, such as golf courses, sports fields, residential and commercial properties and landscapes, and governmental and municipal properties. Any one or a combination of the following factors, among others, have in the past resulted and could in the future result in a decrease in spending and demand for our products, resulting in an adverse effect on our Professional segment net sales and earnings:</w:t>
      </w:r>
    </w:p>
    <w:p>
      <w:pPr>
        <w:spacing w:after="0" w:line="75" w:lineRule="exact"/>
        <w:rPr>
          <w:sz w:val="20"/>
          <w:szCs w:val="20"/>
          <w:color w:val="auto"/>
        </w:rPr>
      </w:pPr>
    </w:p>
    <w:p>
      <w:pPr>
        <w:ind w:left="340" w:right="2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for golf courses resulting from a reduction in the level of interest in the game of golf and/or a decrease in rounds played, memberships, and/or food and beverage sales, as applicable;</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investment in golf course renovations and improvements;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new golf course development and golf course closures;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and business spending on property maintenance, such as lawn care and snow and ice removal activities;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reduced levels of infrastructure improvements and other construction activities;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oil and gas construction activities;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acceptance of, and demand for, ag-irrigation solutions for agricultural production;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or credit on acceptable terms for our customers to finance new product purchases;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and/or government budgetary constraints resulting in reduced spending for grounds maintenance or construction equipment.</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elimination, reduction, or changes in the placement of shelf space assigned to our Residential segment products at mass retailers and home centers have in the past adversely affected and in the future could adversely affect our Residential segment net sales. Our Residential segment net sales also depend upon the buying patterns of consumers and changes to buying patterns could result in reduced sales. For example, after the COVID-19 pandemic, consumers have shifted more of their spending away from home related products, including our Residential segment products, and back to other areas, compared to the historic levels of home related spending we experienced during the heights of the pandemic, which has adversely affected and may continue to adversely affect our Residential net sales. In addition, as consumers purchase products at home centers and mass retailers that typically offer broader and lower price points than dealers, demand for and sales of our Residential segment products purchased at mass retailers and home centers, as compared to dealers and hardware retailers, have increased, adversely affecting our margins.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have in the past and could in the future be impacted as a result of the timing of significant sales or promotional events for our Residential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mix could adversely impact our financial performance, including profit margins and net earnings.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harm our business and operating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 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low barriers to entry resulting in numerous other manufacturers selling products that compete directly with our products. Internationally, our Residential segment products typically face more competition than in the U.S. because many foreign competitors design, manufacture, market, and sell products in their respective countries. In addition, 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commodities, components, parts, and accessories or our other costs of doing business, have, and could continue to, adversely affect our profit margins and businesses.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 and accessories. Increased costs and/or inflation, increased tariff,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during the past couple of years, we experienced higher material, freight and manufacturing costs, which adversely affected our margins, and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efficient operation of our facilities and those of our suppliers, channel customers, mass retailers, and home centers where our products are sold.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downtime and/or the inability to produce products at our facilities and those of our suppliers or other disruptions have occurred and could continue to occur as a result of several factors, including supply chain challenges, labor shortages, natural disasters, inclement weather, man-made disasters or other external events, such as terrorist acts or acts of war, pandemics and/or epidemics, boycotts and sanctions, widespread criminal activities, or protests and/or social unrest, or other events, at or in proximity to any of our facilities or in our manufacturing or other operations, or those of our channel customers, mass retailers or home centers where our products are sold, or suppliers. A work slowdown, strike, or similar action could occur at any one of our facilities, or the facilities of our channel customers and suppliers, and such facilities could fail to renew or enter into new collective bargaining agreements or may have to enter into a new collective bargaining agreement at a facility not currently covered by an agreement. Furthermore, we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channel customers.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or channel partners, to hire and/or retain an adequate labor force could adversely affect our business, operating results, and reputation.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labor needs, and those of our suppliers and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channel partners, manufacture products or conduct business, or other factors, we, or our suppliers and channel partners, may not have a sufficient pool of individuals with the right skills and experience available to fulfill labor requirements on a cost-effective basis or otherwise.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our labor needs and those of our suppliers and channel partners were negatively impacted by COVID-19, which exacerbated the challenges in retaining and maintaining an adequate production staff. If we, or our suppliers and channel partners, are unable to hire, train, and/or retain a labor force to adequately staff manufacturing operations, perform service or warranty work, or other necessary activities, we could experience disruptions in our manufacturing and other processes, which have in the past adversely impacted, and could continue to adversely impact, our business, operating results, and reputation.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and/or working capital are negatively impacted when we underestimate or overestimate demand for our products or do not maintain appropriate inventory levels.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taking into account production capacity, timing of shipments, existing sales order backlog, and field inventory levels. Managing inventory levels during an uncertain macroeconomic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in, and could continue to result in, manufacturing inefficiencies and related unfavorable manufacturing variances that have negatively impacted, and could continue to impact, our financial results. Our net sales, margins, net earnings, and/or working capital are negatively impacted when we underestimate or overestimate channel or retail demand for our products, we are not able to manufacture product to fulfill customer demand and existing and future sales order backlog, and/or we do not produce or maintain appropriate inventory levels. Furthermore, such impacts hinder our ability to meet customer demand, result in the loss of customers, and could cause us to incur charges associated with inventory valuation adjustments for excess and obsolete inventories.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are subject to the inventory management decisions of our channel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relating to the inventory management decisions and operational and sourcing practices of our distribution network. Our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composition of, financial viability of, and the relationships with, our channel customers could negatively impact our business and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fail to maintain an effective network of channel partners, including distributors, dealers, mass retailers, and home centers, for our products, we may not have adequate market coverage for the optimal level of sales of our products. Additionally, our channel customers may not commit the necessary resources to market and sell our products as we would expect, and/or they may not be successful in marketing and ultimately selling our products. Any weak demand for, or quality issues with, our products may cause our channel customers to reduce or terminate their relationships with us or adversely affect our ability to engage new dealers and distributors or maintain or obtain shelf space at mass retailers and home centers. Changes in the ownership or control of our channel customers could also adversely affect our relationships with them. If we are not able to maintain effective distribution channels, if our channel customers are not successful in marketing and selling our products, or if we experience a significant reduction or cancellation or change in the size and timing of orders from our channel customers, our sales could decline and have an adverse effect on our business and operating results.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adverse economic conditions, business conditions or other events cause a decline in sales by our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availability and terms of credit offered to our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effective operation of our information systems, software, or information security practices and those of our business partners or third-party service providers.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many information systems and other software that are critical to our business and certain of our products, some of which are managed by third parties. These information systems and software are used to record, process, summarize, transmit, and store electronic information, and to manage or support a variety of business processes and activities, 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 As we continue to develop internet-connected products and other new, emerging, and/or disruptive technologies, similar risks may also be present in the systems, technology, and software installed within such products.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a result of a new SEC rule on cybersecurity disclosure, we are required to disclose, on a current basis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 We have incurred significant costs in an effort to detect and prevent security breaches and incidents, and we may face increased costs and requirements to expend substantial resources in the event of an actual or perceived security breach or incident and to comply with this new SEC cybersecurity rule.</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incorporate traditional and generative artificial intelligence (AI) solutions into our information systems, products, offerings, services and features, and these solutions may become important in our operations over time. The ever-increasing use and evolution of technology, including cloud-based computing and AI, creates opportunities for the potential loss or misuse of personal data that forms part of any data set and was collected, used, stored, or transferred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If the content, analyses, or recommendations that AI programs assist in producing are or are alleged to be deficient, inaccurate, or biased, our business, financial condition, and results of operations and our reputation may be adversely affected. AI programs may be costly and require significant expertise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develop, may be difficult to set up and manage, and require periodic upgrades. There is also a risk that we may not have access to the technology and qualified AI personnel resources to adequately incorporate ongoing advancements into our AI initiatives, including access to the licensing of key intellectual property from third parties. Our competitors or other third parties may incorporate AI into their products more quickly or more successfully than us, which could impair our ability to compete effectively and adversely affect our results of operations. Our competition may have access to greater financial and technological resources, giving them a competitive advantage in recruiting, motivating, and retaining sought-after AI professionals. AI also presents emerging ethical issues and if our use of AI becomes controversial, we may experience brand or reputational harm, competitive harm, or legal liability. The rapid evolution of AI, including potential government regulation of AI, will require significant resources to develop, test and maintain our platform, offerings, services, and features to help us implement AI ethically in order to minimize unintended, harmful impact.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information technology systems require an ongoing commitment of significant resources to maintain, protect, and enhance existing systems and develop new systems. This enables us to keep pace with continuing changes in information processing technology, evolving legal and regulatory standards, the increasing need to protect employee and customer information, changes in the techniques used to obtain unauthorized access to data and information systems, and the information technology needs associated with our evolving products. There can be no assurance that our efforts (including, but not limited to, consolidating, protecting, upgrading, and expanding our systems and capabilities, continuing to build security into the design of our products, and developing new systems to keep pace with continuing changes in information processing technology, including, but not limited to, generative AI platforms) will be successful or that additional systems issues will not arise in the future.</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significant management attention and financial resources, expose us to difficulties presented by international economic, political, legal, regulatory, accounting, and business factors, and may not be successful or produce desired levels of net sales and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 were 20.8 percent, 19.5 percent, and 20.9 percent of our total consolidated net sales for fiscal 2023, 2022, and 2021,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the impact of sovereign debt defaults by certain European countries, and current wars and related sanctions and other geopolitical tensions could adversely affect our international net sales.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 countries in which we manufacture or sell our products, or in which we otherwise have a presence are, to some degree, subject to political, economic, and/or social instability. As a result, our international operations expose us and our representatives, agents, and channel customers to risks inherent in operating in foreign jurisdictions. These risks include:</w:t>
      </w:r>
    </w:p>
    <w:p>
      <w:pPr>
        <w:spacing w:after="0" w:line="6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weakened economic conditions;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and/or epidemics;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customizing products for foreign countries;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increases in infrastructure costs including legal, tax, accounting, and information technology;</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enhanced trade restrictions and restrictions on the activities of foreign agents, representatives, and channel customers;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other non-tariff barriers to trade;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pricing pressures;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tax rates and adverse tax consequences, including restrictions on repatriating cash and/or earnings to the U.S.;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performance based on our geographic mix of sales;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the war between Ukraine and Russia, the war between Israel and Hamas, geopolitical tensions and foreign policy changes, acts of war or terrorist acts;</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enforcing or defending intellectual property rights;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rules, regulations and standards, including rules relating to taxes, environmental, health and safety matters.</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renovating and expanding certain office, manufacturing, and other facilities and could experience disruptions to our operations in connection with such efforts.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pursue acquisitions and alliances, strong customer relations, and new joint ventures, investments, and partnerships and our recent activities in this regard involve risk and may not prove to be successful.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in January 2022, we acquired the Intimidator Group, and in September 2023, we announced a strategic partnership with Lowe's.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 partnerships may involve a number of risks, the occurrence of which could adversely affect our business, reputation, financial condition, and operating results, including:</w:t>
      </w:r>
    </w:p>
    <w:p>
      <w:pPr>
        <w:spacing w:after="0" w:line="8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customers, distributors, or dealers of the acquired businesses or adverse effects on existing business relationships with suppliers, customers, distributors, and dealers;</w:t>
      </w:r>
    </w:p>
    <w:p>
      <w:pPr>
        <w:jc w:val="both"/>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challenges in transitioning distributors and dealers of acquired businesses to available floor plan financing arrangements;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jc w:val="both"/>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valid intellectual property rights of others;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occurrence of non-recurring charges, or other potential financial accounting or reporting impacts.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at the end of the third quarter of fiscal 2023, we recorded non-cash impairment charges of $18.0 million related to the indefinite-lived Spartan® trade name intangible asset and $133.3 million related to the goodwill of the Intimidator reporting unit. These impairment charges resulted in a $36.7 million income tax benefit (deferred tax asset) associated with the remaining tax deductible basis in goodwill and other intangible assets.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regarding our ESG practices could impact our reputation.</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Increasing governmental and societal attention to ESG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ESG priority issue areas. To address this growing set of matters, we have taken several actions, including hiring a new executive officer with responsibility for sustainability in July 2023, devoting additional dedicated employee resources, and creating a cross-functional/business sustainability leadership team to further develop and implement an enterprise-wide sustainability strategy. In June 2023, we released our sustainability report for fiscal 2022, which highlights certain aspirations and goals related to ESG matters, such as goals to increase battery and hybrid product sales, plans to reduce certain GHG emissions over time, and goals to increase the number of women and racial and ethnic minorities in leadership positions. No assurance can be provided that we will achieve our new sustainability goals. It is possible that we may be unsuccessful in the achievement of our ESG goals, on a timely basis or at all, or that the costs to achieve those goals become prohibitively expensive. Furthermore, our stakeholders may not be satisfied with our initiatives or efforts or the speed at which we are progressing towards any such</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aspirations and goals. Additionally, organizations that inform investors on ESG matters have developed rating systems for evaluating companies on their approach to ESG. Unfavorable ratings may lead to negative investor sentiment, which could negatively impact our stock price. Any failure, or perceived failure, to respond to ESG concerns could harm our business and reputation. Certain challenges we face in the achievement of our ESG objectives are also captured within our ESG reporting in our sustainability report for fiscal 2022, which is not incorporated by reference into and does not form any part of this report.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non-cash impairment charges during the third quarter of fiscal 2023 which adversely affected our third quarter and full year fiscal 2023 operating results and we may be required to incur additional future impairment and other charges, which could adversely affect our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and other business combinations, including our January 2022 acquisition of Intimidator,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 intangible asset or asset group level, as appropriate.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determine that the anticipated future cash flows from our reporting units, indefinite-lived intangible assets or asset groups, or long-lived asset groups may be less than their respective carrying values, our goodwill, indefinite-lived intangible assets, and/or long-lived assets may be deemed to be impaired. If this occurs, applicable accounting rules may require us to write 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 down occurs.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at the end of the third quarter of fiscal 2023, we recorded non-cash impairment charges of $18.0 million related to the indefinite-lived Spartan trade name intangible asset and $133.3 million related to the goodwill of the Intimidator reporting unit. These impairment charges resulted in a $36.7 million income tax benefit (deferred tax asset) associated with the remaining tax deductible basis in goodwill and other intangible assets. As of October 31, 2023, we had goodwill of $450.8 million, which is maintained in various reporting units, and indefinite-lived intangible assets of $271.5 million, which together comprise 19.8 percent of our total assets as of October 31, 2023. Any future impairment charges could be significant and could adversely affect our future consolidated operating results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have adversely affected and could continue to adversely affect our operating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rates have affected our net sales, net earnings, and operating results in the past and could affect them in the future, in some cases materially.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and operating restrictions and counterparty risk as a result of our credit arrangements.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arrangements, including our revolving credit facility, term loan and senior notes,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 disadvantage us relative to other companies that may be subject to fewer, if any, restrictions or may otherwise adversely affect our business.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terms of our credit arrangements and indentures, they could be terminated and amounts thereunder could become due and payable.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that we will be able to comply with all of the terms of our credit arrangements and indentures, particularly the financial covenants. Our ability to comply with such terms depends on the success of our business and 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increase our cost of funding and/or adversely affect our access to funding.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or tax standards and policies and/or assumptions utilized in determining accounting or tax estimates could adversely affect our results of operations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("GAAP"), we must make decisions that impact our results of operations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accounting policies and new accounting pronouncements, refer to Part II, Item 7, "Management's Discussion and Analysis of Financial Condition and Results of Operations," in the section entitled "Critical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Accounting Policies and Estimates" and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xml:space="preserve"> of the Notes to Consolidated Financial Statements included in Part II, Item 8, “Financial Statements and Supplementary Data,” of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trademarks, and contractual provisions may be insufficient to protect our proprietary rights and intellectual property from others who may sell similar products and our products may infringe the valid proprietary rights of others.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 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the outcome of any such litigation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rules, policies, and regulations, with which our compliance is costly and not guaranteed.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numerous international, federal, state, municipal and other governmental laws, rules, policies, regulations, and orders ("Laws")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Laws may adversely affect our operating results, including, (i) to address health and safety requirements, (ii) taxation and tax policy changes, tax rate changes, new tax laws, or revised tax law interpretations or guidance, which individually or in combination may cause our effective tax rate to increase or result in tax charges,</w:t>
      </w:r>
    </w:p>
    <w:p>
      <w:pPr>
        <w:spacing w:after="0" w:line="5" w:lineRule="exact"/>
        <w:rPr>
          <w:sz w:val="20"/>
          <w:szCs w:val="20"/>
          <w:color w:val="auto"/>
        </w:rPr>
      </w:pPr>
    </w:p>
    <w:p>
      <w:pPr>
        <w:jc w:val="both"/>
        <w:ind w:firstLine="8"/>
        <w:spacing w:after="0" w:line="253"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adoption of new, healthcare laws or regulations,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or data privacy requirements, such as the EU's General Data Protection Regulation, the California Consumer Privacy Act, and other emerging domestic and global data privacy and cybersecurity laws, may have similar consequences.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subject to rules limiting exhaust and other emissions and other climate-related rules and regulations in certain jurisdictions where we operate. Concern over climate change has resulted in, and could continue to result in, new legal or regulatory requirements designed to reduce or mitigate the effects of greenhouse gases. An example of such legislation is California's AB 1346, which will require most new sales of small off-road engines, such as those installed in certain of our products, including leaf blowers and lawnmowers, sold in the state of California on or after January 1, 2024 to be zero-emission.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compliance with applicable environmental laws is costly and not guaranteed.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manufacture, sale, and use of our products expose us to significant risks associated with product quality issues and product liability claims and other litigation from time to time. If a product liability claim, other claim or series of claims is brought against us for liabilities exceeding our insurance coverage, and it is ultimately determined that we are liable, our business could suffer. While we believe that we appropriately instruct and warn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defects can occur through our own product development, design, and manufacturing processes or through our reliance on third-parties for certain component design and manufacturing activities. Some of our products or product improvements were developed or modified relatively recently and defects or risks that we have not yet identified, such as quality issues or unanticipated use of our products, may give rise to warranty or other quality claims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subject to other litigation from time to time that could adversely affect our business, reputation, operating results or financial condition.</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our financial projections, sustainability goals, or other business and productivity initiatives, which could have an adverse effect on our business, operating results, and financial condition.</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generally provide financial projections such as our expected revenue growth and adjusted diluted earnings per share. These financial projections are based on management’s assumptions and expectations at the time made. Failure to achieve our financial projections could have an adverse effect on our business, operating results, and financial condition.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set certain aspirations and goals related to ESG matters, such as goals to increase battery and hybrid product sales, plans to reduce certain GHG emissions over time, and goals to increase the number of women and racial and ethnic minorities in leadership positions. We also set goals and objectives for the timing of certain accomplishments, initiatives and milestones regarding our business or operating results, including without limitation our recently announced "Amplifying Maximum Productivity" or AMP initiative, which is a multi-year initiative intended to result in annualized cost savings of more than $100 million by fiscal 2027, driven by sustainable supply-base, design-to-value, and route-to-market transformation. Whether we achieve our goals and objectives of such initiatives can vary due to a number of factors, including the risk factors described in this Annual Report on Form 10-K. It is possible that we may be unsuccessful in the achievement of our goals, on a timely basis or at all. A delay, failure or perceived failure or delay to achieve such goals and objectives in the time periods that we anticipate, or at all, could have an adverse effect on our business, operating results and financial condition, and the public perception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ability to attract and retain key executive and employees and successfully implement key employee transitions.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Our executive management team and board of directors have undergone significant changes during the past two years. Losing executive officers or other key employees, failure to identify, attract, or retain qualified leaders in the future, ineffective executive officer or other employee transitions, delays or the inability to hire necessary and qualified office or production employees due to employment 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business operations require the use of various facilities and other properties for manufacturing, distribution, warehousing, engineering and product testing, sales and marketing, and other corporate activities. We generally consider our current facilities to be in good operating condition, suitable for their respective uses, and adequate for our current and future business needs as our business is presently conducted. However, as a matter of course, we review our facilities from time to time as we continue to optimize our global business operations and footprint and may determine that certain of our facilities should be expanded or exited, sold, or utilized in another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facilities are listed below by location, ownership, and function as of October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1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Facility Type/Use</w:t>
            </w:r>
          </w:p>
        </w:tc>
        <w:tc>
          <w:tcPr>
            <w:tcW w:w="24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0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Batesville, Arkansas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warehouse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 Cajon, California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test site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Riverside, California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Office and test site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Sanford, Florida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Ankeny, Iowa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 Sterling, Kentucky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Iron Mountain, Michigan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Bloomington,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headquarters and test site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Shakopee,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Windom,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Beatrice, Nebraska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Orrville, Ohio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Salem, Ohio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Perry, Oklahoma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 Paso, Texas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Weatherford, Texas</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Baraboo,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Lake Mills,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Plymouth,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Tomah,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22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Beverley, Australia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Braeside, Australia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Oevel, Belgium</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Xiamen City, China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Althengstett, Germany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Fiano Romano, Italy</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Juarez, Mexico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Monterrey, Mexico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Ustron, Poland</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Ploiesti, Romania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test site</w:t>
            </w:r>
          </w:p>
        </w:tc>
        <w:tc>
          <w:tcPr>
            <w:tcW w:w="24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Owned</w:t>
            </w:r>
          </w:p>
        </w:tc>
      </w:tr>
      <w:tr>
        <w:trPr>
          <w:trHeight w:val="203"/>
        </w:trPr>
        <w:tc>
          <w:tcPr>
            <w:tcW w:w="2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Hertfordshire, United Kingdom</w:t>
            </w:r>
          </w:p>
        </w:tc>
        <w:tc>
          <w:tcPr>
            <w:tcW w:w="22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4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Owned</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 which is incorporated into this Item 3 by reference.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list below identifies those persons designated by our Board of Directors as executive officers of the company. The list sets forth each such person's age and position with the company as of December 13, 2023, as well as other positions held by the executive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such executive officer was selected as an officer of the company.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Name, Age, and Position</w:t>
            </w:r>
          </w:p>
        </w:tc>
        <w:tc>
          <w:tcPr>
            <w:tcW w:w="7760" w:type="dxa"/>
            <w:vAlign w:val="bottom"/>
            <w:tcBorders>
              <w:top w:val="single" w:sz="8" w:color="auto"/>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Business Experience during the Last Five or More Years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Richard M. Olson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Chairman of the Board since November 2017 and President and Chief Executive Officer since November 2016. From September</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59, Chairman of the Board, President and Chief Executive</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2015 through October 2016, he served as President and Chief Operating Officer. From June 2014 through August 2015, he served as</w:t>
            </w:r>
          </w:p>
        </w:tc>
      </w:tr>
      <w:tr>
        <w:trPr>
          <w:trHeight w:val="20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Group Vice President, International Business, Global Ag-Irrigation Business and Distributor Development.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Jason P. Baab</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Strategy, Corporate Development, and Sustainability since July 2023. Prior to joining the company, he held several</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48, Vice President, Strategy, Corporate Development, and</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Oshkosh Corporation, a global manufacturer of specialty vehicles and equipment, serving as Senior Vice President,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Sustainability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Corporate Development, Strategy, and Venture Capital from October 2021 to June 2023 and Vice President from 2017 to September</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Kevin N. Carpenter</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Global Operations and Integrated Supply Chain since December 2021. Prior to joining the company, he held several</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49, Vice President, Global Operations and Integrated</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Carrier Global Corporation, a global provider of healthy, safe, sustainable and intelligent building and cold chain solutions,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Supply Chain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serving as Vice President of Operations, Residential and Light Commercial Systems from June 2021 to November 2021, Vice</w:t>
            </w:r>
          </w:p>
        </w:tc>
      </w:tr>
      <w:tr>
        <w:trPr>
          <w:trHeight w:val="148"/>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President of Quality and Continuous Improvement from August 2020 to May 2021, Vice President of Operations, Commercial</w:t>
            </w:r>
          </w:p>
        </w:tc>
      </w:tr>
      <w:tr>
        <w:trPr>
          <w:trHeight w:val="144"/>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HVAC from February 2020 to July 2020, and Vice President of Advanced Manufacturing from May 2019 to January 2020. Prior to</w:t>
            </w:r>
          </w:p>
        </w:tc>
      </w:tr>
      <w:tr>
        <w:trPr>
          <w:trHeight w:val="139"/>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joining Carrier, he held several roles at Rockwell Automation, Inc., an industrial automation and digital transformation company,</w:t>
            </w:r>
          </w:p>
        </w:tc>
      </w:tr>
      <w:tr>
        <w:trPr>
          <w:trHeight w:val="148"/>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serving as Vice President of Manufacturing Services from June 2018 to April 2019 and Director of Manufacturing Services from</w:t>
            </w:r>
          </w:p>
        </w:tc>
      </w:tr>
      <w:tr>
        <w:trPr>
          <w:trHeight w:val="198"/>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May 2016 to May 2018.</w:t>
            </w:r>
          </w:p>
        </w:tc>
      </w:tr>
      <w:tr>
        <w:trPr>
          <w:trHeight w:val="148"/>
        </w:trPr>
        <w:tc>
          <w:tcPr>
            <w:tcW w:w="3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Amy E. Dahl</w:t>
            </w:r>
          </w:p>
        </w:tc>
        <w:tc>
          <w:tcPr>
            <w:tcW w:w="7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Vice President, International since June 2023. She previously served as Vice President, International, General Counsel and</w:t>
            </w: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49, Vice President, International</w:t>
            </w: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Secretary from March 2023 to June 2023. From August 2022 to February 2023 she served as Vice President, General</w:t>
            </w:r>
          </w:p>
        </w:tc>
      </w:tr>
      <w:tr>
        <w:trPr>
          <w:trHeight w:val="162"/>
        </w:trPr>
        <w:tc>
          <w:tcPr>
            <w:tcW w:w="3480" w:type="dxa"/>
            <w:vAlign w:val="bottom"/>
          </w:tcPr>
          <w:p>
            <w:pPr>
              <w:spacing w:after="0"/>
              <w:rPr>
                <w:sz w:val="14"/>
                <w:szCs w:val="14"/>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Counsel and Corporate Secretary. From November 2020 through August 2022, she served as Vice President, Human Resources,</w:t>
            </w:r>
          </w:p>
        </w:tc>
      </w:tr>
      <w:tr>
        <w:trPr>
          <w:trHeight w:val="162"/>
        </w:trPr>
        <w:tc>
          <w:tcPr>
            <w:tcW w:w="3480" w:type="dxa"/>
            <w:vAlign w:val="bottom"/>
          </w:tcPr>
          <w:p>
            <w:pPr>
              <w:spacing w:after="0"/>
              <w:rPr>
                <w:sz w:val="14"/>
                <w:szCs w:val="14"/>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Counsel, and Corporate Secretary and from January 2020 through October 2020, she served as Vice President, Human</w:t>
            </w:r>
          </w:p>
        </w:tc>
      </w:tr>
      <w:tr>
        <w:trPr>
          <w:trHeight w:val="162"/>
        </w:trPr>
        <w:tc>
          <w:tcPr>
            <w:tcW w:w="3480" w:type="dxa"/>
            <w:vAlign w:val="bottom"/>
          </w:tcPr>
          <w:p>
            <w:pPr>
              <w:spacing w:after="0"/>
              <w:rPr>
                <w:sz w:val="14"/>
                <w:szCs w:val="14"/>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Resources, Distributor Development, General Counsel, and Corporate Secretary. From December 2016 through December 2019,</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she served as Vice President, Human Resources and Distributor Development.</w:t>
            </w:r>
          </w:p>
        </w:tc>
      </w:tr>
      <w:tr>
        <w:trPr>
          <w:trHeight w:val="37"/>
        </w:trPr>
        <w:tc>
          <w:tcPr>
            <w:tcW w:w="3480" w:type="dxa"/>
            <w:vAlign w:val="bottom"/>
          </w:tcPr>
          <w:p>
            <w:pPr>
              <w:spacing w:after="0"/>
              <w:rPr>
                <w:sz w:val="3"/>
                <w:szCs w:val="3"/>
                <w:color w:val="auto"/>
              </w:rPr>
            </w:pPr>
          </w:p>
        </w:tc>
        <w:tc>
          <w:tcPr>
            <w:tcW w:w="7760" w:type="dxa"/>
            <w:vAlign w:val="bottom"/>
          </w:tcPr>
          <w:p>
            <w:pPr>
              <w:spacing w:after="0"/>
              <w:rPr>
                <w:sz w:val="3"/>
                <w:szCs w:val="3"/>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Angela C. Drake</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and Chief Financial Officer since March 2023. She previously served as Vice President, Finance from July 2022 to</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51, Vice President and Chief Financial Officer</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February 2023. From April 2020 to June 2022, she served as Vice President, Construction and from April 2019 through March</w:t>
            </w:r>
          </w:p>
        </w:tc>
      </w:tr>
      <w:tr>
        <w:trPr>
          <w:trHeight w:val="139"/>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2020, she served as Senior Managing Director, Integration. From February 2011 through March 2019, she served as Chief Financial</w:t>
            </w:r>
          </w:p>
        </w:tc>
      </w:tr>
      <w:tr>
        <w:trPr>
          <w:trHeight w:val="192"/>
        </w:trPr>
        <w:tc>
          <w:tcPr>
            <w:tcW w:w="3480" w:type="dxa"/>
            <w:vAlign w:val="bottom"/>
            <w:tcBorders>
              <w:bottom w:val="single" w:sz="8" w:color="CCEEFF"/>
            </w:tcBorders>
            <w:shd w:val="clear" w:color="auto" w:fill="CCEEFF"/>
          </w:tcPr>
          <w:p>
            <w:pPr>
              <w:spacing w:after="0"/>
              <w:rPr>
                <w:sz w:val="16"/>
                <w:szCs w:val="16"/>
                <w:color w:val="auto"/>
              </w:rPr>
            </w:pPr>
          </w:p>
        </w:tc>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Officer for The Charles Machine Works, Inc., an underground construction company acquired by the company in April 2019.</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Edric C. Funk</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Group Vice President, Golf, Grounds, and Irrigation since November 2022. He previously served as General Manager, Sitework</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51, Group Vice President, Golf, Grounds, and Irrigation</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Systems from November 2020 to November 2022, and prior to that led the company’s Center for Technology, Research and</w:t>
            </w:r>
          </w:p>
        </w:tc>
      </w:tr>
      <w:tr>
        <w:trPr>
          <w:trHeight w:val="195"/>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Innovation from July 2017 to October 2020.</w:t>
            </w:r>
          </w:p>
        </w:tc>
      </w:tr>
      <w:tr>
        <w:trPr>
          <w:trHeight w:val="146"/>
        </w:trPr>
        <w:tc>
          <w:tcPr>
            <w:tcW w:w="3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Gregory S. Janey</w:t>
            </w:r>
          </w:p>
        </w:tc>
        <w:tc>
          <w:tcPr>
            <w:tcW w:w="776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Group Vice President, Landscapes and Contractor since November 2022. He previously served as Vice President, Residential and</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45, Group Vice President, Landscapes and Contractor</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Landscape Contractor Businesses from November 2019 to November 2022. From November 2017 to October 2019, he served as</w:t>
            </w:r>
          </w:p>
        </w:tc>
      </w:tr>
      <w:tr>
        <w:trPr>
          <w:trHeight w:val="203"/>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Manager, Residential and Landscape Contractor Businesses.</w:t>
            </w:r>
          </w:p>
        </w:tc>
      </w:tr>
      <w:tr>
        <w:trPr>
          <w:trHeight w:val="148"/>
        </w:trPr>
        <w:tc>
          <w:tcPr>
            <w:tcW w:w="3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Margeaux M. King</w:t>
            </w:r>
          </w:p>
        </w:tc>
        <w:tc>
          <w:tcPr>
            <w:tcW w:w="7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Vice President, Human Resources since August 2022. Prior to joining the company, she held several roles at Ecolab, a global</w:t>
            </w: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 Vice President, Human Resources</w:t>
            </w: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provider in water, hygiene and infection prevention solutions and services, serving as Senior Vice President, Human Resources,</w:t>
            </w:r>
          </w:p>
        </w:tc>
      </w:tr>
      <w:tr>
        <w:trPr>
          <w:trHeight w:val="162"/>
        </w:trPr>
        <w:tc>
          <w:tcPr>
            <w:tcW w:w="3480" w:type="dxa"/>
            <w:vAlign w:val="bottom"/>
          </w:tcPr>
          <w:p>
            <w:pPr>
              <w:spacing w:after="0"/>
              <w:rPr>
                <w:sz w:val="14"/>
                <w:szCs w:val="14"/>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Global Total Rewards &amp; Talent from February 2022 to July 2022, Senior Vice President, Human Resources, Global Total Rewards</w:t>
            </w:r>
          </w:p>
        </w:tc>
      </w:tr>
      <w:tr>
        <w:trPr>
          <w:trHeight w:val="162"/>
        </w:trPr>
        <w:tc>
          <w:tcPr>
            <w:tcW w:w="3480" w:type="dxa"/>
            <w:vAlign w:val="bottom"/>
          </w:tcPr>
          <w:p>
            <w:pPr>
              <w:spacing w:after="0"/>
              <w:rPr>
                <w:sz w:val="14"/>
                <w:szCs w:val="14"/>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September 2019 to January 2022, and Vice President, Human Resources, Global Compensation &amp; Benefits from March 2016</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August 2019.</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Peter D. Moeller</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Group Vice President, Underground and Specialty Construction since March 2023. From November 2020 to February 2023, he</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46, Group Vice President, Underground and Specialty</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served as Vice President, International. From November 2019 to October 2020, he served as Vice President, Sitework Systems.</w:t>
            </w:r>
          </w:p>
        </w:tc>
      </w:tr>
      <w:tr>
        <w:trPr>
          <w:trHeight w:val="20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From November 2017 to October 2019, he served as General Manager, Sitework Systems.</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Kurt D. Svendsen</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Technology since March 2023. From November 2020 to February 2023, he served as Vice President, Strategy,</w:t>
            </w: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 Vice President, Technology</w:t>
            </w: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and Channel Development. From June 2013 to October 2020, he served as Vice President, Information Technology.</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Joanna M. Totsky</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Vice President, General Counsel, and Corporate Secretary since June 2023. Prior to joining the company, she held several roles at</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55, Vice President, General Counsel, and Corporate</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Cooper-Standard Holdings, a leading manufacturer of sealing, fuel and brake delivery, and fluid transfer systems, serving as Senior</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Secretary</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Chief Legal and Transformation Officer and Secretary from November 2022 to May 2023, Senior Vice President,</w:t>
            </w:r>
          </w:p>
        </w:tc>
      </w:tr>
      <w:tr>
        <w:trPr>
          <w:trHeight w:val="148"/>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Chief Legal and Compliance Officer and Secretary from July 2019 to October 2022, and Vice President, Deputy General Counsel</w:t>
            </w:r>
          </w:p>
        </w:tc>
      </w:tr>
      <w:tr>
        <w:trPr>
          <w:trHeight w:val="198"/>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from October 2016 to June 2019.</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Cash Dividends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and trades under the symbol "TTC." As of October 31, 2023 and 2022, we had 175,000,000 shares of common stock, par value $1.00 per share, authorized, and 103,843,485 and 103,969,805 shares of common stock outstanding, respectively. In each quarter of fiscal 2023, our Board of Directors declared a common stock cash dividend of $0.34 per share, which was a 13.3 percent increase over our common stock cash dividend of $0.30 per share paid in each quarter of fiscal 2022. As announced on December 12, 2023, our Board of Directors increased our fiscal 2024 first quarter common stock cash dividend by 5.9 percent to $0.36 per share.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and 2022, we had 1,000,000 voting shares and 850,000 non-voting shares of preferred stock, par value $1.00 per share, authorized, none of which were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13, 2023, we had 2,450 shareholders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shares of our common stock purchased by the company during each of the three fiscal months in our fourth quarter ended October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8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4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18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right"/>
              <w:ind w:right="208"/>
              <w:spacing w:after="0" w:line="202" w:lineRule="exact"/>
              <w:rPr>
                <w:sz w:val="20"/>
                <w:szCs w:val="20"/>
                <w:color w:val="auto"/>
              </w:rPr>
            </w:pPr>
            <w:r>
              <w:rPr>
                <w:rFonts w:ascii="Times New Roman" w:cs="Times New Roman" w:eastAsia="Times New Roman" w:hAnsi="Times New Roman"/>
                <w:sz w:val="14"/>
                <w:szCs w:val="14"/>
                <w:b w:val="1"/>
                <w:bCs w:val="1"/>
                <w:color w:val="auto"/>
              </w:rPr>
              <w:t>Units) Purchased</w:t>
            </w:r>
            <w:r>
              <w:rPr>
                <w:rFonts w:ascii="Times New Roman" w:cs="Times New Roman" w:eastAsia="Times New Roman" w:hAnsi="Times New Roman"/>
                <w:sz w:val="18"/>
                <w:szCs w:val="18"/>
                <w:b w:val="1"/>
                <w:bCs w:val="1"/>
                <w:color w:val="auto"/>
                <w:vertAlign w:val="superscript"/>
              </w:rPr>
              <w:t>1, 2, 3</w:t>
            </w:r>
          </w:p>
        </w:tc>
        <w:tc>
          <w:tcPr>
            <w:tcW w:w="14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0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1, 2</w:t>
            </w:r>
          </w:p>
        </w:tc>
        <w:tc>
          <w:tcPr>
            <w:tcW w:w="1880" w:type="dxa"/>
            <w:vAlign w:val="bottom"/>
            <w:tcBorders>
              <w:bottom w:val="single" w:sz="8" w:color="auto"/>
            </w:tcBorders>
          </w:tcPr>
          <w:p>
            <w:pPr>
              <w:jc w:val="center"/>
              <w:ind w:left="8"/>
              <w:spacing w:after="0" w:line="202"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18"/>
                <w:szCs w:val="18"/>
                <w:b w:val="1"/>
                <w:bCs w:val="1"/>
                <w:color w:val="auto"/>
                <w:w w:val="98"/>
                <w:vertAlign w:val="superscript"/>
              </w:rPr>
              <w:t>1, 2</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5, 2023 through September 1, 2023</w:t>
            </w:r>
          </w:p>
        </w:tc>
        <w:tc>
          <w:tcPr>
            <w:tcW w:w="2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6,949,491</w:t>
            </w:r>
          </w:p>
        </w:tc>
        <w:tc>
          <w:tcPr>
            <w:tcW w:w="0" w:type="dxa"/>
            <w:vAlign w:val="bottom"/>
          </w:tcPr>
          <w:p>
            <w:pPr>
              <w:spacing w:after="0"/>
              <w:rPr>
                <w:sz w:val="1"/>
                <w:szCs w:val="1"/>
                <w:color w:val="auto"/>
              </w:rPr>
            </w:pPr>
          </w:p>
        </w:tc>
      </w:tr>
      <w:tr>
        <w:trPr>
          <w:trHeight w:val="195"/>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 2023 through September 29, 2023</w:t>
            </w:r>
          </w:p>
        </w:tc>
        <w:tc>
          <w:tcPr>
            <w:tcW w:w="2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6,949,491</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 through October 31, 2023</w:t>
            </w:r>
          </w:p>
        </w:tc>
        <w:tc>
          <w:tcPr>
            <w:tcW w:w="2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1,560</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86.01</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6,949,491</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1,560</w:t>
            </w:r>
          </w:p>
        </w:tc>
        <w:tc>
          <w:tcPr>
            <w:tcW w:w="5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86.01</w:t>
            </w:r>
          </w:p>
        </w:tc>
        <w:tc>
          <w:tcPr>
            <w:tcW w:w="2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17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4, 2018, the company’s Board of Directors authorized the repurchase of 5,000,000 shares of the company’s common stock in open-market or in privately negotiated transactions. This authorized stock repurchase program has no expiration date but may be terminated by the company's Board of Directors at any time. No shares were repurchased under this program during the time period indicated above. As a result, 1,949,491 shares remained available to repurchase under this program as of October 31, 2023.</w:t>
      </w:r>
    </w:p>
    <w:p>
      <w:pPr>
        <w:spacing w:after="0" w:line="262" w:lineRule="exact"/>
        <w:rPr>
          <w:sz w:val="20"/>
          <w:szCs w:val="20"/>
          <w:color w:val="auto"/>
        </w:rPr>
      </w:pPr>
    </w:p>
    <w:p>
      <w:pPr>
        <w:ind w:left="340" w:hanging="332"/>
        <w:spacing w:after="0" w:line="234" w:lineRule="auto"/>
        <w:tabs>
          <w:tab w:leader="none" w:pos="16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101" w:lineRule="exact"/>
        <w:rPr>
          <w:sz w:val="20"/>
          <w:szCs w:val="20"/>
          <w:color w:val="auto"/>
        </w:rPr>
      </w:pPr>
    </w:p>
    <w:p>
      <w:pPr>
        <w:ind w:left="340" w:hanging="332"/>
        <w:spacing w:after="0" w:line="234" w:lineRule="auto"/>
        <w:tabs>
          <w:tab w:leader="none" w:pos="274"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1,560 shares of the company's common stock purchased in open-market transactions at an average price of $86.01 per share on behalf of a rabbi trust formed to pay benefit obligations of the company to participants in the company's deferred compensation plans. These 1,560 shares were not repurchased under the company's authorized stock repurchase programs described in notes 1 and 2 above.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 Common Stock Comparative 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and table depict the cumulative total shareholder return (assuming reinvestment of dividends) on $100 invested in each of TTC common stock, the S&amp;P 500 Index, and the S&amp;P 500 Industrial Machinery Index for the five-year period from October 31, 2018 through October 31, 2023. The total returns on TTC common stock depicted in the stock performance graph and table are not necessarily indicative of future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The Toro Company, the S&amp;P 500 Index, and the S&amp;P 500 Industrial Machinery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88265</wp:posOffset>
            </wp:positionV>
            <wp:extent cx="5254625" cy="3137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10/31/18 in stock or index, including reinvestment of dividends. Fiscal years ending October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Toro Company</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138.80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149.82</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176.04</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197.09</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153.25</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1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114.33</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125.43</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179.25</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153.06</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Industrial Machinery Index</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121.96</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133.77</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176.57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153.30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167.86</w:t>
            </w: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expressly stated otherwise, the comparisons presented in this MD&amp;A refer to the year-over-year comparison of changes in our financial condition and results of operations as of and for the fiscal years ended October 31, 2023 and 2022. Discussion of fiscal 2021 items and the year-over-year comparison of changes in our financial condition and results of operations as of and for the fiscal years ended October 31, 2022 and 2021 can be found in Part II, Item 7, "Management’s Discussion and Analysis of Financial Condition and Results of Operations," of our Annual Report on Form 10-K for the fiscal year ended October 31, 2022.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is presented as follows:</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MD&amp;A, we have provided financial and liquidity measures that are not calculated or presented in accordance with U.S. GAAP ("non-GAAP financial measures," "adjusted" before specified financial measures, and "non-GAAP liquidity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fiscal 2023 results included the following items of significance that are provided in summary format here and described in greater detail throughout the "Results of Operations," "Business Segments," and "Financial Position" sections:</w:t>
      </w:r>
    </w:p>
    <w:p>
      <w:pPr>
        <w:spacing w:after="0" w:line="5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for fiscal 2023 were $4,553.2 million, an increase of 0.9 percent compared to $4,514.7 million in fiscal 2022.</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fiscal 2023 were $3,674.6 million, an increase of 7.1 percent compared to $3,429.6 million in fiscal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for fiscal 2023 were $854.2 million, a decrease of 20.1 percent compared to $1,068.6 million in fiscal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34.6 percent in fiscal 2023, an increase of 130 basis points compared to 33.3 percent in fiscal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was 34.7 percent in fiscal 2023, an increase of 130 basis points compared to 33.4 percent in fiscal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as a percentage of net sales in fiscal 2023 was 21.8 percent, an increase of 130 basis points compared to 20.5 percent in fiscal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for fiscal 2023 were $329.7 million, or $3.13 per diluted share, compared to $443.3 million, or $4.20 per diluted share, in fiscal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for fiscal 2023 were $443.5 million, or $4.21 per diluted share, compared to $444.2 million, or $4.20 per diluted share, in fiscal 2022.</w:t>
      </w: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inventory was higher as of the end of fiscal 2023 compared to the end of fiscal 2022, primarily driven by channel replenishment and lower than anticipated retail demand from homeowners who prefer professional solutions.</w:t>
      </w:r>
    </w:p>
    <w:p>
      <w:pPr>
        <w:jc w:val="both"/>
        <w:ind w:left="340" w:hanging="332"/>
        <w:spacing w:after="0" w:line="253"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backlog represents unfulfilled customer orders at a point in time. Our order backlog (including shipments beyond 12 months) decreased $343.4 million to $1,965.7 million as of October 31, 2023 from $2,309.1 million as of October 31, 2022, primarily driven by improved manufacturing output. Our order backlog remains significantly elevated over what the company would consider normal, due to demand for golf and grounds equipment and underground and specialty construction products continuing to outpace production of such products.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for reconciliations of non-GAAP financial measures to the most directly comparable reported U.S. GAAP financial measures.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continued our history of paying quarterly cash dividends throughout fiscal 2023 and increased our fiscal 2023 quarterly cash dividend by 13.3 percent to $0.34 per share compared to $0.30 per share paid in fiscal 2022. We also repurchased shares of our common stock under our Board authorized repurchase program, thereby reducing our total shares outstanding. As a result of the combination of quarterly cash dividends and share repurchases, we returned $201.9 million of cash to our shareholders during fiscal 2023. As of October 31, 2023, we had a strong liquidity profile with available liquidity of $750.5 million, consisting of cash and cash equivalents of $193.1 million and availability under our revolving credit facility of $557.4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Multi-Year Employee Initiative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multi-year employee initiative, "Drive for Five," which began in fiscal 2022, is intended to align and engage employees on furthering our profitable growth by offering innovative business and product categories to serve our customers. As such, the core focus of this initiative is our goal of exceeding $5.0 billion in net sales through organic growth, while continuing our historical focus on improving profitability, by the end of fiscal 2024. We believe this goal enhances the innovation and growth momentum for the organization.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Initiative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recently announced a new "Amplifying Maximum Productivity" or AMP initiative, which is a multi-year initiative intended to result in annualized cost savings of more than $100 million by fiscal 2027, driven by sustainable supply-base, design-to-value, and route-to-market transformation. We expect to reinvest a portion of the savings from this initiative to drive further innovation and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Intimidator Group</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January 13, 2022, during the first quarter of fiscal 2022, we completed our acquisition of Intimidator for net aggregate purchase consideration of $399.8 million. Intimidator primarily designs, manufactures, markets, and sells a commercial-grade line of zero-turn mowers under the Spartan brand, which are intended to provide innovative turf management solutions to landscape contractors and other customers including homeowners who prefer professional solutions. The acquisition of Intimidator broadened our Professional reportable segment and expanded our manufacturing footprint and dealer network. Subsequent to the closing date, results of operations for Intimidator have been included within our Professional reportable segment within our Consolidated Financial Statements and had an incremental impact to our Professional reportable segment net sales for the first twelve months post acquisition, or through the first quarter of fiscal 2023. For additional information regarding the Intimidator acquisition, refer to Note 2, </w:t>
      </w:r>
      <w:r>
        <w:rPr>
          <w:rFonts w:ascii="Times New Roman" w:cs="Times New Roman" w:eastAsia="Times New Roman" w:hAnsi="Times New Roman"/>
          <w:sz w:val="18"/>
          <w:szCs w:val="18"/>
          <w:i w:val="1"/>
          <w:iCs w:val="1"/>
          <w:color w:val="auto"/>
        </w:rPr>
        <w:t>Business Combinations and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the Notes to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preparation of our financial statements for the third quarter of fiscal 2023, we identified deterioration in year-to-date fiscal 2023 results of Intimidator compared to previous expectations and resulting downward revisions to our projected future results of Intimidator made during the third quarter of fiscal 2023 as part of our annual long range strategic planning process, including future expected cash flows, which were significantly lower than previously expected. The underperformance was attributable to summer seasonality trends that did not materialize primarily due to reduced retail demand from homeowners who prefer professional solutions. This reduced retail demand from homeowners who prefer professional solutions was driven by persistent hot and dry weather patterns across key regions, coupled with a number of macro factors, including higher interest rates, economic uncertainty, and consumer spending preferences following the exceptional demand during the pandemic. Additionally, we had previously replenished the Intimidator customer channel, which, combined with the reduced retail demand, caused a significant reduction in shipments and customer reorders during the third quarter of fiscal 2023, as well as a material reduction in projected future financial results for Intimidator.</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above factors, we concluded it was more likely than not that the indefinite-lived Spartan trade name intangible asset was impaired and that the fair value of the Intimidator reporting unit was less than its carrying amount. As such, we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performed quantitative impairment analyses to compare the fair value of the Spartan trade name intangible asset and the Intimidator reporting unit with their respective carrying amounts.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analyses, at the end of the third quarter of fiscal 2023, we recorded an impairment charge of $18.0 million related to the indefinite-lived Spartan trade name intangible asset reported under the Professional segment. Further, during the same period, we recorded an impairment charge of $133.3 million related to goodwill of the Intimidator reporting unit also reported under the Professional segment. Subsequent to these impairment charges, the remaining balance of the indefinite-lived Spartan trade name intangible asset is $81.1 million and the remaining balance of goodwill for the Intimidator reporting unit is $30.5 million. These impairment charges are included in the Non-cash impairment charges caption on the Consolidated Statements of Earnings. These impairment charges resulted in a $36.7 million income tax benefit (deferred tax asset) associated with the remaining tax deductible basis in goodwill and other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in fiscal 2023 were $4,553.2 million compared to $4,514.7 million in fiscal 2022, an increase of 0.9 percent. This net sales increase was primarily driven by net price realization, higher shipments of Professional segment products, and the incremental net sales attributable to the acquisition of Intimidator, partially offset by lower shipments of Residential segment products.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international markets were $947.7 million for fiscal 2023 compared to $879.2 million in fiscal 2022, an increase of 7.8 percent. Changes in foreign currency exchange rates resulted in a decrease in our net sales of $5.5 million in fiscal 2023. The international net sales increase was primarily driven by higher shipments and net price realization in the Professional segment, partially offset by lower shipments in the Residential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consolidated 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64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6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(65.4)</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(66.7)</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34.6</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33.3</w:t>
            </w: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SG&amp;A expense</w:t>
            </w:r>
          </w:p>
        </w:tc>
        <w:tc>
          <w:tcPr>
            <w:tcW w:w="4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(21.8)</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w:t>
            </w:r>
          </w:p>
        </w:tc>
      </w:tr>
      <w:tr>
        <w:trPr>
          <w:trHeight w:val="20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464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(3.3)</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4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9.5</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0.6</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8.8</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(1.6)</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r>
      <w:tr>
        <w:trPr>
          <w:trHeight w:val="221"/>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46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7.2 %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Gross profit represents net sales less cost of sales and gross margin represents gross profit as a percentage of net sales. Refer to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Related Data</w:t>
      </w:r>
      <w:r>
        <w:rPr>
          <w:rFonts w:ascii="Times New Roman" w:cs="Times New Roman" w:eastAsia="Times New Roman" w:hAnsi="Times New Roman"/>
          <w:sz w:val="18"/>
          <w:szCs w:val="18"/>
          <w:color w:val="auto"/>
        </w:rPr>
        <w:t>, of the Notes to Consolidated Financial Statements within the section entitled "Cost of Sales,"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expenses included in cost of sales. Gross profit for fiscal 2023 was $1,577.6 million, up 4.9 percent compared to gross profit of $1,504.6 million in fiscal 2022. Gross margin was 34.6 percent in fiscal 2023 compared to 33.3 percent in fiscal 2022, an increase of 130 basis points. The increase in gross margin in fiscal 2023 as compared to fiscal 2022 was primarily due to net price realization and productivity improvements, partially offset by higher material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SG&amp;A expense increased $66.7 million, or 7.2 percent, in fiscal 2023 compared to fiscal 2022. Refer to Note 1,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Related Data</w:t>
      </w:r>
      <w:r>
        <w:rPr>
          <w:rFonts w:ascii="Times New Roman" w:cs="Times New Roman" w:eastAsia="Times New Roman" w:hAnsi="Times New Roman"/>
          <w:sz w:val="18"/>
          <w:szCs w:val="18"/>
          <w:color w:val="auto"/>
        </w:rPr>
        <w:t>, of the Notes to Consolidated Financial Statements within the section entitled "Selling, General and Administrative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description of expenses included in SG&amp;A expense. As a percentage of net sales, SG&amp;A expense was 21.8 percent in fiscal 2023 compared to 20.5 percent in fiscal 2022, an increase of 130 basis points. The increase in SG&amp;A expense as a percentage of net sales was primarily driven by higher corporate expenses, higher marketing and warranty costs, and increased investment in research and engineering.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Impairment Charges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non-cash impairment charges of $151.3 million within our Professional segment related to Intimidator in fiscal 2023. No impairment charges were recognized in fiscal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2023 increased $23.0 million compared to fiscal 2022. This increase was driven by higher average interest rates in fiscal 2023 compared to fiscal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fiscal 2023 was $28.5 million compared to $12.5 million in fiscal 2022, an increase of $16.0 million. This increase in other income, net was primarily due to higher income from our Red Iron joint venture and the favorable impact from derivative instruments in fiscal 2023 as compared to fiscal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2023 was 17.7 percent compared to 19.8 percent in fiscal 2022. The decrease in the effective tax rate for fiscal 2023 was primarily due to the impact of non-cash impairment charges and higher tax benefits recorded as excess tax deductions for stock compensation during fiscal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effective tax rate for fiscal 2023 was 20.4 percent, compared to an adjusted effective tax rate of 20.2 percent in fiscal 2022. Reconciliations of non-GAAP financial measures to the most directly comparable reported U.S. GAAP financial measures are included in the section titled "Non-GAAP Financial Measures."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and Net Earnings Per Diluted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Fiscal 2023 net earnings were $329.7 million compared to $443.3 million in fiscal 2022, a decrease of 25.6 percent. Fiscal 2023 diluted net earnings per share were $3.13, a decrease of 25.5 percent from $4.20 per diluted share in fiscal 2022. The decrease in net earnings per diluted share for fiscal 2023 was primarily driven by the non-cash impairment charges, higher interest expense, and lower Residential segment earnings, partially offset by strong Professional segment earnings excluding the non-cash impairment charges and higher income from our Red Iron joint venture.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earnings for fiscal 2023 were $443.5 million, or $4.21 per diluted share, compared to $444.2 million, or $4.20 per diluted share, in fiscal 2022. Reconciliations of non-GAAP financial measures to the most directly comparable reported U.S. GAAP financial measures are included in the section titled "Non-GAAP Financial Measures."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operate in two reportable business segments: Professional and Residential. Segment earnings for our Professional and Residential reportable segments are defined as earnings from operations plus other income, net. Our remaining activities consisting of a wholly-owned domestic distribution company, Red Iron joint venture, certain corporate activities,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as well as other unallocated corporate assets and liabilities, such as corporate facilities and deferred tax assets and liabilities. The following information provides perspective on the net sales and operating results of our reportable business segments and Other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segment net sales represented 80.7 percent and 76.0 percent of consolidated net sales for fiscal 2023 and 2022, respectively. The following table presents our Professional segment's net sales, earnings, and earnings as a percentage of net sales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3,674.6</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3,429.6</w:t>
            </w:r>
          </w:p>
        </w:tc>
      </w:tr>
      <w:tr>
        <w:trPr>
          <w:trHeight w:val="195"/>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2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7.1 %</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28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509.1</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584.0</w:t>
            </w:r>
          </w:p>
        </w:tc>
      </w:tr>
      <w:tr>
        <w:trPr>
          <w:trHeight w:val="19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Segment earnings as a percentage of segment net sales</w:t>
            </w:r>
          </w:p>
        </w:tc>
        <w:tc>
          <w:tcPr>
            <w:tcW w:w="2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Professional segment in fiscal 2023 increased 7.1 percent compared to fiscal 2022. This increase was primarily driven by higher shipments of underground and specialty construction, and golf and grounds products, net price realization, and the incremental net sales attributable to the acquisition of Intimidator, partially offset by lower shipments of contractor-grade lawn care equipment.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Earnings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Professional segment earnings decreased 12.8 percent in fiscal 2023 compared to fiscal 2022, and when expressed as a percentage of Professional segment net sales, decreased to 13.9 percent from 17.0 percent. The decrease in Professional segment earnings as a percentage of Professional segment net sales for fiscal 2023 was primarily driven by the non-cash impairment charges and higher material costs, partially offset by net price realization and productivity improvements.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segment net sales represented 18.8 percent and 23.7 percent of consolidated net sales for fiscal 2023 and 2022, respectively. The following table presents our Residential segment's net sales, earnings, and earnings as a percentage of net sales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854.2</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1,068.6</w:t>
            </w:r>
          </w:p>
        </w:tc>
      </w:tr>
      <w:tr>
        <w:trPr>
          <w:trHeight w:val="195"/>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28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28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68.9</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112.7</w:t>
            </w:r>
          </w:p>
        </w:tc>
      </w:tr>
      <w:tr>
        <w:trPr>
          <w:trHeight w:val="19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Segment earnings as a percentage of segment net sales</w:t>
            </w:r>
          </w:p>
        </w:tc>
        <w:tc>
          <w:tcPr>
            <w:tcW w:w="2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Net Sales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for our Residential segment in fiscal 2023 decreased by 20.1 percent compared to fiscal 2022. This decrease was primarily driven by lower shipments of products broadly across the segment, partially offset by net price realization.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segment earnings decreased 38.9 percent in fiscal 2023 compared to fiscal 2022, and when expressed as a percentage of Residential segment net sales, decreased to 8.1 percent from 10.5 percent. This Residential segment earnings decrease as a percentage of Residential segment net sales was primarily driven by lower sales volume and unfavorable product mix, partially offset by net price realization.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Other activities consist of sales from a wholly-owned domestic distribution company less intercompany sales from our Professional and Residential business segments to the wholly-owned domestic distribution company. Net sales for our Other activities represented 0.5 percent and 0.3 percent of consolidated net sales for fiscal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and operating loss for our Other activities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24.4</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4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47.9 %</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(177.5)</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our Other activities includes sales from our wholly-owned domestic distribution company net of intersegment sales from the Professional and Residential segments to the distribution company. Net sales for our Other activities in fiscal 2023 increased $7.9 million compared to fiscal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loss for our Other activities increased $33.3 million in fiscal 2023 compared to fiscal 2022. This year-over-year operating loss increase was primarily driven by higher interest expense, higher corporate expenses, and restructuring charges, partially offset by higher income from our Red Iron joint venture and the favorable impact from derivative instruments.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macroeconomic environment remains challenging, but our supply chain is beginning to stabilize. Our continued goal is to maintain requisite inventory levels to meet our anticipated production requirements, avoid manufacturing delays, and meet the demand for our products, as well as ensure service parts availability for our customers. The following table highlights several key measures of our working capital performance (dollars in millions):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receivables, net</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379.2</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inventories, net</w:t>
            </w:r>
          </w:p>
        </w:tc>
        <w:tc>
          <w:tcPr>
            <w:tcW w:w="3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1,134.5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914.4</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accounts payable</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450.9</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days outstanding for receivables</w:t>
            </w:r>
          </w:p>
        </w:tc>
        <w:tc>
          <w:tcPr>
            <w:tcW w:w="30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inventory turnover (times per fiscal year)</w:t>
            </w:r>
          </w:p>
        </w:tc>
        <w:tc>
          <w:tcPr>
            <w:tcW w:w="30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2023, our average net working capital was 23.3 percent compared to 17.1 percent as of the end of fiscal 2022. We calculate our average net working capital as average net accounts receivable plus average net inventory, less average accounts payable as a percentage of net sales for a twelve month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impacted our average net working capital during fiscal 2023 as compared to fiscal 2022:</w:t>
      </w:r>
    </w:p>
    <w:p>
      <w:pPr>
        <w:spacing w:after="0" w:line="117" w:lineRule="exact"/>
        <w:rPr>
          <w:sz w:val="20"/>
          <w:szCs w:val="20"/>
          <w:color w:val="auto"/>
        </w:rPr>
      </w:pPr>
    </w:p>
    <w:p>
      <w:pPr>
        <w:ind w:left="340" w:hanging="332"/>
        <w:spacing w:after="0" w:line="261"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receivables increased by 7.8 percent, primarily driven by payment terms. Our average days outstanding for receivables increased to 30.4 days in fiscal 2023 compared to 28.4 days in fiscal 2022.</w:t>
      </w:r>
    </w:p>
    <w:p>
      <w:pPr>
        <w:ind w:left="340" w:right="2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inventories increased by 24.1 percent, primarily due to higher finished goods resulting from decreased demand for solutions sold to homeowners.</w:t>
      </w: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accounts payable decreased by 8.8 percent, primarily driven by a reduction in purchases year-over-year.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ongoing capital investments in our property, plant, and equipment and believe that in periods of normalized supply chain conditions our historical capital investments in our manufacturing facilities and other capital assets will increase the production capacity and efficiencies of our operations to better enable us to meet the needs of our customers. Fiscal 2023 capital expenditures of $149.5 million were $6.0 million higher than our fiscal 2022 capital expenditures of $143.5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by/(used in) operating, investing, and financing activities during the past two fiscal years are shown in the following table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Cash Provided by/</w:t>
            </w:r>
          </w:p>
        </w:tc>
        <w:tc>
          <w:tcPr>
            <w:tcW w:w="800" w:type="dxa"/>
            <w:vAlign w:val="bottom"/>
            <w:tcBorders>
              <w:top w:val="single" w:sz="8" w:color="auto"/>
            </w:tcBorders>
          </w:tcPr>
          <w:p>
            <w:pPr>
              <w:spacing w:after="0"/>
              <w:rPr>
                <w:sz w:val="13"/>
                <w:szCs w:val="13"/>
                <w:color w:val="auto"/>
              </w:rPr>
            </w:pPr>
          </w:p>
        </w:tc>
      </w:tr>
      <w:tr>
        <w:trPr>
          <w:trHeight w:val="195"/>
        </w:trPr>
        <w:tc>
          <w:tcPr>
            <w:tcW w:w="8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(Used in)</w:t>
            </w:r>
          </w:p>
        </w:tc>
        <w:tc>
          <w:tcPr>
            <w:tcW w:w="800" w:type="dxa"/>
            <w:vAlign w:val="bottom"/>
            <w:tcBorders>
              <w:bottom w:val="single" w:sz="8" w:color="auto"/>
            </w:tcBorders>
          </w:tcPr>
          <w:p>
            <w:pPr>
              <w:spacing w:after="0"/>
              <w:rPr>
                <w:sz w:val="16"/>
                <w:szCs w:val="16"/>
                <w:color w:val="auto"/>
              </w:rPr>
            </w:pPr>
          </w:p>
        </w:tc>
      </w:tr>
      <w:tr>
        <w:trPr>
          <w:trHeight w:val="19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306.8</w:t>
            </w:r>
          </w:p>
        </w:tc>
        <w:tc>
          <w:tcPr>
            <w:tcW w:w="5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(157.7)</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(548.3)</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196"/>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6"/>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196"/>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end of the fiscal period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193.1</w:t>
            </w:r>
          </w:p>
        </w:tc>
        <w:tc>
          <w:tcPr>
            <w:tcW w:w="5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27"/>
        </w:trPr>
        <w:tc>
          <w:tcPr>
            <w:tcW w:w="8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 of funds is cash generated from operations. In fiscal 2023, cash provided by operating activities increased by $9.6 million, or 3.2 percent, from fiscal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and capital expenditures are a significant use of our capital resources. These investments are intended to enable sales growth in new, existing, and expanding markets, help us meet product demand, and increase our manufacturing efficiencies and capacity. Cash used in investing activities in fiscal 2023 decreased by $390.6 million from fiscal 2022. This decrease was primarily due to cash used to acquire Intimidator in fiscal 2022 that was not repeated.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fiscal 2023 was $147.5 million compared to cash provided by financing activities of $42.2 million in fiscal 2022. This change in cash flows from financing activities was mainly due to lower net borrowings, partially offset by lower share repurchases, in each case during fiscal 2023 compared to fiscal 2022. The net borrowings incurred during fiscal 2022 were used in part to acquire Intimidator.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we had available liquidity of $750.5 million, consisting of cash and cash equivalents of $193.1 million, of which $91.1 million was held by our foreign subsidiaries, and availability under our revolving credit facility of $557.4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$32.8 million of cash and cash equivalents held by our foreign subsidiaries will be indefinitely reinvested. Should these cash and cash equivalents be distributed in the future in the form of dividends or otherwise, we may be subject to foreign withholding taxes, state income taxes, and/or additional federal taxes for currency fluctuations. As of October 31, 2023,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current liquidity position, including the funds available through existing, and potential future, financing arrangements and projected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indebtedness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2026</w:t>
            </w:r>
          </w:p>
        </w:tc>
        <w:tc>
          <w:tcPr>
            <w:tcW w:w="3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$270 million term loan, due October 2026</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million term loan, due April 2027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124.2</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203"/>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1,031.5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990.8</w:t>
            </w:r>
          </w:p>
        </w:tc>
      </w:tr>
      <w:tr>
        <w:trPr>
          <w:trHeight w:val="27"/>
        </w:trPr>
        <w:tc>
          <w:tcPr>
            <w:tcW w:w="55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Principal payments required on our outstanding indebtedness, based on the maturity dates defined within our debt arrangements,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6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6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payments required on our outstanding indebtedness, assuming no prepayments of indebtedness,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Interest payments</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6"/>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variable rate debt was calculated using the interest rate as of October 31, 2023.</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credit facility has a borrowing capacity of up to $600.0 million that matures on October 5, 2026. Included in the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$300.0 million. As of October 31, 2023 we had $40.0 million outstanding under the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$2.6 million outstanding under the sublimit for standby letters of credit, resulting in $557.4 million of unutilized availability under our revolving credit facility. As of October 31, 2022 we had no outstanding borrowings under the revolving credit facility and $3.1 million outstanding under the sublimit for standby letters of credit, resulting in $596.9 million of unutilized availability under our revolving credit facility. As of October 31, 2023, our debt ratings for long-term unsecured senior, non-credit enhanced debt by Standard and Poor's Ratings Group and by Moody's Investors Service were BBB and Baa1, respectively, and in both cases with a stable outlook.</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agreements governing our outstanding indebtedness are described in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Notes to Consolidated Financial Statements. We are in compliance with our debt covenants and other requirements of our revolving credit facility and term loan credit agreements, indentures and private placement note purchase agreements.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capital structure and debt-to-capitalization ratio (dollars in millions, except percentage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r>
      <w:tr>
        <w:trPr>
          <w:trHeight w:val="202"/>
        </w:trPr>
        <w:tc>
          <w:tcPr>
            <w:tcW w:w="4940" w:type="dxa"/>
            <w:vAlign w:val="bottom"/>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6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60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160" w:type="dxa"/>
            <w:vAlign w:val="bottom"/>
            <w:shd w:val="clear" w:color="auto" w:fill="D1ECFA"/>
          </w:tcPr>
          <w:p>
            <w:pPr>
              <w:spacing w:after="0"/>
              <w:rPr>
                <w:sz w:val="17"/>
                <w:szCs w:val="17"/>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160" w:type="dxa"/>
            <w:vAlign w:val="bottom"/>
          </w:tcPr>
          <w:p>
            <w:pPr>
              <w:spacing w:after="0"/>
              <w:rPr>
                <w:sz w:val="16"/>
                <w:szCs w:val="16"/>
                <w:color w:val="auto"/>
              </w:rPr>
            </w:pPr>
          </w:p>
        </w:tc>
      </w:tr>
      <w:tr>
        <w:trPr>
          <w:trHeight w:val="203"/>
        </w:trPr>
        <w:tc>
          <w:tcPr>
            <w:tcW w:w="4940" w:type="dxa"/>
            <w:vAlign w:val="bottom"/>
            <w:tcBorders>
              <w:bottom w:val="single" w:sz="8" w:color="auto"/>
            </w:tcBorders>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Debt-to-capitalization ratio</w:t>
            </w:r>
          </w:p>
        </w:tc>
        <w:tc>
          <w:tcPr>
            <w:tcW w:w="3660" w:type="dxa"/>
            <w:vAlign w:val="bottom"/>
            <w:tcBorders>
              <w:bottom w:val="single" w:sz="8" w:color="auto"/>
            </w:tcBorders>
            <w:shd w:val="clear" w:color="auto" w:fill="D1ECFA"/>
          </w:tcPr>
          <w:p>
            <w:pPr>
              <w:spacing w:after="0"/>
              <w:rPr>
                <w:sz w:val="17"/>
                <w:szCs w:val="17"/>
                <w:color w:val="auto"/>
              </w:rPr>
            </w:pP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600" w:type="dxa"/>
            <w:vAlign w:val="bottom"/>
            <w:tcBorders>
              <w:bottom w:val="single" w:sz="8" w:color="auto"/>
            </w:tcBorders>
            <w:shd w:val="clear" w:color="auto" w:fill="D1ECFA"/>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6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debt-to-capitalization ratio decreased in fiscal 2023 compared to fiscal 2022 primarily due to our continued profitability.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quarter of fiscal 2023, our Board of Directors declared a common stock cash dividend of $0.34 per share, which was a 13.3 percent increase over our common stock cash dividend of $0.30 per share paid each quarter in fiscal 2022. On December 12, 2023, our Board of Directors increased our fiscal 2024 first quarter common stock cash dividend by 5.9 percent to $0.36 per share. Future common stock cash dividends will depend upon our financial condition, results of operations, capital requirements, and other factors deemed relevant by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authorized stock repurchase program provides shares for use in connection with our stock-based compensation plans, among other uses, and has no expiration. The following table provides information with respect to repurchases of our common stock during the past two fiscal years (dollars in millions,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9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Board authorized common stock purchased</w:t>
            </w:r>
          </w:p>
        </w:tc>
        <w:tc>
          <w:tcPr>
            <w:tcW w:w="2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577,115</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1,525,856</w:t>
            </w:r>
          </w:p>
        </w:tc>
      </w:tr>
      <w:tr>
        <w:trPr>
          <w:trHeight w:val="19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repurchase common stock</w:t>
            </w:r>
          </w:p>
        </w:tc>
        <w:tc>
          <w:tcPr>
            <w:tcW w:w="2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3"/>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29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103.97</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2023, 6,949,491 shares remained available for repurchase under our Board authorized stock repurchase program. We currently expect to continue share repurchases in fiscal 2024, depending on our cash balance, debt repayments, common stock price and other market conditions, our anticipated working capital needs, and/or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inventory financing arrangements with Red Iron, HCFC, and other third-party financial institutions (collectively, the "financial institutions") which provide inventory financing to certain dealers and distributors of certain of our products in the U.S. and internationally. These financing arrangements are structured as an advance in the form of a payment by the financial institutions to us on behalf of a distributor or dealer with respect to invoices financed by the financial institution. These payments extinguish the obligation of the dealer or distributor to make payment to us under the terms of the applicable invoice.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us. Under these financing arrangements, down payments are not required, and depending on the finance program for each product line, finance charges are incurred by us, shared between us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Rate ("SOFR"), or an alternative variable rate, plus a fixed percentage that differs based on whether the financing is for a distributor or dealer.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may also vary based on the product that is financed.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 with Red Iron during fiscal 2023 and 2022 was $2,789.5 million and $2,627.5 million, respectively. The total amount of net receivables outstanding under the arrangement with Red Iron as of October 31, 2023 and 2022 was $1,019.0 million and $776.1 million, respectively. The total amount of receivables due from Red Iron to us as of October 31, 2023 and 2022 were $34.4 million and $17.7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2023 and 2022 was $545.4 million and $633.5 million, respectively. As of October 31, 2023 and 2022, $234.7 million and $220.0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inventory repurchase agreements with the other third-party financial institutions under which we have agreed to repurchase certain repossessed products. As of October 31, 2023 and 2022, we were contingently liable to repurchase up to a maximum amount of $32.2 million and $80.0 million of repossessed inventory,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2023 and 2022 was $5.2 million and $8.6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provided in this Annual Report on Form 10-K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performance measures calculated and reported in accordance with U.S. GAAP to the most directly comparable non-GAAP financial performance measures for the fiscal years ended October 31, 2023 and 2022 (dollars in millions, except per share and percentage data):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1,577.6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1,504.6</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1,579.0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1,506.2</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gross margin</w:t>
            </w:r>
          </w:p>
        </w:tc>
        <w:tc>
          <w:tcPr>
            <w:tcW w:w="3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34.7 %</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33.4 %</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575.7</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151.3</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earnings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587.4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579.7</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 margin</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3.3 %</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earnings margin</w:t>
            </w:r>
          </w:p>
        </w:tc>
        <w:tc>
          <w:tcPr>
            <w:tcW w:w="3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12.9 %</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r>
      <w:tr>
        <w:trPr>
          <w:trHeight w:val="81"/>
        </w:trPr>
        <w:tc>
          <w:tcPr>
            <w:tcW w:w="5420" w:type="dxa"/>
            <w:vAlign w:val="bottom"/>
            <w:tcBorders>
              <w:bottom w:val="single" w:sz="8" w:color="auto"/>
            </w:tcBorders>
            <w:shd w:val="clear" w:color="auto" w:fill="CCEEFF"/>
          </w:tcPr>
          <w:p>
            <w:pPr>
              <w:spacing w:after="0"/>
              <w:rPr>
                <w:sz w:val="7"/>
                <w:szCs w:val="7"/>
                <w:color w:val="auto"/>
              </w:rPr>
            </w:pPr>
          </w:p>
        </w:tc>
        <w:tc>
          <w:tcPr>
            <w:tcW w:w="30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r>
      <w:tr>
        <w:trPr>
          <w:trHeight w:val="18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552.5</w:t>
            </w:r>
          </w:p>
        </w:tc>
      </w:tr>
      <w:tr>
        <w:trPr>
          <w:trHeight w:val="21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151.3</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earnings before income taxes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557.2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556.5</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109.2</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36.7</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income tax provision</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113.7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112.3</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8"/>
        </w:trPr>
        <w:tc>
          <w:tcPr>
            <w:tcW w:w="5420" w:type="dxa"/>
            <w:vAlign w:val="bottom"/>
            <w:tcBorders>
              <w:bottom w:val="single" w:sz="8" w:color="auto"/>
            </w:tcBorders>
            <w:shd w:val="clear" w:color="auto" w:fill="CCEEFF"/>
          </w:tcPr>
          <w:p>
            <w:pPr>
              <w:spacing w:after="0"/>
              <w:rPr>
                <w:sz w:val="5"/>
                <w:szCs w:val="5"/>
                <w:color w:val="auto"/>
              </w:rPr>
            </w:pPr>
          </w:p>
        </w:tc>
        <w:tc>
          <w:tcPr>
            <w:tcW w:w="30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18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329.7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443.3</w:t>
            </w:r>
          </w:p>
        </w:tc>
      </w:tr>
      <w:tr>
        <w:trPr>
          <w:trHeight w:val="21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r>
      <w:tr>
        <w:trPr>
          <w:trHeight w:val="202"/>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114.6</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r>
      <w:tr>
        <w:trPr>
          <w:trHeight w:val="21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443.5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444.2</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54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diluted share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4.20</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0.04</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1.09</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(0.05)</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(0.03)</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net earnings per diluted share</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4.20</w:t>
            </w:r>
          </w:p>
        </w:tc>
      </w:tr>
      <w:tr>
        <w:trPr>
          <w:trHeight w:val="27"/>
        </w:trPr>
        <w:tc>
          <w:tcPr>
            <w:tcW w:w="5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1"/>
        </w:trPr>
        <w:tc>
          <w:tcPr>
            <w:tcW w:w="542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1.5 %</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1.2 %</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effective tax rate</w:t>
            </w:r>
          </w:p>
        </w:tc>
        <w:tc>
          <w:tcPr>
            <w:tcW w:w="3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20.4 %</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20.2 %</w:t>
            </w:r>
          </w:p>
        </w:tc>
      </w:tr>
      <w:tr>
        <w:trPr>
          <w:trHeight w:val="27"/>
        </w:trPr>
        <w:tc>
          <w:tcPr>
            <w:tcW w:w="5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left="180" w:hanging="172"/>
        <w:spacing w:after="0"/>
        <w:tabs>
          <w:tab w:leader="none" w:pos="234"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On January 13, 2022, we completed our acquisition of Intimidator. Acquisition-related costs for the fiscal year ended October 31, 2023 represent integration costs incurred in connection with the acquisition. Acquisition-related costs for the fiscal year ended October 31, 2022 represent transaction and integration costs incurred in connection with the acquisition. For additional information regarding this acquisition, refer to Note 2, </w:t>
      </w:r>
      <w:r>
        <w:rPr>
          <w:rFonts w:ascii="Times New Roman" w:cs="Times New Roman" w:eastAsia="Times New Roman" w:hAnsi="Times New Roman"/>
          <w:sz w:val="15"/>
          <w:szCs w:val="15"/>
          <w:i w:val="1"/>
          <w:iCs w:val="1"/>
          <w:color w:val="auto"/>
        </w:rPr>
        <w:t>Business Combinations and Asset Acquisitions</w:t>
      </w:r>
      <w:r>
        <w:rPr>
          <w:rFonts w:ascii="Times New Roman" w:cs="Times New Roman" w:eastAsia="Times New Roman" w:hAnsi="Times New Roman"/>
          <w:sz w:val="15"/>
          <w:szCs w:val="15"/>
          <w:color w:val="auto"/>
        </w:rPr>
        <w:t>, of the Notes to Consolidated Financial Statements.</w:t>
      </w:r>
    </w:p>
    <w:p>
      <w:pPr>
        <w:spacing w:after="0" w:line="87" w:lineRule="exact"/>
        <w:rPr>
          <w:sz w:val="20"/>
          <w:szCs w:val="20"/>
          <w:color w:val="auto"/>
        </w:rPr>
      </w:pPr>
    </w:p>
    <w:p>
      <w:pPr>
        <w:jc w:val="both"/>
        <w:ind w:left="180" w:hanging="172"/>
        <w:spacing w:after="0"/>
        <w:tabs>
          <w:tab w:leader="none" w:pos="207"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October of fiscal 2023, we initiated a restructuring program expected to be completed by the end of the first quarter of fiscal 2024. The anticipated costs associated with the program include severance, termination benefits, and other exit-related expenses. Restructuring charges for the fiscal year ended October 31, 2023 represent accrued severance costs.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hanging="172"/>
        <w:spacing w:after="0" w:line="230" w:lineRule="auto"/>
        <w:tabs>
          <w:tab w:leader="none" w:pos="1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the end of the third quarter of fiscal 2023, we recorded non-cash impairment charges within our Professional reportable segment related to the Intimidator operating segment, as discussed in more detail under the heading "Company Overview-Impairment" in this section.</w:t>
      </w:r>
    </w:p>
    <w:p>
      <w:pPr>
        <w:spacing w:after="0" w:line="87" w:lineRule="exact"/>
        <w:rPr>
          <w:sz w:val="20"/>
          <w:szCs w:val="20"/>
          <w:color w:val="auto"/>
        </w:rPr>
      </w:pPr>
    </w:p>
    <w:p>
      <w:pPr>
        <w:jc w:val="both"/>
        <w:ind w:left="180" w:hanging="172"/>
        <w:spacing w:after="0" w:line="241" w:lineRule="auto"/>
        <w:tabs>
          <w:tab w:leader="none" w:pos="167"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fiscal years ended October 31, 2023 and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free cash flow and free cash flow conversion percentage to net cash provided by operating activities, which is the most directly comparable financial measure calculated and reported in accordance with U.S. GAAP for the fiscal years ended October 31, 2023 and October 31, 2022 (dollars in millions, except percentage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297.2</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Purchases of property, plant and equipment, net of proceeds from insurance claim</w:t>
            </w:r>
          </w:p>
        </w:tc>
        <w:tc>
          <w:tcPr>
            <w:tcW w:w="1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142.4</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143.5</w:t>
            </w:r>
          </w:p>
        </w:tc>
      </w:tr>
      <w:tr>
        <w:trPr>
          <w:trHeight w:val="20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164.4</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153.7</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329.7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443.3</w:t>
            </w:r>
          </w:p>
        </w:tc>
      </w:tr>
      <w:tr>
        <w:trPr>
          <w:trHeight w:val="221"/>
        </w:trPr>
        <w:tc>
          <w:tcPr>
            <w:tcW w:w="6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 conversion percentage</w:t>
            </w:r>
          </w:p>
        </w:tc>
        <w:tc>
          <w:tcPr>
            <w:tcW w:w="16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34.7 %</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certain of our sales promotions and incentives programs offered to customers that are determined to represent price concessions. The estimated expense of each sales promotion and incentive program is classified and recorded as a reduction from gross sales or as a component of SG&amp;A expense within the Consolidated Statements of Earnings when revenue is recognized, depending on the nature of the respective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 (ii) 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SG&amp;A expense because we receive a distinct good or service in exchange for the future consideration provided to the customer under the program.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Our off-invoice discounts represent an immediate reduction in the selling price of our products that is realized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with no anticipated future cost or consideration provided to the customer.</w:t>
      </w:r>
    </w:p>
    <w:p>
      <w:pPr>
        <w:jc w:val="both"/>
        <w:ind w:left="340" w:hanging="332"/>
        <w:spacing w:after="0" w:line="250" w:lineRule="auto"/>
        <w:tabs>
          <w:tab w:leader="none" w:pos="3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Our rebate programs are generally based on claims submitted from either our direct customers or end-users of our products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Our financing programs consist of wholesale floor plan financing with Red Iron and separate third-party financial institutions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end-user retail financing. Costs incurred for wholesale floor plan financing programs represent financing costs associated with programs under which we share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purchases. End-user retail financing is similar to floor planning with the difference being that retail financing programs are offered to end-user customers under which we, at our discretion, may pay a portion of interest costs on behalf of end-users for financing purchases of our equipment.</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SG&amp;A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Commissions Paid to Distributors and Dealers</w:t>
      </w:r>
      <w:r>
        <w:rPr>
          <w:rFonts w:ascii="Times New Roman" w:cs="Times New Roman" w:eastAsia="Times New Roman" w:hAnsi="Times New Roman"/>
          <w:sz w:val="18"/>
          <w:szCs w:val="18"/>
          <w:color w:val="auto"/>
        </w:rPr>
        <w:t>: For certain products, we use a distribution network of distributors and dealers that purchase and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mass retailers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 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projected wholesale and retail sales volumes and the quantity or mix of products.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2023, we had recorded an accrual for sales promotion and incentive programs of $163.0 million within the Consolidated Balance Sheets. We believe that our accrual for sales promotion and incentive programs is adequate as of October 31, 2023 and historically has been adequate; however, due to the inherent uncertainty in the accrual estimation process,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from these estimates if competitive factors dictate the need to enhance or modify sales promotion and incentive programs or if customer usage, product mix, or field inventory levels vary from historical trends.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Goodwill is initially recognized as a result of the excess of purchase consideration transferred over the estimated fair value of the net assets acquired in a business combination. As of October 31, 2023, our goodwill balance was $450.8 million. Goodwill is not amortized, but is assessed for impairment at least annually during the fourth quarter of each fiscal year unless events or changes in circumstances indicate that impairment may have occurred prior to the annual assessment. We assess goodwill for impairment at the reporting unit level and our 12 reporting units are the same as our 12 operating segments as defined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Nine of our reporting units contained goodwill on their respective balance sheets as of October 31, 2023.</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preparation of the financial statements for the third quarter of fiscal 2023, we concluded that impairment indicators existed for our Intimidator reporting unit goodwill. Based on the resulting impairment assessment performed, we recorded an impairment charge of $133.3 million related to goodwill of the Intimidator reporting unit in the third quarter of fiscal 2023. For additional information regarding the impairment charge, refer to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fiscal 2023, consistent with prior fiscal years, we performed our annual quantitative goodwill impairment assessment, which is a one-step process. In performing the quantitative analysis, we compare the carrying value of a reporting unit, including goodwill, to its fair value.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fourth quarter annual quantitative goodwill impairment analysis, we determined there was no impairment of goodwill for any of our reporting units as the fair value of each reporting unit exceeded its respective carrying value, including goodwill. Further, excluding Intimidator, the fair value of each reporting unit exceeded its respective carrying value, including goodwill, in excess of 100 percent. Given the proximity of our annual impairment analysis to the third quarter analysis which resulted in Impairment for the Intimidator reporting unit goodwill, we would not expect significant excess of fair value over carrying value. The marginal positive excess is indicative of improved performance and a favorable business outlook due to management actions to prioritize and allocate sufficient resources to the Intimidator business, as well as accelerated release of new product offerings which will have a favorable impact to results in fiscal 2024 and beyond.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reporting unit under the quantitative goodwill impairment test was determined using a discounted cash flow model under the income approach which requires the use of significant judgment regarding the selection of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("WACC") rate.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Excluding Intimidator, the WACC rate could be increased by over 500 basis points with no impairment indicated for any of our reporting units. Excluding Intimidator, the terminal growth rate could be decreased by 300 basis points with no impairment indicated for any of our reporting units.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capitalization, where applicable. As a final corroboratory step, we reconcile the aggregate estimated fair value of our reporting units resulting from the income approach to our company's market capitalization.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are initially recognized at their estimated fair values as a result of a business combination or asset acquisition. As of October 31, 2023, our indefinite-lived intangible asset balances, which consist of certain trade names, were $271.5 million. Indefinite-lived intangible assets are not amortized, but are assessed for impairment at least annually during the fourth quarter of each fiscal year unless events or changes in circumstances indicate that impairment may have occurred prior to the annual assessment. We assess indefinite-lived intangible assets for impairment at the individual indefinite-lived intangible asset or asset group level, as appropriate.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preparation of the financial statements for the third quarter of fiscal 2023, we concluded that impairment indicators existed for our indefinite-lived Spartan trade name intangible asset. Based on the resulting impairment assessment performed, we recorded an impairment charge of $18.0 million related to the indefinite-lived Spartan trade name intangible asset in the third quarter of fiscal 2023. For additional information regarding the impairment charge, refer to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fiscal 2023, consistent with prior fiscal years, we performed our annual quantitative impairment assessment for indefinite-lived intangible assets by comparing the carrying amounts of each respective asset, or asset group, to its estimated fair value. If the fair value of the indefinite-lived intangible asset, or asset group, is less than its carrying value, an impairment loss is recognized in an amount equal to the excess. Based on our fourth quarter quantitative impairment analysis, we determined that our indefinite-lived intangible assets were not impaired as the estimated fair value of each of our indefinite-lived intangible assets exceeded its carrying value. Further, excluding the Intimidator Spartan trade name, the fair value of each of our indefinite-lived intangible assets exceeded its carrying value in excess of 20 percent. Given the proximity of our annual impairment analysis to the third quarter analysis which resulted in Impairment for the Intimidator Spartan trade name, we would not expect significant excess of fair value over carrying value. The marginal positive excess is indicative of improved performance and a favorable business outlook due to management actions to prioritize and allocate sufficient resources to the Intimidator business, as well as accelerate the release of new product offerings which will have a favorable impact to results in fiscal 2024 and beyond.</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was determined using the relief-from-royalty method under the income approach which requires the use of significant judgment regarding the selection of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These inputs and assumptions contemplate business, industry, and overall economic conditions, as well as relevant market data for royalty rates of similar intangible assets.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Excluding the Intimidator Spartan trade name, the discount rate could be increased by 170 basis points with no impairment indicated for any of our indefinite-lived intangible assets. Excluding the Intimidator Spartan trade name, the royalty rate could be decreased by 40 basis points with no impairment indicated for any of our indefinite-lived intangible assets.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estimated fair values of our reporting units and indefinite-lived intangible assets, or asset groups, requires considerable judgment and such estimates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may negatively affect the underlying key inputs and assumptions and ultimately affect the estimated fair values of our reporting units and indefinite-lived intangible assets.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continued volatile supply chain environment and/or additional increases in the costs of commodities, component parts, and labor; lack of customer acceptance of new or innovative technologies; increased competition; and other factors. While our annual impairment assessment performed in the fourth quarter of fiscal 2023 supported the carrying amount of our goodwill and indefinite-lived intangible assets, we may be required to re-evaluate the carrying amount in future periods utilizing different inputs and assumptions that reflect the then current market conditions and expectations regarding our operating performance, which may result in a future impairment that could be material.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time of sale, we recognize expense and record a warranty accrual by product line for estimated costs in connection with projected future warranty claims. Our estimate of the cost of future warranty claims is based primarily on the estimated number of products under warranty, historical average costs incurred to service warranty claims, the trend in the historical ratio of warranty 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 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$143.9 million warranty accrual as of October 31, 2023 is adequate and historically has been adequate; however, due to the inherent uncertainty in the accrual estimation process, including projecting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half of our inventories are valued at the lower of the cost of inventory or net realizable value, with cost determined by either the first-in, first-out or average cost method. Other inventories are valued at the lower of cost or market, with cost determined under the last-in, first-out method. As needed,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developing inventory valuation adjustments for excess, slow moving, and obsolete inventory, we are required to use judgment and make estimates of future sales demand and production requirements compared with current inventory levels. Our estimate of projected sales demand and production requirements is primarily based on actual orders received, historical demand, technological and product life cycle changes, product pricing, economic trends, and competitive factors, such as market and pricing trends for similar products. Although we believe our inventory valuation reserve for excess, slow-moving, and obsolete inventory is adequate at $43.9 million as of October 31, 2023, projecting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Projected sales demand and production requirements can also be affected by the significant redesign of our existing products or the replacement of an existing product by an entirely new generation of product. It is possible that an unfavorable adjustment to our inventory valuation reserve for excess, slow moving, and obsolete inventory may be required in the future if there is a change in any of the aforementioned factors that adversely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900"/>
        <w:spacing w:after="0" w:line="375" w:lineRule="auto"/>
        <w:rPr>
          <w:sz w:val="20"/>
          <w:szCs w:val="20"/>
          <w:color w:val="auto"/>
        </w:rPr>
      </w:pPr>
      <w:r>
        <w:rPr>
          <w:rFonts w:ascii="Times New Roman" w:cs="Times New Roman" w:eastAsia="Times New Roman" w:hAnsi="Times New Roman"/>
          <w:sz w:val="18"/>
          <w:szCs w:val="18"/>
          <w:color w:val="auto"/>
        </w:rPr>
        <w:t xml:space="preserve">impacts our estimates of future demand for our products and we do not modify our purchases or production schedule accordingly. </w:t>
      </w:r>
      <w:r>
        <w:rPr>
          <w:rFonts w:ascii="Times New Roman" w:cs="Times New Roman" w:eastAsia="Times New Roman" w:hAnsi="Times New Roman"/>
          <w:sz w:val="18"/>
          <w:szCs w:val="18"/>
          <w:b w:val="1"/>
          <w:bCs w:val="1"/>
          <w:color w:val="auto"/>
        </w:rPr>
        <w:t>Business Combinations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we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our Notes to Consolidated Financial Statements under the section entitled "New Accounting Pronouncements."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in the Notes to Consolidated Financial Statements included in Part II, Item 8,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 of this Annual Report on Form 10-K.</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2023 through fiscal 2026. All items are non-trading and stated in U.S. dollars. As of October 31, 2023, the average contracted rate, notional amount, fair value, and the gain at fair value of outstanding derivative instruments were as follows (dollars in millions, except average contracted 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Average Contracted</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Gain at Fair Value</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Australian dollar</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0.6796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112.2</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Canadian dollar</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1.3317</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42.4</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w:t>
            </w:r>
          </w:p>
        </w:tc>
        <w:tc>
          <w:tcPr>
            <w:tcW w:w="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Euro</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1.1051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150.4</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British pound</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1.2352</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43.5</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44.1</w:t>
            </w:r>
          </w:p>
        </w:tc>
        <w:tc>
          <w:tcPr>
            <w:tcW w:w="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Mexican peso/Sell U.S. dollar</w:t>
            </w:r>
          </w:p>
        </w:tc>
        <w:tc>
          <w:tcPr>
            <w:tcW w:w="3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20.9278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w:t>
            </w:r>
          </w:p>
        </w:tc>
        <w:tc>
          <w:tcPr>
            <w:tcW w:w="64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indebtedness as of October 31, 2023 included $524.2 million of gross fixed rate debt that is not subject to variable interest rate fluctuations and $510.0 million of gross variable rate debt under our term loan credit agreements and revolving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facility. As of October 31, 2023, the estimated fair value of gross long-term debt with fixed interest rates was $478.2 million compared to its carrying amount of $524.2 million. Interest rate risk for fixed-rate, long-term debt is estimated as the potential increase in the fair value of gross fixed rate debt, resulting from a hypothetical 10 percent decrease in interest rates, and amounts to $20.3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the inability of suppliers to absorb incremental costs related to inefficiencies, continue operations or otherwise remain in business; financial difficulties;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our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the Notes to Consolidated Financial Statements for additional information regarding our stock-based compensation awards and our goodwill impairment analysis,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company's Chairman of the Board, President and Chief Executive Officer and Vice President, Chief Financial Officer, evaluated the effectiveness of the company's internal control over financial reporting as of October 31, 2023. In making this evaluation,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this assessment, management concluded that the company's internal control over financial reporting was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2023. The company's internal control over financial reporting as of October 31, 2023 has been audited by KPMG LLP, an independent registered public accounting firm, as stated in their report, which is included herein.</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20, 2023</w:t>
      </w:r>
    </w:p>
    <w:p>
      <w:pPr>
        <w:spacing w:after="0" w:line="200" w:lineRule="exact"/>
        <w:rPr>
          <w:sz w:val="20"/>
          <w:szCs w:val="20"/>
          <w:color w:val="auto"/>
        </w:rPr>
      </w:pPr>
    </w:p>
    <w:p>
      <w:pPr>
        <w:spacing w:after="0" w:line="3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"Controls and Procedures" of this Annual Report on Form 10-K.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Toro Company and subsidiaries (the Company) as of October 31, 2023 and 2022, the related consolidated statements of earnings, comprehensive income, stockholders’ equity, and cash flows for each of the years in the three-year period ended October 31, 2023, and the related notes (collectively, the consolidated financial statements). We also have audited the Company’s internal control over financial reporting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October 31, 2023 and 2022, and the results of its operations and its cash flows for each of the years in the three-year period ended October 31, 2023, in conformity with U.S. generally accepted accounting principles. Also in our opinion, the Company maintained, in all material respects, effective internal control over financial reporting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Accrued sales promotions and incentives</w:t>
      </w:r>
    </w:p>
    <w:p>
      <w:pPr>
        <w:spacing w:after="0" w:line="11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at the time of sale, the Company records an estimate for sales promotion and incentive costs, a portion of which relates to rebate programs. As of October 31, 2023, the Company recorded an accrual of $163.0 million for sales promotions and incentives. The Company’s estimates for sales promotion and incentive costs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7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7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We tested sales promotions and incentives paid throughout the year by tracing a sample of payments to underlying documentation supporting the program terms to evaluate whether there have been any changes in other relevant trends. Additionally, we tested sales promotions and incentives paid subsequent to the balance sheet date by tracing a sample of payments to underlying documentation supporting the program terms to evaluate the accrual estimate.</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Fair value of the Intimidator Group reporting unit and indefinite-lived Spartan trade name intangible asset</w:t>
      </w:r>
    </w:p>
    <w:p>
      <w:pPr>
        <w:spacing w:after="0" w:line="11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As discussed in Notes 1 and 5 to the consolidated financial statements, the Company recorded an impairment charge of $18.0 million related to the indefinite-lived Spartan trade name intangible asset reported under the Professional segment. Further, during the same period, the Company recorded an impairment charge of $133.3 million related to goodwill of the Intimidator reporting unit also reported under the Professional segment. In assessing goodwill for impairment, the Company estimates the fair value of the reporting unit using a discounted cash flow model. In assessing indefinite-lived intangible assets for impairment, the Company estimates the fair value of the intangible assets using the relief-from-royalty method. Impairment charges are recorded for any goodwill or indefinite-lived intangible assets with carrying values in excess of their respective estimated fair values.</w:t>
      </w:r>
    </w:p>
    <w:p>
      <w:pPr>
        <w:spacing w:after="0" w:line="7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the fair values of the Intimidator reporting unit and indefinite-lived Spartan trade name intangible asset as a critical audit matter. Testing certain assumptions used to determine the fair values, specifically, projected revenue growth rates, projected earnings before interest and taxes (EBIT) margins, and the discount rate, involved a high degree of subjectivity. Specifically, there was limited observable market information for the projected revenue growth rates and EBIT margins and evaluation of the discount rate assumption required valuation professionals with specialized skills and knowledge. In addition, the fair values of the reporting unit and indefinite-lived trade name intangible asset were challenging to evaluate due to their sensitivity to changes in these assumptions.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determination of the fair value of the Intimidator reporting unit and indefinite-lived Spartan trade name intangible asset. This included certain controls related to the development of the relevant assumptions as listed above. We performed sensitivity analyses over the relevant assumptions to assess the impact of changes in those assumptions on the Company’s determination of the projected values of the Intimidator reporting unit and indefinite-lived Spartan trade name intangible asset. We evaluated the Company’s projected revenue growth rates and projected EBIT margins by comparing them to historical actual results of the Company, considering market and industry conditions. In addition, we involved valuation professionals with specialized skills and knowledge, who assisted in:</w:t>
      </w:r>
    </w:p>
    <w:p>
      <w:pPr>
        <w:spacing w:after="0" w:line="81"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discount rate by comparing it against a discount rate range that was independently developed using publicly available market data for comparable entities;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fair value estimates of the Intimidator reporting unit and indefinite-lived Spartan trade name intangible asset using the Company’s cash flow projections and discount rate and comparing them to the Company’s estimates.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Earnings</w:t>
      </w:r>
    </w:p>
    <w:p>
      <w:pP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 Ended October 31</w:t>
            </w:r>
          </w:p>
        </w:tc>
        <w:tc>
          <w:tcPr>
            <w:tcW w:w="1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4,553.2</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4,514.7</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3,959.6</w:t>
            </w:r>
          </w:p>
        </w:tc>
      </w:tr>
      <w:tr>
        <w:trPr>
          <w:trHeight w:val="226"/>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2,975.6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3,010.1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2,621.1</w:t>
            </w:r>
          </w:p>
        </w:tc>
      </w:tr>
      <w:tr>
        <w:trPr>
          <w:trHeight w:val="227"/>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1,577.6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1,504.6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1,338.5</w:t>
            </w:r>
          </w:p>
        </w:tc>
      </w:tr>
      <w:tr>
        <w:trPr>
          <w:trHeight w:val="22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995.6</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820.2</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impairment charges</w:t>
            </w:r>
          </w:p>
        </w:tc>
        <w:tc>
          <w:tcPr>
            <w:tcW w:w="1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1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430.7</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575.7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518.3</w:t>
            </w:r>
          </w:p>
        </w:tc>
      </w:tr>
      <w:tr>
        <w:trPr>
          <w:trHeight w:val="23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6"/>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7"/>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400.5</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552.5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w:t>
            </w:r>
          </w:p>
        </w:tc>
      </w:tr>
      <w:tr>
        <w:trPr>
          <w:trHeight w:val="226"/>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70.8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109.2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248"/>
        </w:trPr>
        <w:tc>
          <w:tcPr>
            <w:tcW w:w="6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329.7</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443.3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9"/>
        </w:trPr>
        <w:tc>
          <w:tcPr>
            <w:tcW w:w="6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3.16</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4.23</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148"/>
        </w:trPr>
        <w:tc>
          <w:tcPr>
            <w:tcW w:w="6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6"/>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132"/>
        </w:trPr>
        <w:tc>
          <w:tcPr>
            <w:tcW w:w="6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148"/>
        </w:trPr>
        <w:tc>
          <w:tcPr>
            <w:tcW w:w="6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6"/>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1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 Ended October 31</w:t>
            </w:r>
          </w:p>
        </w:tc>
        <w:tc>
          <w:tcPr>
            <w:tcW w:w="1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329.7</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443.3</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w:t>
            </w: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6"/>
        </w:trPr>
        <w:tc>
          <w:tcPr>
            <w:tcW w:w="6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instruments, net of tax of $(4.1), $7.2, and $0.7, respectively</w:t>
            </w:r>
          </w:p>
        </w:tc>
        <w:tc>
          <w:tcPr>
            <w:tcW w:w="1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30"/>
        </w:trPr>
        <w:tc>
          <w:tcPr>
            <w:tcW w:w="6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 benefits, net of tax of $(0.5), $0.2, and $0.0, respectively</w:t>
            </w:r>
          </w:p>
        </w:tc>
        <w:tc>
          <w:tcPr>
            <w:tcW w:w="1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48"/>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325.8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436.2</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top w:val="single" w:sz="8" w:color="auto"/>
              <w:bottom w:val="single" w:sz="8" w:color="auto"/>
            </w:tcBorders>
          </w:tcPr>
          <w:p>
            <w:pPr>
              <w:spacing w:after="0"/>
              <w:rPr>
                <w:sz w:val="20"/>
                <w:szCs w:val="20"/>
                <w:color w:val="auto"/>
              </w:rPr>
            </w:pPr>
          </w:p>
        </w:tc>
        <w:tc>
          <w:tcPr>
            <w:tcW w:w="83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4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36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ASSETS</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48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193.1</w:t>
            </w:r>
          </w:p>
        </w:tc>
        <w:tc>
          <w:tcPr>
            <w:tcW w:w="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Customers, net of allowances (2023 - $3.0; 2022 - $3.3)</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349.5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Receivables from finance affiliate</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83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3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receivables, net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407.4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1,087.8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3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110.5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1,798.8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641.7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Goodwill</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450.8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540.1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125.3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50.6</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3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3,644.3</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3,556.0</w:t>
            </w: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4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430.0</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Warranty</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Advertising and sales promotions and incentives programs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163.0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Compensation and benefit costs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Insurance</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36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65.7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499.1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36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948.6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1,031.5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112.1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3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Stockholders' equity:</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48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360" w:type="dxa"/>
            <w:vAlign w:val="bottom"/>
            <w:gridSpan w:val="4"/>
          </w:tcPr>
          <w:p>
            <w:pPr>
              <w:spacing w:after="0" w:line="167" w:lineRule="exact"/>
              <w:rPr>
                <w:sz w:val="20"/>
                <w:szCs w:val="20"/>
                <w:color w:val="auto"/>
              </w:rPr>
            </w:pPr>
            <w:r>
              <w:rPr>
                <w:rFonts w:ascii="Times New Roman" w:cs="Times New Roman" w:eastAsia="Times New Roman" w:hAnsi="Times New Roman"/>
                <w:sz w:val="17"/>
                <w:szCs w:val="17"/>
                <w:color w:val="auto"/>
              </w:rPr>
              <w:t>Preferred stock, par value $1.00 per share, authorized 1,000,000 voting and 850,000 non-voting shares, none issued and</w:t>
            </w:r>
          </w:p>
        </w:tc>
        <w:tc>
          <w:tcPr>
            <w:tcW w:w="400" w:type="dxa"/>
            <w:vAlign w:val="bottom"/>
          </w:tcPr>
          <w:p>
            <w:pPr>
              <w:spacing w:after="0"/>
              <w:rPr>
                <w:sz w:val="14"/>
                <w:szCs w:val="14"/>
                <w:color w:val="auto"/>
              </w:rPr>
            </w:pPr>
          </w:p>
        </w:tc>
        <w:tc>
          <w:tcPr>
            <w:tcW w:w="10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outstanding</w:t>
            </w:r>
          </w:p>
        </w:tc>
        <w:tc>
          <w:tcPr>
            <w:tcW w:w="4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836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Common stock, par value $1.00 per share, authorized 175,000,000 shares; issued and outstanding 103,843,485 shares as</w:t>
            </w: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103.8</w:t>
            </w:r>
          </w:p>
        </w:tc>
        <w:tc>
          <w:tcPr>
            <w:tcW w:w="3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of October 31, 2023 and 103,969,805 shares as of October 31, 2022</w:t>
            </w:r>
          </w:p>
        </w:tc>
        <w:tc>
          <w:tcPr>
            <w:tcW w:w="4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1,444.1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3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1,510.9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836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3,644.3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4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 Ended October 31</w:t>
            </w:r>
          </w:p>
        </w:tc>
        <w:tc>
          <w:tcPr>
            <w:tcW w:w="1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earnings</w:t>
            </w: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329.7</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443.3</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409.9</w:t>
            </w: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earnings to net cash provided by operating activities: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income from finance affiliate</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from (contributions to) finance affiliate, net</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7.9</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83.5</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74.9</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other intangible assets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35.7</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33.9</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22.1</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impairment charges</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151.3</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 net of the effect of acquisitions:</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Receivables, net</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(19.3)</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Inventories, net</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(285.9)</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17.8</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66.3</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w:t>
            </w:r>
          </w:p>
        </w:tc>
      </w:tr>
      <w:tr>
        <w:trPr>
          <w:trHeight w:val="203"/>
        </w:trPr>
        <w:tc>
          <w:tcPr>
            <w:tcW w:w="6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196"/>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306.8</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297.2</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555.5</w:t>
            </w:r>
          </w:p>
        </w:tc>
      </w:tr>
      <w:tr>
        <w:trPr>
          <w:trHeight w:val="19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(143.5)</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insurance claim</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7.1</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Business combinations, net of cash acquired</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(402.4)</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acquisitions, net of cash acquired</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asset disposals</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0.4</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0.2</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6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a business</w:t>
            </w:r>
          </w:p>
        </w:tc>
        <w:tc>
          <w:tcPr>
            <w:tcW w:w="1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4.6</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r>
      <w:tr>
        <w:trPr>
          <w:trHeight w:val="196"/>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(548.3)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(128.5)</w:t>
            </w:r>
          </w:p>
        </w:tc>
      </w:tr>
      <w:tr>
        <w:trPr>
          <w:trHeight w:val="19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06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Net borrowings under the revolving credit facility</w:t>
            </w:r>
            <w:r>
              <w:rPr>
                <w:rFonts w:ascii="Times New Roman" w:cs="Times New Roman" w:eastAsia="Times New Roman" w:hAnsi="Times New Roman"/>
                <w:sz w:val="19"/>
                <w:szCs w:val="19"/>
                <w:color w:val="auto"/>
                <w:vertAlign w:val="superscript"/>
              </w:rPr>
              <w:t>1</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40.0</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06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Long-term debt borrowings</w:t>
            </w:r>
            <w:r>
              <w:rPr>
                <w:rFonts w:ascii="Times New Roman" w:cs="Times New Roman" w:eastAsia="Times New Roman" w:hAnsi="Times New Roman"/>
                <w:sz w:val="19"/>
                <w:szCs w:val="19"/>
                <w:color w:val="auto"/>
                <w:vertAlign w:val="superscript"/>
              </w:rPr>
              <w:t>1</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300.0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w:t>
            </w:r>
          </w:p>
        </w:tc>
      </w:tr>
      <w:tr>
        <w:trPr>
          <w:trHeight w:val="203"/>
        </w:trPr>
        <w:tc>
          <w:tcPr>
            <w:tcW w:w="606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Long-term debt repayments</w:t>
            </w:r>
            <w:r>
              <w:rPr>
                <w:rFonts w:ascii="Times New Roman" w:cs="Times New Roman" w:eastAsia="Times New Roman" w:hAnsi="Times New Roman"/>
                <w:sz w:val="19"/>
                <w:szCs w:val="19"/>
                <w:color w:val="auto"/>
                <w:vertAlign w:val="superscript"/>
              </w:rPr>
              <w:t>1</w:t>
            </w:r>
          </w:p>
        </w:tc>
        <w:tc>
          <w:tcPr>
            <w:tcW w:w="13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(370.0)</w:t>
            </w:r>
          </w:p>
        </w:tc>
      </w:tr>
      <w:tr>
        <w:trPr>
          <w:trHeight w:val="20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19.7</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10.3</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of withholding taxes for stock awards</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TTC common stock</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(302.3)</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Dividends paid on TTC common stock</w:t>
            </w:r>
          </w:p>
        </w:tc>
        <w:tc>
          <w:tcPr>
            <w:tcW w:w="1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(125.7)</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w:t>
            </w:r>
          </w:p>
        </w:tc>
      </w:tr>
      <w:tr>
        <w:trPr>
          <w:trHeight w:val="203"/>
        </w:trPr>
        <w:tc>
          <w:tcPr>
            <w:tcW w:w="6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42.2</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(503.7)</w:t>
            </w:r>
          </w:p>
        </w:tc>
      </w:tr>
      <w:tr>
        <w:trPr>
          <w:trHeight w:val="77"/>
        </w:trPr>
        <w:tc>
          <w:tcPr>
            <w:tcW w:w="60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r>
      <w:tr>
        <w:trPr>
          <w:trHeight w:val="19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 and cash equivalents</w:t>
            </w:r>
          </w:p>
        </w:tc>
        <w:tc>
          <w:tcPr>
            <w:tcW w:w="1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77"/>
        </w:trPr>
        <w:tc>
          <w:tcPr>
            <w:tcW w:w="60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r>
      <w:tr>
        <w:trPr>
          <w:trHeight w:val="19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4.9</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(217.4)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w:t>
            </w:r>
          </w:p>
        </w:tc>
      </w:tr>
      <w:tr>
        <w:trPr>
          <w:trHeight w:val="19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as of the beginning of the fiscal period</w:t>
            </w:r>
          </w:p>
        </w:tc>
        <w:tc>
          <w:tcPr>
            <w:tcW w:w="1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188.2</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405.6</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479.9</w:t>
            </w:r>
          </w:p>
        </w:tc>
      </w:tr>
      <w:tr>
        <w:trPr>
          <w:trHeight w:val="19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as of the end of the fiscal period</w:t>
            </w:r>
          </w:p>
        </w:tc>
        <w:tc>
          <w:tcPr>
            <w:tcW w:w="1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193.1</w:t>
            </w:r>
          </w:p>
        </w:tc>
        <w:tc>
          <w:tcPr>
            <w:tcW w:w="3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188.2</w:t>
            </w:r>
          </w:p>
        </w:tc>
        <w:tc>
          <w:tcPr>
            <w:tcW w:w="3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405.6</w:t>
            </w:r>
          </w:p>
        </w:tc>
      </w:tr>
      <w:tr>
        <w:trPr>
          <w:trHeight w:val="23"/>
        </w:trPr>
        <w:tc>
          <w:tcPr>
            <w:tcW w:w="6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1"/>
        </w:trPr>
        <w:tc>
          <w:tcPr>
            <w:tcW w:w="60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during the fiscal year for:</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61.1</w:t>
            </w:r>
          </w:p>
        </w:tc>
        <w:tc>
          <w:tcPr>
            <w:tcW w:w="3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30.5</w:t>
            </w:r>
          </w:p>
        </w:tc>
        <w:tc>
          <w:tcPr>
            <w:tcW w:w="3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w:t>
            </w:r>
          </w:p>
        </w:tc>
      </w:tr>
      <w:tr>
        <w:trPr>
          <w:trHeight w:val="200"/>
        </w:trPr>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Income taxes</w:t>
            </w:r>
          </w:p>
        </w:tc>
        <w:tc>
          <w:tcPr>
            <w:tcW w:w="1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165.2</w:t>
            </w:r>
          </w:p>
        </w:tc>
        <w:tc>
          <w:tcPr>
            <w:tcW w:w="3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120.5</w:t>
            </w:r>
          </w:p>
        </w:tc>
        <w:tc>
          <w:tcPr>
            <w:tcW w:w="3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101.8</w:t>
            </w:r>
          </w:p>
        </w:tc>
      </w:tr>
    </w:tbl>
    <w:p>
      <w:pPr>
        <w:spacing w:after="0" w:line="77" w:lineRule="exact"/>
        <w:rPr>
          <w:sz w:val="20"/>
          <w:szCs w:val="20"/>
          <w:color w:val="auto"/>
        </w:rPr>
      </w:pPr>
    </w:p>
    <w:p>
      <w:pPr>
        <w:ind w:firstLine="8"/>
        <w:spacing w:after="0" w:line="230" w:lineRule="auto"/>
        <w:tabs>
          <w:tab w:leader="none" w:pos="108"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provided by financing activities.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Accumulated Other</w:t>
            </w:r>
          </w:p>
        </w:tc>
        <w:tc>
          <w:tcPr>
            <w:tcW w:w="16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Stockholders'</w:t>
            </w:r>
          </w:p>
        </w:tc>
        <w:tc>
          <w:tcPr>
            <w:tcW w:w="0" w:type="dxa"/>
            <w:vAlign w:val="bottom"/>
          </w:tcPr>
          <w:p>
            <w:pPr>
              <w:spacing w:after="0"/>
              <w:rPr>
                <w:sz w:val="1"/>
                <w:szCs w:val="1"/>
                <w:color w:val="auto"/>
              </w:rPr>
            </w:pPr>
          </w:p>
        </w:tc>
      </w:tr>
      <w:tr>
        <w:trPr>
          <w:trHeight w:val="174"/>
        </w:trPr>
        <w:tc>
          <w:tcPr>
            <w:tcW w:w="5080" w:type="dxa"/>
            <w:vAlign w:val="bottom"/>
          </w:tcPr>
          <w:p>
            <w:pPr>
              <w:spacing w:after="0"/>
              <w:rPr>
                <w:sz w:val="15"/>
                <w:szCs w:val="15"/>
                <w:color w:val="auto"/>
              </w:rPr>
            </w:pPr>
          </w:p>
        </w:tc>
        <w:tc>
          <w:tcPr>
            <w:tcW w:w="142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0" w:type="dxa"/>
            <w:vAlign w:val="bottom"/>
          </w:tcPr>
          <w:p>
            <w:pPr>
              <w:spacing w:after="0"/>
              <w:rPr>
                <w:sz w:val="15"/>
                <w:szCs w:val="15"/>
                <w:color w:val="auto"/>
              </w:rPr>
            </w:pPr>
          </w:p>
        </w:tc>
        <w:tc>
          <w:tcPr>
            <w:tcW w:w="1420" w:type="dxa"/>
            <w:vAlign w:val="bottom"/>
          </w:tcPr>
          <w:p>
            <w:pPr>
              <w:jc w:val="right"/>
              <w:ind w:right="155"/>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Loss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2020</w:t>
            </w:r>
          </w:p>
        </w:tc>
        <w:tc>
          <w:tcPr>
            <w:tcW w:w="5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107.6</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1,041.5</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$1.05 per share</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610,788 shares of common stock under stock-based</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compensation plans, less contribution of 22,700 shares of common stock</w:t>
            </w:r>
          </w:p>
        </w:tc>
        <w:tc>
          <w:tcPr>
            <w:tcW w:w="5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0.6</w:t>
            </w: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a deferred compensation trust</w:t>
            </w: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21.8</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3,010,424 shares of common stock</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409.9</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October 31, 2021</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105.2</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1,071.9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1,151.1</w:t>
            </w: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$1.20 per share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167"/>
        </w:trPr>
        <w:tc>
          <w:tcPr>
            <w:tcW w:w="50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349,219 shares of common stock under stock-based</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compensation plans, less contribution of 33,162 shares of common stock</w:t>
            </w:r>
          </w:p>
        </w:tc>
        <w:tc>
          <w:tcPr>
            <w:tcW w:w="540" w:type="dxa"/>
            <w:vAlign w:val="bottom"/>
          </w:tcPr>
          <w:p>
            <w:pPr>
              <w:spacing w:after="0"/>
              <w:rPr>
                <w:sz w:val="14"/>
                <w:szCs w:val="14"/>
                <w:color w:val="auto"/>
              </w:rPr>
            </w:pPr>
          </w:p>
        </w:tc>
        <w:tc>
          <w:tcPr>
            <w:tcW w:w="8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520" w:type="dxa"/>
            <w:vAlign w:val="bottom"/>
          </w:tcPr>
          <w:p>
            <w:pPr>
              <w:spacing w:after="0"/>
              <w:rPr>
                <w:sz w:val="14"/>
                <w:szCs w:val="14"/>
                <w:color w:val="auto"/>
              </w:rPr>
            </w:pPr>
          </w:p>
        </w:tc>
        <w:tc>
          <w:tcPr>
            <w:tcW w:w="10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4"/>
                <w:szCs w:val="14"/>
                <w:color w:val="auto"/>
              </w:rPr>
            </w:pPr>
          </w:p>
        </w:tc>
        <w:tc>
          <w:tcPr>
            <w:tcW w:w="14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 a deferred compensation trust</w:t>
            </w:r>
          </w:p>
        </w:tc>
        <w:tc>
          <w:tcPr>
            <w:tcW w:w="5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22.1</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1,551,986 shares of common stock</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6"/>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443.3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2022</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104.0</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1,280.8</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$1.36 per share</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499,145 shares of common stock under stock-based</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compensation plans, less contribution of 14,270 shares of common stock</w:t>
            </w:r>
          </w:p>
        </w:tc>
        <w:tc>
          <w:tcPr>
            <w:tcW w:w="5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19.3</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a deferred compensation trust</w:t>
            </w: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611,195 shares of common stock</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329.7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October 31, 2023</w:t>
            </w:r>
          </w:p>
        </w:tc>
        <w:tc>
          <w:tcPr>
            <w:tcW w:w="5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103.8</w:t>
            </w: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1,444.1</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w:t>
            </w:r>
          </w:p>
        </w:tc>
        <w:tc>
          <w:tcPr>
            <w:tcW w:w="0" w:type="dxa"/>
            <w:vAlign w:val="bottom"/>
          </w:tcPr>
          <w:p>
            <w:pPr>
              <w:spacing w:after="0"/>
              <w:rPr>
                <w:sz w:val="1"/>
                <w:szCs w:val="1"/>
                <w:color w:val="auto"/>
              </w:rPr>
            </w:pPr>
          </w:p>
        </w:tc>
      </w:tr>
      <w:tr>
        <w:trPr>
          <w:trHeight w:val="24"/>
        </w:trPr>
        <w:tc>
          <w:tcPr>
            <w:tcW w:w="5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THE TORO COMPANY AND SUBSIDIARIES •</w:t>
      </w:r>
    </w:p>
    <w:p>
      <w:pPr>
        <w:spacing w:after="0" w:line="399" w:lineRule="exact"/>
        <w:rPr>
          <w:sz w:val="20"/>
          <w:szCs w:val="20"/>
          <w:color w:val="auto"/>
        </w:rPr>
      </w:pPr>
    </w:p>
    <w:p>
      <w:pPr>
        <w:ind w:left="620" w:right="6900" w:hanging="594"/>
        <w:spacing w:after="0" w:line="186" w:lineRule="auto"/>
        <w:tabs>
          <w:tab w:leader="none" w:pos="620" w:val="left"/>
        </w:tabs>
        <w:numPr>
          <w:ilvl w:val="0"/>
          <w:numId w:val="31"/>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Summary of Significant Accounting Policies and Related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company sells its products worldwide through a network of distributors, dealers, mass retailers, hardware retailers, equipment rental centers, and home centers, as well as online and direct to end-users. The company strives to provide innovative, well-built, and dependable products supported by an extensive service network.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("GAAP") in the United States ("U.S.") and include the accounts of the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For additional information regarding the company's reportable business segments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applicable, the company accounts for the acquisition of a business in accordance with the accounting standards codification ("ASC") guidance for business combinations, whereby the total purchase consideration transferred is allocated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acquired and liabilities assumed, including amounts attributable to non-controlling interests, when applicable, based on their respective estimated fair values as of the date of acquisition. Goodwill represents the excess of purchase consideration transferred over the estimated fair value of the identifiable net assets acquired in a business combination.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would also affect the amount of goodwill impairment taken,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Business Combinations and Asset Acquisitions</w:t>
      </w:r>
      <w:r>
        <w:rPr>
          <w:rFonts w:ascii="Times New Roman" w:cs="Times New Roman" w:eastAsia="Times New Roman" w:hAnsi="Times New Roman"/>
          <w:sz w:val="18"/>
          <w:szCs w:val="18"/>
          <w:color w:val="auto"/>
        </w:rPr>
        <w:t>, for additional information regarding the company's accounting for recent business combinations and asset acquisitions.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stated at cost, which approximates fair value. As of October 31, 2023 and 2022, cash and cash equivalents held by the company's foreign subsidiaries were $91.1 million and $93.4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projections of future events and economic conditions, when applicable. Receivables are written-off against the allowance for expected credit losses when all collection efforts have been exhausted.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financial exposure related to the collection of accounts receivable is reduced due to its inventory financing arrangements, as further discussed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receivables not serviced through inventory financing agreements, the company provides financing in the form of open account terms in the normal course of business and performs on-going credit evaluations of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The credit risk associated with these business segments is limited because of the large number of customers in the company's customer base and their geographic dispersion. The credit risk associated with the company's derivative instruments is limited as the company enters into derivative instruments with multiple counterparties that are highly rated financial institutions.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inventory valuation methods. Inventories are valued at the lower of cost or net realizable value, with cost determined by the first-in, first-out ("FIFO") and average cost methods for approximately 58.5 percent and 50.8 percent of total net inventories as of October 31, 2023 and 2022, respectively. Other inventories are valued at the lower of cost or market, with cost determined under the last-in, first-out ("LIFO") method. During fiscal 2023 and fiscal 2022, LIFO layers were not materially reduced.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 As of October 31, 2023 and 2022, the company's inventory valuation adjustment for excess, slow-moving, and obsolete inventory was $43.9 million and $38.7 million,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work in process</w:t>
            </w:r>
          </w:p>
        </w:tc>
        <w:tc>
          <w:tcPr>
            <w:tcW w:w="3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400.3</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Finished goods and service parts</w:t>
            </w:r>
          </w:p>
        </w:tc>
        <w:tc>
          <w:tcPr>
            <w:tcW w:w="3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844.2</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738.1</w:t>
            </w:r>
          </w:p>
        </w:tc>
      </w:tr>
      <w:tr>
        <w:trPr>
          <w:trHeight w:val="20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FIFO value</w:t>
            </w:r>
          </w:p>
        </w:tc>
        <w:tc>
          <w:tcPr>
            <w:tcW w:w="3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1,244.5</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adjustment to LIFO value</w:t>
            </w:r>
          </w:p>
        </w:tc>
        <w:tc>
          <w:tcPr>
            <w:tcW w:w="3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156.7</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w:t>
            </w: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 net</w:t>
            </w:r>
          </w:p>
        </w:tc>
        <w:tc>
          <w:tcPr>
            <w:tcW w:w="3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1,087.8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expenses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2023, 2022, and 2021, the company capitalized $4.2 million, $2.5 million, and $0.8 million of interest,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was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34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355.8</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624.6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w:t>
            </w: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260.4</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3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133.2</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20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3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1,541.0</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1,416.5</w:t>
            </w: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899.3</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r>
      <w:tr>
        <w:trPr>
          <w:trHeight w:val="221"/>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4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641.7</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0"/>
        <w:spacing w:after="0" w:line="375" w:lineRule="auto"/>
        <w:rPr>
          <w:sz w:val="20"/>
          <w:szCs w:val="20"/>
          <w:color w:val="auto"/>
        </w:rPr>
      </w:pPr>
      <w:r>
        <w:rPr>
          <w:rFonts w:ascii="Times New Roman" w:cs="Times New Roman" w:eastAsia="Times New Roman" w:hAnsi="Times New Roman"/>
          <w:sz w:val="18"/>
          <w:szCs w:val="18"/>
          <w:color w:val="auto"/>
        </w:rPr>
        <w:t xml:space="preserve">During fiscal 2023, 2022, and 2021, the company recorded depreciation expense of $83.5 million, $74.9 million, and $75.5 million, respectively. </w:t>
      </w:r>
      <w:r>
        <w:rPr>
          <w:rFonts w:ascii="Times New Roman" w:cs="Times New Roman" w:eastAsia="Times New Roman" w:hAnsi="Times New Roman"/>
          <w:sz w:val="18"/>
          <w:szCs w:val="18"/>
          <w:b w:val="1"/>
          <w:bCs w:val="1"/>
          <w:color w:val="auto"/>
        </w:rPr>
        <w:t>Goodwill and Indefinite-Lived Intangible Assets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impairment may have occurred prior to the annual assessment. The company tests goodwill for impairment at the reporting unit level and tests indefinite-lived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for impairment at the individual indefinite-lived intangible asset or asset group level, as appropriate. At the end of the third quarter of fiscal 2023, the company recorded an impairment charge of $18.0 million related to the indefinite-lived Spartan trade name intangible asset reported under the Professional segment. Further, during the same period, the company recorded an impairment charge of $133.3 million related to goodwill of the Intimidator reporting unit also reported under the Professional segment,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for further information.</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During the fourth quarter of fiscal 2023, the company performed its annual goodwill impairment test. In performing the annual goodwill impairment test, the company first reviewed its reporting units and determined that it has twelve reporting units, which are the same as its twelve operating segments as defined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Nine reporting units contained goodwill on their respective balance sheets as of October 31, 2023. Next,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quantitative annual goodwill impairment analysis performed in the fourth quarter of fiscal 2023, the company determined there was no impairment of goodwill for any of its reporting units. Further, no impairment of goodwill was recorded during fiscal 2022 and 2021.</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2023, the company also performed a quantitative impairment analysis for its 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If the fair value of the indefinite-lived intangible asset, or asset group, is less than its carrying value, an impairment loss is recognized in an amount equal to the excess. Based on this quantitative impairment analysis performed in the fourth quarter of fiscal 2023, the company concluded its indefinite-lived intangible assets were not impaired. Further, the company concluded its indefinite-lived intangible assets were not impaired during fiscal 2022 and 2021 based on the same quantitative impairment analysis performed in each respective prior fiscal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 on a straight-line basis over their expected useful lives, which typically range from several months to 20 years depending on the nature of the finite-lived intangible asset.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generally measured using a discounted cash flow model or independent appraisals, as appropriate. The company did not record an impairment loss for fiscal 2023, 2022, and 2021 as the company's long-lived assets were determined to not be at risk for impairment as no events or changes in circumstances were identified that would indicate that the carrying amount of an asset, or asset group, may not be recoverable.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expense is recognized over the revised estimated useful life.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As of October 31, 2023 and 2022, $99.6 million and $133.7 million, respectively, of the company's outstanding payment obligations were financed by participating suppliers through the third-party financial institution's supply chain finance web-based platform.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of sale, the company recognizes expense and records an accrual by product line for estimated costs in connection with projected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9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116.8</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203"/>
        </w:trPr>
        <w:tc>
          <w:tcPr>
            <w:tcW w:w="54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Changes in accrual related to warranties issued during the period</w:t>
            </w:r>
            <w:r>
              <w:rPr>
                <w:rFonts w:ascii="Times New Roman" w:cs="Times New Roman" w:eastAsia="Times New Roman" w:hAnsi="Times New Roman"/>
                <w:sz w:val="18"/>
                <w:szCs w:val="18"/>
                <w:color w:val="auto"/>
                <w:vertAlign w:val="superscript"/>
              </w:rPr>
              <w:t>1</w:t>
            </w:r>
          </w:p>
        </w:tc>
        <w:tc>
          <w:tcPr>
            <w:tcW w:w="19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3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81.5</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9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Payments made during the period</w:t>
            </w:r>
            <w:r>
              <w:rPr>
                <w:rFonts w:ascii="Times New Roman" w:cs="Times New Roman" w:eastAsia="Times New Roman" w:hAnsi="Times New Roman"/>
                <w:sz w:val="18"/>
                <w:szCs w:val="18"/>
                <w:color w:val="auto"/>
                <w:vertAlign w:val="superscript"/>
              </w:rPr>
              <w:t>1</w:t>
            </w:r>
          </w:p>
        </w:tc>
        <w:tc>
          <w:tcPr>
            <w:tcW w:w="19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(84.5)</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202"/>
        </w:trPr>
        <w:tc>
          <w:tcPr>
            <w:tcW w:w="5440" w:type="dxa"/>
            <w:vAlign w:val="bottom"/>
            <w:tcBorders>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Changes in accrual related to pre-existing warranties</w:t>
            </w:r>
            <w:r>
              <w:rPr>
                <w:rFonts w:ascii="Times New Roman" w:cs="Times New Roman" w:eastAsia="Times New Roman" w:hAnsi="Times New Roman"/>
                <w:sz w:val="18"/>
                <w:szCs w:val="18"/>
                <w:color w:val="auto"/>
                <w:vertAlign w:val="superscript"/>
              </w:rPr>
              <w:t>1</w:t>
            </w:r>
          </w:p>
        </w:tc>
        <w:tc>
          <w:tcPr>
            <w:tcW w:w="19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143.9</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134.5</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27"/>
        </w:trPr>
        <w:tc>
          <w:tcPr>
            <w:tcW w:w="5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left="180" w:hanging="172"/>
        <w:spacing w:after="0" w:line="230" w:lineRule="auto"/>
        <w:tabs>
          <w:tab w:leader="none" w:pos="252"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period changes in accrued warranties has been conformed to the current year presentation. There was no impact to the balance of accrued warranties in any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 instruments, consisting primarily of forward currency contracts, are used to hedge most foreign currency transactions, including projected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 Balance Sheets as a direct deduction from the carrying amount of the outstanding borrowings, consistent with debt discounts. However, the company classifies the debt issuance costs related to its $600.0 million five-year senior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$3.8 million and $4.8 million as of October 31,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 classified as a reduction from gross 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The company's off-invoice discounts represent an immediate reduction in the selling price of the company's products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realized at the time of sale with no anticipated future cost or consideration provided to the customer.</w:t>
      </w:r>
    </w:p>
    <w:p>
      <w:pPr>
        <w:jc w:val="both"/>
        <w:ind w:left="340" w:hanging="332"/>
        <w:spacing w:after="0" w:line="250"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The company's rebate programs are generally based on claims submitted from either the company's direct customers or end-users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1"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The company's financing programs consist of floor plan financing programs with Red Iron and separate third-party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and end-user retail financing. Costs incurred for floor plan financing programs represent financing costs associated with programs under which the company shares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 The floor plan financing costs for distributor and dealer inventories were $114.7 million, $46.3 million, and $20.8 million for the fiscal years ended October 31, 2023, 2022 and 2021, respectively. End-user retail financing is similar to floor planning with the difference being that retail financing programs are offered to end-user customers under which the company, at its discretion, may pay a portion of interest costs on behalf of end-users for financing purchases of the company's equipment.</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Commissions Paid to Distributors and Dealers: </w:t>
      </w:r>
      <w:r>
        <w:rPr>
          <w:rFonts w:ascii="Times New Roman" w:cs="Times New Roman" w:eastAsia="Times New Roman" w:hAnsi="Times New Roman"/>
          <w:sz w:val="18"/>
          <w:szCs w:val="18"/>
          <w:color w:val="auto"/>
        </w:rPr>
        <w:t>For certain products, the company uses a distribution network of dealers and distributors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mass retail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 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advertising costs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$77.6 million, $58.3 million, and $50.5 million for the fiscal years ended October 31, 2023, 2022, and 2021,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or enhancements to existing products, and cost reduction efforts. Costs incurred for engineering and research activities were $173.9 million, $155.6 million, and $141.0 million for the fiscal years ended October 31, 2023, 2022, and 2021,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applicable equity and incentive plan document.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For additional information on The Toro Company 2022 Equity and Incentive Plan,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the company's proportionate share of income or losses from Red Iron,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earnings per share is calculated as net earnings available to common stockholders divided by the weighted-average number of shares of common stock outstanding during the year plus the assumed issuance of contingent shares related to performance share awards under the company's equity and incentive plans.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59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6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Basic</w:t>
            </w:r>
          </w:p>
        </w:tc>
        <w:tc>
          <w:tcPr>
            <w:tcW w:w="26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540" w:type="dxa"/>
            <w:vAlign w:val="bottom"/>
            <w:tcBorders>
              <w:top w:val="single" w:sz="8" w:color="CCEEFF"/>
            </w:tcBorders>
            <w:shd w:val="clear" w:color="auto" w:fill="CCEEFF"/>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w:t>
            </w:r>
          </w:p>
        </w:tc>
        <w:tc>
          <w:tcPr>
            <w:tcW w:w="26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104.4</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104.8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issuance of contingent shares</w:t>
            </w:r>
          </w:p>
        </w:tc>
        <w:tc>
          <w:tcPr>
            <w:tcW w:w="26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26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104.4</w:t>
            </w: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104.8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6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26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104.4</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104.8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6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0.9</w:t>
            </w:r>
          </w:p>
        </w:tc>
        <w:tc>
          <w:tcPr>
            <w:tcW w:w="1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Diluted</w:t>
            </w:r>
          </w:p>
        </w:tc>
        <w:tc>
          <w:tcPr>
            <w:tcW w:w="26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105.3</w:t>
            </w: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105.6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shares from stock options and restricted stock units are computed under the treasury stock method. Stock option awards to purchase 573,662, 906,121, and 409,851 shares of common stock during fiscal 2023, 2022, and 2021, respectively, were excluded from the computation of diluted net earnings per share of common stock because they were anti-dilutive.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No. 2021-10, Government Assistance (Topic 832): Disclosures by Business Entities about Government Assistance. The update increases the transparency of government assistance including annual disclosure of the types of assistance, an entity’s accounting for the assistance, and the effect of the assistance on an entity’s financial statements. The amended guidance was adopted for the fiscal 2023 annual period and did not have a material impact on the company's Consolidated Financial Statements or annual disclosures.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126" w:lineRule="exact"/>
        <w:rPr>
          <w:sz w:val="20"/>
          <w:szCs w:val="20"/>
          <w:color w:val="auto"/>
        </w:rPr>
      </w:pPr>
    </w:p>
    <w:p>
      <w:pPr>
        <w:ind w:left="620" w:right="7780" w:hanging="594"/>
        <w:spacing w:after="0" w:line="186" w:lineRule="auto"/>
        <w:tabs>
          <w:tab w:leader="none" w:pos="620" w:val="left"/>
        </w:tabs>
        <w:numPr>
          <w:ilvl w:val="0"/>
          <w:numId w:val="35"/>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Business Combinations and Asset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2023, during the third quarter of fiscal 2023, the company completed the acquisition of substantially all of the assets of, and assumed certain liabilities for, a U.S. based dealer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third quarter of fiscal 2023. Additional purchase accounting disclosures have been omitted due to immateriality of this acquisition in relation to the company's consolidated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Intimidator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("Intimidator closing date"), during the first quarter of fiscal 2022, the company acquired the privately-held Intimidator for net aggregate purchase consideration of $399.8 million ("the purchase price"). Intimidator primarily designs, manufactures, markets, and sells a commercial-grade line of zero-turn mowers under the Spartan brand, which are intended to provide innovative turf management solutions to landscape contractors and other customers including homeowners who prefer professional solutions. The acquisition of Intimidator broadened the company's Professional segment and expanded its manufacturing footprint and dealer network.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Intimidator Purchase Price Allocation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accounted for the Intimidator acquisition in accordance with the accounting standards codification guidance for business combinations, whereby the purchase price was allocated to the acquired net tangible and intangible assets of Intimidator based on their fair values as of the closing date. During the first quarter of fiscal 2023, the company completed its valuation of income taxes to finalize the purchase price allocation. The following table summarizes the allocation of the Intimidator purchase price to the fair values assigned to the Intimidator assets acquired and liabilities assumed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January 13, 2022</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Indefinite-lived other intangible assets:</w:t>
            </w: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names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Finite-lived other intangible assets:</w:t>
            </w: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Customer-related</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95"/>
        </w:trPr>
        <w:tc>
          <w:tcPr>
            <w:tcW w:w="6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names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Backlog</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37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net assets acquired</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r>
      <w:tr>
        <w:trPr>
          <w:trHeight w:val="203"/>
        </w:trPr>
        <w:tc>
          <w:tcPr>
            <w:tcW w:w="6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37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purchase price</w:t>
            </w:r>
          </w:p>
        </w:tc>
        <w:tc>
          <w:tcPr>
            <w:tcW w:w="3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399.8</w:t>
            </w:r>
          </w:p>
        </w:tc>
      </w:tr>
      <w:tr>
        <w:trPr>
          <w:trHeight w:val="27"/>
        </w:trPr>
        <w:tc>
          <w:tcPr>
            <w:tcW w:w="6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The acquisition was considered an asset purchase for income tax purposes and as a result, the goodwill arising from the transaction is deductible.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Intimidator Intangible Assets Acquired</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allocation of the Intimidator purchase price to the net assets acquired resulted in the recognition of $184.2 million of value for other intangible assets as of the Intimidator closing date. The fair values of the acquired trade names and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Intimidator closing date, the acquired finite-lived intangible assets had a weighted average useful life of 9.5 years. The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Intimidator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Intimidator closing date, the weighted-average useful lives of the customer-related and backlog intangible assets were determined to be 9.6 years and nine months,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third quarter of fiscal 2023, the company recorded an impairment charge of $18.0 million related to the indefinite-lived Spartan trade name intangible asset. Further, during the same period,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company recorded an impairment charge of $133.3 million related to goodwill of the Intimidator reporting unit. For additional information regarding these impairment charges, refer to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2022, during the third quarter of fiscal 2022, the company completed the acquisition of certain assets of Voigt Smith Innovation LLC, a manufacturer of liquid deicing equipment, brine makers and applicators, related smart-connected technologies, and hydroseeding products. On June 20, 2022, during the third quarter of fiscal 2022, the company completed the acquisition of certain assets of Tornado Global Hydrovacs Ltd. (“Tornado”), a designer and manufacturer of hydrovac trucks. On June 21, 2022, during the third quarter of fiscal 2022, the company completed the acquisition of certain assets of River City Manufacturing, Inc., a manufacturer of custom rock saws. These asset acquisitions pertain to the company's Professional segment.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2020, during the first quarter of fiscal 2021, the company completed the acquisition of Turflynx, Lda, a developer of innovative autonomous solutions for turf management. On March 1, 2021, during the second quarter of fiscal 2021, the company completed the acquisition of Left Hand Robotics, Inc., a developer of innovative autonomous solutions for turf and snow management. These acquisitions complement and support the development of alternative power, smart-connected, and autonomous products within the company's Professional and Residential segments.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None of these acquisitions met the definition of business combinations as substantially all of the fair value of the gross assets acquired in each acquisition was concentrated in the respective finite-lived developed technology intangible assets.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109" w:lineRule="exact"/>
        <w:rPr>
          <w:sz w:val="20"/>
          <w:szCs w:val="20"/>
          <w:color w:val="auto"/>
        </w:rPr>
      </w:pPr>
    </w:p>
    <w:p>
      <w:pPr>
        <w:ind w:left="620" w:hanging="594"/>
        <w:spacing w:after="0"/>
        <w:tabs>
          <w:tab w:leader="none" w:pos="620" w:val="left"/>
        </w:tabs>
        <w:numPr>
          <w:ilvl w:val="0"/>
          <w:numId w:val="3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w:t>
      </w:r>
    </w:p>
    <w:p>
      <w:pPr>
        <w:spacing w:after="0" w:line="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Professional reportable business segment consists of turf and landscape equipment; rental, specialty, and underground construction equipment; snow and ice management equipment; and irrigation and lighting products. Turf and landscape equipment products include sports fields and grounds mowing and maintenance equipment, golf course mowing and maintenance equipment, landscape contractor mowing equipment, landscape creation and renovation equipment, and other maintenance equipment. Rental, specialty, and underground construction equipment products include horizontal directional drills, walk and ride trenchers, stand-on skid steers, vacuum excavators, stump grinders, turf renovation products, asset locators, pipe rehabilitation solutions, materials handling equipment, and other after-market tools. Snow and ice management equipment products primarily include snowplows; stand-on snow and ice removal equipment, including the related snowplow, snow brush, and snow thrower attachments; salt and sand spreaders; brine ice control products; and related parts and accessories for light and medium duty trucks, utility task vehicles, skid steers, and front-end loaders. Irrigation and lighting products consist of sprinkler heads, electric and hydraulic valves, controllers, computer irrigation central control systems, coupling systems, and ag-irrigation drip tape and hose products, as well as professionally installed landscape lighting products offered through distributors and landscape contractors that also purchase irrigation products. Professional reportable business segment products are marketed and sold mainly through a network of distributors and dealers to professional and other users, including homeowners, engaged in maintaining golf courses, sports fields, municipal properties, agricultural fields, residential and commercial landscapes, and removing snow and ice, as well as directly to government customers, rental companies, and large retailers.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Residential reportable business segment primarily consists of walk power mowers, zero-turn riding mowers, snow throwers, replacement parts, and home solutions products, including grass trimmers, hedge trimmers, leaf blowers, blower-vacuums, chainsaws, string trimmers, and underground, hose, and hose-end retail irrigation products. Residential reportable business segment products are marketed and sold to homeowners through a network of distributors and dealers and through a broad array of home centers, hardware retailers, and mass retailers, as well as online.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activities consists of the company's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and deferred tax assets and liabilities.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The company evaluates the performance of its Professional and Residential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segment results based on earnings from operations plus other income, net. The reportable business segment's operating profits or losses include direct costs incurred at the reportable business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 company's domestic wholly-owned distribution company, certain corporate activities, other income, and interest expense. The company accounts for intersegment gross sales at current market prices.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business segments and Other activities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2023</w:t>
            </w:r>
          </w:p>
        </w:tc>
        <w:tc>
          <w:tcPr>
            <w:tcW w:w="1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3,674.6</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854.2</w:t>
            </w:r>
          </w:p>
        </w:tc>
        <w:tc>
          <w:tcPr>
            <w:tcW w:w="94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24.4</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4,553.2</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gross sales (eliminations)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45.8</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0.2</w:t>
            </w:r>
          </w:p>
        </w:tc>
        <w:tc>
          <w:tcPr>
            <w:tcW w:w="94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(46.0)</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income taxes</w:t>
            </w:r>
            <w:r>
              <w:rPr>
                <w:rFonts w:ascii="Times New Roman" w:cs="Times New Roman" w:eastAsia="Times New Roman" w:hAnsi="Times New Roman"/>
                <w:sz w:val="17"/>
                <w:szCs w:val="17"/>
                <w:color w:val="auto"/>
                <w:vertAlign w:val="superscript"/>
              </w:rPr>
              <w:t>1</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509.1</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68.9</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(177.5)</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2,679.6</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565.1</w:t>
            </w:r>
          </w:p>
        </w:tc>
        <w:tc>
          <w:tcPr>
            <w:tcW w:w="940" w:type="dxa"/>
            <w:vAlign w:val="bottom"/>
          </w:tcPr>
          <w:p>
            <w:pPr>
              <w:spacing w:after="0"/>
              <w:rPr>
                <w:sz w:val="15"/>
                <w:szCs w:val="15"/>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399.6</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3,644.3</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79.9</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45.6</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24.0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r>
      <w:tr>
        <w:trPr>
          <w:trHeight w:val="18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89.3</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14.9</w:t>
            </w:r>
          </w:p>
        </w:tc>
        <w:tc>
          <w:tcPr>
            <w:tcW w:w="9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15.0</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2022</w:t>
            </w:r>
          </w:p>
        </w:tc>
        <w:tc>
          <w:tcPr>
            <w:tcW w:w="1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3,429.6</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1,068.6</w:t>
            </w:r>
          </w:p>
        </w:tc>
        <w:tc>
          <w:tcPr>
            <w:tcW w:w="94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16.5</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4,514.7</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gross sales (eliminations)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33.5</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0.1</w:t>
            </w:r>
          </w:p>
        </w:tc>
        <w:tc>
          <w:tcPr>
            <w:tcW w:w="94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(33.6)</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income taxes</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584.0</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112.7</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(144.2)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552.5</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2,702.8</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501.6</w:t>
            </w:r>
          </w:p>
        </w:tc>
        <w:tc>
          <w:tcPr>
            <w:tcW w:w="940" w:type="dxa"/>
            <w:vAlign w:val="bottom"/>
          </w:tcPr>
          <w:p>
            <w:pPr>
              <w:spacing w:after="0"/>
              <w:rPr>
                <w:sz w:val="15"/>
                <w:szCs w:val="15"/>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351.6</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3,556.0</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94.3</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31.0</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18.2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r>
      <w:tr>
        <w:trPr>
          <w:trHeight w:val="18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82.7</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13.0</w:t>
            </w:r>
          </w:p>
        </w:tc>
        <w:tc>
          <w:tcPr>
            <w:tcW w:w="9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13.1</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2021</w:t>
            </w:r>
          </w:p>
        </w:tc>
        <w:tc>
          <w:tcPr>
            <w:tcW w:w="1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2,929.6</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1,010.1</w:t>
            </w:r>
          </w:p>
        </w:tc>
        <w:tc>
          <w:tcPr>
            <w:tcW w:w="94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19.9</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3,959.6</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gross sales (eliminations)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30.5</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(30.5)</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income taxes</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507.3</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121.5</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(129.0)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w:t>
            </w: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94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2,032.4</w:t>
            </w:r>
          </w:p>
        </w:tc>
        <w:tc>
          <w:tcPr>
            <w:tcW w:w="3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388.2</w:t>
            </w:r>
          </w:p>
        </w:tc>
        <w:tc>
          <w:tcPr>
            <w:tcW w:w="940" w:type="dxa"/>
            <w:vAlign w:val="bottom"/>
          </w:tcPr>
          <w:p>
            <w:pPr>
              <w:spacing w:after="0"/>
              <w:rPr>
                <w:sz w:val="15"/>
                <w:szCs w:val="15"/>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515.5</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2,936.1</w:t>
            </w: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79.5</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16.7</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r>
      <w:tr>
        <w:trPr>
          <w:trHeight w:val="18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73.7</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13.5</w:t>
            </w:r>
          </w:p>
        </w:tc>
        <w:tc>
          <w:tcPr>
            <w:tcW w:w="9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12.1</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w:t>
            </w:r>
          </w:p>
        </w:tc>
      </w:tr>
    </w:tbl>
    <w:p>
      <w:pPr>
        <w:spacing w:after="0" w:line="185" w:lineRule="exact"/>
        <w:rPr>
          <w:sz w:val="20"/>
          <w:szCs w:val="20"/>
          <w:color w:val="auto"/>
        </w:rPr>
      </w:pPr>
    </w:p>
    <w:p>
      <w:pPr>
        <w:jc w:val="both"/>
        <w:ind w:left="180" w:hanging="172"/>
        <w:spacing w:after="0" w:line="234" w:lineRule="auto"/>
        <w:tabs>
          <w:tab w:leader="none" w:pos="194"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The Professional reportable segment earnings (loss) before income taxes includes $151.3 million of non-cash impairment charges recorded during the preparation of the financial statements for the third quarter of fiscal 2023 related to the Intimidator operating segment. For additional information regarding the impairment charges, refer to Note 5, </w:t>
      </w:r>
      <w:r>
        <w:rPr>
          <w:rFonts w:ascii="Times New Roman" w:cs="Times New Roman" w:eastAsia="Times New Roman" w:hAnsi="Times New Roman"/>
          <w:sz w:val="15"/>
          <w:szCs w:val="15"/>
          <w:i w:val="1"/>
          <w:iCs w:val="1"/>
          <w:color w:val="auto"/>
        </w:rPr>
        <w:t>Goodwill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Other Intangible Assets</w:t>
      </w:r>
      <w:r>
        <w:rPr>
          <w:rFonts w:ascii="Times New Roman" w:cs="Times New Roman" w:eastAsia="Times New Roman" w:hAnsi="Times New Roman"/>
          <w:sz w:val="15"/>
          <w:szCs w:val="15"/>
          <w:color w:val="auto"/>
        </w:rPr>
        <w:t>.</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2023 and 2022, no customers accounted for 10.0 percent or more of total consolidated gross sales. During fiscal 2021, sales to one customer in the Residential segment accounted for 10.6 percent of total consolidated gross sales.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operating loss before income taxes for the company's Other activities (dollars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9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(126.3)</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03"/>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from the company's wholly-owned domestic distribution company and other income, net</w:t>
            </w: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operating loss</w:t>
            </w: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(144.2)</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27"/>
        </w:trPr>
        <w:tc>
          <w:tcPr>
            <w:tcW w:w="6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geographic area data includes net sales based on product shipment destination and long-lived assets, which consist of property, plant and equipment, net, and is based on physical location in addition to allocated capital tooling from U.S. plant facilities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7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08"/>
              <w:spacing w:after="0" w:line="151"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3,605.5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947.7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4,553.2</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101.3</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19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2022</w:t>
            </w: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3,635.5</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879.2</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4,514.7</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505.9</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2021</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3,132.0</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827.6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3,959.6</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20" w:hanging="594"/>
        <w:spacing w:after="0"/>
        <w:tabs>
          <w:tab w:leader="none" w:pos="620" w:val="left"/>
        </w:tabs>
        <w:numPr>
          <w:ilvl w:val="0"/>
          <w:numId w:val="38"/>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similar product type and geographic market (dollars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2023</w:t>
            </w:r>
          </w:p>
        </w:tc>
        <w:tc>
          <w:tcPr>
            <w:tcW w:w="19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product type:</w:t>
            </w:r>
          </w:p>
        </w:tc>
        <w:tc>
          <w:tcPr>
            <w:tcW w:w="1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3,236.9</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819.2</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13.1</w:t>
            </w:r>
          </w:p>
        </w:tc>
        <w:tc>
          <w:tcPr>
            <w:tcW w:w="3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4,069.2</w:t>
            </w:r>
          </w:p>
        </w:tc>
      </w:tr>
      <w:tr>
        <w:trPr>
          <w:trHeight w:val="189"/>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Irrigation</w:t>
            </w:r>
          </w:p>
        </w:tc>
        <w:tc>
          <w:tcPr>
            <w:tcW w:w="1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437.7</w:t>
            </w: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35.0</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11.3</w:t>
            </w: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484.0</w:t>
            </w:r>
          </w:p>
        </w:tc>
      </w:tr>
      <w:tr>
        <w:trPr>
          <w:trHeight w:val="18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3,674.6</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854.2</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24.4</w:t>
            </w:r>
          </w:p>
        </w:tc>
        <w:tc>
          <w:tcPr>
            <w:tcW w:w="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4,553.2</w:t>
            </w:r>
          </w:p>
        </w:tc>
      </w:tr>
      <w:tr>
        <w:trPr>
          <w:trHeight w:val="27"/>
        </w:trPr>
        <w:tc>
          <w:tcPr>
            <w:tcW w:w="3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75"/>
        </w:trPr>
        <w:tc>
          <w:tcPr>
            <w:tcW w:w="38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geographic market:</w:t>
            </w:r>
          </w:p>
        </w:tc>
        <w:tc>
          <w:tcPr>
            <w:tcW w:w="1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2,898.5</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682.6</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24.4</w:t>
            </w:r>
          </w:p>
        </w:tc>
        <w:tc>
          <w:tcPr>
            <w:tcW w:w="3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3,605.5</w:t>
            </w:r>
          </w:p>
        </w:tc>
      </w:tr>
      <w:tr>
        <w:trPr>
          <w:trHeight w:val="189"/>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International Countries</w:t>
            </w:r>
          </w:p>
        </w:tc>
        <w:tc>
          <w:tcPr>
            <w:tcW w:w="1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776.1</w:t>
            </w: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171.6</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947.7</w:t>
            </w:r>
          </w:p>
        </w:tc>
      </w:tr>
      <w:tr>
        <w:trPr>
          <w:trHeight w:val="18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3,674.6</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854.2</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24.4</w:t>
            </w:r>
          </w:p>
        </w:tc>
        <w:tc>
          <w:tcPr>
            <w:tcW w:w="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4,553.2</w:t>
            </w:r>
          </w:p>
        </w:tc>
      </w:tr>
      <w:tr>
        <w:trPr>
          <w:trHeight w:val="27"/>
        </w:trPr>
        <w:tc>
          <w:tcPr>
            <w:tcW w:w="3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2022</w:t>
            </w:r>
          </w:p>
        </w:tc>
        <w:tc>
          <w:tcPr>
            <w:tcW w:w="1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product type:</w:t>
            </w:r>
          </w:p>
        </w:tc>
        <w:tc>
          <w:tcPr>
            <w:tcW w:w="19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w:t>
            </w:r>
          </w:p>
        </w:tc>
        <w:tc>
          <w:tcPr>
            <w:tcW w:w="19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3,003.0</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1,039.2</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6.4</w:t>
            </w:r>
          </w:p>
        </w:tc>
        <w:tc>
          <w:tcPr>
            <w:tcW w:w="3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4,048.6</w:t>
            </w:r>
          </w:p>
        </w:tc>
      </w:tr>
      <w:tr>
        <w:trPr>
          <w:trHeight w:val="190"/>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Irrigation</w:t>
            </w:r>
          </w:p>
        </w:tc>
        <w:tc>
          <w:tcPr>
            <w:tcW w:w="19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426.6</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29.4</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10.1</w:t>
            </w: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466.1</w:t>
            </w:r>
          </w:p>
        </w:tc>
      </w:tr>
      <w:tr>
        <w:trPr>
          <w:trHeight w:val="18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3,429.6</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1,068.6</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16.5</w:t>
            </w:r>
          </w:p>
        </w:tc>
        <w:tc>
          <w:tcPr>
            <w:tcW w:w="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4,514.7</w:t>
            </w:r>
          </w:p>
        </w:tc>
      </w:tr>
      <w:tr>
        <w:trPr>
          <w:trHeight w:val="27"/>
        </w:trPr>
        <w:tc>
          <w:tcPr>
            <w:tcW w:w="3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74"/>
        </w:trPr>
        <w:tc>
          <w:tcPr>
            <w:tcW w:w="38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geographic market:</w:t>
            </w:r>
          </w:p>
        </w:tc>
        <w:tc>
          <w:tcPr>
            <w:tcW w:w="19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19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2,737.9</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881.1</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16.5</w:t>
            </w:r>
          </w:p>
        </w:tc>
        <w:tc>
          <w:tcPr>
            <w:tcW w:w="3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3,635.5</w:t>
            </w:r>
          </w:p>
        </w:tc>
      </w:tr>
      <w:tr>
        <w:trPr>
          <w:trHeight w:val="190"/>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International Countries</w:t>
            </w:r>
          </w:p>
        </w:tc>
        <w:tc>
          <w:tcPr>
            <w:tcW w:w="19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691.7</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187.5</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879.2</w:t>
            </w:r>
          </w:p>
        </w:tc>
      </w:tr>
      <w:tr>
        <w:trPr>
          <w:trHeight w:val="18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3,429.6</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1,068.6</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16.5</w:t>
            </w:r>
          </w:p>
        </w:tc>
        <w:tc>
          <w:tcPr>
            <w:tcW w:w="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4,514.7</w:t>
            </w:r>
          </w:p>
        </w:tc>
      </w:tr>
      <w:tr>
        <w:trPr>
          <w:trHeight w:val="27"/>
        </w:trPr>
        <w:tc>
          <w:tcPr>
            <w:tcW w:w="3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 October 31, 2021</w:t>
            </w:r>
          </w:p>
        </w:tc>
        <w:tc>
          <w:tcPr>
            <w:tcW w:w="19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product type:</w:t>
            </w:r>
          </w:p>
        </w:tc>
        <w:tc>
          <w:tcPr>
            <w:tcW w:w="1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2"/>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1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2,530.8</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975.8</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11.7</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3,518.3</w:t>
            </w:r>
          </w:p>
        </w:tc>
      </w:tr>
      <w:tr>
        <w:trPr>
          <w:trHeight w:val="19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Irrigation</w:t>
            </w:r>
          </w:p>
        </w:tc>
        <w:tc>
          <w:tcPr>
            <w:tcW w:w="1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398.8</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34.3</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8.2</w:t>
            </w: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441.3</w:t>
            </w:r>
          </w:p>
        </w:tc>
      </w:tr>
      <w:tr>
        <w:trPr>
          <w:trHeight w:val="18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2,929.6</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1,010.1</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19.9</w:t>
            </w:r>
          </w:p>
        </w:tc>
        <w:tc>
          <w:tcPr>
            <w:tcW w:w="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3,959.6</w:t>
            </w:r>
          </w:p>
        </w:tc>
      </w:tr>
      <w:tr>
        <w:trPr>
          <w:trHeight w:val="27"/>
        </w:trPr>
        <w:tc>
          <w:tcPr>
            <w:tcW w:w="3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75"/>
        </w:trPr>
        <w:tc>
          <w:tcPr>
            <w:tcW w:w="38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geographic market:</w:t>
            </w:r>
          </w:p>
        </w:tc>
        <w:tc>
          <w:tcPr>
            <w:tcW w:w="1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2"/>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2,268.9</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843.2</w:t>
            </w: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19.9</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3,132.0</w:t>
            </w:r>
          </w:p>
        </w:tc>
      </w:tr>
      <w:tr>
        <w:trPr>
          <w:trHeight w:val="19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 Countries</w:t>
            </w:r>
          </w:p>
        </w:tc>
        <w:tc>
          <w:tcPr>
            <w:tcW w:w="1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660.7</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166.9</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827.6</w:t>
            </w:r>
          </w:p>
        </w:tc>
      </w:tr>
      <w:tr>
        <w:trPr>
          <w:trHeight w:val="18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1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2,929.6</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1,010.1</w:t>
            </w:r>
          </w:p>
        </w:tc>
        <w:tc>
          <w:tcPr>
            <w:tcW w:w="1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19.9</w:t>
            </w:r>
          </w:p>
        </w:tc>
        <w:tc>
          <w:tcPr>
            <w:tcW w:w="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3,959.6</w:t>
            </w:r>
          </w:p>
        </w:tc>
      </w:tr>
      <w:tr>
        <w:trPr>
          <w:trHeight w:val="27"/>
        </w:trPr>
        <w:tc>
          <w:tcPr>
            <w:tcW w:w="3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a customer distribution center or warehouse whereby the company retains control of the product stored at the customer's distribution center or warehouse. As the company's products are removed from the distribution center or warehouse by the customer and shipped to the retail sale location, control is transferred from the company to the customer. At that time, the company invoices the customer and recognizes revenue for these consignment transactions. The company does not offer a right of return for products shipped to the customer's retail sale location from the distribution center or warehouse. The total value of consignment inventory as of October 31, 2023 and 2022 was $38.3 million and $28.3 million, respectively.</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off-invoice 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projected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 primarily on historical experience, anticipated sales returns estimated from sales terms, trend analysis, and other factors. The company records the obligation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Collectability from the customer for product revenue is generally assumed to be probable because the company's financial exposure related to accounts receivable is reduced due to its dealer and distributor inventory financing programs. For additional information regarding these programs, refer to Note 11,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 company's product sales to customers that do not elect to finance product purchases are generally on open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terms that generally approximate 30 to 120 days. The resulting receivables are included within receivables, net on the Consolidated Balance Sheets. The company performs ongoing credit evaluations of customers on open account terms in order to assess collectability.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Extended Warranty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2023 and October 31, 2022, $25.6 million and $28.0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2023, the company recognized $14.7 million of the October 31, 2022 deferred revenue balance. The company expects to recognize approximately $12.0 million of the October 31, 2023 deferred revenue balance within net sales in the Consolidated Statements of Earnings in fiscal 2024 and $13.6 million thereafter.</w:t>
      </w:r>
    </w:p>
    <w:p>
      <w:pPr>
        <w:spacing w:after="0" w:line="115" w:lineRule="exact"/>
        <w:rPr>
          <w:sz w:val="20"/>
          <w:szCs w:val="20"/>
          <w:color w:val="auto"/>
        </w:rPr>
      </w:pPr>
    </w:p>
    <w:p>
      <w:pPr>
        <w:ind w:left="620" w:hanging="594"/>
        <w:spacing w:after="0"/>
        <w:tabs>
          <w:tab w:leader="none" w:pos="620" w:val="left"/>
        </w:tabs>
        <w:numPr>
          <w:ilvl w:val="0"/>
          <w:numId w:val="3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assessed for impairment at least annually during the fourth quarter of each fiscal year unless events or changes in circumstances indicate that impairment may have occurred prior to the annual assessment. Goodwill is assessed for impairment at the reporting unit level and the company's reporting units are its 12 operating segments. Indefinite-lived intangible assets are assessed for impairment at the individual indefinite-lived intangible asset or asset group level, as appropriate. Through the second quarter of fiscal 2023, the company previously assessed qualitative factors, including overall financial performance such as actual and projected cash flows, revenues, and earnings, and concluded it was not more likely than not that the indefinite-lived Spartan trade name intangible asset was impaired nor that the fair value of the Intimidator reporting unit was less than its carrying amount.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third quarter of fiscal 2023, the company identified deterioration in year-to-date fiscal 2023 results of Intimidator compared to previous expectations and resulting downward revisions to the company's projected future results of Intimidator made during the third quarter of fiscal 2023 as part of the company's annual long range strategic planning process, including future expected cash flows, which were significantly lower than previously expected. The underperformance was attributable to summer seasonality trends that did not materialize primarily due to reduced retail demand from homeowners who prefer professional solutions. This reduced retail demand from homeowners who prefer professional solutions was driven by persistent hot and dry weather patterns across key regions, coupled with a number of macro factors, including higher interest rates, economic uncertainty, and consumer spending preferences following the exceptional demand during the pandemic. Additionally, the company had previously replenished the Intimidator customer channel, which, combined with the reduced retail demand, caused a significant reduction in shipments and customer reorders during the third quarter of fiscal 2023, as well as a material reduction in projected future financial results for Intimidator.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above factors, the company concluded it was more likely than not that the indefinite-lived Spartan trade name intangible asset was impaired and that the fair value of the Intimidator reporting unit was less than its carrying amount. As such, the company performed quantitative impairment analyses to compare the fair value of the Spartan trade name intangible asset and the Intimidator reporting unit with their respective carrying amounts. Prior to the end of the third quarter of fiscal 2023, the company did not have a material uncertainty associated with the assets of the Intimidator reporting unit, and therefore, did not previously report an early warning disclosure.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Spartan trade name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The fair value of the Intimidator reporting unit under the quantitative goodwill impairment test was determined using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Inputs used to estimate these fair values included significant unobservable inputs that reflect the company’s assumptions about the inputs that market participants would use and, therefore, the fair value assessments are classified within Level 3 of the fair value hierarchy.</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analyses, at the end of the third quarter of fiscal 2023, the company recorded an impairment charge of $18.0 million related to the indefinite-lived Spartan trade name intangible asset reported under the Professional segment. Further, during the same period, the company recorded an impairment charge of $133.3 million related to goodwill of the Intimidator reporting unit also reported under the Professional segment. Subsequent to these impairment charges, the remaining balance of the indefinite-lived Spartan trade name intangible asset was $81.1 million and the remaining balance of goodwill for the Intimidator reporting unit was $30.5 million. The charges are included in the Non-cash impairment charges caption on the Consolidated Statements of Earnings. These impairment charges resulted in a $36.7 million income tax benefit (deferred tax asset) associated with the remaining tax deductible basis in goodwill and other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fiscal 2023 and 2022 were as follows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2021</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411.1</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7"/>
              </w:rPr>
              <w:t>10.6</w:t>
            </w:r>
          </w:p>
        </w:tc>
        <w:tc>
          <w:tcPr>
            <w:tcW w:w="10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0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163.7</w:t>
            </w:r>
          </w:p>
        </w:tc>
        <w:tc>
          <w:tcPr>
            <w:tcW w:w="1060" w:type="dxa"/>
            <w:vAlign w:val="bottom"/>
          </w:tcPr>
          <w:p>
            <w:pPr>
              <w:spacing w:after="0"/>
              <w:rPr>
                <w:sz w:val="16"/>
                <w:szCs w:val="16"/>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203"/>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2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573.0</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7"/>
              </w:rPr>
              <w:t>10.3</w:t>
            </w: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w:t>
            </w:r>
          </w:p>
        </w:tc>
      </w:tr>
      <w:tr>
        <w:trPr>
          <w:trHeight w:val="20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w:t>
            </w:r>
          </w:p>
        </w:tc>
        <w:tc>
          <w:tcPr>
            <w:tcW w:w="2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(133.3)</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21"/>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440.5</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7"/>
              </w:rPr>
              <w:t>10.3</w:t>
            </w:r>
          </w:p>
        </w:tc>
        <w:tc>
          <w:tcPr>
            <w:tcW w:w="10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were as follows (dollars in millions, except weighted-average useful life in years):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220" w:type="dxa"/>
            <w:vAlign w:val="bottom"/>
            <w:tcBorders>
              <w:top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vMerge w:val="continue"/>
          </w:tcPr>
          <w:p>
            <w:pPr>
              <w:spacing w:after="0"/>
              <w:rPr>
                <w:sz w:val="17"/>
                <w:szCs w:val="17"/>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102.0</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Backlog and other</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471.0</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271.5</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742.5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3220" w:type="dxa"/>
            <w:vAlign w:val="bottom"/>
            <w:tcBorders>
              <w:top w:val="single" w:sz="8" w:color="auto"/>
            </w:tcBorders>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101.9</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(53.0)</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Backlog and other</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464.3</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(167.8)</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289.3</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753.6</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finite-lived intangible assets for the fiscal years ended October 31, 2023, 2022, and 2021 was $35.7 million, $33.9 million, and $23.8 million, respectively. Estimated amortization expense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60" w:type="dxa"/>
            <w:vAlign w:val="bottom"/>
            <w:tcBorders>
              <w:top w:val="single" w:sz="8" w:color="auto"/>
            </w:tcBorders>
          </w:tcPr>
          <w:p>
            <w:pPr>
              <w:spacing w:after="0"/>
              <w:rPr>
                <w:sz w:val="13"/>
                <w:szCs w:val="13"/>
                <w:color w:val="auto"/>
              </w:rPr>
            </w:pPr>
          </w:p>
        </w:tc>
        <w:tc>
          <w:tcPr>
            <w:tcW w:w="40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040" w:type="dxa"/>
            <w:vAlign w:val="bottom"/>
          </w:tcPr>
          <w:p>
            <w:pPr>
              <w:spacing w:after="0"/>
              <w:rPr>
                <w:sz w:val="12"/>
                <w:szCs w:val="12"/>
                <w:color w:val="auto"/>
              </w:rPr>
            </w:pPr>
          </w:p>
        </w:tc>
        <w:tc>
          <w:tcPr>
            <w:tcW w:w="11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estimated amortization expense</w:t>
            </w:r>
          </w:p>
        </w:tc>
        <w:tc>
          <w:tcPr>
            <w:tcW w:w="4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4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6</w:t>
            </w:r>
          </w:p>
        </w:tc>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 (dollars in millions):</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7160" w:type="dxa"/>
            <w:vAlign w:val="bottom"/>
            <w:tcBorders>
              <w:bottom w:val="single" w:sz="8" w:color="auto"/>
            </w:tcBorders>
            <w:gridSpan w:val="2"/>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90"/>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 million revolving credit facility, due October 2026</w:t>
            </w:r>
          </w:p>
        </w:tc>
        <w:tc>
          <w:tcPr>
            <w:tcW w:w="1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$270 million term loan, due October 2026</w:t>
            </w:r>
          </w:p>
        </w:tc>
        <w:tc>
          <w:tcPr>
            <w:tcW w:w="16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million term loan, due April 2027</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16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16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16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124.2</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203"/>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1,031.5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990.8</w:t>
            </w:r>
          </w:p>
        </w:tc>
      </w:tr>
      <w:tr>
        <w:trPr>
          <w:trHeight w:val="27"/>
        </w:trPr>
        <w:tc>
          <w:tcPr>
            <w:tcW w:w="44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based on the maturity dates defined within the company's debt arrangements,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6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6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an amended and restated credit agreement ("amended credit agreement") that provided for, among other things, a five-year unsecured revolving credit facility with a borrowing capacity of up to $600.0 million ("revolving credit facility") that matures on October 5, 2026 and replaced the company's prior $600.0 million unsecured senior revolving credit facility scheduled to mature on June 19, 2023. Included in the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 As of October 31, 2023, the company had $40.0 million outstanding under the revolving credit facility and $2.6 million outstanding under the sublimit for standby letters of credit, resulting in $557.4 million of unutilized availability under the revolving credit facility. As of October 31, 2022, the company had no outstanding borrowings under the revolving credit facility and $3.1 million outstanding under the sublimit for standby letters of credit, resulting in $596.9 million of unutilized availability under the revolving credit facility.</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27, 2022, the company further amended the amended credit agreement to transition the reference rate from LIBOR to term SOFR. As of October 31, 2023, SOFR is the reference rate in effect for all outstanding variable interest borrowings of the company.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22, 2023, the company further amended the amended credit agreement to permit non-cash charges in its “Consolidated EBIT” calculation among other administrative amendments.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SOFR or an alternative variable rate based on the highest of the Bank of America prime rate, the federal funds rate or a rate generally based on SOFR, in each case subject to an additional basis point spread as defined in the amended credit agreement. Swingline loans under the revolving credit facility bear interest at a rate determined by the swingline lender or an alternative variable rate based on the highest of the Bank of America prime rate, the federal funds rate or a rate generally based on SOFR, in each case subject to an additional basis point spread as defined in the amended credit agreement. Interest is payable quarterly in arrears. The interest rate on outstanding borrowings as of October 31, 2023 was 6.34%. During fiscal 2023, 2022 and 2021, the company incurred interest expense of $5.7 million, $2.4 million and $0.0 million, respectively, on the outstanding borrowings under the current and prior revolving credit facilities.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revolving credit facility contains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 minimum thresholds and exceptions. The company was in compliance with all covenants related to the amended credit agreement for the company's revolving credit facility as of October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$270.0 Million Term Loan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executed on October 5, 2021, as further amended on April 27, 2022 and September 22, 2023, also provided for a five-year unsecured term loan in an aggregate principal amount of $270.0 million, the entire amount of which was funded on October 5, 2021 and matures on October 5, 2026 ("$270.0 million term loan"). Under the amended credit agreement, incremental term loan commitments may be established at the company's election and the approval of the borrowers on the $270.0 million term loan by an amount of up to $100.0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December 31, 2024, the company is required to make quarterly principal amortization payments on the $270.0 million term loan equal to 2.5% of the original aggregate principal amount reduced by any applicable prepayments. On October 5, 2026, the aggregate principal amount of any remaining outstanding borrowings under the $270.0 million term loan is required to be repaid. The $270.0 million term loan may be prepaid and terminated at the company's election at any time without penalty or premium. Amounts repaid or prepaid may not be reborrowed. As of October 31, 2023, there was $270.0 million of outstanding borrowings under the $270.0 million term loan.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$270.0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amended credit agreement. Interest is payable quarterly in arrears. The interest rate on outstanding borrowings as of October 31, 2023 was 6.30%. For the fiscal years ended October 31, 2023, 2022, and 2021, the company incurred interest expense of $15.9 million, $5.7 million and $0.2 million, respectively, on the outstanding borrowings under the $270.0 million term loan.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$270.0 million term loan contains customary covenants, including, without limitation, financial covenants generally consistent with those applicable under the company's revolving credit facility and the company was in compliance with all covenants as of October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$200.0 Million Term Loan Credit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27, 2022, the company entered into a term loan credit agreement ("$200.0 million term loan") with certain financial institutions for the purpose of paying down certain of its outstanding borrowings incurred in connection with the company's acquisition of Intimidator on January 13, 2022 and borrowed under its revolving credit facility provided under the amended credit agreement. On September 22, 2023, the company amended the $200.0 million term loan credit agreement to permit non-cash charges in its “Consolidated EBIT” calculation among other administrative amendments. The entire $200.0 million available under the agreement was funded on April 27, 2022, and matures on April 27, 2027. In connection with the company's entry into the $200.0 million term loan, the company incurred immaterial debt issuance costs, which are being deferred and amortized over the life of the $200.0 million term loan and are netted against the outstanding borrowings under the $200.0 million term loan within the long-term debt line item on the company's Consolidated Balance Sheets.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with the last business day of June 2025, the company is required to make quarterly amortization payments on the $200.0 million term loan equal to 2.5% of the original aggregate principal amount reduced by any applicable prepayments. The $200.0 million term loan may be prepaid and terminated at the company's election at any time without penalty or premium. Amounts repaid or prepaid may not be reborrowed.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$200.0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amended credit agreement. Interest is payable quarterly in arrears. The interest rate on outstanding borrowings as of October 31, 2023 was 6.30%. For the fiscal years ended October 31, 2023 and 2022, the company incurred interest expense of $11.7 million and $3.1 million, respectively, on the outstanding borrowings under the $200.0 million term loan.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$200.0 million term loan contains customary covenants, including, without limitation, financial covenants generally consistent with those applicable under the company's revolving credit facility. The company was in compliance with all covenants as of October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3.81% Series A and 3.91% Series B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principal is due on the Senior Notes prior to their stated due dates. The company has the right to prepay all or a portion of either series of the Senior Notes in amounts not less than 10% of the then outstanding principal amount of the series of Senior Notes being prepaid upon notice to the holders of such series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 of the principal amount so prepaid, plus accrued and unpaid interest, if any, to the date of prepayment. Upon the occurrence of certain change of control events, the company is required to offer to prepay all Senior Notes for 100% of the principal amount thereof plus accrued and unpaid interest, if any, to the date of prepayment.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For each of the fiscal years ended October 31, 2023, 2022, and 2021, the company incurred interest expense of $7.7 million,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the company, as well as certain customary covenants, including, without limitation, financial covenants generally consistent with those applicable under the company's revolving credit facility. The company was in compliance with all covenants as of October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3.97% Senior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company issued $100.0 million of 3.97% Senior Notes due June 30, 2032 ("3.97% Senior Notes") pursuant to a private placement note purchase agreement ("2022 Note Purchase Agreement") with certain purchasers. The proceeds were used pay down certain of its outstanding borrowings incurred in connection with the company's acquisition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Intimidator on January 13, 2022 and borrowed under its revolving credit facility provided under the amended credit agreement. In connection with the 2022 Note Purchase Agreement, the company incurred immaterial debt issuance costs, which were capitalized as contra-debt on the company's Consolidated Balance Sheets and will be amortized over the life of the 3.97% Senior Notes. The 3.97% Senior Notes are unsecured senior obligations of the company and mature on June 30, 2032.</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to prepay all or a portion of the 3.97% Senior Notes in an amount not less than 10% of the then outstanding principal amount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for 100% of the principal amount prepaid, plus accrued and unpaid interest, if any, to the date of prepayment. Upon the occurrence of certain change of control events, the company is required to offer to prepay all of the 3.97% Senior Notes for 100% of the principal amount thereof plus accrued and unpaid interest, if any, to the date of prepayment.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3.97% Senior Notes is payable semiannually on the 30th day of June and December in each year. For the fiscal years ended October 31, 2023 and 2022, the company incurred interest expense of $4.0 million and $1.3 million, respectively, on the outstanding borrowings under the 3.97% Senior Notes.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Note Purchase Agreement contains customary representations and warranties of the company, as well as certain customary covenants, including, without limitation, financial covenants generally consistent with those applicable under the company's revolving credit facility. The company was in compliance with all covenants as of October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Debentures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coupon 10-year notes and $100.0 million of 7.8% coupon 30-year debentures. The $75.0 million of 7.125%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debentures is payable semiannually on the 15th day of June and December in each year. For each of the fiscal years ended October 31, 2023, 2022, and 2021, the company incurred interest expense of $8.0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6.625% Senior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senior notes due May 1, 2037 and priced at 98.513%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the effective interest rate is 6.741%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1st day of May and November in each year. For each of the fiscal years ended October 31, 2023, 2022, and 2021, the company incurred interest expense of $8.4 million, respectively.</w:t>
      </w:r>
    </w:p>
    <w:p>
      <w:pPr>
        <w:spacing w:after="0" w:line="83" w:lineRule="exact"/>
        <w:rPr>
          <w:sz w:val="20"/>
          <w:szCs w:val="20"/>
          <w:color w:val="auto"/>
        </w:rPr>
      </w:pPr>
    </w:p>
    <w:p>
      <w:pPr>
        <w:ind w:left="620" w:hanging="594"/>
        <w:spacing w:after="0"/>
        <w:tabs>
          <w:tab w:leader="none" w:pos="620" w:val="left"/>
        </w:tabs>
        <w:numPr>
          <w:ilvl w:val="0"/>
          <w:numId w:val="4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Investment in Joint Venture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joint venture with HDF, a subsidiary of The Huntington National Bank, established as Red Iron, the primary purpose of which is to provide customer inventory financing to certain distributors and dealers of certain of the company’s products in the U.S. The company has also entered into a limited inventory repurchase agreement with Red Iron. For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the customer financing aspect of the arrangement, as well as the limited inventory purchase agreement,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$1,350.0 million secured revolving credit facility established under a credit agreement between Red Iron and HDF. The company's total investment in Red Iron as of October 31, 2023 and 2022 was $50.6 million and $39.3 million, respectively. The company has not guaranteed the outstanding indebtedness of Red Iron.</w:t>
      </w:r>
    </w:p>
    <w:p>
      <w:pPr>
        <w:spacing w:after="0" w:line="109" w:lineRule="exact"/>
        <w:rPr>
          <w:sz w:val="20"/>
          <w:szCs w:val="20"/>
          <w:color w:val="auto"/>
        </w:rPr>
      </w:pPr>
    </w:p>
    <w:p>
      <w:pPr>
        <w:ind w:left="620" w:hanging="594"/>
        <w:spacing w:after="0"/>
        <w:tabs>
          <w:tab w:leader="none" w:pos="620" w:val="left"/>
        </w:tabs>
        <w:numPr>
          <w:ilvl w:val="0"/>
          <w:numId w:val="4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345.0</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491.3</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w:t>
            </w:r>
          </w:p>
        </w:tc>
      </w:tr>
      <w:tr>
        <w:trPr>
          <w:trHeight w:val="203"/>
        </w:trPr>
        <w:tc>
          <w:tcPr>
            <w:tcW w:w="4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2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400.5</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552.5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w:t>
            </w:r>
          </w:p>
        </w:tc>
      </w:tr>
      <w:tr>
        <w:trPr>
          <w:trHeight w:val="27"/>
        </w:trPr>
        <w:tc>
          <w:tcPr>
            <w:tcW w:w="45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tax rate is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rate</w:t>
            </w:r>
          </w:p>
        </w:tc>
        <w:tc>
          <w:tcPr>
            <w:tcW w:w="25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21.0 %</w:t>
            </w:r>
          </w:p>
        </w:tc>
        <w:tc>
          <w:tcPr>
            <w:tcW w:w="8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21.0 %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Excess deduction for stock-based compensation</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(0.4)</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and local income taxes, net of federal benefit</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2.0</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operations</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(0.7)</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(0.7)</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research tax credit</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(2.3)</w:t>
            </w:r>
          </w:p>
        </w:tc>
        <w:tc>
          <w:tcPr>
            <w:tcW w:w="8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(0.7)</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5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5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0.1</w:t>
            </w:r>
          </w:p>
        </w:tc>
        <w:tc>
          <w:tcPr>
            <w:tcW w:w="82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(0.1)</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17.7 %</w:t>
            </w: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19.8 %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27"/>
        </w:trPr>
        <w:tc>
          <w:tcPr>
            <w:tcW w:w="5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was signed into law on March 27, 2020 and allowed for 100% deduction of meals expense, delayed payment of employer payroll taxes, among other items. The company has reflected the impact of the CARES Act for the fiscal years ended October 31, 2023, 2022, and 2021 within its Consolidated Financial Statements and such impact was not material to the company's Consolidated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Inflation Reduction Act ("IRA") was signed into law on August 16, 2022. Among other provisions, the IRA includes a 15% corporate minimum tax applied to large corporations, a 1% excise tax on corporate stock repurchases made after December 31, 2022 and various energy tax credits. There are no material impacts from the IRA within the Consolidated Financial Statements for the fiscal years ended October 31, 2023 and 2022.</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2017, the U.S enacted Public Lax No. 115-97 ("Tax Act"), originally introduced as the Tax Cuts and Jobs Act, which significantly modified the Internal Revenue Code. The Tax Act introduced the capitalization and amortization of research and experimentation expenditures for taxable years beginning after December 31, 2021. The company has reflected the impact for the fiscal year ended October 31,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provision for income taxes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94.4</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6"/>
        </w:trPr>
        <w:tc>
          <w:tcPr>
            <w:tcW w:w="4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provision</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118.7</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121.5</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(benefit) provision:</w:t>
            </w:r>
          </w:p>
        </w:tc>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3"/>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deferred benefit</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21"/>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70.8</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income tax assets and liabilities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Warranty and insurance</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sales promotions and incentives</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losses and other carryforwards</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Experimentation</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30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177.0</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20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3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30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20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(163.2)</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w:t>
            </w:r>
          </w:p>
        </w:tc>
      </w:tr>
      <w:tr>
        <w:trPr>
          <w:trHeight w:val="221"/>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 (liabilities), net</w:t>
            </w:r>
          </w:p>
        </w:tc>
        <w:tc>
          <w:tcPr>
            <w:tcW w:w="3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2023, the company has domestic net operating loss carryforwards of $4.1 million for both federal and state income tax purposes that does not expire. As of October 31, 2023, the company has net operating loss carryforwards of approximately $5.1 million in foreign jurisdictions, which are comprised of $5.0 million that do not expire and $0.1 million that expires between fiscal 2035 and fiscal 2040. The company also has domestic credit carryforwards of $1.9 million that expire between fiscal 2027 and fiscal 2043.</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change in the total valuation allowance between the fiscal years ended October 31, 2023 and 2022 was an increase of $0.1 million. The change in valuation allowance is related to domestic tax credits, capital loss carryforwards, and net operating losses that are expected to expire prior to utilization.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that $41.8 million of the total undistributed earnings of its foreign operations will be indefinitely reinvested. Should these earnings be distributed in the future in the form of dividends or otherwise, the company may be subject to foreign withholding taxes, state income taxes, and/or additional federal taxes for currency fluctuations. As of October 31, 2023, the unrecognized deferred tax liabilities for temporary differences related to the company’s investment in non-U.S. subsidiaries, and any withholding, state, or additional federal taxes that may be applied upon any future repatriation, are expected to be immaterial.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2022</w:t>
            </w:r>
          </w:p>
        </w:tc>
        <w:tc>
          <w:tcPr>
            <w:tcW w:w="3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3.3</w:t>
            </w:r>
          </w:p>
        </w:tc>
      </w:tr>
      <w:tr>
        <w:trPr>
          <w:trHeight w:val="20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during a prior period</w:t>
            </w:r>
          </w:p>
        </w:tc>
        <w:tc>
          <w:tcPr>
            <w:tcW w:w="35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during the current period</w:t>
            </w:r>
          </w:p>
        </w:tc>
        <w:tc>
          <w:tcPr>
            <w:tcW w:w="3580" w:type="dxa"/>
            <w:vAlign w:val="bottom"/>
          </w:tcPr>
          <w:p>
            <w:pPr>
              <w:spacing w:after="0"/>
              <w:rPr>
                <w:sz w:val="16"/>
                <w:szCs w:val="16"/>
                <w:color w:val="auto"/>
              </w:rPr>
            </w:pPr>
          </w:p>
        </w:tc>
        <w:tc>
          <w:tcPr>
            <w:tcW w:w="76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0.6</w:t>
            </w:r>
          </w:p>
        </w:tc>
      </w:tr>
      <w:tr>
        <w:trPr>
          <w:trHeight w:val="20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as a result of statute of limitations lapses</w:t>
            </w:r>
          </w:p>
        </w:tc>
        <w:tc>
          <w:tcPr>
            <w:tcW w:w="35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2023</w:t>
            </w:r>
          </w:p>
        </w:tc>
        <w:tc>
          <w:tcPr>
            <w:tcW w:w="3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3.7</w:t>
            </w:r>
          </w:p>
        </w:tc>
      </w:tr>
      <w:tr>
        <w:trPr>
          <w:trHeight w:val="27"/>
        </w:trPr>
        <w:tc>
          <w:tcPr>
            <w:tcW w:w="69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provision for income taxes within the Consolidated Statements of Earnings. In addition to the unrecognized tax benefits of $3.7 million, which have been recorded as an other accrued liability within the Consolidated Balance Sheets as of October 31, 2023, the company recorded $1.0 million of accrued interest and penalties as an other accrued liability within the Consolidated Balance Sheets as of October 31, 2023. Included in the balance of unrecognized tax benefits as of October 31, 2023 are potential benefits of $3.8 million that, if recognized, would affect the effective tax rate.</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2019. The company is under audit in certain state jurisdictions and expects various statutes of limitation to expire during the next 12 months. Due to the uncertainty related to the response of taxing authorities, a range of outcomes cannot be reasonably estimated at this time.</w:t>
      </w:r>
    </w:p>
    <w:p>
      <w:pPr>
        <w:spacing w:after="0" w:line="101" w:lineRule="exact"/>
        <w:rPr>
          <w:sz w:val="20"/>
          <w:szCs w:val="20"/>
          <w:color w:val="auto"/>
        </w:rPr>
      </w:pPr>
    </w:p>
    <w:p>
      <w:pPr>
        <w:ind w:left="620" w:hanging="594"/>
        <w:spacing w:after="0"/>
        <w:tabs>
          <w:tab w:leader="none" w:pos="620" w:val="left"/>
        </w:tabs>
        <w:numPr>
          <w:ilvl w:val="0"/>
          <w:numId w:val="4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with respect to future grants of awards. The 2022 plan is administered by the Compensation &amp; Human Resources Committee of the Board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 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 The number of unissued shares of common stock available for future stock-based compensation award grants under the 2022 plan was 3,046,609 as of October 31, 2023. All outstanding stock-based compensation awards were granted under the 2010 plan or the 2022 plan. Shares of common stock issued upon the exercise, vesting, or settlement of stock options, restricted stock units, and performance shares are issued from treasury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related to stock-based compensation awards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26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0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awards</w:t>
            </w:r>
          </w:p>
        </w:tc>
        <w:tc>
          <w:tcPr>
            <w:tcW w:w="26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Unrestricted common stock awards</w:t>
            </w:r>
          </w:p>
        </w:tc>
        <w:tc>
          <w:tcPr>
            <w:tcW w:w="2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21"/>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for stock-based compensation awards</w:t>
            </w:r>
          </w:p>
        </w:tc>
        <w:tc>
          <w:tcPr>
            <w:tcW w:w="26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Related tax benefit from stock-based compensation awards</w:t>
            </w:r>
          </w:p>
        </w:tc>
        <w:tc>
          <w:tcPr>
            <w:tcW w:w="26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the company's common stock on the date of grant, as reported by the New York Stock Exchange and are generally granted to executive officers, other employees, and 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recognized for other employees not considered executive officers or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applicable equity and incentive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used under the Black-Scholes valuation method for options granted in the following fiscal periods: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2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25.20 %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23.26 %</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3.79 %</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0.55 %</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0.95 %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0.86 %</w:t>
            </w:r>
          </w:p>
        </w:tc>
      </w:tr>
      <w:tr>
        <w:trPr>
          <w:trHeight w:val="203"/>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weighted-average fair value at date of grant</w:t>
            </w:r>
          </w:p>
        </w:tc>
        <w:tc>
          <w:tcPr>
            <w:tcW w:w="21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33.21</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22.55</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stock option activity for fiscal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8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Aggregate Intrinsic</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3140" w:type="dxa"/>
            <w:vAlign w:val="bottom"/>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Stock Option Awards</w:t>
            </w: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Contractual Life</w:t>
            </w:r>
          </w:p>
        </w:tc>
        <w:tc>
          <w:tcPr>
            <w:tcW w:w="160" w:type="dxa"/>
            <w:vAlign w:val="bottom"/>
          </w:tcPr>
          <w:p>
            <w:pPr>
              <w:spacing w:after="0"/>
              <w:rPr>
                <w:sz w:val="11"/>
                <w:szCs w:val="11"/>
                <w:color w:val="auto"/>
              </w:rPr>
            </w:pPr>
          </w:p>
        </w:tc>
        <w:tc>
          <w:tcPr>
            <w:tcW w:w="122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rPr>
              <w:t>Value (dollars in</w:t>
            </w:r>
          </w:p>
        </w:tc>
        <w:tc>
          <w:tcPr>
            <w:tcW w:w="0" w:type="dxa"/>
            <w:vAlign w:val="bottom"/>
          </w:tcPr>
          <w:p>
            <w:pPr>
              <w:spacing w:after="0"/>
              <w:rPr>
                <w:sz w:val="1"/>
                <w:szCs w:val="1"/>
                <w:color w:val="auto"/>
              </w:rPr>
            </w:pPr>
          </w:p>
        </w:tc>
      </w:tr>
      <w:tr>
        <w:trPr>
          <w:trHeight w:val="184"/>
        </w:trPr>
        <w:tc>
          <w:tcPr>
            <w:tcW w:w="38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2022</w:t>
            </w:r>
          </w:p>
        </w:tc>
        <w:tc>
          <w:tcPr>
            <w:tcW w:w="3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2,986,033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475,620</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110.87</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3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(389,923)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52.76</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(98,300)</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107.67</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2023</w:t>
            </w:r>
          </w:p>
        </w:tc>
        <w:tc>
          <w:tcPr>
            <w:tcW w:w="3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2,973,430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78.80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as of October 31, 2023</w:t>
            </w:r>
          </w:p>
        </w:tc>
        <w:tc>
          <w:tcPr>
            <w:tcW w:w="3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2,078,025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68.37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there was $7.5 million of total unrecognized compensation cost related to unvested stock options that is expected to be recognized over a weighted-average period of 2.04 years.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market value of stock options exercised and the total intrinsic value of options exercised during the following fiscal years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stock options exercised</w:t>
            </w:r>
          </w:p>
        </w:tc>
        <w:tc>
          <w:tcPr>
            <w:tcW w:w="26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203"/>
        </w:trPr>
        <w:tc>
          <w:tcPr>
            <w:tcW w:w="476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Intrinsic value of stock options exercised</w:t>
            </w:r>
            <w:r>
              <w:rPr>
                <w:rFonts w:ascii="Times New Roman" w:cs="Times New Roman" w:eastAsia="Times New Roman" w:hAnsi="Times New Roman"/>
                <w:sz w:val="18"/>
                <w:szCs w:val="18"/>
                <w:color w:val="auto"/>
                <w:vertAlign w:val="superscript"/>
              </w:rPr>
              <w:t>1</w:t>
            </w:r>
          </w:p>
        </w:tc>
        <w:tc>
          <w:tcPr>
            <w:tcW w:w="2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r>
    </w:tbl>
    <w:p>
      <w:pPr>
        <w:spacing w:after="0" w:line="167"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Intrinsic value is calculated as the amount by which the stock price at exercise date exceeded the option exercise price.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performance share awards on an annual basis in the first quarter of the company's fiscal year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Compensation cost 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performance share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112.14</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98.41</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performance share awards vested</w:t>
            </w:r>
          </w:p>
        </w:tc>
        <w:tc>
          <w:tcPr>
            <w:tcW w:w="2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2023 activity for unvested performance share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Borders>
              <w:top w:val="single" w:sz="8" w:color="auto"/>
            </w:tcBorders>
          </w:tcPr>
          <w:p>
            <w:pPr>
              <w:spacing w:after="0"/>
              <w:rPr>
                <w:sz w:val="13"/>
                <w:szCs w:val="13"/>
                <w:color w:val="auto"/>
              </w:rPr>
            </w:pPr>
          </w:p>
        </w:tc>
        <w:tc>
          <w:tcPr>
            <w:tcW w:w="4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4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Performance Shares</w:t>
            </w:r>
          </w:p>
        </w:tc>
        <w:tc>
          <w:tcPr>
            <w:tcW w:w="138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at Date of</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2022</w:t>
            </w:r>
          </w:p>
        </w:tc>
        <w:tc>
          <w:tcPr>
            <w:tcW w:w="4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195,600</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0" w:type="dxa"/>
            <w:vAlign w:val="bottom"/>
          </w:tcPr>
          <w:p>
            <w:pPr>
              <w:spacing w:after="0"/>
              <w:rPr>
                <w:sz w:val="1"/>
                <w:szCs w:val="1"/>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66,131</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(46,831)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(28,140)</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106.16</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2023</w:t>
            </w:r>
          </w:p>
        </w:tc>
        <w:tc>
          <w:tcPr>
            <w:tcW w:w="4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186,760</w:t>
            </w:r>
          </w:p>
        </w:tc>
        <w:tc>
          <w:tcPr>
            <w:tcW w:w="1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2023, there was $4.2 million of total unrecognized compensation cost related to unvested performance share awards that is expected to be recognized over a weighted-average period of 1.63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unit awards are generally granted on an annual basis to certain employees that are not executive officers and occasionally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restricted stock unit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103.40</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97.87</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restricted stock units vested</w:t>
            </w:r>
          </w:p>
        </w:tc>
        <w:tc>
          <w:tcPr>
            <w:tcW w:w="2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2023 activity for unvested restricted stock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80" w:type="dxa"/>
            <w:vAlign w:val="bottom"/>
            <w:tcBorders>
              <w:top w:val="single" w:sz="8" w:color="auto"/>
            </w:tcBorders>
          </w:tcPr>
          <w:p>
            <w:pPr>
              <w:spacing w:after="0"/>
              <w:rPr>
                <w:sz w:val="13"/>
                <w:szCs w:val="13"/>
                <w:color w:val="auto"/>
              </w:rPr>
            </w:pPr>
          </w:p>
        </w:tc>
        <w:tc>
          <w:tcPr>
            <w:tcW w:w="45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4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at Date</w:t>
            </w: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0" w:type="dxa"/>
            <w:vAlign w:val="bottom"/>
          </w:tcPr>
          <w:p>
            <w:pPr>
              <w:spacing w:after="0"/>
              <w:rPr>
                <w:sz w:val="1"/>
                <w:szCs w:val="1"/>
                <w:color w:val="auto"/>
              </w:rPr>
            </w:pPr>
          </w:p>
        </w:tc>
      </w:tr>
      <w:tr>
        <w:trPr>
          <w:trHeight w:val="20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2022</w:t>
            </w:r>
          </w:p>
        </w:tc>
        <w:tc>
          <w:tcPr>
            <w:tcW w:w="4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150,677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99,081</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(57,727)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(12,205)</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93.26</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2023</w:t>
            </w:r>
          </w:p>
        </w:tc>
        <w:tc>
          <w:tcPr>
            <w:tcW w:w="4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179,826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4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there was $9.3 million of total unrecognized compensation cost related to unvested restricted stock units that is expected to be recognized over a weighted-average period of 2.23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Unrestricted Common Stock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2022, and 2021, 10,329, 6,453, and 8,070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deferred compensation plan that allows executive officers and certain other employees that receive performance share awards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 treated in a manner similar to treasury shares and are recorded at cost within stockholders' equity in the Consolidated Balance Sheets as of October 31, 2023 and 2022. The total of common stock required to settle this deferred compensation obligation is included in the denominator of the calculation of both basic and diluted net earnings per share of common stock.</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4, 2018, the company's Board authorized the repurchase of 5,000,000 shares of common stock in open-market or in privately negotiated transactions under the authorized stock repurchase program. During fiscal 2023 and 2022, the company paid $60.0 million and $140.0 million to repurchase 577,115 and 1,525,856 shares, respectively, under the authorized repurchase program. As of October 31, 2023, 1,949,491 shares remained available for repurchase under the December 4, 2018 tranche of authorized shares under the company's stock repurchase program. This program has no expiration date but may be terminated by the Board at any time. Shares of the company's common stock surrendered by employees to satisfy minimum tax withholding obligations upon vesting of certain stock-based compensation awards are not a part of this program.</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2022, the company's Board authorized the repurchase of up to an additional 5,000,000 shares of common stock in open-market or in privately negotiated transactions under the authorized stock repurchase program. As of October 31, 2023, no shares have been repurchased under this program. This program has no expiration date but may be terminated by the Board at any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Treasury shares generally consist of shares of the company's common stock repurchased under the company's Board authorized stock repurchase program. The company values treasury shares on an average cost basis. As of October 31, 2023, the company had a total of 23,888,294 treasury shares at a total average cost of $1,743.6 million. As of October 31, 2022, the company had a total of 23,774,518 treasury shares at a total average cost of $1,715.0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AOCL, net of tax, within the Consolidated Statements of Stockholders' Equity were as follows (dollars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3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9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324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3"/>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derivative instruments</w:t>
            </w:r>
          </w:p>
        </w:tc>
        <w:tc>
          <w:tcPr>
            <w:tcW w:w="3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3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37.0</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net of tax,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Cash Flow Derivative</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200" w:type="dxa"/>
            <w:vAlign w:val="bottom"/>
          </w:tcPr>
          <w:p>
            <w:pPr>
              <w:spacing w:after="0"/>
              <w:rPr>
                <w:sz w:val="11"/>
                <w:szCs w:val="11"/>
                <w:color w:val="auto"/>
              </w:rPr>
            </w:pPr>
          </w:p>
        </w:tc>
        <w:tc>
          <w:tcPr>
            <w:tcW w:w="12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4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4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15.3</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Cash Flow Derivative</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220" w:type="dxa"/>
            <w:vAlign w:val="bottom"/>
          </w:tcPr>
          <w:p>
            <w:pPr>
              <w:spacing w:after="0"/>
              <w:rPr>
                <w:sz w:val="11"/>
                <w:szCs w:val="11"/>
                <w:color w:val="auto"/>
              </w:rPr>
            </w:pPr>
          </w:p>
        </w:tc>
        <w:tc>
          <w:tcPr>
            <w:tcW w:w="1220" w:type="dxa"/>
            <w:vAlign w:val="bottom"/>
            <w:vMerge w:val="restart"/>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4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(19.3)</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in net earnings for derivative instruments refer to Note 13,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inventory financing arrangements with Red Iron,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SOFR, or an alternative variable rate, plus a fixed percentage that differs based on whether the financing is for a distributor or dealer. Rates may also vary based on the product that is financed.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this arrangement with Red Iron during fiscal 2023, 2022, and 2021 was $2,789.5 million, $2,627.5 million, and $2,282.6 million, respectively. The total amount of net receivables outstanding under this arrangement with Red Iron as of October 31, 2023 and 2022 was $1,019.0 million and $776.1 million, respectively. The total amount of receivables due from Red Iron to the company as of October 31, 2023 and 2022 were $34.4 million and $17.7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2023, 2022, and 2021 was $545.4 million, $633.5 million, and $460.5 million, respectively. As of October 31, 2023 and 2022, $234.7 million and $220.0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inventory repurchase agreements with the other third-party financial institutions under which the company has agreed to repurchase certain repossessed products. Under these agreements, for the fiscal years ended October 31, 2023 and 2022, the company was contingently liable to repurchase up to $32.2 million and $80.0 million of repossessed inventory, respectively.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2023, 2022, and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 agreements where it provides recourse to third-party finance companies in the event of default by the end-customer for financing payments to the third-party finance company. The company's maximum exposure for credit collection for the fiscal years ended October 31, 2023 and 2022 was $5.2 million and $8.6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October 31, 2023, the company had $28.7 million of noncancelable purchase commitments with certain of the company's suppliers for commodities as part of the normal course of business. Additionally, associated with the Tornado asset acquisition described in Note 2, </w:t>
      </w:r>
      <w:r>
        <w:rPr>
          <w:rFonts w:ascii="Times New Roman" w:cs="Times New Roman" w:eastAsia="Times New Roman" w:hAnsi="Times New Roman"/>
          <w:sz w:val="18"/>
          <w:szCs w:val="18"/>
          <w:i w:val="1"/>
          <w:iCs w:val="1"/>
          <w:color w:val="auto"/>
        </w:rPr>
        <w:t>Business Combinations and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has entered into a minimum purchase arrangement for a total of approximately $35 million of inventory through fiscal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31, 2023, the company did not have material noncancelable purchase commitments related to capital expenditures for renovation and expansion efforts at the company's facilities and other property, plant and equipment.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w:t>
      </w:r>
    </w:p>
    <w:p>
      <w:pPr>
        <w:spacing w:after="0" w:line="1" w:lineRule="exact"/>
        <w:rPr>
          <w:sz w:val="20"/>
          <w:szCs w:val="20"/>
          <w:color w:val="auto"/>
        </w:rPr>
      </w:pPr>
    </w:p>
    <w:p>
      <w:pPr>
        <w:jc w:val="both"/>
        <w:ind w:firstLine="8"/>
        <w:spacing w:after="0" w:line="251" w:lineRule="auto"/>
        <w:tabs>
          <w:tab w:leader="none" w:pos="3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Leases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35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35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98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9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35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9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35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35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7"/>
        </w:trPr>
        <w:tc>
          <w:tcPr>
            <w:tcW w:w="44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1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4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Operating cash flows for amounts included in the measurement of lease liabilities</w:t>
            </w:r>
          </w:p>
        </w:tc>
        <w:tc>
          <w:tcPr>
            <w:tcW w:w="14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lease information related to the company's operating leases as of October 31, 2023 and October 31,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top w:val="single" w:sz="8" w:color="auto"/>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4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of operating leases in years</w:t>
            </w:r>
          </w:p>
        </w:tc>
        <w:tc>
          <w:tcPr>
            <w:tcW w:w="3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of operating leases</w:t>
            </w:r>
          </w:p>
        </w:tc>
        <w:tc>
          <w:tcPr>
            <w:tcW w:w="3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4.83 %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2023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6"/>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operating lease payments</w:t>
            </w:r>
          </w:p>
        </w:tc>
        <w:tc>
          <w:tcPr>
            <w:tcW w:w="3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21"/>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Derivative</w:t>
      </w:r>
      <w:r>
        <w:rPr>
          <w:rFonts w:ascii="Times New Roman" w:cs="Times New Roman" w:eastAsia="Times New Roman" w:hAnsi="Times New Roman"/>
          <w:sz w:val="43"/>
          <w:szCs w:val="43"/>
          <w:b w:val="1"/>
          <w:bCs w:val="1"/>
          <w:color w:val="auto"/>
          <w:vertAlign w:val="subscript"/>
        </w:rPr>
        <w:t>Activities</w:t>
      </w:r>
      <w:r>
        <w:rPr>
          <w:rFonts w:ascii="Times New Roman" w:cs="Times New Roman" w:eastAsia="Times New Roman" w:hAnsi="Times New Roman"/>
          <w:sz w:val="43"/>
          <w:szCs w:val="43"/>
          <w:b w:val="1"/>
          <w:bCs w:val="1"/>
          <w:color w:val="auto"/>
        </w:rPr>
        <w:t xml:space="preserve"> </w:t>
      </w:r>
      <w:r>
        <w:rPr>
          <w:rFonts w:ascii="Times New Roman" w:cs="Times New Roman" w:eastAsia="Times New Roman" w:hAnsi="Times New Roman"/>
          <w:sz w:val="19"/>
          <w:szCs w:val="19"/>
          <w:b w:val="1"/>
          <w:bCs w:val="1"/>
          <w:color w:val="auto"/>
        </w:rPr>
        <w:t>Instruments and Hedging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projected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Hedging Instruments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projected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projected trade sales and purchases is two years.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projected transaction affects net earnings. When the company discontinues cash flow hedge accounting because it is no longer probable, but it is still reasonably possible that the projected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projected transaction affects net earnings. However, if it is probable that a projected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2023, the notional amount outstanding of forward currency contracts designated as cash flow hedging instruments was $307.5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Hedging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Consolidated Balance Sheets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2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6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Consolidated Balance Sheets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30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3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amount of derivative assets</w:t>
            </w:r>
          </w:p>
        </w:tc>
        <w:tc>
          <w:tcPr>
            <w:tcW w:w="3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96"/>
        </w:trPr>
        <w:tc>
          <w:tcPr>
            <w:tcW w:w="5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Derivative liabilities offsetting derivative assets</w:t>
            </w:r>
          </w:p>
        </w:tc>
        <w:tc>
          <w:tcPr>
            <w:tcW w:w="3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of derivative assets</w:t>
            </w:r>
          </w:p>
        </w:tc>
        <w:tc>
          <w:tcPr>
            <w:tcW w:w="30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3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amount of derivative liabilities</w:t>
            </w:r>
          </w:p>
        </w:tc>
        <w:tc>
          <w:tcPr>
            <w:tcW w:w="3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 offsetting derivative liabilities</w:t>
            </w:r>
          </w:p>
        </w:tc>
        <w:tc>
          <w:tcPr>
            <w:tcW w:w="30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amount of derivative liabilities</w:t>
            </w:r>
          </w:p>
        </w:tc>
        <w:tc>
          <w:tcPr>
            <w:tcW w:w="3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(dollars in millions):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640" w:type="dxa"/>
            <w:vAlign w:val="bottom"/>
          </w:tcPr>
          <w:p>
            <w:pPr>
              <w:spacing w:after="0"/>
              <w:rPr>
                <w:sz w:val="13"/>
                <w:szCs w:val="13"/>
                <w:color w:val="auto"/>
              </w:rPr>
            </w:pPr>
          </w:p>
        </w:tc>
        <w:tc>
          <w:tcPr>
            <w:tcW w:w="274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Gain Reclassified from AOCL into Income</w:t>
            </w:r>
          </w:p>
        </w:tc>
        <w:tc>
          <w:tcPr>
            <w:tcW w:w="100" w:type="dxa"/>
            <w:vAlign w:val="bottom"/>
            <w:vMerge w:val="restart"/>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3"/>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(Loss) Gain Recognized in OCI on</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 designated as cash flow hedging instruments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46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2023 and 2022, the company recognized immaterial losses and gains, respectively, within other income, net on the Consolidated Statement of Earnings due to the discontinuance of cash flow hedge accounting on certain forward currency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designated as cash flow hedging instruments. As of October 31, 2023, the company expects to reclassify approximately $8.6 million of gains from AOCL to earnings during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(dollars in millions):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27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Gain Recognized in Earnings on Cash Flow</w:t>
            </w:r>
          </w:p>
        </w:tc>
      </w:tr>
      <w:tr>
        <w:trPr>
          <w:trHeight w:val="196"/>
        </w:trPr>
        <w:tc>
          <w:tcPr>
            <w:tcW w:w="8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Consolidated Statements of Earnings income (expense) amounts in which the effects of cash flow hedging instruments are recorded</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3"/>
                <w:szCs w:val="13"/>
                <w:color w:val="auto"/>
              </w:rPr>
              <w:t>4,553.2</w:t>
            </w: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(2,975.6)</w:t>
            </w:r>
          </w:p>
        </w:tc>
      </w:tr>
      <w:tr>
        <w:trPr>
          <w:trHeight w:val="183"/>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Gain on derivatives designated as cash flow hedging instruments: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Amount of gain reclassified from AOCL into earnings</w:t>
            </w:r>
          </w:p>
        </w:tc>
        <w:tc>
          <w:tcPr>
            <w:tcW w:w="22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10.8</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89"/>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components excluded from effectiveness testing recognized in earnings based on changes in fair value</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3"/>
                <w:szCs w:val="13"/>
                <w:color w:val="auto"/>
              </w:rPr>
              <w:t>2.2</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3"/>
          </w:tcPr>
          <w:p>
            <w:pPr>
              <w:jc w:val="right"/>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(Loss) Gain Recognized in Earnings on</w:t>
            </w:r>
          </w:p>
        </w:tc>
      </w:tr>
      <w:tr>
        <w:trPr>
          <w:trHeight w:val="196"/>
        </w:trPr>
        <w:tc>
          <w:tcPr>
            <w:tcW w:w="8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Cash Flow 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2022</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Consolidated Statements of Earnings income (expense) amounts in which the effects of cash flow hedging instruments are recorded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4,514.7</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(3,010.1)</w:t>
            </w:r>
          </w:p>
        </w:tc>
      </w:tr>
      <w:tr>
        <w:trPr>
          <w:trHeight w:val="183"/>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Gain (loss) on derivatives designated as cash flow hedging instruments:</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Amount of gain reclassified from AOCL into earnings</w:t>
            </w:r>
          </w:p>
        </w:tc>
        <w:tc>
          <w:tcPr>
            <w:tcW w:w="120" w:type="dxa"/>
            <w:vAlign w:val="bottom"/>
          </w:tcPr>
          <w:p>
            <w:pPr>
              <w:spacing w:after="0"/>
              <w:rPr>
                <w:sz w:val="15"/>
                <w:szCs w:val="15"/>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89"/>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gain on components excluded from effectiveness testing recognized in earnings based on changes in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Consolidated Statements of Earnings for the company’s derivatives not designated as cash flow hedging instruments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0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(Loss) gain on derivative instruments not designated as cash flow hedging instruments:</w:t>
            </w:r>
          </w:p>
        </w:tc>
        <w:tc>
          <w:tcPr>
            <w:tcW w:w="2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(loss) gain on derivatives not designated as cash flow hedging instruments</w:t>
            </w:r>
          </w:p>
        </w:tc>
        <w:tc>
          <w:tcPr>
            <w:tcW w:w="2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7"/>
        </w:trPr>
        <w:tc>
          <w:tcPr>
            <w:tcW w:w="6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Fair Value Measurements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w:t>
      </w:r>
    </w:p>
    <w:p>
      <w:pPr>
        <w:spacing w:after="0" w:line="117"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for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right="2220" w:firstLine="3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reflecting management's assumptions about the inputs used in pricing the asset or liability.</w:t>
      </w:r>
      <w:r>
        <w:rPr>
          <w:rFonts w:ascii="Times New Roman" w:cs="Times New Roman" w:eastAsia="Times New Roman" w:hAnsi="Times New Roman"/>
          <w:sz w:val="18"/>
          <w:szCs w:val="18"/>
          <w:b w:val="1"/>
          <w:bCs w:val="1"/>
          <w:color w:val="auto"/>
        </w:rPr>
        <w:t xml:space="preserve"> Recurring Fair Value Measurements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October 31, 2023 and 2022,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122555</wp:posOffset>
            </wp:positionV>
            <wp:extent cx="2631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7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97"/>
              </w:rPr>
              <w:t>16.8</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7"/>
              </w:rPr>
              <w:t>16.8</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154305</wp:posOffset>
            </wp:positionV>
            <wp:extent cx="2631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97"/>
              </w:rPr>
              <w:t>33.2</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7"/>
              </w:rPr>
              <w:t>33.2</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37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5, </w:t>
      </w:r>
      <w:r>
        <w:rPr>
          <w:rFonts w:ascii="Times New Roman" w:cs="Times New Roman" w:eastAsia="Times New Roman" w:hAnsi="Times New Roman"/>
          <w:sz w:val="18"/>
          <w:szCs w:val="18"/>
          <w:i w:val="1"/>
          <w:iCs w:val="1"/>
          <w:color w:val="auto"/>
        </w:rPr>
        <w:t>Goodwill and Other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Assets acquired and liabilities assumed as part of a business combination are also measured at fair value on a non-recurring basis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combinations and asset acquisitions and the related non-recurring fair value measurement of the assets acquired and liabilities assumed,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Asset Acquisitions.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October 31, 2023 and 2022, the company's long-term debt included $524.2 million and $524.1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2023, the estimated gross fair value of long-term debt with fixed interest rates was $478.2 million compared to its gross carrying amount of $524.2 million. As of October 31, 2022, the estimated gross fair value of long-term debt with fixed interest rates was $489.8 million compared to its gross carrying amount of $524.1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Employee Retirement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The Toro Company Retirement Plan for eligible employees. The company's expenses under this plan, which include costs related to matching contributions and discretionary retirement fund contributions, as applicable, were $38.1 million, $35.3 million, and $28.5 million for the fiscal years ended October 31, 2023, 2022, and 2021,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defined benefit pension plan covering certain employees in the United Kingdom ("defined benefit retirement plan"). The projected and accumulated benefit obligation of the defined benefit retirement plan was $18.3 million and $18.9 million as of October 31, 2023 and 2022, respectively. The fair value of the defined benefit retirement plan assets as of October 31, 2023 and 2022 was $17.6 million and $18.4 million, respectively. The net funded status of the defined benefit retirement plan as of October 31, 2023 and 2022 was underfunded at $0.7 million and $0.6 million, respectively.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expense of $0.2 million for the fiscal year ended October 31, 2023, and recognized income of $0.2 million, and $0.1 million for the fiscal years ended October 31, 2022 and 2021, respectively.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omitted the remaining disclosures for the defined benefit retirement plan as the company deems this defined benefit retirement plan to be immaterial to its Consolidated Financial Statements.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Subsequent Events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and concluded that no additional subsequent events have occurred that would require recognition in the Consolidated Financial Statements or disclosure in the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company's Chairman of the Board, President and Chief Executive Officer and Vice President,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Chief Financial Officer, as appropriate to allow timely decisions regarding required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13, 2022, during the first quarter of fiscal 2022, the company completed the Intimidator acquisition. Prior to this acquisition, Intimidator was not subject to the Sarbanes-Oxley Act of 2002, the rules and regulations of the SEC, or other corporate governance requirements to which public companies are subject. In accordance with guidance issued by the SEC, companies are permitted to exclude acquisitions from their final assessment of internal control over financial reporting during the year of acquisition. As of the end of fiscal 2023, the company has completed its integration activities related to internal control over financial reporting for Intimidator. Accordingly, the company has included Intimidator within its assessment of the effectiveness of its internal control over financial reporting as of October 31, 2023. Refer to the company's management report on internal control over financial reporting included in this Annual Report on Form 10-K within Part II, Item 8, "Financial Statements and Supplementary Data," under the caption "Management's Report on Internal Control over Financial Reporting" for additional information.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internal control-related integration activities in connection with the company's acquisition of Intimidator, there was no change in the company's internal control over financial reporting that occurred during the fourth quarter of fiscal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company’s fourth quarter ended October 31, 2023, none of its directors or “officers” (as defined in Rule 16a-1(f) under the Exchange Act) adopted or terminated a “Rule 10b5-1 trading arrangement” or “non-Rule 10b5-1 trading arrangement,” as each term is defined in Item 408(a) of SEC Regulation S-K.</w:t>
      </w:r>
    </w:p>
    <w:p>
      <w:pPr>
        <w:spacing w:after="0" w:line="64"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"Corporate Governance — Board Committees," and “Stock Ownership — Delinquent Section 16(a) Reports” in the company's proxy statement for its 2024 Annual Meeting of Shareholders to be filed with the SEC.</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fiscal 2023, the company did not make any material changes to the procedures by which shareholders may recommend nominees to the Board of Directors, as described in the company's proxy statement for its 2023 Annual Meeting of Shareholders. The company has a Code of Ethics for its CEO and Senior Financial Personnel, a copy of which is posted on the company's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"Director Compensation", "Compensation Discussion and Analysis" and "Executive Compensation" in the company's proxy statement for its 2024 Annual Meeting of Shareholders to be filed with the SEC.</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"Stock Ownership" and "Equity Compensation Plan Information" in the company's proxy statement for its 2024 Annual Meeting of Shareholders to be filed with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 "Corporate Governance — Director Independence," "Corporate Governance — Board Committees" and "Corporate Governance — Related Person Transactions and Policies and Procedures Regarding Related Person Transactions" in the company's proxy statement for its 2024 Annual Meeting of Shareholders to be filed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53</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54</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Earnings for the fiscal years ended October 31, 2023, 2022, and 2021</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57</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fiscal years ended October 31, 2023, 2022, and 2021</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57</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October 31, 2023 and 2022</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58</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fiscal years ended October 31, 2023, 2022, and 2021</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59</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 for the fiscal years ended October 31, 2023, 2022, and 2021</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60</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61</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*KPMG LLP, Minneapolis, MN, PCAOB Firm ID No. 185.</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incorporated herein by reference or are filed or furnished with this Annual Report on Form 10-K as indicated below:</w:t>
      </w:r>
    </w:p>
    <w:p>
      <w:pPr>
        <w:spacing w:after="0" w:line="223" w:lineRule="exact"/>
        <w:rPr>
          <w:sz w:val="20"/>
          <w:szCs w:val="20"/>
          <w:color w:val="auto"/>
        </w:rPr>
      </w:pPr>
    </w:p>
    <w:tbl>
      <w:tblPr>
        <w:tblLayout w:type="fixed"/>
        <w:tblInd w:w="1420" w:type="dxa"/>
        <w:tblCellMar>
          <w:top w:w="0" w:type="dxa"/>
          <w:left w:w="0" w:type="dxa"/>
          <w:bottom w:w="0" w:type="dxa"/>
          <w:right w:w="0" w:type="dxa"/>
        </w:tblCellMar>
      </w:tblPr>
      <w:tr>
        <w:trPr>
          <w:trHeight w:val="175"/>
        </w:trPr>
        <w:tc>
          <w:tcPr>
            <w:tcW w:w="920" w:type="dxa"/>
            <w:vAlign w:val="bottom"/>
            <w:tcBorders>
              <w:top w:val="single" w:sz="8" w:color="auto"/>
            </w:tcBorders>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8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2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gridSpan w:val="2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2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2.1 (1)</w:t>
            </w:r>
          </w:p>
        </w:tc>
        <w:tc>
          <w:tcPr>
            <w:tcW w:w="9160" w:type="dxa"/>
            <w:vAlign w:val="bottom"/>
            <w:gridSpan w:val="27"/>
          </w:tcPr>
          <w:p>
            <w:pPr>
              <w:spacing w:after="0" w:line="171" w:lineRule="exact"/>
              <w:rPr>
                <w:sz w:val="20"/>
                <w:szCs w:val="20"/>
                <w:color w:val="auto"/>
              </w:rPr>
            </w:pPr>
            <w:r>
              <w:rPr>
                <w:rFonts w:ascii="Times New Roman" w:cs="Times New Roman" w:eastAsia="Times New Roman" w:hAnsi="Times New Roman"/>
                <w:sz w:val="16"/>
                <w:szCs w:val="16"/>
                <w:color w:val="0000FF"/>
              </w:rPr>
              <w:t>Agreement to Form Joint Venture dated August 12, 2009 by and between The Toro Company and TCF Inventory Finance, Inc. (filed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2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8"/>
              </w:rPr>
              <w:t>herewith).**</w:t>
            </w:r>
          </w:p>
        </w:tc>
        <w:tc>
          <w:tcPr>
            <w:tcW w:w="832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2.2 (1)</w:t>
            </w:r>
          </w:p>
        </w:tc>
        <w:tc>
          <w:tcPr>
            <w:tcW w:w="91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First Amendment to Agreement to Form Joint Venture dated June 6, 2012 by and between The Toro Company and TCF Inventory</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Finance, Inc. (filed herewith).**</w:t>
            </w:r>
          </w:p>
        </w:tc>
        <w:tc>
          <w:tcPr>
            <w:tcW w:w="69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2.3 (1)</w:t>
            </w:r>
          </w:p>
        </w:tc>
        <w:tc>
          <w:tcPr>
            <w:tcW w:w="91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Second Amendment to Agreement to Form Joint Venture dated November 29, 2016 by and between The Toro Company and TCF</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6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Inventory Finance, Inc. (filed herewith).**</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2.4 (1)</w:t>
            </w:r>
          </w:p>
        </w:tc>
        <w:tc>
          <w:tcPr>
            <w:tcW w:w="276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7"/>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Third Amendment to Agreement to Form Joint Venture effective as of December 20, 2019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6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Inventory Finance, Inc. (incorporated by reference to Exhibit 2.2 to Registrant’s Quarterly Report on Form 10-Q for the fiscal quarter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ended January 31, 2020, Commission File No. 1-8649).</w:t>
              </w:r>
            </w:hyperlink>
          </w:p>
        </w:tc>
        <w:tc>
          <w:tcPr>
            <w:tcW w:w="52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2.5 (1)</w:t>
            </w:r>
          </w:p>
        </w:tc>
        <w:tc>
          <w:tcPr>
            <w:tcW w:w="9160" w:type="dxa"/>
            <w:vAlign w:val="bottom"/>
            <w:gridSpan w:val="27"/>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Fourth Amendment to Agreement to Form Joint Venture dated as of March 26, 2021 and effective as of March 2, 2020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The Toro Company and TCF Inventory Finance, Inc. (incorporated by reference to Exhibit 2.2 to Registrant's Quarterly Report on Form</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80" w:type="dxa"/>
            <w:vAlign w:val="bottom"/>
            <w:gridSpan w:val="23"/>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10-Q for the fiscal quarter ended April 30, 2021, Commission File No. 1-8649).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2.6 (1)</w:t>
            </w:r>
          </w:p>
        </w:tc>
        <w:tc>
          <w:tcPr>
            <w:tcW w:w="36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7"/>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Fifth Amendment to Agreement to Form Joint Venture dated and effective as of June 10, 2022 by and between The Toro Company and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TCF Inventory Finance, Inc. (incorporated by reference to Exhibit 2.6 to Registrant's Annual Report on Form 10-K for the fiscal year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20" w:type="dxa"/>
            <w:vAlign w:val="bottom"/>
            <w:tcBorders>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ended October 31, 2022, Commission File No. 1-8649).</w:t>
              </w:r>
            </w:hyperlink>
          </w:p>
        </w:tc>
        <w:tc>
          <w:tcPr>
            <w:tcW w:w="5500" w:type="dxa"/>
            <w:vAlign w:val="bottom"/>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2.7 (1)</w:t>
            </w:r>
          </w:p>
        </w:tc>
        <w:tc>
          <w:tcPr>
            <w:tcW w:w="91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Limited Liability Company Agreement of Red Iron Acceptance, LLC dated August 12, 2009 by and between Red Iron Holding</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Corporation and TCFIF Joint Venture I, LLC (filed herewith).**</w:t>
            </w:r>
          </w:p>
        </w:tc>
        <w:tc>
          <w:tcPr>
            <w:tcW w:w="480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2.8</w:t>
            </w:r>
          </w:p>
        </w:tc>
        <w:tc>
          <w:tcPr>
            <w:tcW w:w="9160" w:type="dxa"/>
            <w:vAlign w:val="bottom"/>
            <w:gridSpan w:val="27"/>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Amendment No. 1 to Limited Liability Company Agreement of Red Iron Acceptance, LLC dated May 31, 2011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Iron Holding Corporation and TCFIF Joint Venture I, LLC (incorporated by reference to Exhibit 2.4 to Registrant's Annual Report on</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20" w:type="dxa"/>
            <w:vAlign w:val="bottom"/>
            <w:gridSpan w:val="20"/>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Form 10-K for the fiscal year ended October 31, 2012, Commission File No. 1-8649).</w:t>
              </w:r>
              <w:r>
                <w:rPr>
                  <w:rFonts w:ascii="Times New Roman" w:cs="Times New Roman" w:eastAsia="Times New Roman" w:hAnsi="Times New Roman"/>
                  <w:sz w:val="16"/>
                  <w:szCs w:val="16"/>
                  <w:color w:val="000000"/>
                </w:rPr>
                <w:t>**</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2.9 (1)</w:t>
            </w:r>
          </w:p>
        </w:tc>
        <w:tc>
          <w:tcPr>
            <w:tcW w:w="506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Second Amendment to Limited Liability Company Agreement of Red Iron Acceptance, LLC dated June 6, 2012 by and between Red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6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Iron Holding Corporation and TCFIF Joint Venture I, LLC (filed herewith).**</w:t>
            </w:r>
          </w:p>
        </w:tc>
        <w:tc>
          <w:tcPr>
            <w:tcW w:w="3900" w:type="dxa"/>
            <w:vAlign w:val="bottom"/>
            <w:tcBorders>
              <w:top w:val="single" w:sz="8" w:color="0000FF"/>
            </w:tcBorders>
            <w:gridSpan w:val="10"/>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2.10 (1)</w:t>
            </w:r>
          </w:p>
        </w:tc>
        <w:tc>
          <w:tcPr>
            <w:tcW w:w="91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Third Amendment to Limited Liability Company Agreement of Red Iron Acceptance, LLC dated November 29, 2016 by and between</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36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Red Iron Holding Corporation and TCFIF Joint Venture I, LLC (filed herewith).**</w:t>
            </w:r>
          </w:p>
        </w:tc>
        <w:tc>
          <w:tcPr>
            <w:tcW w:w="3540" w:type="dxa"/>
            <w:vAlign w:val="bottom"/>
            <w:tcBorders>
              <w:top w:val="single" w:sz="8" w:color="0000FF"/>
            </w:tcBorders>
            <w:gridSpan w:val="5"/>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2.11</w:t>
            </w:r>
          </w:p>
        </w:tc>
        <w:tc>
          <w:tcPr>
            <w:tcW w:w="9160" w:type="dxa"/>
            <w:vAlign w:val="bottom"/>
            <w:gridSpan w:val="27"/>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Fourth Amendment to Limited Liability Company Agreement of Red Iron Acceptance, LLC dated as of July 17, 2019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Red Iron Holding Corporation and TCFIF Joint Venture I, LLC (incorporated by reference to Exhibit 2.9 to Registrant's Annual Report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6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on Form 10-K for the fiscal year ended October 31, 2020, Commission File No. 1-8649).</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2.12</w:t>
      </w:r>
      <w:r>
        <w:rPr>
          <w:sz w:val="20"/>
          <w:szCs w:val="20"/>
          <w:color w:val="auto"/>
        </w:rPr>
        <w:tab/>
      </w:r>
      <w:hyperlink r:id="rId123">
        <w:r>
          <w:rPr>
            <w:rFonts w:ascii="Times New Roman" w:cs="Times New Roman" w:eastAsia="Times New Roman" w:hAnsi="Times New Roman"/>
            <w:sz w:val="16"/>
            <w:szCs w:val="16"/>
            <w:u w:val="single" w:color="auto"/>
            <w:color w:val="0000FF"/>
          </w:rPr>
          <w:t>Fifth Amendment to Limited Liability Company Agreement of Red Iron Acceptance, LLC effective as of December 20, 2019 by and</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between Red Iron Holding Corporation and TCFIF Joint Venture I, LLC (incorporated by reference to Exhibit 2.3 to Registrant’s</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Quarterly Report on Form 10-Q for the fiscal quarter ended January 31, 2020,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2.13</w:t>
      </w:r>
      <w:r>
        <w:rPr>
          <w:sz w:val="20"/>
          <w:szCs w:val="20"/>
          <w:color w:val="auto"/>
        </w:rPr>
        <w:tab/>
      </w:r>
      <w:r>
        <w:rPr>
          <w:rFonts w:ascii="Times New Roman" w:cs="Times New Roman" w:eastAsia="Times New Roman" w:hAnsi="Times New Roman"/>
          <w:sz w:val="16"/>
          <w:szCs w:val="16"/>
          <w:u w:val="single" w:color="auto"/>
          <w:color w:val="0000FF"/>
        </w:rPr>
        <w:t>Sixth Amendment to Limited Liability Company Agreement of Red Iron Acceptance, LLC effective as of March 10, 2022 by and between Red Iron Holding Corporation and TCFIF Joint Venture I, LLC (filed herewith).</w:t>
      </w:r>
    </w:p>
    <w:p>
      <w:pPr>
        <w:spacing w:after="0" w:line="2"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3.1 and 4.1</w:t>
      </w:r>
      <w:r>
        <w:rPr>
          <w:sz w:val="20"/>
          <w:szCs w:val="20"/>
          <w:color w:val="auto"/>
        </w:rPr>
        <w:tab/>
      </w:r>
      <w:hyperlink r:id="rId124">
        <w:r>
          <w:rPr>
            <w:rFonts w:ascii="Times New Roman" w:cs="Times New Roman" w:eastAsia="Times New Roman" w:hAnsi="Times New Roman"/>
            <w:sz w:val="16"/>
            <w:szCs w:val="16"/>
            <w:u w:val="single" w:color="auto"/>
            <w:color w:val="0000FF"/>
          </w:rPr>
          <w:t>Restated Certificate of Incorporation of The Toro Company (incorporated by reference to Exhibit 3.1 to Registrant’s Current Report on</w:t>
        </w:r>
      </w:hyperlink>
      <w:r>
        <w:rPr>
          <w:rFonts w:ascii="Times New Roman" w:cs="Times New Roman" w:eastAsia="Times New Roman" w:hAnsi="Times New Roman"/>
          <w:sz w:val="16"/>
          <w:szCs w:val="16"/>
          <w:u w:val="single" w:color="auto"/>
          <w:color w:val="0000FF"/>
        </w:rPr>
        <w:t xml:space="preserve"> </w:t>
      </w:r>
      <w:hyperlink r:id="rId124">
        <w:r>
          <w:rPr>
            <w:rFonts w:ascii="Times New Roman" w:cs="Times New Roman" w:eastAsia="Times New Roman" w:hAnsi="Times New Roman"/>
            <w:sz w:val="16"/>
            <w:szCs w:val="16"/>
            <w:u w:val="single" w:color="auto"/>
            <w:color w:val="0000FF"/>
          </w:rPr>
          <w:t>Form 8-K as filed with the Securities and Exchange Commission on June 18, 2008, Commission File No. 1-8649).</w:t>
        </w:r>
      </w:hyperlink>
    </w:p>
    <w:p>
      <w:pPr>
        <w:spacing w:after="0" w:line="2"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3.2 and 4.2</w:t>
      </w:r>
      <w:r>
        <w:rPr>
          <w:sz w:val="20"/>
          <w:szCs w:val="20"/>
          <w:color w:val="auto"/>
        </w:rPr>
        <w:tab/>
      </w:r>
      <w:hyperlink r:id="rId125">
        <w:r>
          <w:rPr>
            <w:rFonts w:ascii="Times New Roman" w:cs="Times New Roman" w:eastAsia="Times New Roman" w:hAnsi="Times New Roman"/>
            <w:sz w:val="16"/>
            <w:szCs w:val="16"/>
            <w:u w:val="single" w:color="auto"/>
            <w:color w:val="0000FF"/>
          </w:rPr>
          <w:t>Certificate of Amendment to Restated Certificate of Incorporation of The Toro Company (incorporated by reference to Exhibit 3.1 to</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Registrant’s Current Report on Form 8-K as filed with the Securities and Exchange Commission on March 13, 2013, Commission File</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No. 1-8649).</w:t>
        </w:r>
      </w:hyperlink>
    </w:p>
    <w:p>
      <w:pPr>
        <w:ind w:left="1440"/>
        <w:spacing w:after="0" w:line="237"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3.3 and 4.3</w:t>
      </w:r>
      <w:r>
        <w:rPr>
          <w:sz w:val="20"/>
          <w:szCs w:val="20"/>
          <w:color w:val="auto"/>
        </w:rPr>
        <w:tab/>
      </w:r>
      <w:hyperlink r:id="rId126">
        <w:r>
          <w:rPr>
            <w:rFonts w:ascii="Times New Roman" w:cs="Times New Roman" w:eastAsia="Times New Roman" w:hAnsi="Times New Roman"/>
            <w:sz w:val="16"/>
            <w:szCs w:val="16"/>
            <w:color w:val="0000FF"/>
          </w:rPr>
          <w:t>Amended and Restated Bylaws of The Toro Company (incorporated by reference to Exhibit 3.1 to Registrant’s Current Report on</w:t>
        </w:r>
      </w:hyperlink>
    </w:p>
    <w:tbl>
      <w:tblPr>
        <w:tblLayout w:type="fixed"/>
        <w:tblInd w:w="14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8-K as filed with the Securities and Exchange Commission on May 30, 2023, Commission File No. 1-8649).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Specimen Form of Common Stock Certificate (incorporated by reference to Exhibit 4(c) to Registrant's Quarterly Report on Form 10-Q</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for the fiscal quarter ended August 1, 2008, Commission 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4.5</w:t>
            </w:r>
          </w:p>
        </w:tc>
        <w:tc>
          <w:tcPr>
            <w:tcW w:w="4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Description of Common Stock of The Toro Company (filed herewith).</w:t>
            </w:r>
          </w:p>
        </w:tc>
        <w:tc>
          <w:tcPr>
            <w:tcW w:w="280" w:type="dxa"/>
            <w:vAlign w:val="bottom"/>
            <w:tcBorders>
              <w:top w:val="single" w:sz="8" w:color="0000FF"/>
            </w:tcBorders>
          </w:tcPr>
          <w:p>
            <w:pPr>
              <w:spacing w:after="0"/>
              <w:rPr>
                <w:sz w:val="17"/>
                <w:szCs w:val="17"/>
                <w:color w:val="auto"/>
              </w:rPr>
            </w:pPr>
          </w:p>
        </w:tc>
        <w:tc>
          <w:tcPr>
            <w:tcW w:w="43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4.6</w:t>
            </w:r>
          </w:p>
        </w:tc>
        <w:tc>
          <w:tcPr>
            <w:tcW w:w="922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220" w:type="dxa"/>
            <w:vAlign w:val="bottom"/>
            <w:gridSpan w:val="32"/>
          </w:tcPr>
          <w:p>
            <w:pPr>
              <w:spacing w:after="0" w:line="162"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220" w:type="dxa"/>
            <w:vAlign w:val="bottom"/>
            <w:gridSpan w:val="32"/>
          </w:tcPr>
          <w:p>
            <w:pPr>
              <w:spacing w:after="0" w:line="162" w:lineRule="exact"/>
              <w:rPr>
                <w:sz w:val="20"/>
                <w:szCs w:val="20"/>
                <w:color w:val="auto"/>
              </w:rPr>
            </w:pPr>
            <w:r>
              <w:rPr>
                <w:rFonts w:ascii="Times New Roman" w:cs="Times New Roman" w:eastAsia="Times New Roman" w:hAnsi="Times New Roman"/>
                <w:sz w:val="16"/>
                <w:szCs w:val="16"/>
                <w:color w:val="auto"/>
              </w:rPr>
              <w:t>as filed with the Securities and Exchange Commission on June 27, 1997, Commission File No. 1-8649). (Filed on paper - hyperlink not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22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required pursuant to Rule 105 of Regulation S-T)</w:t>
            </w:r>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4.7</w:t>
            </w:r>
          </w:p>
        </w:tc>
        <w:tc>
          <w:tcPr>
            <w:tcW w:w="9220" w:type="dxa"/>
            <w:vAlign w:val="bottom"/>
            <w:gridSpan w:val="32"/>
          </w:tcPr>
          <w:p>
            <w:pPr>
              <w:spacing w:after="0" w:line="181"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Indenture dated as of April 20,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Toro Company’s 6.625% Notes due May 1, 2037 (incorporated by reference to Exhibit 4.3 to Registrant’s Registration Statement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Form S-3 as filed with the Securities and Exchange Commission on April 23, 2007, Registration No. 333-142282).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4.8</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Trustee, relating to The Toro Company’s 6.625% Notes due May 1, 2037 (incorporated by reference to Exhibit 4.1 to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40" w:type="dxa"/>
            <w:vAlign w:val="bottom"/>
            <w:gridSpan w:val="2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Current Report on Form 8-K as filed with the Securities and Exchange Commission on April 26, 2007, Commission File No. 1-8649).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4.9</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8-K as filed with the Securities and Exchange Commission on April 26, 2007,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The Toro Company 2022 Equity and Incentive Plan (incorporated by reference to Exhibit 10.1 to Registrant’s Current Report on Form 8-</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K as filed with the Securities and Exchange Commission on March 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Exhibit 10.1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80" w:type="dxa"/>
            <w:vAlign w:val="bottom"/>
            <w:tcBorders>
              <w:left w:val="single" w:sz="8" w:color="0000FF"/>
            </w:tcBorders>
            <w:gridSpan w:val="7"/>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Amendment No. 1 to The Toro Company Amended and Restated 2010 Equity and Incentive Plan, as Amended and Restated,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December 3, 2019 (incorporated by reference to Exhibit 10.2 to Registrant's Annual Report on Form 10-K for the fiscal year ended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gridSpan w:val="29"/>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October 31, 2019,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760" w:type="dxa"/>
            <w:vAlign w:val="bottom"/>
            <w:tcBorders>
              <w:left w:val="single" w:sz="8" w:color="0000FF"/>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Exhibit 10.8 to Registrant's Quarterly Report on Form 10-Q for the fiscal quarter ended February 3, 2017, Commission File No. 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gridSpan w:val="2"/>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10.5</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Exhibit 10.9 to Registrant's Quarterly Report on Form 10-Q for the fiscal quarter ended February 3, 2017, Commission File No. 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1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10.6</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reference to Exhibit 10.10 to Registrant's Quarterly Report on Form 10-Q for the fiscal quarter ended February 3, 2017, Commission</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10.7</w:t>
            </w:r>
          </w:p>
        </w:tc>
        <w:tc>
          <w:tcPr>
            <w:tcW w:w="11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(incorporated by reference to Exhibit 10.11 to Registrant's Quarterly Report on Form 10-Q for the fiscal quarter ended February 3, 2017,</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gridSpan w:val="19"/>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10.8</w:t>
            </w:r>
          </w:p>
        </w:tc>
        <w:tc>
          <w:tcPr>
            <w:tcW w:w="19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Form of Nonqualified Stock Option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reference to Exhibit 10.2 to Registrant’s Current Report on Form 8-K as filed with the Securities and Exchange Commission on March</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gridSpan w:val="20"/>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10.9</w:t>
            </w:r>
          </w:p>
        </w:tc>
        <w:tc>
          <w:tcPr>
            <w:tcW w:w="262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Nonemployee Director Stock Option Agreement for use with The Toro Company 2022 Equity and Incentive Plan (incorporated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by reference to Exhibit 10.3 to Registrant’s Current Report on Form 8-K as filed with the Securities and Exchange Commission on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March 16, 2022, Commission File No. 1-8649).</w:t>
              </w:r>
              <w:r>
                <w:rPr>
                  <w:rFonts w:ascii="Times New Roman" w:cs="Times New Roman" w:eastAsia="Times New Roman" w:hAnsi="Times New Roman"/>
                  <w:sz w:val="16"/>
                  <w:szCs w:val="16"/>
                  <w:color w:val="000000"/>
                </w:rPr>
                <w:t>*</w:t>
              </w:r>
            </w:hyperlink>
          </w:p>
        </w:tc>
        <w:tc>
          <w:tcPr>
            <w:tcW w:w="200" w:type="dxa"/>
            <w:vAlign w:val="bottom"/>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10.10</w:t>
            </w:r>
          </w:p>
        </w:tc>
        <w:tc>
          <w:tcPr>
            <w:tcW w:w="3100" w:type="dxa"/>
            <w:vAlign w:val="bottom"/>
            <w:gridSpan w:val="5"/>
            <w:shd w:val="clear" w:color="auto" w:fill="0000FF"/>
          </w:tcPr>
          <w:p>
            <w:pPr>
              <w:spacing w:after="0" w:line="20" w:lineRule="exact"/>
              <w:rPr>
                <w:sz w:val="1"/>
                <w:szCs w:val="1"/>
                <w:color w:val="auto"/>
              </w:rPr>
            </w:pPr>
          </w:p>
        </w:tc>
        <w:tc>
          <w:tcPr>
            <w:tcW w:w="6020" w:type="dxa"/>
            <w:vAlign w:val="bottom"/>
            <w:gridSpan w:val="2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20" w:type="dxa"/>
            <w:vAlign w:val="bottom"/>
            <w:gridSpan w:val="32"/>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Restricted Stock Unit Award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reference to Exhibit 10.4 to Registrant’s Current Report on Form 8-K as filed with the Securities and Exchange Commission on March</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10.11</w:t>
      </w:r>
      <w:r>
        <w:rPr>
          <w:sz w:val="20"/>
          <w:szCs w:val="20"/>
          <w:color w:val="auto"/>
        </w:rPr>
        <w:tab/>
      </w:r>
      <w:hyperlink r:id="rId142">
        <w:r>
          <w:rPr>
            <w:rFonts w:ascii="Times New Roman" w:cs="Times New Roman" w:eastAsia="Times New Roman" w:hAnsi="Times New Roman"/>
            <w:sz w:val="16"/>
            <w:szCs w:val="16"/>
            <w:u w:val="single" w:color="auto"/>
            <w:color w:val="0000FF"/>
          </w:rPr>
          <w:t>Form of Performance Share Award Agreement for use with The Toro Company 2022 Equity and Incentive Plan (incorporated by</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reference to Exhibit 10.5 to Registrant’s Current Report on Form 8-K as filed with the Securities and Exchange Commission on March</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16, 2022,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10.12</w:t>
      </w:r>
      <w:r>
        <w:rPr>
          <w:sz w:val="20"/>
          <w:szCs w:val="20"/>
          <w:color w:val="auto"/>
        </w:rPr>
        <w:tab/>
      </w:r>
      <w:hyperlink r:id="rId143">
        <w:r>
          <w:rPr>
            <w:rFonts w:ascii="Times New Roman" w:cs="Times New Roman" w:eastAsia="Times New Roman" w:hAnsi="Times New Roman"/>
            <w:sz w:val="16"/>
            <w:szCs w:val="16"/>
            <w:u w:val="single" w:color="auto"/>
            <w:color w:val="0000FF"/>
          </w:rPr>
          <w:t>Form of Annual Performance Award Agreement for use with The Toro Company 2022 Equity and Incentive Plan (incorporated by</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reference to Exhibit 10.6 to Registrant’s Current Report on Form 8-K as filed with the Securities and Exchange Commission on March</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16, 2022,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10.13</w:t>
      </w:r>
      <w:r>
        <w:rPr>
          <w:sz w:val="20"/>
          <w:szCs w:val="20"/>
          <w:color w:val="auto"/>
        </w:rPr>
        <w:tab/>
      </w:r>
      <w:hyperlink r:id="rId144">
        <w:r>
          <w:rPr>
            <w:rFonts w:ascii="Times New Roman" w:cs="Times New Roman" w:eastAsia="Times New Roman" w:hAnsi="Times New Roman"/>
            <w:sz w:val="16"/>
            <w:szCs w:val="16"/>
            <w:u w:val="single" w:color="auto"/>
            <w:color w:val="0000FF"/>
          </w:rPr>
          <w:t>Form of Nonemployee Director Stock Option Agreement between The Toro Company and its Non-Employee Directors under The Toro</w:t>
        </w:r>
      </w:hyperlink>
      <w:r>
        <w:rPr>
          <w:rFonts w:ascii="Times New Roman" w:cs="Times New Roman" w:eastAsia="Times New Roman" w:hAnsi="Times New Roman"/>
          <w:sz w:val="16"/>
          <w:szCs w:val="16"/>
          <w:u w:val="single" w:color="auto"/>
          <w:color w:val="0000FF"/>
        </w:rPr>
        <w:t xml:space="preserve"> </w:t>
      </w:r>
      <w:hyperlink r:id="rId144">
        <w:r>
          <w:rPr>
            <w:rFonts w:ascii="Times New Roman" w:cs="Times New Roman" w:eastAsia="Times New Roman" w:hAnsi="Times New Roman"/>
            <w:sz w:val="16"/>
            <w:szCs w:val="16"/>
            <w:u w:val="single" w:color="auto"/>
            <w:color w:val="0000FF"/>
          </w:rPr>
          <w:t>Company Amended and Restated 2010 Equity and Incentive Plan, as amended and restated (incorporated by reference to Exhibit 10.11</w:t>
        </w:r>
      </w:hyperlink>
      <w:r>
        <w:rPr>
          <w:rFonts w:ascii="Times New Roman" w:cs="Times New Roman" w:eastAsia="Times New Roman" w:hAnsi="Times New Roman"/>
          <w:sz w:val="16"/>
          <w:szCs w:val="16"/>
          <w:u w:val="single" w:color="auto"/>
          <w:color w:val="0000FF"/>
        </w:rPr>
        <w:t xml:space="preserve"> </w:t>
      </w:r>
      <w:hyperlink r:id="rId144">
        <w:r>
          <w:rPr>
            <w:rFonts w:ascii="Times New Roman" w:cs="Times New Roman" w:eastAsia="Times New Roman" w:hAnsi="Times New Roman"/>
            <w:sz w:val="16"/>
            <w:szCs w:val="16"/>
            <w:u w:val="single" w:color="auto"/>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10.14</w:t>
      </w:r>
      <w:r>
        <w:rPr>
          <w:sz w:val="20"/>
          <w:szCs w:val="20"/>
          <w:color w:val="auto"/>
        </w:rPr>
        <w:tab/>
      </w:r>
      <w:hyperlink r:id="rId145">
        <w:r>
          <w:rPr>
            <w:rFonts w:ascii="Times New Roman" w:cs="Times New Roman" w:eastAsia="Times New Roman" w:hAnsi="Times New Roman"/>
            <w:sz w:val="16"/>
            <w:szCs w:val="16"/>
            <w:u w:val="single" w:color="auto"/>
            <w:color w:val="0000FF"/>
          </w:rPr>
          <w:t>Form of Nonqualified Stock Option Agreement between The Toro Company and its officers and other employees under The Toro</w:t>
        </w:r>
      </w:hyperlink>
      <w:r>
        <w:rPr>
          <w:rFonts w:ascii="Times New Roman" w:cs="Times New Roman" w:eastAsia="Times New Roman" w:hAnsi="Times New Roman"/>
          <w:sz w:val="16"/>
          <w:szCs w:val="16"/>
          <w:u w:val="single" w:color="auto"/>
          <w:color w:val="0000FF"/>
        </w:rPr>
        <w:t xml:space="preserve"> </w:t>
      </w:r>
      <w:hyperlink r:id="rId145">
        <w:r>
          <w:rPr>
            <w:rFonts w:ascii="Times New Roman" w:cs="Times New Roman" w:eastAsia="Times New Roman" w:hAnsi="Times New Roman"/>
            <w:sz w:val="16"/>
            <w:szCs w:val="16"/>
            <w:u w:val="single" w:color="auto"/>
            <w:color w:val="0000FF"/>
          </w:rPr>
          <w:t>Company Amended and Restated 2010 Equity and Incentive Plan, as amended and restated (incorporated by reference to Exhibit 10.14</w:t>
        </w:r>
      </w:hyperlink>
      <w:r>
        <w:rPr>
          <w:rFonts w:ascii="Times New Roman" w:cs="Times New Roman" w:eastAsia="Times New Roman" w:hAnsi="Times New Roman"/>
          <w:sz w:val="16"/>
          <w:szCs w:val="16"/>
          <w:u w:val="single" w:color="auto"/>
          <w:color w:val="0000FF"/>
        </w:rPr>
        <w:t xml:space="preserve"> </w:t>
      </w:r>
      <w:hyperlink r:id="rId145">
        <w:r>
          <w:rPr>
            <w:rFonts w:ascii="Times New Roman" w:cs="Times New Roman" w:eastAsia="Times New Roman" w:hAnsi="Times New Roman"/>
            <w:sz w:val="16"/>
            <w:szCs w:val="16"/>
            <w:u w:val="single" w:color="auto"/>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10.15</w:t>
      </w:r>
      <w:r>
        <w:rPr>
          <w:sz w:val="20"/>
          <w:szCs w:val="20"/>
          <w:color w:val="auto"/>
        </w:rPr>
        <w:tab/>
      </w:r>
      <w:hyperlink r:id="rId146">
        <w:r>
          <w:rPr>
            <w:rFonts w:ascii="Times New Roman" w:cs="Times New Roman" w:eastAsia="Times New Roman" w:hAnsi="Times New Roman"/>
            <w:sz w:val="16"/>
            <w:szCs w:val="16"/>
            <w:u w:val="single" w:color="auto"/>
            <w:color w:val="0000FF"/>
          </w:rPr>
          <w:t>Form of Performance Share Award Agreement between The Toro Company and its officers and other employees under The Toro</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Company Amended and Restated 2010 Equity and Incentive Plan, as amended and restated (incorporated by reference to Exhibit 10.17</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10.16</w:t>
      </w:r>
      <w:r>
        <w:rPr>
          <w:sz w:val="20"/>
          <w:szCs w:val="20"/>
          <w:color w:val="auto"/>
        </w:rPr>
        <w:tab/>
      </w:r>
      <w:hyperlink r:id="rId147">
        <w:r>
          <w:rPr>
            <w:rFonts w:ascii="Times New Roman" w:cs="Times New Roman" w:eastAsia="Times New Roman" w:hAnsi="Times New Roman"/>
            <w:sz w:val="16"/>
            <w:szCs w:val="16"/>
            <w:u w:val="single" w:color="auto"/>
            <w:color w:val="0000FF"/>
          </w:rPr>
          <w:t>Form of Annual Performance Award Agreement between The Toro Company and its officers and other employees under The Toro</w:t>
        </w:r>
      </w:hyperlink>
      <w:r>
        <w:rPr>
          <w:rFonts w:ascii="Times New Roman" w:cs="Times New Roman" w:eastAsia="Times New Roman" w:hAnsi="Times New Roman"/>
          <w:sz w:val="16"/>
          <w:szCs w:val="16"/>
          <w:u w:val="single" w:color="auto"/>
          <w:color w:val="0000FF"/>
        </w:rPr>
        <w:t xml:space="preserve"> </w:t>
      </w:r>
      <w:hyperlink r:id="rId147">
        <w:r>
          <w:rPr>
            <w:rFonts w:ascii="Times New Roman" w:cs="Times New Roman" w:eastAsia="Times New Roman" w:hAnsi="Times New Roman"/>
            <w:sz w:val="16"/>
            <w:szCs w:val="16"/>
            <w:u w:val="single" w:color="auto"/>
            <w:color w:val="0000FF"/>
          </w:rPr>
          <w:t>Company Amended and Restated 2010 Equity and Incentive Plan, as amended and restated (incorporated by reference to Exhibit 10.18</w:t>
        </w:r>
      </w:hyperlink>
      <w:r>
        <w:rPr>
          <w:rFonts w:ascii="Times New Roman" w:cs="Times New Roman" w:eastAsia="Times New Roman" w:hAnsi="Times New Roman"/>
          <w:sz w:val="16"/>
          <w:szCs w:val="16"/>
          <w:u w:val="single" w:color="auto"/>
          <w:color w:val="0000FF"/>
        </w:rPr>
        <w:t xml:space="preserve"> </w:t>
      </w:r>
      <w:hyperlink r:id="rId147">
        <w:r>
          <w:rPr>
            <w:rFonts w:ascii="Times New Roman" w:cs="Times New Roman" w:eastAsia="Times New Roman" w:hAnsi="Times New Roman"/>
            <w:sz w:val="16"/>
            <w:szCs w:val="16"/>
            <w:u w:val="single" w:color="auto"/>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10.17</w:t>
      </w:r>
      <w:r>
        <w:rPr>
          <w:sz w:val="20"/>
          <w:szCs w:val="20"/>
          <w:color w:val="auto"/>
        </w:rPr>
        <w:tab/>
      </w:r>
      <w:hyperlink r:id="rId148">
        <w:r>
          <w:rPr>
            <w:rFonts w:ascii="Times New Roman" w:cs="Times New Roman" w:eastAsia="Times New Roman" w:hAnsi="Times New Roman"/>
            <w:sz w:val="16"/>
            <w:szCs w:val="16"/>
            <w:u w:val="single" w:color="auto"/>
            <w:color w:val="0000FF"/>
          </w:rPr>
          <w:t>Form of Restricted Stock Award Agreement between The Toro Company and its officers and other employees under The Toro Company</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Amended and Restated 2010 Equity and Incentive Plan, as amended and restated (incorporated by reference to Exhibit 10.19 to</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10.18</w:t>
      </w:r>
      <w:r>
        <w:rPr>
          <w:sz w:val="20"/>
          <w:szCs w:val="20"/>
          <w:color w:val="auto"/>
        </w:rPr>
        <w:tab/>
      </w:r>
      <w:hyperlink r:id="rId149">
        <w:r>
          <w:rPr>
            <w:rFonts w:ascii="Times New Roman" w:cs="Times New Roman" w:eastAsia="Times New Roman" w:hAnsi="Times New Roman"/>
            <w:sz w:val="16"/>
            <w:szCs w:val="16"/>
            <w:u w:val="single" w:color="auto"/>
            <w:color w:val="0000FF"/>
          </w:rPr>
          <w:t>Form of Restricted Stock Unit Award Agreement between The Toro Company and its officers and other employees under The Toro</w:t>
        </w:r>
      </w:hyperlink>
      <w:r>
        <w:rPr>
          <w:rFonts w:ascii="Times New Roman" w:cs="Times New Roman" w:eastAsia="Times New Roman" w:hAnsi="Times New Roman"/>
          <w:sz w:val="16"/>
          <w:szCs w:val="16"/>
          <w:u w:val="single" w:color="auto"/>
          <w:color w:val="0000FF"/>
        </w:rPr>
        <w:t xml:space="preserve"> </w:t>
      </w:r>
      <w:hyperlink r:id="rId149">
        <w:r>
          <w:rPr>
            <w:rFonts w:ascii="Times New Roman" w:cs="Times New Roman" w:eastAsia="Times New Roman" w:hAnsi="Times New Roman"/>
            <w:sz w:val="16"/>
            <w:szCs w:val="16"/>
            <w:u w:val="single" w:color="auto"/>
            <w:color w:val="0000FF"/>
          </w:rPr>
          <w:t>Company Amended and Restated 2010 Equity and Incentive Plan, as amended and restated (incorporated by reference to Exhibit 10.21</w:t>
        </w:r>
      </w:hyperlink>
      <w:r>
        <w:rPr>
          <w:rFonts w:ascii="Times New Roman" w:cs="Times New Roman" w:eastAsia="Times New Roman" w:hAnsi="Times New Roman"/>
          <w:sz w:val="16"/>
          <w:szCs w:val="16"/>
          <w:u w:val="single" w:color="auto"/>
          <w:color w:val="0000FF"/>
        </w:rPr>
        <w:t xml:space="preserve"> </w:t>
      </w:r>
      <w:hyperlink r:id="rId149">
        <w:r>
          <w:rPr>
            <w:rFonts w:ascii="Times New Roman" w:cs="Times New Roman" w:eastAsia="Times New Roman" w:hAnsi="Times New Roman"/>
            <w:sz w:val="16"/>
            <w:szCs w:val="16"/>
            <w:u w:val="single" w:color="auto"/>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10.19</w:t>
      </w:r>
      <w:r>
        <w:rPr>
          <w:sz w:val="20"/>
          <w:szCs w:val="20"/>
          <w:color w:val="auto"/>
        </w:rPr>
        <w:tab/>
      </w:r>
      <w:hyperlink r:id="rId150">
        <w:r>
          <w:rPr>
            <w:rFonts w:ascii="Times New Roman" w:cs="Times New Roman" w:eastAsia="Times New Roman" w:hAnsi="Times New Roman"/>
            <w:sz w:val="16"/>
            <w:szCs w:val="16"/>
            <w:u w:val="single" w:color="auto"/>
            <w:color w:val="0000FF"/>
          </w:rPr>
          <w:t>Form of Indemnification Agreement with the members of the Board of Directors (incorporated by reference to Exhibit 10(u) to</w:t>
        </w:r>
      </w:hyperlink>
      <w:r>
        <w:rPr>
          <w:rFonts w:ascii="Times New Roman" w:cs="Times New Roman" w:eastAsia="Times New Roman" w:hAnsi="Times New Roman"/>
          <w:sz w:val="16"/>
          <w:szCs w:val="16"/>
          <w:u w:val="single" w:color="auto"/>
          <w:color w:val="0000FF"/>
        </w:rPr>
        <w:t xml:space="preserve"> </w:t>
      </w:r>
      <w:hyperlink r:id="rId150">
        <w:r>
          <w:rPr>
            <w:rFonts w:ascii="Times New Roman" w:cs="Times New Roman" w:eastAsia="Times New Roman" w:hAnsi="Times New Roman"/>
            <w:sz w:val="16"/>
            <w:szCs w:val="16"/>
            <w:u w:val="single" w:color="auto"/>
            <w:color w:val="0000FF"/>
          </w:rPr>
          <w:t>Registrant's Annual Report on Form 10-K for the fiscal year ended October 31, 2006, Commission File No. 1-8649).</w:t>
        </w:r>
        <w:r>
          <w:rPr>
            <w:rFonts w:ascii="Times New Roman" w:cs="Times New Roman" w:eastAsia="Times New Roman" w:hAnsi="Times New Roman"/>
            <w:sz w:val="16"/>
            <w:szCs w:val="16"/>
            <w:color w:val="000000"/>
          </w:rPr>
          <w:t>*</w:t>
        </w:r>
      </w:hyperlink>
    </w:p>
    <w:p>
      <w:pPr>
        <w:spacing w:after="0" w:line="2"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10.20</w:t>
      </w:r>
      <w:r>
        <w:rPr>
          <w:sz w:val="20"/>
          <w:szCs w:val="20"/>
          <w:color w:val="auto"/>
        </w:rPr>
        <w:tab/>
      </w:r>
      <w:hyperlink r:id="rId151">
        <w:r>
          <w:rPr>
            <w:rFonts w:ascii="Times New Roman" w:cs="Times New Roman" w:eastAsia="Times New Roman" w:hAnsi="Times New Roman"/>
            <w:sz w:val="16"/>
            <w:szCs w:val="16"/>
            <w:u w:val="single" w:color="auto"/>
            <w:color w:val="0000FF"/>
          </w:rPr>
          <w:t>The Toro Company Change in Control Severance Compensation Policy and attached Form of Release (incorporated by reference to</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Exhibit 10.1 to Registrant's Current Report on Form 8-K as filed with the Securities and Exchange Commission on January 21, 2011,</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Commission File 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10.21</w:t>
      </w:r>
      <w:r>
        <w:rPr>
          <w:sz w:val="20"/>
          <w:szCs w:val="20"/>
          <w:color w:val="auto"/>
        </w:rPr>
        <w:tab/>
      </w:r>
      <w:hyperlink r:id="rId152">
        <w:r>
          <w:rPr>
            <w:rFonts w:ascii="Times New Roman" w:cs="Times New Roman" w:eastAsia="Times New Roman" w:hAnsi="Times New Roman"/>
            <w:sz w:val="16"/>
            <w:szCs w:val="16"/>
            <w:u w:val="single" w:color="auto"/>
            <w:color w:val="0000FF"/>
          </w:rPr>
          <w:t>Offer Letter dated July 25, 2011 between The Toro Company and Renee J. Peterson (incorporated by reference to Exhibit 10.1 to</w:t>
        </w:r>
      </w:hyperlink>
      <w:r>
        <w:rPr>
          <w:rFonts w:ascii="Times New Roman" w:cs="Times New Roman" w:eastAsia="Times New Roman" w:hAnsi="Times New Roman"/>
          <w:sz w:val="16"/>
          <w:szCs w:val="16"/>
          <w:u w:val="single" w:color="auto"/>
          <w:color w:val="0000FF"/>
        </w:rPr>
        <w:t xml:space="preserve"> </w:t>
      </w:r>
      <w:hyperlink r:id="rId152">
        <w:r>
          <w:rPr>
            <w:rFonts w:ascii="Times New Roman" w:cs="Times New Roman" w:eastAsia="Times New Roman" w:hAnsi="Times New Roman"/>
            <w:sz w:val="16"/>
            <w:szCs w:val="16"/>
            <w:u w:val="single" w:color="auto"/>
            <w:color w:val="0000FF"/>
          </w:rPr>
          <w:t>Registrant's Current Report on Form 8-K as filed with the Securities and Exchange Commission on July 29, 2011, Commission File</w:t>
        </w:r>
      </w:hyperlink>
      <w:r>
        <w:rPr>
          <w:rFonts w:ascii="Times New Roman" w:cs="Times New Roman" w:eastAsia="Times New Roman" w:hAnsi="Times New Roman"/>
          <w:sz w:val="16"/>
          <w:szCs w:val="16"/>
          <w:u w:val="single" w:color="auto"/>
          <w:color w:val="0000FF"/>
        </w:rPr>
        <w:t xml:space="preserve"> </w:t>
      </w:r>
      <w:hyperlink r:id="rId152">
        <w:r>
          <w:rPr>
            <w:rFonts w:ascii="Times New Roman" w:cs="Times New Roman" w:eastAsia="Times New Roman" w:hAnsi="Times New Roman"/>
            <w:sz w:val="16"/>
            <w:szCs w:val="16"/>
            <w:u w:val="single" w:color="auto"/>
            <w:color w:val="0000FF"/>
          </w:rPr>
          <w:t>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10.22</w:t>
      </w:r>
      <w:r>
        <w:rPr>
          <w:sz w:val="20"/>
          <w:szCs w:val="20"/>
          <w:color w:val="auto"/>
        </w:rPr>
        <w:tab/>
      </w:r>
      <w:hyperlink r:id="rId153">
        <w:r>
          <w:rPr>
            <w:rFonts w:ascii="Times New Roman" w:cs="Times New Roman" w:eastAsia="Times New Roman" w:hAnsi="Times New Roman"/>
            <w:sz w:val="16"/>
            <w:szCs w:val="16"/>
            <w:u w:val="single" w:color="auto"/>
            <w:color w:val="0000FF"/>
          </w:rPr>
          <w:t>Offer Letter dated August 18, 2015 between The Toro Company and Richard M. Olson (incorporated by reference to Exhibit 10.1 to</w:t>
        </w:r>
      </w:hyperlink>
      <w:r>
        <w:rPr>
          <w:rFonts w:ascii="Times New Roman" w:cs="Times New Roman" w:eastAsia="Times New Roman" w:hAnsi="Times New Roman"/>
          <w:sz w:val="16"/>
          <w:szCs w:val="16"/>
          <w:u w:val="single" w:color="auto"/>
          <w:color w:val="0000FF"/>
        </w:rPr>
        <w:t xml:space="preserve"> </w:t>
      </w:r>
      <w:hyperlink r:id="rId153">
        <w:r>
          <w:rPr>
            <w:rFonts w:ascii="Times New Roman" w:cs="Times New Roman" w:eastAsia="Times New Roman" w:hAnsi="Times New Roman"/>
            <w:sz w:val="16"/>
            <w:szCs w:val="16"/>
            <w:u w:val="single" w:color="auto"/>
            <w:color w:val="0000FF"/>
          </w:rPr>
          <w:t>Registrant's Current Report on Form 8-K as filed with the Securities and Exchange Commission on August 19, 2015, Commission File</w:t>
        </w:r>
      </w:hyperlink>
      <w:r>
        <w:rPr>
          <w:rFonts w:ascii="Times New Roman" w:cs="Times New Roman" w:eastAsia="Times New Roman" w:hAnsi="Times New Roman"/>
          <w:sz w:val="16"/>
          <w:szCs w:val="16"/>
          <w:u w:val="single" w:color="auto"/>
          <w:color w:val="0000FF"/>
        </w:rPr>
        <w:t xml:space="preserve"> </w:t>
      </w:r>
      <w:hyperlink r:id="rId153">
        <w:r>
          <w:rPr>
            <w:rFonts w:ascii="Times New Roman" w:cs="Times New Roman" w:eastAsia="Times New Roman" w:hAnsi="Times New Roman"/>
            <w:sz w:val="16"/>
            <w:szCs w:val="16"/>
            <w:u w:val="single" w:color="auto"/>
            <w:color w:val="0000FF"/>
          </w:rPr>
          <w:t>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10.23</w:t>
      </w:r>
      <w:r>
        <w:rPr>
          <w:sz w:val="20"/>
          <w:szCs w:val="20"/>
          <w:color w:val="auto"/>
        </w:rPr>
        <w:tab/>
      </w:r>
      <w:hyperlink r:id="rId154">
        <w:r>
          <w:rPr>
            <w:rFonts w:ascii="Times New Roman" w:cs="Times New Roman" w:eastAsia="Times New Roman" w:hAnsi="Times New Roman"/>
            <w:sz w:val="16"/>
            <w:szCs w:val="16"/>
            <w:u w:val="single" w:color="auto"/>
            <w:color w:val="0000FF"/>
          </w:rPr>
          <w:t>Offer Letter dated July 19, 2016 between The Toro Company and Richard M. Olson (incorporated by reference to Exhibit 10.1 to</w:t>
        </w:r>
      </w:hyperlink>
      <w:r>
        <w:rPr>
          <w:rFonts w:ascii="Times New Roman" w:cs="Times New Roman" w:eastAsia="Times New Roman" w:hAnsi="Times New Roman"/>
          <w:sz w:val="16"/>
          <w:szCs w:val="16"/>
          <w:u w:val="single" w:color="auto"/>
          <w:color w:val="0000FF"/>
        </w:rPr>
        <w:t xml:space="preserve"> </w:t>
      </w:r>
      <w:hyperlink r:id="rId154">
        <w:r>
          <w:rPr>
            <w:rFonts w:ascii="Times New Roman" w:cs="Times New Roman" w:eastAsia="Times New Roman" w:hAnsi="Times New Roman"/>
            <w:sz w:val="16"/>
            <w:szCs w:val="16"/>
            <w:u w:val="single" w:color="auto"/>
            <w:color w:val="0000FF"/>
          </w:rPr>
          <w:t>Registrant's Current Report on Form 8-K as filed with the Securities and Exchange Commission on July 19, 2016, Commission File</w:t>
        </w:r>
      </w:hyperlink>
      <w:r>
        <w:rPr>
          <w:rFonts w:ascii="Times New Roman" w:cs="Times New Roman" w:eastAsia="Times New Roman" w:hAnsi="Times New Roman"/>
          <w:sz w:val="16"/>
          <w:szCs w:val="16"/>
          <w:u w:val="single" w:color="auto"/>
          <w:color w:val="0000FF"/>
        </w:rPr>
        <w:t xml:space="preserve"> </w:t>
      </w:r>
      <w:hyperlink r:id="rId154">
        <w:r>
          <w:rPr>
            <w:rFonts w:ascii="Times New Roman" w:cs="Times New Roman" w:eastAsia="Times New Roman" w:hAnsi="Times New Roman"/>
            <w:sz w:val="16"/>
            <w:szCs w:val="16"/>
            <w:u w:val="single" w:color="auto"/>
            <w:color w:val="0000FF"/>
          </w:rPr>
          <w:t>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10.24</w:t>
      </w:r>
      <w:r>
        <w:rPr>
          <w:sz w:val="20"/>
          <w:szCs w:val="20"/>
          <w:color w:val="auto"/>
        </w:rPr>
        <w:tab/>
      </w:r>
      <w:hyperlink r:id="rId155">
        <w:r>
          <w:rPr>
            <w:rFonts w:ascii="Times New Roman" w:cs="Times New Roman" w:eastAsia="Times New Roman" w:hAnsi="Times New Roman"/>
            <w:sz w:val="16"/>
            <w:szCs w:val="16"/>
            <w:u w:val="single" w:color="auto"/>
            <w:color w:val="0000FF"/>
          </w:rPr>
          <w:t>Offer Letter dated February 13, 2023 between The Toro Company and Angela C. Drake (incorporated by reference to Exhibit 10.1 to</w:t>
        </w:r>
      </w:hyperlink>
      <w:r>
        <w:rPr>
          <w:rFonts w:ascii="Times New Roman" w:cs="Times New Roman" w:eastAsia="Times New Roman" w:hAnsi="Times New Roman"/>
          <w:sz w:val="16"/>
          <w:szCs w:val="16"/>
          <w:u w:val="single" w:color="auto"/>
          <w:color w:val="0000FF"/>
        </w:rPr>
        <w:t xml:space="preserve"> </w:t>
      </w:r>
      <w:hyperlink r:id="rId155">
        <w:r>
          <w:rPr>
            <w:rFonts w:ascii="Times New Roman" w:cs="Times New Roman" w:eastAsia="Times New Roman" w:hAnsi="Times New Roman"/>
            <w:sz w:val="16"/>
            <w:szCs w:val="16"/>
            <w:u w:val="single" w:color="auto"/>
            <w:color w:val="0000FF"/>
          </w:rPr>
          <w:t>Registrant’s Current Report on Form 8-K as filed with the Securities and Exchange Commission on February 14, 2023, Commission File</w:t>
        </w:r>
      </w:hyperlink>
      <w:r>
        <w:rPr>
          <w:rFonts w:ascii="Times New Roman" w:cs="Times New Roman" w:eastAsia="Times New Roman" w:hAnsi="Times New Roman"/>
          <w:sz w:val="16"/>
          <w:szCs w:val="16"/>
          <w:u w:val="single" w:color="auto"/>
          <w:color w:val="0000FF"/>
        </w:rPr>
        <w:t xml:space="preserve"> </w:t>
      </w:r>
      <w:hyperlink r:id="rId155">
        <w:r>
          <w:rPr>
            <w:rFonts w:ascii="Times New Roman" w:cs="Times New Roman" w:eastAsia="Times New Roman" w:hAnsi="Times New Roman"/>
            <w:sz w:val="16"/>
            <w:szCs w:val="16"/>
            <w:u w:val="single" w:color="auto"/>
            <w:color w:val="0000FF"/>
          </w:rPr>
          <w:t>No. 1-8649).</w:t>
        </w:r>
        <w:r>
          <w:rPr>
            <w:rFonts w:ascii="Times New Roman" w:cs="Times New Roman" w:eastAsia="Times New Roman" w:hAnsi="Times New Roman"/>
            <w:sz w:val="16"/>
            <w:szCs w:val="16"/>
            <w:color w:val="000000"/>
          </w:rPr>
          <w:t>*</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21"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10.25</w:t>
      </w:r>
      <w:r>
        <w:rPr>
          <w:sz w:val="20"/>
          <w:szCs w:val="20"/>
          <w:color w:val="auto"/>
        </w:rPr>
        <w:tab/>
      </w:r>
      <w:hyperlink r:id="rId156">
        <w:r>
          <w:rPr>
            <w:rFonts w:ascii="Times New Roman" w:cs="Times New Roman" w:eastAsia="Times New Roman" w:hAnsi="Times New Roman"/>
            <w:sz w:val="16"/>
            <w:szCs w:val="16"/>
            <w:u w:val="single" w:color="auto"/>
            <w:color w:val="0000FF"/>
          </w:rPr>
          <w:t>Amended and Restated Credit Agreement dated as of October 5, 2021, by and among The Toro Company and Toro Luxembourg</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S.A.R.L., as Borrowers, the lenders from time to time party thereto, Bank of America, N.A., as Administrative Agent, Swingline Lender</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and L/C Issuer, Wells Fargo Bank, National Association and U.S. Bank National Association, as Co-Syndication Agents, and BMO</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Harris Bank, N.A. and HSBC Bank USA, National Association, as Co-Documentation Agents (incorporated by reference to Exhibit 10.1</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to Registrant’s Current Report on Form 8-K as filed with the Securities and Exchange Commission on October 6, 2021, Commission</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File No. 1-8649).</w:t>
        </w:r>
      </w:hyperlink>
    </w:p>
    <w:p>
      <w:pPr>
        <w:spacing w:after="0" w:line="9" w:lineRule="exact"/>
        <w:rPr>
          <w:rFonts w:ascii="Times New Roman" w:cs="Times New Roman" w:eastAsia="Times New Roman" w:hAnsi="Times New Roman"/>
          <w:sz w:val="16"/>
          <w:szCs w:val="16"/>
          <w:u w:val="single" w:color="auto"/>
          <w:color w:val="0000FF"/>
        </w:rPr>
      </w:pPr>
    </w:p>
    <w:p>
      <w:pPr>
        <w:jc w:val="both"/>
        <w:ind w:left="2340" w:hanging="890"/>
        <w:spacing w:after="0" w:line="227"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10.26</w:t>
      </w:r>
      <w:r>
        <w:rPr>
          <w:sz w:val="20"/>
          <w:szCs w:val="20"/>
          <w:color w:val="auto"/>
        </w:rPr>
        <w:tab/>
      </w:r>
      <w:hyperlink r:id="rId157">
        <w:r>
          <w:rPr>
            <w:rFonts w:ascii="Times New Roman" w:cs="Times New Roman" w:eastAsia="Times New Roman" w:hAnsi="Times New Roman"/>
            <w:sz w:val="16"/>
            <w:szCs w:val="16"/>
            <w:u w:val="single" w:color="auto"/>
            <w:color w:val="0000FF"/>
          </w:rPr>
          <w:t>Amendment No. 1 to Amended and Restated Credit Agreement dated as of April 27, 2022, by and among The Toro Company, Toro</w:t>
        </w:r>
      </w:hyperlink>
      <w:r>
        <w:rPr>
          <w:rFonts w:ascii="Times New Roman" w:cs="Times New Roman" w:eastAsia="Times New Roman" w:hAnsi="Times New Roman"/>
          <w:sz w:val="16"/>
          <w:szCs w:val="16"/>
          <w:u w:val="single" w:color="auto"/>
          <w:color w:val="0000FF"/>
        </w:rPr>
        <w:t xml:space="preserve"> </w:t>
      </w:r>
      <w:hyperlink r:id="rId157">
        <w:r>
          <w:rPr>
            <w:rFonts w:ascii="Times New Roman" w:cs="Times New Roman" w:eastAsia="Times New Roman" w:hAnsi="Times New Roman"/>
            <w:sz w:val="16"/>
            <w:szCs w:val="16"/>
            <w:u w:val="single" w:color="auto"/>
            <w:color w:val="0000FF"/>
          </w:rPr>
          <w:t>Luxembourg S.A.R.L., each of the Lenders Party Thereto,</w:t>
        </w:r>
        <w:r>
          <w:rPr>
            <w:rFonts w:ascii="Times New Roman" w:cs="Times New Roman" w:eastAsia="Times New Roman" w:hAnsi="Times New Roman"/>
            <w:sz w:val="16"/>
            <w:szCs w:val="16"/>
            <w:color w:val="0000FF"/>
          </w:rPr>
          <w:t xml:space="preserve"> and Bank of America, N.A., as Administrative Agent (incorporated by</w:t>
        </w:r>
      </w:hyperlink>
      <w:r>
        <w:rPr>
          <w:rFonts w:ascii="Times New Roman" w:cs="Times New Roman" w:eastAsia="Times New Roman" w:hAnsi="Times New Roman"/>
          <w:sz w:val="16"/>
          <w:szCs w:val="16"/>
          <w:color w:val="0000FF"/>
        </w:rPr>
        <w:t xml:space="preserve"> </w:t>
      </w:r>
      <w:hyperlink r:id="rId157">
        <w:r>
          <w:rPr>
            <w:rFonts w:ascii="Times New Roman" w:cs="Times New Roman" w:eastAsia="Times New Roman" w:hAnsi="Times New Roman"/>
            <w:sz w:val="16"/>
            <w:szCs w:val="16"/>
            <w:u w:val="single" w:color="auto"/>
            <w:color w:val="0000FF"/>
          </w:rPr>
          <w:t>reference to Exhibit 10.8 to Registrant's Quarterly Report on Form 10-Q for the fiscal quarter ended April 29, 2022, Commission File</w:t>
        </w:r>
      </w:hyperlink>
      <w:r>
        <w:rPr>
          <w:rFonts w:ascii="Times New Roman" w:cs="Times New Roman" w:eastAsia="Times New Roman" w:hAnsi="Times New Roman"/>
          <w:sz w:val="16"/>
          <w:szCs w:val="16"/>
          <w:u w:val="single" w:color="auto"/>
          <w:color w:val="0000FF"/>
        </w:rPr>
        <w:t xml:space="preserve"> </w:t>
      </w:r>
      <w:hyperlink r:id="rId157">
        <w:r>
          <w:rPr>
            <w:rFonts w:ascii="Times New Roman" w:cs="Times New Roman" w:eastAsia="Times New Roman" w:hAnsi="Times New Roman"/>
            <w:sz w:val="16"/>
            <w:szCs w:val="16"/>
            <w:u w:val="single" w:color="auto"/>
            <w:color w:val="0000FF"/>
          </w:rPr>
          <w:t>No. 1-8649).</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4005580</wp:posOffset>
            </wp:positionH>
            <wp:positionV relativeFrom="paragraph">
              <wp:posOffset>-225425</wp:posOffset>
            </wp:positionV>
            <wp:extent cx="3113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3113405" cy="8890"/>
                    </a:xfrm>
                    <a:prstGeom prst="rect">
                      <a:avLst/>
                    </a:prstGeom>
                    <a:noFill/>
                  </pic:spPr>
                </pic:pic>
              </a:graphicData>
            </a:graphic>
          </wp:anchor>
        </w:drawing>
      </w: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10.27</w:t>
      </w:r>
      <w:r>
        <w:rPr>
          <w:sz w:val="20"/>
          <w:szCs w:val="20"/>
          <w:color w:val="auto"/>
        </w:rPr>
        <w:tab/>
      </w:r>
      <w:r>
        <w:rPr>
          <w:rFonts w:ascii="Times New Roman" w:cs="Times New Roman" w:eastAsia="Times New Roman" w:hAnsi="Times New Roman"/>
          <w:sz w:val="16"/>
          <w:szCs w:val="16"/>
          <w:u w:val="single" w:color="auto"/>
          <w:color w:val="0000FF"/>
        </w:rPr>
        <w:t>Amendment No. 2 to Amended and Restated Credit Agreement dated as of September 22, 2023, by and among The Toro Company, Toro Luxembourg S.A.R.L., each of the Lenders Party Thereto, and Bank of America, N.A., as Administrative Agent (filed herewith).</w:t>
      </w:r>
    </w:p>
    <w:p>
      <w:pPr>
        <w:spacing w:after="0" w:line="2" w:lineRule="exact"/>
        <w:rPr>
          <w:rFonts w:ascii="Times New Roman" w:cs="Times New Roman" w:eastAsia="Times New Roman" w:hAnsi="Times New Roman"/>
          <w:sz w:val="16"/>
          <w:szCs w:val="16"/>
          <w:color w:val="0000FF"/>
        </w:rPr>
      </w:pPr>
    </w:p>
    <w:p>
      <w:pPr>
        <w:jc w:val="both"/>
        <w:ind w:left="2340" w:hanging="890"/>
        <w:spacing w:after="0" w:line="227"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10.28</w:t>
      </w:r>
      <w:r>
        <w:rPr>
          <w:sz w:val="20"/>
          <w:szCs w:val="20"/>
          <w:color w:val="auto"/>
        </w:rPr>
        <w:tab/>
      </w:r>
      <w:hyperlink r:id="rId159">
        <w:r>
          <w:rPr>
            <w:rFonts w:ascii="Times New Roman" w:cs="Times New Roman" w:eastAsia="Times New Roman" w:hAnsi="Times New Roman"/>
            <w:sz w:val="16"/>
            <w:szCs w:val="16"/>
            <w:u w:val="single" w:color="auto"/>
            <w:color w:val="0000FF"/>
          </w:rPr>
          <w:t>Term Loan Credit Agreement dated as of April 27, 2022, by and among The Toro Company, as Borrower, Bank of America, N.A., as</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Administrative Agent, Wells Fargo Bank, National Association and U.S. Bank National Association, as Co-Syndication Agents and the</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Other Lenders Party Thereto (incorporated by reference to Exhibit 10.1 to Registrant’s Current Report on Form 8-K as filed with the</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Securities and Exchange Commission on April 28, 2022, Commission File No. 1-8649).</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30" w:lineRule="exact"/>
        <w:rPr>
          <w:rFonts w:ascii="Times New Roman" w:cs="Times New Roman" w:eastAsia="Times New Roman" w:hAnsi="Times New Roman"/>
          <w:sz w:val="16"/>
          <w:szCs w:val="16"/>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340" w:right="2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10.29</w:t>
      </w:r>
      <w:r>
        <w:rPr>
          <w:sz w:val="20"/>
          <w:szCs w:val="20"/>
          <w:color w:val="auto"/>
        </w:rPr>
        <w:tab/>
      </w:r>
      <w:r>
        <w:rPr>
          <w:rFonts w:ascii="Times New Roman" w:cs="Times New Roman" w:eastAsia="Times New Roman" w:hAnsi="Times New Roman"/>
          <w:sz w:val="16"/>
          <w:szCs w:val="16"/>
          <w:u w:val="single" w:color="auto"/>
          <w:color w:val="0000FF"/>
        </w:rPr>
        <w:t>Amendment No. 1 to Term Loan Credit Agreement dated as of September 22, 2023, by and among The Toro Company, each of the Lenders Party Thereto, and Bank of America, N.A., as Administrative Agent (filed herewith).</w:t>
      </w:r>
    </w:p>
    <w:p>
      <w:pPr>
        <w:spacing w:after="0" w:line="2"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10.30</w:t>
      </w:r>
      <w:r>
        <w:rPr>
          <w:sz w:val="20"/>
          <w:szCs w:val="20"/>
          <w:color w:val="auto"/>
        </w:rPr>
        <w:tab/>
      </w:r>
      <w:hyperlink r:id="rId161">
        <w:r>
          <w:rPr>
            <w:rFonts w:ascii="Times New Roman" w:cs="Times New Roman" w:eastAsia="Times New Roman" w:hAnsi="Times New Roman"/>
            <w:sz w:val="16"/>
            <w:szCs w:val="16"/>
            <w:u w:val="single" w:color="auto"/>
            <w:color w:val="0000FF"/>
          </w:rPr>
          <w:t>Note Purchase Agreement, dated as of April 30, 2019, by and among The Toro Company and the Purchasers listed on the Purchaser</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Schedule Thereto (incorporated by reference to Exhibit 10.1 to the Registrant’s Current Report on Form 8-K as filed with the Securities</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and Exchange Commission on April 30, 2019,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10.31</w:t>
      </w:r>
      <w:r>
        <w:rPr>
          <w:sz w:val="20"/>
          <w:szCs w:val="20"/>
          <w:color w:val="auto"/>
        </w:rPr>
        <w:tab/>
      </w:r>
      <w:hyperlink r:id="rId162">
        <w:r>
          <w:rPr>
            <w:rFonts w:ascii="Times New Roman" w:cs="Times New Roman" w:eastAsia="Times New Roman" w:hAnsi="Times New Roman"/>
            <w:sz w:val="16"/>
            <w:szCs w:val="16"/>
            <w:u w:val="single" w:color="auto"/>
            <w:color w:val="0000FF"/>
          </w:rPr>
          <w:t>Second Amendment, dated as of June 30, 2022, to Note Purchase Agreement, dated as of April 30, 2019, by and among The Toro</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Company and each of the Institutions a Signatory Thereto (incorporated by reference to Exhibit 10.3 to Registrant’s Current Report on</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Form 8-K as filed with the Securities and Exchange Commission on June 30,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10.32</w:t>
      </w:r>
      <w:r>
        <w:rPr>
          <w:sz w:val="20"/>
          <w:szCs w:val="20"/>
          <w:color w:val="auto"/>
        </w:rPr>
        <w:tab/>
      </w:r>
      <w:hyperlink r:id="rId163">
        <w:r>
          <w:rPr>
            <w:rFonts w:ascii="Times New Roman" w:cs="Times New Roman" w:eastAsia="Times New Roman" w:hAnsi="Times New Roman"/>
            <w:sz w:val="16"/>
            <w:szCs w:val="16"/>
            <w:u w:val="single" w:color="auto"/>
            <w:color w:val="0000FF"/>
          </w:rPr>
          <w:t>Note Purchase Agreement, dated as of June 30, 2022, by and among The Toro Company and the Purchasers Listed on the Purchaser</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Schedule Thereto and Form of 3.97% Senior Note due June 30, 2032 (incorporated by reference to Exhibit 10.1 to Registrant’s Current</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Report on Form 8-K as filed with the Securities and Exchange Commission on June 30,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10.33 (1)</w:t>
      </w:r>
      <w:r>
        <w:rPr>
          <w:sz w:val="20"/>
          <w:szCs w:val="20"/>
          <w:color w:val="auto"/>
        </w:rPr>
        <w:tab/>
      </w:r>
      <w:r>
        <w:rPr>
          <w:rFonts w:ascii="Times New Roman" w:cs="Times New Roman" w:eastAsia="Times New Roman" w:hAnsi="Times New Roman"/>
          <w:sz w:val="16"/>
          <w:szCs w:val="16"/>
          <w:u w:val="single" w:color="auto"/>
          <w:color w:val="0000FF"/>
        </w:rPr>
        <w:t>Credit and Security Agreement dated as of August 12, 2009 by and between Red Iron Acceptance, LLC and TCF Inventory Finance, Inc. (filed herewith).</w:t>
      </w:r>
    </w:p>
    <w:p>
      <w:pPr>
        <w:spacing w:after="0" w:line="2"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10.34 (1)</w:t>
      </w:r>
      <w:r>
        <w:rPr>
          <w:sz w:val="20"/>
          <w:szCs w:val="20"/>
          <w:color w:val="auto"/>
        </w:rPr>
        <w:tab/>
      </w:r>
      <w:r>
        <w:rPr>
          <w:rFonts w:ascii="Times New Roman" w:cs="Times New Roman" w:eastAsia="Times New Roman" w:hAnsi="Times New Roman"/>
          <w:sz w:val="16"/>
          <w:szCs w:val="16"/>
          <w:u w:val="single" w:color="auto"/>
          <w:color w:val="0000FF"/>
        </w:rPr>
        <w:t>First Amendment to Credit and Security Agreement dated as of June 6, 2012 by and between Red Iron Acceptance, LLC and TCF Inventory Finance, Inc. (filed herewith).</w:t>
      </w:r>
    </w:p>
    <w:p>
      <w:pPr>
        <w:spacing w:after="0" w:line="2"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10.35</w:t>
      </w:r>
      <w:r>
        <w:rPr>
          <w:sz w:val="20"/>
          <w:szCs w:val="20"/>
          <w:color w:val="auto"/>
        </w:rPr>
        <w:tab/>
      </w:r>
      <w:hyperlink r:id="rId164">
        <w:r>
          <w:rPr>
            <w:rFonts w:ascii="Times New Roman" w:cs="Times New Roman" w:eastAsia="Times New Roman" w:hAnsi="Times New Roman"/>
            <w:sz w:val="16"/>
            <w:szCs w:val="16"/>
            <w:u w:val="single" w:color="auto"/>
            <w:color w:val="0000FF"/>
          </w:rPr>
          <w:t>Second Amendment to Credit and Security Agreement dated as of November 29, 2016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TCF Inventory Finance, Inc. (incorporated by reference to Exhibit 10.1 to Registrant's Current Report on Form 8-K as filed with the</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Securities and Exchange Commission on December 2, 2016,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10.36</w:t>
      </w:r>
      <w:r>
        <w:rPr>
          <w:sz w:val="20"/>
          <w:szCs w:val="20"/>
          <w:color w:val="auto"/>
        </w:rPr>
        <w:tab/>
      </w:r>
      <w:hyperlink r:id="rId165">
        <w:r>
          <w:rPr>
            <w:rFonts w:ascii="Times New Roman" w:cs="Times New Roman" w:eastAsia="Times New Roman" w:hAnsi="Times New Roman"/>
            <w:sz w:val="16"/>
            <w:szCs w:val="16"/>
            <w:u w:val="single" w:color="auto"/>
            <w:color w:val="0000FF"/>
          </w:rPr>
          <w:t>Third Amendment to Credit and Security Agreement effective as of December 20, 2019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TCF Inventory Finance, Inc. (incorporated by reference to Exhibit 10.1 to Registrant’s Quarterly Report on Form 10-Q for the fiscal</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quarter ended January 31, 2020,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10.37</w:t>
      </w:r>
      <w:r>
        <w:rPr>
          <w:sz w:val="20"/>
          <w:szCs w:val="20"/>
          <w:color w:val="auto"/>
        </w:rPr>
        <w:tab/>
      </w:r>
      <w:hyperlink r:id="rId166">
        <w:r>
          <w:rPr>
            <w:rFonts w:ascii="Times New Roman" w:cs="Times New Roman" w:eastAsia="Times New Roman" w:hAnsi="Times New Roman"/>
            <w:sz w:val="16"/>
            <w:szCs w:val="16"/>
            <w:u w:val="single" w:color="auto"/>
            <w:color w:val="0000FF"/>
          </w:rPr>
          <w:t>Fourth Amendment to Credit and Security Agreement effective as of November 1, 2021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TCF Inventory Finance, Inc. (incorporated by reference to Exhibit 10.24 to Registrant's Annual Report on Form 10-K for the fiscal year</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ended October 31, 2021,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10.38</w:t>
      </w:r>
      <w:r>
        <w:rPr>
          <w:sz w:val="20"/>
          <w:szCs w:val="20"/>
          <w:color w:val="auto"/>
        </w:rPr>
        <w:tab/>
      </w:r>
      <w:hyperlink r:id="rId167">
        <w:r>
          <w:rPr>
            <w:rFonts w:ascii="Times New Roman" w:cs="Times New Roman" w:eastAsia="Times New Roman" w:hAnsi="Times New Roman"/>
            <w:sz w:val="16"/>
            <w:szCs w:val="16"/>
            <w:u w:val="single" w:color="auto"/>
            <w:color w:val="0000FF"/>
          </w:rPr>
          <w:t>Fifth Amendment to Credit and Security Agreement effective as of October 25, 2022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Huntington Distribution Finance, Inc. (previously known as TCF Inventory Finance, Inc.) (incorporated by reference to Exhibit 10.35 to</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Registrant's Annual Report on Form 10-K for the fiscal year ended October 31,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10.39</w:t>
      </w:r>
      <w:r>
        <w:rPr>
          <w:sz w:val="20"/>
          <w:szCs w:val="20"/>
          <w:color w:val="auto"/>
        </w:rPr>
        <w:tab/>
      </w:r>
      <w:r>
        <w:rPr>
          <w:rFonts w:ascii="Times New Roman" w:cs="Times New Roman" w:eastAsia="Times New Roman" w:hAnsi="Times New Roman"/>
          <w:sz w:val="16"/>
          <w:szCs w:val="16"/>
          <w:u w:val="single" w:color="auto"/>
          <w:color w:val="0000FF"/>
        </w:rPr>
        <w:t>Sixth Amendment to Credit and Security Agreement effective as of August 31, 2023 by and between Red Iron Acceptance, LLC and Huntington Distribution Finance, Inc. (previously known as TCF Inventory Finance, Inc.) (filed herewith).</w:t>
      </w:r>
    </w:p>
    <w:p>
      <w:pPr>
        <w:spacing w:after="0" w:line="4" w:lineRule="exact"/>
        <w:rPr>
          <w:rFonts w:ascii="Times New Roman" w:cs="Times New Roman" w:eastAsia="Times New Roman" w:hAnsi="Times New Roman"/>
          <w:sz w:val="16"/>
          <w:szCs w:val="16"/>
          <w:u w:val="single" w:color="auto"/>
          <w:color w:val="0000FF"/>
        </w:rPr>
      </w:pPr>
    </w:p>
    <w:p>
      <w:pPr>
        <w:ind w:left="2340" w:hanging="897"/>
        <w:spacing w:after="0"/>
        <w:tabs>
          <w:tab w:leader="none" w:pos="23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0000FF"/>
        </w:rPr>
        <w:t>Subsidiaries of Registrant (filed herewith).</w:t>
      </w:r>
    </w:p>
    <w:p>
      <w:pPr>
        <w:spacing w:after="0" w:line="24" w:lineRule="exact"/>
        <w:rPr>
          <w:rFonts w:ascii="Times New Roman" w:cs="Times New Roman" w:eastAsia="Times New Roman" w:hAnsi="Times New Roman"/>
          <w:sz w:val="16"/>
          <w:szCs w:val="16"/>
          <w:u w:val="single" w:color="auto"/>
          <w:color w:val="0000FF"/>
        </w:rPr>
      </w:pPr>
    </w:p>
    <w:tbl>
      <w:tblPr>
        <w:tblLayout w:type="fixed"/>
        <w:tblInd w:w="144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23.1</w:t>
            </w:r>
          </w:p>
        </w:tc>
        <w:tc>
          <w:tcPr>
            <w:tcW w:w="4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 (filed herewith).</w:t>
            </w:r>
          </w:p>
        </w:tc>
        <w:tc>
          <w:tcPr>
            <w:tcW w:w="3700" w:type="dxa"/>
            <w:vAlign w:val="bottom"/>
            <w:gridSpan w:val="2"/>
          </w:tcPr>
          <w:p>
            <w:pPr>
              <w:spacing w:after="0"/>
              <w:rPr>
                <w:sz w:val="16"/>
                <w:szCs w:val="16"/>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31.1</w:t>
            </w:r>
          </w:p>
        </w:tc>
        <w:tc>
          <w:tcPr>
            <w:tcW w:w="8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31.2</w:t>
            </w:r>
          </w:p>
        </w:tc>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r>
      <w:tr>
        <w:trPr>
          <w:trHeight w:val="20"/>
        </w:trPr>
        <w:tc>
          <w:tcPr>
            <w:tcW w:w="9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 w:lineRule="exact"/>
        <w:rPr>
          <w:rFonts w:ascii="Times New Roman" w:cs="Times New Roman" w:eastAsia="Times New Roman" w:hAnsi="Times New Roman"/>
          <w:sz w:val="16"/>
          <w:szCs w:val="16"/>
          <w:u w:val="single" w:color="auto"/>
          <w:color w:val="0000FF"/>
        </w:rPr>
      </w:pPr>
    </w:p>
    <w:p>
      <w:pPr>
        <w:ind w:left="2340" w:hanging="897"/>
        <w:spacing w:after="0" w:line="245" w:lineRule="auto"/>
        <w:tabs>
          <w:tab w:leader="none" w:pos="234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 (furnished herewith).</w:t>
      </w:r>
    </w:p>
    <w:p>
      <w:pPr>
        <w:spacing w:after="0" w:line="2" w:lineRule="exact"/>
        <w:rPr>
          <w:rFonts w:ascii="Times New Roman" w:cs="Times New Roman" w:eastAsia="Times New Roman" w:hAnsi="Times New Roman"/>
          <w:sz w:val="16"/>
          <w:szCs w:val="16"/>
          <w:u w:val="single" w:color="auto"/>
          <w:color w:val="0000FF"/>
        </w:rPr>
      </w:pPr>
    </w:p>
    <w:p>
      <w:pPr>
        <w:ind w:left="2340" w:hanging="897"/>
        <w:spacing w:after="0"/>
        <w:tabs>
          <w:tab w:leader="none" w:pos="23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0000FF"/>
        </w:rPr>
        <w:t>Clawback Policy (filed herewith)*.</w:t>
      </w:r>
    </w:p>
    <w:p>
      <w:pPr>
        <w:spacing w:after="0" w:line="32" w:lineRule="exact"/>
        <w:rPr>
          <w:rFonts w:ascii="Times New Roman" w:cs="Times New Roman" w:eastAsia="Times New Roman" w:hAnsi="Times New Roman"/>
          <w:sz w:val="16"/>
          <w:szCs w:val="16"/>
          <w:u w:val="single" w:color="auto"/>
          <w:color w:val="0000FF"/>
        </w:rPr>
      </w:pPr>
    </w:p>
    <w:p>
      <w:pPr>
        <w:jc w:val="both"/>
        <w:ind w:left="2340" w:hanging="897"/>
        <w:spacing w:after="0" w:line="220" w:lineRule="auto"/>
        <w:tabs>
          <w:tab w:leader="none" w:pos="234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Annual Report on Form 10-K for the fiscal year ended October 31, 2023, filed with the SEC on December 20, 2023, formatted in Inline eXtensible Business Reporting Language (Inline XBRL): (i) Consolidated Statements of Earnings for each of the fiscal years in the three-year period ended October 31, 2023, (ii) Consolidated Statements of Comprehensive Income for each of the fiscal years in the three-year period ended October 31, 2023, (iii) Consolidated Balance Sheets as of October 31, 2023 and 2022, (iv) Consolidated Statements of Cash Flows for each of the fiscal years in the three-year period ended October 31, 2023, (v) Consolidated Statements of Stockholders' Equity each of the fiscal years in the three-year period ended October 31, 2023, and (vi) Notes to Consolidated Financial Statements (filed herewith).</w:t>
      </w:r>
    </w:p>
    <w:p>
      <w:pPr>
        <w:spacing w:after="0" w:line="7" w:lineRule="exact"/>
        <w:rPr>
          <w:rFonts w:ascii="Times New Roman" w:cs="Times New Roman" w:eastAsia="Times New Roman" w:hAnsi="Times New Roman"/>
          <w:sz w:val="16"/>
          <w:szCs w:val="16"/>
          <w:u w:val="single" w:color="auto"/>
          <w:color w:val="0000FF"/>
        </w:rPr>
      </w:pPr>
    </w:p>
    <w:p>
      <w:pPr>
        <w:ind w:left="2340" w:hanging="897"/>
        <w:spacing w:after="0"/>
        <w:tabs>
          <w:tab w:leader="none" w:pos="2340" w:val="left"/>
        </w:tabs>
        <w:numPr>
          <w:ilvl w:val="1"/>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4" w:lineRule="exact"/>
        <w:rPr>
          <w:rFonts w:ascii="Times New Roman" w:cs="Times New Roman" w:eastAsia="Times New Roman" w:hAnsi="Times New Roman"/>
          <w:sz w:val="16"/>
          <w:szCs w:val="16"/>
          <w:b w:val="1"/>
          <w:bCs w:val="1"/>
          <w:color w:val="auto"/>
        </w:rPr>
      </w:pPr>
    </w:p>
    <w:p>
      <w:pPr>
        <w:ind w:left="1200" w:hanging="220"/>
        <w:spacing w:after="0"/>
        <w:tabs>
          <w:tab w:leader="none" w:pos="12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portions of this exhibit have been redacted in compliance with Item 601(b)(10) of Regulation S-K.</w:t>
      </w:r>
    </w:p>
    <w:p>
      <w:pPr>
        <w:spacing w:after="0" w:line="125" w:lineRule="exact"/>
        <w:rPr>
          <w:rFonts w:ascii="Times New Roman" w:cs="Times New Roman" w:eastAsia="Times New Roman" w:hAnsi="Times New Roman"/>
          <w:sz w:val="16"/>
          <w:szCs w:val="16"/>
          <w:u w:val="single" w:color="auto"/>
          <w:color w:val="0000FF"/>
        </w:rPr>
      </w:pPr>
    </w:p>
    <w:p>
      <w:pPr>
        <w:ind w:left="1320" w:hanging="340"/>
        <w:spacing w:after="0"/>
        <w:tabs>
          <w:tab w:leader="none" w:pos="13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125" w:lineRule="exact"/>
        <w:rPr>
          <w:rFonts w:ascii="Times New Roman" w:cs="Times New Roman" w:eastAsia="Times New Roman" w:hAnsi="Times New Roman"/>
          <w:sz w:val="16"/>
          <w:szCs w:val="16"/>
          <w:u w:val="single" w:color="auto"/>
          <w:color w:val="0000FF"/>
        </w:rPr>
      </w:pPr>
    </w:p>
    <w:p>
      <w:pPr>
        <w:ind w:left="1300" w:right="140" w:hanging="320"/>
        <w:spacing w:after="0" w:line="280" w:lineRule="auto"/>
        <w:tabs>
          <w:tab w:leader="none" w:pos="129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7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1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17" w:lineRule="exact"/>
        <w:rPr>
          <w:rFonts w:ascii="Times New Roman" w:cs="Times New Roman" w:eastAsia="Times New Roman" w:hAnsi="Times New Roman"/>
          <w:sz w:val="16"/>
          <w:szCs w:val="16"/>
          <w:u w:val="single" w:color="auto"/>
          <w:color w:val="0000FF"/>
        </w:rPr>
      </w:pPr>
    </w:p>
    <w:p>
      <w:pPr>
        <w:ind w:right="8760" w:firstLine="8"/>
        <w:spacing w:after="0" w:line="407"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297" w:lineRule="exact"/>
        <w:rPr>
          <w:rFonts w:ascii="Times New Roman" w:cs="Times New Roman" w:eastAsia="Times New Roman" w:hAnsi="Times New Roman"/>
          <w:sz w:val="16"/>
          <w:szCs w:val="16"/>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20"/>
        <w:spacing w:after="0"/>
        <w:tabs>
          <w:tab w:leader="none" w:pos="64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C. Drake</w:t>
      </w:r>
      <w:r>
        <w:rPr>
          <w:sz w:val="20"/>
          <w:szCs w:val="20"/>
          <w:color w:val="auto"/>
        </w:rPr>
        <w:tab/>
      </w:r>
      <w:r>
        <w:rPr>
          <w:rFonts w:ascii="Times New Roman" w:cs="Times New Roman" w:eastAsia="Times New Roman" w:hAnsi="Times New Roman"/>
          <w:sz w:val="17"/>
          <w:szCs w:val="17"/>
          <w:color w:val="auto"/>
        </w:rPr>
        <w:t>Dated: December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Angela C. Drake</w:t>
      </w:r>
    </w:p>
    <w:p>
      <w:pPr>
        <w:ind w:left="66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06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3040" w:val="left"/>
          <w:tab w:leader="none" w:pos="89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99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0"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198"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99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0"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Angela C. Drake</w:t>
      </w:r>
    </w:p>
    <w:p>
      <w:pPr>
        <w:spacing w:after="0" w:line="171"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7"/>
          <w:szCs w:val="17"/>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99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8"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Janet K. Cooper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Chairman of the Board, President and Chief Executive Officer and Director</w:t>
      </w:r>
      <w:r>
        <w:rPr>
          <w:sz w:val="20"/>
          <w:szCs w:val="20"/>
          <w:color w:val="auto"/>
        </w:rPr>
        <w:tab/>
      </w:r>
      <w:r>
        <w:rPr>
          <w:rFonts w:ascii="Times New Roman" w:cs="Times New Roman" w:eastAsia="Times New Roman" w:hAnsi="Times New Roman"/>
          <w:sz w:val="18"/>
          <w:szCs w:val="18"/>
          <w:color w:val="auto"/>
        </w:rPr>
        <w:t>December 20, 2023</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8"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Vice President, Chief Financial Officer</w:t>
      </w:r>
      <w:r>
        <w:rPr>
          <w:sz w:val="20"/>
          <w:szCs w:val="20"/>
          <w:color w:val="auto"/>
        </w:rPr>
        <w:tab/>
      </w:r>
      <w:r>
        <w:rPr>
          <w:rFonts w:ascii="Times New Roman" w:cs="Times New Roman" w:eastAsia="Times New Roman" w:hAnsi="Times New Roman"/>
          <w:sz w:val="18"/>
          <w:szCs w:val="18"/>
          <w:color w:val="auto"/>
        </w:rPr>
        <w:t>December 20, 2023</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5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December 20, 2023</w:t>
      </w:r>
    </w:p>
    <w:p>
      <w:pPr>
        <w:spacing w:after="0" w:line="414" w:lineRule="exact"/>
        <w:rPr>
          <w:sz w:val="20"/>
          <w:szCs w:val="20"/>
          <w:color w:val="auto"/>
        </w:rPr>
      </w:pPr>
    </w:p>
    <w:p>
      <w:pPr>
        <w:sectPr>
          <w:pgSz w:w="11900" w:h="16838" w:orient="portrait"/>
          <w:cols w:equalWidth="0" w:num="2">
            <w:col w:w="2340" w:space="720"/>
            <w:col w:w="8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L. Ellis</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Gary L. Ellis</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P. Hansotia</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Eric P. Hansotia</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L. Harmening</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Jeffrey L. Harmening</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Christian Koch</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 Christian Koch</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Joyce A. Mullen</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Joyce A. Mullen</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 O'Rourke</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C. O'Rourke</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M. Pemberton</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20, 2023</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Jill M. Pemberton</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765"/>
        </w:trPr>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105</w:t>
            </w:r>
          </w:p>
        </w:tc>
      </w:tr>
    </w:tbl>
    <w:p>
      <w:pPr>
        <w:sectPr>
          <w:pgSz w:w="11900" w:h="16838" w:orient="portrait"/>
          <w:cols w:equalWidth="0" w:num="1">
            <w:col w:w="11240"/>
          </w:cols>
          <w:pgMar w:left="320" w:top="121"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 TO FORM JOINT VENTURE</w:t>
      </w:r>
    </w:p>
    <w:p>
      <w:pPr>
        <w:spacing w:after="0" w:line="17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This Agreement To Form Joint Venture </w:t>
      </w:r>
      <w:r>
        <w:rPr>
          <w:rFonts w:ascii="Times New Roman" w:cs="Times New Roman" w:eastAsia="Times New Roman" w:hAnsi="Times New Roman"/>
          <w:sz w:val="22"/>
          <w:szCs w:val="22"/>
          <w:color w:val="auto"/>
        </w:rPr>
        <w:t>(this “Agreement”) is made and entered into as of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August, 2009,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Toro Company, a Delaware corporation (“Toro”), and TCF Inventory Finance, Inc., a Minnesota corporation (“TCFIF”) (collectively, Toro and TCFIF, the “Parties” and individually, a “Party”).</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Red Iron Holding Corporation, a Delaware corporation (“Toro Sub”), and TCFIF Joint Venture I, LLC, a Minnesota limited liability company (“TCFIF Sub”), respectively Affiliates of Toro and TCFIF, contemporaneously with the execution of this Agreement have entered into a Limited Liability Company Agreement with respect to Red Iron Acceptance, LLC, a Delaware limited liability company (“Red Iron”), organized for the operation of a commercial inventory finance business, including floorplan financing and open account inventory financing, supporting the business of Toro and its Affiliates within the United States and Canada and by this Agreement desire to set forth their understanding with regard to the operation of Red Iron and certain related matters.</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undertakings and obligations hereinafter set forth or referred to herein, the Parties mutually covenant and agree as follows: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is defined in Section 6.3.</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Arbitrable Disputes</w:t>
      </w:r>
      <w:r>
        <w:rPr>
          <w:rFonts w:ascii="Times New Roman" w:cs="Times New Roman" w:eastAsia="Times New Roman" w:hAnsi="Times New Roman"/>
          <w:sz w:val="22"/>
          <w:szCs w:val="22"/>
          <w:color w:val="auto"/>
        </w:rPr>
        <w:t>” is defined in Section 6.1.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Net Receivables</w:t>
      </w:r>
      <w:r>
        <w:rPr>
          <w:rFonts w:ascii="Times New Roman" w:cs="Times New Roman" w:eastAsia="Times New Roman" w:hAnsi="Times New Roman"/>
          <w:sz w:val="22"/>
          <w:szCs w:val="22"/>
          <w:color w:val="auto"/>
        </w:rPr>
        <w:t>” is defined in Section 2.12.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Plan</w:t>
      </w:r>
      <w:r>
        <w:rPr>
          <w:rFonts w:ascii="Times New Roman" w:cs="Times New Roman" w:eastAsia="Times New Roman" w:hAnsi="Times New Roman"/>
          <w:sz w:val="22"/>
          <w:szCs w:val="22"/>
          <w:color w:val="auto"/>
        </w:rPr>
        <w:t>” is defined in Section 2.1.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is defined in Article IV.</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DataScan</w:t>
      </w:r>
      <w:r>
        <w:rPr>
          <w:rFonts w:ascii="Times New Roman" w:cs="Times New Roman" w:eastAsia="Times New Roman" w:hAnsi="Times New Roman"/>
          <w:sz w:val="22"/>
          <w:szCs w:val="22"/>
          <w:color w:val="auto"/>
        </w:rPr>
        <w:t>” is defined in Section 2.13(a).</w:t>
      </w:r>
    </w:p>
    <w:p>
      <w:pPr>
        <w:sectPr>
          <w:pgSz w:w="11900" w:h="16838" w:orient="portrait"/>
          <w:cols w:equalWidth="0" w:num="1">
            <w:col w:w="11240"/>
          </w:cols>
          <w:pgMar w:left="320" w:top="9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DataScan Delivery Date</w:t>
      </w:r>
      <w:r>
        <w:rPr>
          <w:rFonts w:ascii="Times New Roman" w:cs="Times New Roman" w:eastAsia="Times New Roman" w:hAnsi="Times New Roman"/>
          <w:sz w:val="22"/>
          <w:szCs w:val="22"/>
          <w:color w:val="auto"/>
        </w:rPr>
        <w:t>” is defined in Section 2.13(a).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DataScan System Enhancements</w:t>
      </w:r>
      <w:r>
        <w:rPr>
          <w:rFonts w:ascii="Times New Roman" w:cs="Times New Roman" w:eastAsia="Times New Roman" w:hAnsi="Times New Roman"/>
          <w:sz w:val="22"/>
          <w:szCs w:val="22"/>
          <w:color w:val="auto"/>
        </w:rPr>
        <w:t>” is defined in Section 2.13(a).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Agreements</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has the meaning ascribed to it in the Receivable Purchase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Exclusivity Calculation</w:t>
      </w:r>
      <w:r>
        <w:rPr>
          <w:rFonts w:ascii="Times New Roman" w:cs="Times New Roman" w:eastAsia="Times New Roman" w:hAnsi="Times New Roman"/>
          <w:sz w:val="22"/>
          <w:szCs w:val="22"/>
          <w:color w:val="auto"/>
        </w:rPr>
        <w:t>” is defined in Section 2.15.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Exclusivity Incentive Payment</w:t>
      </w:r>
      <w:r>
        <w:rPr>
          <w:rFonts w:ascii="Times New Roman" w:cs="Times New Roman" w:eastAsia="Times New Roman" w:hAnsi="Times New Roman"/>
          <w:sz w:val="22"/>
          <w:szCs w:val="22"/>
          <w:color w:val="auto"/>
        </w:rPr>
        <w:t>” is defined in Section 2.15.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Exmark</w:t>
      </w:r>
      <w:r>
        <w:rPr>
          <w:rFonts w:ascii="Times New Roman" w:cs="Times New Roman" w:eastAsia="Times New Roman" w:hAnsi="Times New Roman"/>
          <w:sz w:val="21"/>
          <w:szCs w:val="21"/>
          <w:color w:val="auto"/>
        </w:rPr>
        <w:t>” means Exmark Manufacturing Company Incorporated, a Nebraska corporation, a wholly owned subsidiary of</w:t>
      </w:r>
    </w:p>
    <w:p>
      <w:pPr>
        <w:spacing w:after="0"/>
        <w:rPr>
          <w:sz w:val="20"/>
          <w:szCs w:val="20"/>
          <w:color w:val="auto"/>
        </w:rPr>
      </w:pPr>
      <w:r>
        <w:rPr>
          <w:rFonts w:ascii="Times New Roman" w:cs="Times New Roman" w:eastAsia="Times New Roman" w:hAnsi="Times New Roman"/>
          <w:sz w:val="22"/>
          <w:szCs w:val="22"/>
          <w:color w:val="auto"/>
        </w:rPr>
        <w:t>Toro.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is defined in Article V.</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Lawn and Garden Products</w:t>
      </w:r>
      <w:r>
        <w:rPr>
          <w:rFonts w:ascii="Times New Roman" w:cs="Times New Roman" w:eastAsia="Times New Roman" w:hAnsi="Times New Roman"/>
          <w:sz w:val="22"/>
          <w:szCs w:val="22"/>
          <w:color w:val="auto"/>
        </w:rPr>
        <w:t>” means any one or more of the following: walk power mowers, lawn and garden tractors, zero-turn mowers, mid-size walk-behind and stand-on mowers, large reel and riding rotary mowers, riding and walk-behind mowers for putting greens, snow blowers, debris blowers, trimmers, tillers, sweepers and vacuums, aerators, walk-behind trenchers, turf cultivation equipment, turf sprayer equipment, compact utility loaders, golf course bunker maintenance equipment, irrigation systems, utility vehicles for golf courses and parts and accessories for any of the foregoing.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Committee</w:t>
      </w:r>
      <w:r>
        <w:rPr>
          <w:rFonts w:ascii="Times New Roman" w:cs="Times New Roman" w:eastAsia="Times New Roman" w:hAnsi="Times New Roman"/>
          <w:sz w:val="22"/>
          <w:szCs w:val="22"/>
          <w:color w:val="auto"/>
        </w:rPr>
        <w:t>” shall mean the management committee of Red Iron.</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means the President of Toro and the person to whom the President of TCFIF directly reports, provided, however, that neither such individual is or ever has been a member of the Management Committee. If either such individual is or has been a member of the Management Committee, then the “Officer” for the applicable Party shall be a senior executive officer of such Party who is not and has not ever been a member of the Management Committee, who is reasonably acceptable to the other Party.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Assurance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and includes an individual, a partnership, a corporation (including a business trust), a limited liability company, a joint stock company, an unincorporated association, a joint venture, a trust, a governmental authority or other entity.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Letter</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Purchase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 Iron</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Notice</w:t>
      </w:r>
      <w:r>
        <w:rPr>
          <w:rFonts w:ascii="Times New Roman" w:cs="Times New Roman" w:eastAsia="Times New Roman" w:hAnsi="Times New Roman"/>
          <w:sz w:val="22"/>
          <w:szCs w:val="22"/>
          <w:color w:val="auto"/>
        </w:rPr>
        <w:t>” is defined in Section 6.1.</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95" w:right="339" w:bottom="1440" w:gutter="0" w:footer="0" w:header="0"/>
          <w:type w:val="continuous"/>
        </w:sectPr>
      </w:pPr>
    </w:p>
    <w:bookmarkStart w:id="108" w:name="page109"/>
    <w:bookmarkEnd w:id="10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TCC</w:t>
      </w:r>
      <w:r>
        <w:rPr>
          <w:rFonts w:ascii="Times New Roman" w:cs="Times New Roman" w:eastAsia="Times New Roman" w:hAnsi="Times New Roman"/>
          <w:sz w:val="22"/>
          <w:szCs w:val="22"/>
          <w:color w:val="auto"/>
        </w:rPr>
        <w:t>” is defined in Section 2.5.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TCFCFC</w:t>
      </w:r>
      <w:r>
        <w:rPr>
          <w:rFonts w:ascii="Times New Roman" w:cs="Times New Roman" w:eastAsia="Times New Roman" w:hAnsi="Times New Roman"/>
          <w:sz w:val="22"/>
          <w:szCs w:val="22"/>
          <w:color w:val="auto"/>
        </w:rPr>
        <w:t>” is defined in Section 2.12.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 Services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 Sub</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Amount</w:t>
      </w:r>
      <w:r>
        <w:rPr>
          <w:rFonts w:ascii="Times New Roman" w:cs="Times New Roman" w:eastAsia="Times New Roman" w:hAnsi="Times New Roman"/>
          <w:sz w:val="22"/>
          <w:szCs w:val="22"/>
          <w:color w:val="auto"/>
        </w:rPr>
        <w:t>” is defined in Section 2.12.</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Phase II Finance Business</w:t>
      </w:r>
      <w:r>
        <w:rPr>
          <w:rFonts w:ascii="Times New Roman" w:cs="Times New Roman" w:eastAsia="Times New Roman" w:hAnsi="Times New Roman"/>
          <w:sz w:val="22"/>
          <w:szCs w:val="22"/>
          <w:color w:val="auto"/>
        </w:rPr>
        <w:t>” means the commercial inventory finance business related to the sale of Toro Products presently provided to dealers and distributors of Toro and its Affiliates by third party floorplan finance lenders and open account inventory financing presently provided to dealers and distributors by Toro and its Affiliates, together with the commercial inventory finance business related to the sale of Lawn and Garden Products by Exmark.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Products</w:t>
      </w:r>
      <w:r>
        <w:rPr>
          <w:rFonts w:ascii="Times New Roman" w:cs="Times New Roman" w:eastAsia="Times New Roman" w:hAnsi="Times New Roman"/>
          <w:sz w:val="22"/>
          <w:szCs w:val="22"/>
          <w:color w:val="auto"/>
        </w:rPr>
        <w:t>” means Lawn and Garden Products manufactured and/or distributed by Toro and Toro’s Affiliates.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Services Agreement</w:t>
      </w:r>
      <w:r>
        <w:rPr>
          <w:rFonts w:ascii="Times New Roman" w:cs="Times New Roman" w:eastAsia="Times New Roman" w:hAnsi="Times New Roman"/>
          <w:sz w:val="22"/>
          <w:szCs w:val="22"/>
          <w:color w:val="auto"/>
        </w:rPr>
        <w:t>” is defined in Section 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Sub</w:t>
      </w:r>
      <w:r>
        <w:rPr>
          <w:rFonts w:ascii="Times New Roman" w:cs="Times New Roman" w:eastAsia="Times New Roman" w:hAnsi="Times New Roman"/>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License Agreement</w:t>
      </w:r>
      <w:r>
        <w:rPr>
          <w:rFonts w:ascii="Times New Roman" w:cs="Times New Roman" w:eastAsia="Times New Roman" w:hAnsi="Times New Roman"/>
          <w:sz w:val="22"/>
          <w:szCs w:val="22"/>
          <w:color w:val="auto"/>
        </w:rPr>
        <w:t>” is defined in Section 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Organizational Matters</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Red Iron Business</w:t>
      </w:r>
      <w:r>
        <w:rPr>
          <w:rFonts w:ascii="Times New Roman" w:cs="Times New Roman" w:eastAsia="Times New Roman" w:hAnsi="Times New Roman"/>
          <w:sz w:val="22"/>
          <w:szCs w:val="22"/>
          <w:color w:val="auto"/>
        </w:rPr>
        <w:t xml:space="preserve">. The Parties have agreed to the Business Plan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amended from time to time, the “Business Plan”), which Business Plan describes the marketing and operational goals of Red Iron (including the targeted return on total assets goals for Red Iron and the formula to be used for determining interest rates to be charged to Toro and its dealers and distributors in connection with Red Iron’s operations) and includes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budget covering a five-year period and the assumptions upon which such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budget is based.</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xml:space="preserve">. Contemporaneously with the execution of this Agreement, Toro and TCFIF have executed and delivered, or have caused Toro Sub and TCFIF Sub to execute and deliver, a Limited Liability Company Agreement of Red Iron (“LLC Agreement”), a Credit and Security Agreement between Red Iron and TCFIF (the “Credit Agreement”), a Services Agreement between Red Iron and TCFIF (the “TCFIF Services Agreement”), a Services Agreement between Red Iron and Toro (the “Toro Services Agreement”), a Program Letter between Toro and Red Iron (the “Program Letter”) and one or more Trademark License Agreements among Toro and its Affiliates and Red Iron (collectively, the “Trademark License Agreement”), and TCFIF has delivered to Toro a Performance Assurance Agreement from TCF National Bank, a national banking association, with respect to the performance of certain obligations of TCFIF and TCFIF Sub (the “Performance Assurance Agreement”). In connection with the operation of Red Iron, Toro and Red Iron shall execute a Repurchase Agreement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regarding commercial inventory financing to be provided by Red Iron (the “Repurchase Agreement”) and one or more Receivable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9" w:name="page110"/>
    <w:bookmarkEnd w:id="109"/>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Agreements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between Toro, Affiliates of Toro and Red Iron related to the transfer of certain receivables to Red Iron (collectively, the “Receivable Purchase Agreement”). The agreements and documents referred to in the preceding two sentences, collectively, with this Agreement, as they may be amended from time to time, are referred to herein as the “Definitive Agreements.”</w:t>
      </w:r>
    </w:p>
    <w:p>
      <w:pPr>
        <w:spacing w:after="0" w:line="15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Qualification to do Business</w:t>
      </w:r>
      <w:r>
        <w:rPr>
          <w:rFonts w:ascii="Times New Roman" w:cs="Times New Roman" w:eastAsia="Times New Roman" w:hAnsi="Times New Roman"/>
          <w:sz w:val="21"/>
          <w:szCs w:val="21"/>
          <w:color w:val="auto"/>
        </w:rPr>
        <w:t>. TCFIF shall cause Red Iron to become qualified to do business in each state where such qualification is necessary to conduct the business of Red Iron. TCFIF shall also cause Red Iron to make such assumed name and fictitious name filings as are necessary for the conduct of the business of Red Iron as contemplated by this Agreement and the LLC Agreement. In connection with all filings for, or on behalf of, Red Iron for which TCFIF has responsibility, Toro shall cooperate with TCFIF in causing such filings to be made in a timely manner. All fees and expenses of the initial qualification to do business and assumed name and fictitious name filings incurred by TCFIF shall be charged to Red Iron. All fees and expenses of subsequent filings to maintain such qualifications and any related filings shall be borne by Red Iron.</w:t>
      </w:r>
    </w:p>
    <w:p>
      <w:pPr>
        <w:spacing w:after="0" w:line="15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0" w:lineRule="auto"/>
        <w:tabs>
          <w:tab w:leader="none" w:pos="185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and TCFIF each shall provide at their own expense directors and officers liability insurance for the individuals serving on the Management Committee appointed by its respective subsidiary which is a member of Red Iron in a policy amount of not less than $5,000,000. The Parties agree to cooperate with each other in coordinating the defense of litigation whenever the interests of the individuals serving on the Management Committee are aligned.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3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TCFIF shall arrange for the extension of TCFIF’s existing single interest insurance coverage to Red Iron’s business. The costs for the extension of TCFIF’s single interest insurance to Red Iron’s business shall be charged to Red Iron.</w:t>
      </w:r>
    </w:p>
    <w:p>
      <w:pPr>
        <w:spacing w:after="0" w:line="15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Purchase of Receivables; Capital Contributions</w:t>
      </w:r>
      <w:r>
        <w:rPr>
          <w:rFonts w:ascii="Times New Roman" w:cs="Times New Roman" w:eastAsia="Times New Roman" w:hAnsi="Times New Roman"/>
          <w:sz w:val="21"/>
          <w:szCs w:val="21"/>
          <w:color w:val="auto"/>
        </w:rPr>
        <w:t>. On or before October 1, 2009, Toro shall, and shall cause its wholly owned subsidiary Toro Credit Company, a Minnesota corporation (“TCC”) to, have taken all such actions required to be taken by Toro and TCC, respectively, to sell all or substantially all of their then-existing portfolio of Eligible Receivables (or such lesser portion thereof as Toro is permitted to sell under the terms of any agreement of Toro restricting the amount of such sale or as otherwise agreed by the Parties with respect to certain categories of receivables), other than Eligible Receivables relating to the Toro Phase II Finance Business, to Red Iron pursuant to the initial Receivable Purchase Agreement. On or before December 1, 2009, Toro shall, and shall cause TCC and any other Affiliates of Toro that are party to a Receivable Purchase Agreement to, have taken all such actions required to be taken by Toro and such Affiliates, respectively, pursuant to a Receivable Purchase Agreement, to sell to Red Iron their then-existing portfolio of Eligible Receivables relating to open account inventory financing provided to distributors by Toro and its Affiliates relating to the floorplan financing Eligible Receivables sold to Red Iron pursuant to the preceding sentence. On the first day of the month following the month in which the unsecured open account receivable balances are less than the cumulative limits set forth in clause (k) of the definition of “Eligible Receivable” in Section 1.1 of such Receivable Purchase Agreement, Toro shall, and shall cause TCC and any other Affiliates of Toro that are party to a Receivable Purchase Agreement to, have taken all such actions required to be taken by Toro and such Affiliates, respectively, pursuant to a Receivable Purchase Agreement, to sell to Red Iron their then-existing portfolio of Eligible Receivables not previously sold to Red Iron. Toro agrees to provide Toro Sub, and TCFIF agrees to provide TCFIF Sub, with sufficient capital to permit Toro Sub and TCFIF Sub to make any capital contributions required to be made pursuant to Sections 2.02 and 2.03 of the LLC Agreement in connection with the organization of Red Iron (including the payment of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described in Section 7.8) and the transactions contemplated by the Receivable Purchase Agreement.</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Referral of Financing Business</w:t>
      </w:r>
      <w:r>
        <w:rPr>
          <w:rFonts w:ascii="Times New Roman" w:cs="Times New Roman" w:eastAsia="Times New Roman" w:hAnsi="Times New Roman"/>
          <w:sz w:val="22"/>
          <w:szCs w:val="22"/>
          <w:color w:val="auto"/>
        </w:rPr>
        <w:t>. Following the dates of the purchases described in Section 2.5 (but in no event any earlier than permitted under the terms of any agreement restricting such activities on the part of Toro or Toro’s Affiliates, which agreements Toro undertakes to terminate as promptly as possible following the date of this Agreement), Toro shall use, and shall cause its Affiliates to use, commercially reasonable efforts to recommend to all dealers and distributors of Toro Products within the United States and all distributors of Toro Products within Canada to utilize Red Iron to finance the acquisition of inventory of Toro Products acquired during the term of Red Iron (it being understood that such obligation shall not commence with respect to the Toro Phase II Finance Business until the sale of such business to Red Iron), including all the floorplan financing and open account financing of all such Toro Products in accordance with Red Iron’s credit policies in effect from time to time. Without limiting the generality of the foregoing, but subject to the limitation contained in the parenthetical phrase in the first sentence of this Section 2.6 and except as set forth in Section 2.8(d), during the term of Red Iron, Toro shall not, and Toro shall not permit any of its Affiliates to, recommend, except with respect to the Toro Phase II Finance Business until the date of the sale of such business to Red Iron, to any dealer or distributor of Toro Products within the United States or within Canada that such dealer or distributor obtain floorplan financing or open account financing for such Toro Products from any source other than Red Iron or, in the case of Canadian dealers, from TCFIF or its Affiliates. TCFIF acknowledges that the distributors and dealers are independent businesses and shall decide in their own discretion whether or not to participate in the financing programs offered by Red Iron or TCFIF or its Affiliates and, once enrolled, whether to seek out or make referrals to independent sources of commercial inventory financing.</w:t>
      </w:r>
    </w:p>
    <w:p>
      <w:pPr>
        <w:spacing w:after="0" w:line="16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Obligation to Finance Red Iron Acquisition of Receivables; Most Favored Customer Pricing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9" w:lineRule="auto"/>
        <w:tabs>
          <w:tab w:leader="none" w:pos="18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TCFIF and Toro shall jointly cause Red Iron to offer to participating Toro distributors and dealers floorplan financing and open account financing for all Toro Products in accordance with the credit policies of Red Iron in effect from time to time. Toro and TCFIF shall use their best efforts to enroll Toro distributors in the Red Iron finance program as promptly as possible and to enroll at least [***] Toro dealers, representing at least [***] percent ([***]%) of the amount of floorplan financing of Toro Products by third-party floorplan finance lenders to Toro dealers during Toro’s 2008 fiscal year, in the Red Iron finance program by [***]. TCFIF agrees to cause Red Iron to negotiate the terms of any agreements with Toro distributors and dealers in good faith and to include in such agreements commercially reasonable provisions requested by distributors in order to account for sales subject to commercial inventory financing as true sales. TCFIF covenants and agrees with Toro that, during the term of this Agreement in connection with the performance of its obligations under the TCFIF Services Agreement, it shall establish dedicated credit lines for each dealer and distributor covering Toro Products financed by Red Iron. TCFIF agrees to cause Red Iron to service receivables which would qualify as Eligible Receivables but for the fact that the distributor or dealer does not qualify under the terms of the Red Iron credit policies on such terms as TCFIF and Red Iron shall mutually agree.</w:t>
      </w:r>
    </w:p>
    <w:p>
      <w:pPr>
        <w:spacing w:after="0" w:line="159"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TCFIF shall use its best efforts to cause Red Iron to provide to Toro distributors and dealers floorplan financing and open account financing with [***]. For purposes of determining “similarly situated distributors and dealers,” all relevant factors shall be considered, including manufacturer rate and other support, dealer loss experience, manufacturer loss sharing, manufacturer participation, dealer credit quality, product mix, product turn, the budget for Red Iron and the targeted rate of return for 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11" w:name="page112"/>
    <w:bookmarkEnd w:id="111"/>
    <w:p>
      <w:pPr>
        <w:jc w:val="both"/>
        <w:ind w:left="4"/>
        <w:spacing w:after="0" w:line="219" w:lineRule="auto"/>
        <w:rPr>
          <w:sz w:val="20"/>
          <w:szCs w:val="20"/>
          <w:color w:val="auto"/>
        </w:rPr>
      </w:pPr>
      <w:r>
        <w:rPr>
          <w:rFonts w:ascii="Times New Roman" w:cs="Times New Roman" w:eastAsia="Times New Roman" w:hAnsi="Times New Roman"/>
          <w:sz w:val="21"/>
          <w:szCs w:val="21"/>
          <w:color w:val="auto"/>
        </w:rPr>
        <w:t>Iron. This Section 2.7(b) shall not apply to any financing program heretofore or hereafter acquired by TCFIF for the then-remaining term (without any extension thereof) of such financing program. On not less than an annual basis, and more frequently as Toro may reasonably request, TCFIF shall send a representative to report to the Management Committee on TCFIF’s compliance with TCFIF’s obligations under this Section 2.7(b). Notwithstanding the foregoing, in no event shall TCFIF be required to disclose to the Management Committee (i) any confidential or proprietary information of TCFIF, or</w:t>
      </w:r>
    </w:p>
    <w:p>
      <w:pPr>
        <w:spacing w:after="0" w:line="2" w:lineRule="exact"/>
        <w:rPr>
          <w:sz w:val="20"/>
          <w:szCs w:val="20"/>
          <w:color w:val="auto"/>
        </w:rPr>
      </w:pPr>
    </w:p>
    <w:p>
      <w:pPr>
        <w:ind w:left="4" w:hanging="4"/>
        <w:spacing w:after="0" w:line="225" w:lineRule="auto"/>
        <w:tabs>
          <w:tab w:leader="none" w:pos="3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that would cause it to violate any banking rules or regulations to which it is subject, including The Bank Secrecy Act of 1970, as amended, or any contractual confidentiality obligation owed to any third party.</w:t>
      </w:r>
    </w:p>
    <w:p>
      <w:pPr>
        <w:spacing w:after="0" w:line="149" w:lineRule="exact"/>
        <w:rPr>
          <w:rFonts w:ascii="Times New Roman" w:cs="Times New Roman" w:eastAsia="Times New Roman" w:hAnsi="Times New Roman"/>
          <w:sz w:val="22"/>
          <w:szCs w:val="22"/>
          <w:color w:val="auto"/>
        </w:rPr>
      </w:pPr>
    </w:p>
    <w:p>
      <w:pPr>
        <w:jc w:val="both"/>
        <w:ind w:left="4" w:firstLine="644"/>
        <w:spacing w:after="0" w:line="222" w:lineRule="auto"/>
        <w:tabs>
          <w:tab w:leader="none" w:pos="115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that Toro and Toro Sub may make a fully informed decision as to whether to continue Red Iron beyond the initial term contemplated by the LLC Agreement, upon the request of Toro and Toro Sub made not later than July 31, 2013, TCFIF agrees to obtain from TCF Bank and provide to Toro and Toro Sub, no later than August 31, 2013, written notice indicating TCF Bank’s intent with respect to extension of the term of the Performance Assurance Agreement in conjunction with TCFIF’s willingness to extend the term of the Credit Agreement prior to the one-year advance notice date required in order to not extend the initial term of Red Iron. In the event the term of the LLC Agreement is extended beyond its initial term, upon the request of Toro and Toro Sub, TCFIF agrees to obtain from TCF Bank similar written notice no later than fourteen (14) months prior to any subsequent expiration of the term of Red Iron.</w:t>
      </w:r>
    </w:p>
    <w:p>
      <w:pPr>
        <w:spacing w:after="0" w:line="157"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4" w:firstLine="644"/>
        <w:spacing w:after="0" w:line="211" w:lineRule="auto"/>
        <w:tabs>
          <w:tab w:leader="none" w:pos="116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2.8(d), Toro covenants and agrees with TCFIF that, during the term of Red Iron, it shall not, and it shall not permit any Affiliate of Toro to, directly or indirectly, operate, conduct, enter into, consummate, or otherwise arrange for any joint venture, partnership or other legal entity, contractual arrangement, or other legal or business relationship, except for the Toro Phase II Business prior to its sale to Red Iron, with any other person or entity for the purpose (whether exclusive, primary or otherwise) of operating a commercial inventory finance business in the United States or Canada to support the purchase of Toro Products or otherwise providing commercial inventory financing (including floorplan financing or open account financing) to some or all of the dealers or distributors of Toro or any of its Affiliates for Toro Products. Toro acknowledges and agrees that its agreement set forth in this Section 2.8(a) is a material inducement for TCFIF to enter into, and continue performing under, this Agreement.</w:t>
      </w:r>
    </w:p>
    <w:p>
      <w:pPr>
        <w:spacing w:after="0" w:line="158" w:lineRule="exact"/>
        <w:rPr>
          <w:rFonts w:ascii="Times New Roman" w:cs="Times New Roman" w:eastAsia="Times New Roman" w:hAnsi="Times New Roman"/>
          <w:sz w:val="22"/>
          <w:szCs w:val="22"/>
          <w:color w:val="auto"/>
        </w:rPr>
      </w:pPr>
    </w:p>
    <w:p>
      <w:pPr>
        <w:jc w:val="both"/>
        <w:ind w:left="4" w:firstLine="644"/>
        <w:spacing w:after="0" w:line="211" w:lineRule="auto"/>
        <w:tabs>
          <w:tab w:leader="none" w:pos="11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TCFIF covenants and agrees with Toro that, during the term of Red Iron it shall not, and it shall not permit any Affiliate of TCFIF (other than TCFIF Sub with respect to Red Iron) to, directly or indirectly, operate, conduct, enter into, consummate, or otherwise arrange for any joint venture, partnership or other jointly owned legal entity for the purpose (whether exclusive, primary or otherwise) of (i) operating a wholesale finance business within the United States or Canada to support the financing of Lawn and Garden Products, or (ii) otherwise providing financing (including floorplan financing), working capital or similar loan facilities to some or all of the dealers or distributors of any manufacturer of Lawn and Garden Products within the United States or Canada. TCFIF acknowledges and agrees that its agreement set forth in this Section 2.8(b) is a material inducement for Toro to enter into, and continue performing under, this Agreement.</w:t>
      </w:r>
    </w:p>
    <w:p>
      <w:pPr>
        <w:spacing w:after="0" w:line="158" w:lineRule="exact"/>
        <w:rPr>
          <w:rFonts w:ascii="Times New Roman" w:cs="Times New Roman" w:eastAsia="Times New Roman" w:hAnsi="Times New Roman"/>
          <w:sz w:val="22"/>
          <w:szCs w:val="22"/>
          <w:color w:val="auto"/>
        </w:rPr>
      </w:pPr>
    </w:p>
    <w:p>
      <w:pPr>
        <w:ind w:left="4" w:firstLine="644"/>
        <w:spacing w:after="0" w:line="236" w:lineRule="auto"/>
        <w:tabs>
          <w:tab w:leader="none" w:pos="115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shall preclude TCFIF from providing commercial inventory financing to dealers and distributors within the United States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395" w:right="339" w:bottom="1440" w:gutter="0" w:footer="0" w:header="0"/>
        </w:sectPr>
      </w:pPr>
    </w:p>
    <w:bookmarkStart w:id="112" w:name="page113"/>
    <w:bookmarkEnd w:id="112"/>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Canada for Lawn and Garden Products manufactured or distributed by manufacturers other than Toro, provided that (i) such financing is not conducted in contravention of Section 2.8(b) above and (ii) TCFIF is in compliance with its obligations set forth in Section 2.7 above.</w:t>
      </w:r>
    </w:p>
    <w:p>
      <w:pPr>
        <w:spacing w:after="0" w:line="153" w:lineRule="exact"/>
        <w:rPr>
          <w:sz w:val="20"/>
          <w:szCs w:val="20"/>
          <w:color w:val="auto"/>
        </w:rPr>
      </w:pPr>
    </w:p>
    <w:p>
      <w:pPr>
        <w:jc w:val="both"/>
        <w:ind w:left="660" w:firstLine="644"/>
        <w:spacing w:after="0" w:line="219" w:lineRule="auto"/>
        <w:tabs>
          <w:tab w:leader="none" w:pos="187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Sections 2.6 and 2.8(a) shall not apply to commercial inventory finance business with respect to (i) receivables that are not Eligible Receivables or otherwise not acquired by Red Iron by reason of limits under the terms of the Credit Agreement or otherwise; (ii) receivables due from Affiliates of Toro (including distributors that are wholly owned subsidiaries of Toro), mass market retailer customers or governmental entities; (iii) receivables arising out of any business acquired by Toro or an Affiliate of Toro following the date hereof that are subject to a financing program agreement at the time of the acquisition thereof, provided that Toro agrees to use commercially reasonable efforts (so long as Toro is not obligated to incur any significant expense to do so) to terminate any such agreements in order to permit Red Iron to provide such financing, provided that Red Iron has the financial capacity including access to adequate lines of credit to accommodate such additional financing; (iv) receivables due Exmark prior to the date of the sale of the Toro Phase II Finance Business to Red Iron; or (v) receivables created during the liquidation period for Red Iron contemplated by Section 10.04 of the LLC Agreement. In addition, in the event TCFIF Sub fails to make a capital contribution required by Article II of the LLC Agreement and Toro Sub makes a corresponding Deficit Loan (as such term is defined in Section 2.05 of the LLC Agreement), and TCFIF fails to pay to Toro Sub all amounts due with respect to such Deficit Loan within thirty (30) days of the advancement thereof, the provisions of Section 2.8(a) shall no longer apply to Toro.</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20" w:firstLine="644"/>
        <w:spacing w:after="0" w:line="236" w:lineRule="auto"/>
        <w:tabs>
          <w:tab w:leader="none" w:pos="18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TCFIF agrees to use commercially reasonable efforts to provide to Red Iron the services described in the TCFIF Services Agreement with such priority and speed as shall meet the reasonably expected needs of Red Iron.</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7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agrees to use commercially reasonable efforts to provide to Red Iron the services described in the Toro Services Agreement with such priority and speed as shall meet the reasonably expected needs of Red Iron.</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During the term of Red Iron, each Party, and each Party’s Affiliates, may continue to operate its business in the usual and ordinary course. Subject to the provisions of Section 2.8, each Party, and each Party’s Affiliates (exclusive of Red Iron) may, at any time and from time to time, engage in and pursue other business ventures. Without limiting the scope of the foregoing, each of TCFIF, TCFIF Sub, Toro and Toro Sub may pursue other business opportunities (including joint ventures) with no obligation to refer business or offer opportunities to Red Iron or to each other, except as otherwise expressly provided in Sections 2.6 and 2.7 of this Agreement.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Trade Names</w:t>
      </w:r>
      <w:r>
        <w:rPr>
          <w:rFonts w:ascii="Times New Roman" w:cs="Times New Roman" w:eastAsia="Times New Roman" w:hAnsi="Times New Roman"/>
          <w:sz w:val="22"/>
          <w:szCs w:val="22"/>
          <w:color w:val="auto"/>
        </w:rPr>
        <w:t>. Subject to the terms of the Trademark License Agreement, neither Party shall obtain any rights in any trade name of the other Party or any of its Affiliates by virtue of this Agreement or as a result of the formation and operation of Red Iron. Upon dissolution and completion of the winding-up of Red Iron, Toro Sub shall succeed to the name “Red Iron Acceptance” and neither TCFIF nor TCFIF Sub shall have any rights thereto.</w:t>
      </w:r>
    </w:p>
    <w:p>
      <w:pPr>
        <w:spacing w:after="0" w:line="15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Canadian Program</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3" w:name="page114"/>
    <w:bookmarkEnd w:id="113"/>
    <w:p>
      <w:pPr>
        <w:jc w:val="both"/>
        <w:ind w:left="4" w:firstLine="644"/>
        <w:spacing w:after="0" w:line="210" w:lineRule="auto"/>
        <w:tabs>
          <w:tab w:leader="none" w:pos="11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of the date of this Agreement, TCFIF shall implement, in cooperation with Toro, a program to provide floorplan and open account financing for dealers of Toro Products located within Canada in form and substance reasonably satisfactory to Toro and TCFIF that shall provide for dedicated credit lines for each dealer covering Toro Products at competitive rates and terms, subject to applicable regulatory, legal, tax and accounting considerations. During such ninety (90) day period, TCFIF will develop a documentation process to accompany such program (including the preparation of appropriate form dealer documents). If such program is not implemented, or the accompanying documentation process is not developed, within ninety (90) days of the date of this Agreement, Toro’s sole remedies for such failure will be to (i) elect to be released from its obligations under Section 2.8(a) with respect to dealers within Canada until such time as the program is implemented and such documentation process is developed, provided that such implementation occurs on or before December 31, 2009, and (ii) reduce the Performance Fee otherwise payable to TCFIF as follows:</w:t>
      </w:r>
    </w:p>
    <w:p>
      <w:pPr>
        <w:spacing w:after="0" w:line="188" w:lineRule="exact"/>
        <w:rPr>
          <w:sz w:val="20"/>
          <w:szCs w:val="20"/>
          <w:color w:val="auto"/>
        </w:rPr>
      </w:pPr>
    </w:p>
    <w:tbl>
      <w:tblPr>
        <w:tblLayout w:type="fixed"/>
        <w:tblInd w:w="164" w:type="dxa"/>
        <w:tblCellMar>
          <w:top w:w="0" w:type="dxa"/>
          <w:left w:w="0" w:type="dxa"/>
          <w:bottom w:w="0" w:type="dxa"/>
          <w:right w:w="0" w:type="dxa"/>
        </w:tblCellMar>
      </w:tblPr>
      <w:tr>
        <w:trPr>
          <w:trHeight w:val="253"/>
        </w:trPr>
        <w:tc>
          <w:tcPr>
            <w:tcW w:w="6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Implementation of the Canadian Program</w:t>
            </w:r>
          </w:p>
        </w:tc>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w w:val="97"/>
              </w:rPr>
              <w:t>Effect on Performance Fee</w:t>
            </w:r>
          </w:p>
        </w:tc>
      </w:tr>
      <w:tr>
        <w:trPr>
          <w:trHeight w:val="20"/>
        </w:trPr>
        <w:tc>
          <w:tcPr>
            <w:tcW w:w="60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480"/>
        </w:trPr>
        <w:tc>
          <w:tcPr>
            <w:tcW w:w="6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More than ninety (90) days after the date of this Agreement but</w:t>
            </w: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Reduced by [***]</w:t>
            </w:r>
          </w:p>
        </w:tc>
      </w:tr>
      <w:tr>
        <w:trPr>
          <w:trHeight w:val="282"/>
        </w:trPr>
        <w:tc>
          <w:tcPr>
            <w:tcW w:w="6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on or prior to December 31, 2009</w:t>
            </w:r>
          </w:p>
        </w:tc>
        <w:tc>
          <w:tcPr>
            <w:tcW w:w="2320" w:type="dxa"/>
            <w:vAlign w:val="bottom"/>
          </w:tcPr>
          <w:p>
            <w:pPr>
              <w:spacing w:after="0"/>
              <w:rPr>
                <w:sz w:val="24"/>
                <w:szCs w:val="24"/>
                <w:color w:val="auto"/>
              </w:rPr>
            </w:pPr>
          </w:p>
        </w:tc>
      </w:tr>
      <w:tr>
        <w:trPr>
          <w:trHeight w:val="513"/>
        </w:trPr>
        <w:tc>
          <w:tcPr>
            <w:tcW w:w="6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After December 31, 2009</w:t>
            </w: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Reduced by [***]</w:t>
            </w:r>
          </w:p>
        </w:tc>
      </w:tr>
    </w:tbl>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Notwithstanding the foregoing, in no case will the amount of the Performance Fee, if any, be reduced below zero.</w:t>
      </w:r>
    </w:p>
    <w:p>
      <w:pPr>
        <w:spacing w:after="0" w:line="206" w:lineRule="exact"/>
        <w:rPr>
          <w:sz w:val="20"/>
          <w:szCs w:val="20"/>
          <w:color w:val="auto"/>
        </w:rPr>
      </w:pPr>
    </w:p>
    <w:p>
      <w:pPr>
        <w:jc w:val="both"/>
        <w:ind w:left="4" w:firstLine="644"/>
        <w:spacing w:after="0" w:line="218" w:lineRule="auto"/>
        <w:tabs>
          <w:tab w:leader="none" w:pos="134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cumulative pre-tax return on assets of such program exceeds [***]%, then TCF Commercial Finance Canada, Inc. (“TCFCFC”) will pay to Toro or its designated Affiliate [***]% of such excess; provided, however, that if such payment is made to Toro or an Affiliate of Toro not organized under the laws of Canada or any province of Canada, such payment shall be made net of withholding, if any, imposed on TCFCFC (the “Toro Amount”). The Toro Amount, less any Toro Amounts paid in prior years, will be paid by TCFCFC to Toro or its designated Affiliate on an annual basis. For purposes of determining the cumulative pre-tax return on assets, within ninety</w:t>
      </w:r>
    </w:p>
    <w:p>
      <w:pPr>
        <w:spacing w:after="0" w:line="3" w:lineRule="exact"/>
        <w:rPr>
          <w:rFonts w:ascii="Times New Roman" w:cs="Times New Roman" w:eastAsia="Times New Roman" w:hAnsi="Times New Roman"/>
          <w:sz w:val="21"/>
          <w:szCs w:val="21"/>
          <w:color w:val="auto"/>
        </w:rPr>
      </w:pPr>
    </w:p>
    <w:p>
      <w:pPr>
        <w:jc w:val="both"/>
        <w:ind w:left="4" w:hanging="4"/>
        <w:spacing w:after="0" w:line="208" w:lineRule="auto"/>
        <w:tabs>
          <w:tab w:leader="none" w:pos="42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each December 31, TCFCFC will prepare and deliver to Toro a profit and loss statement covering the period from the program inception to December 31 of the most recently completed calendar year using the following: (i) cost of service assumptions of [***]% of the average of the beginning and ending receivable balances for each month included in the prior calendar year (“Average Net Receivables”), (ii) funding cost based on actual funding costs and a capital structure that assumes [***]% equity; provided, however, that if no third-party funding is in place, the implied rate will be based on the Canadian prime rate, and (iii) bad debt reserve rate assumptions based on [***] of Average Net Receivables, subject to TCFCFC’s accounting policies and practices and the impact of any actual losses of the portfolio. Toro shall agree to provide a free floorplan period to dealers within Canada upon rates and terms substantially similar to rates and terms currently offered by Toro to dealers within Canada (which are substantially similar to rates and terms offered by Toro to dealers within the United States). Pricing to dealers and to Toro or its designated Affiliate within Canada will be indexed to 30-day Canadian bankers’ acceptance rates. The Parties acknowledge that such program will not be conducted by Red Iron.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4"/>
          </w:cols>
          <w:pgMar w:left="976" w:top="1395" w:right="339" w:bottom="1440" w:gutter="0" w:footer="0" w:header="0"/>
        </w:sectPr>
      </w:pPr>
    </w:p>
    <w:bookmarkStart w:id="114" w:name="page115"/>
    <w:bookmarkEnd w:id="114"/>
    <w:p>
      <w:pPr>
        <w:jc w:val="both"/>
        <w:spacing w:after="0" w:line="215" w:lineRule="auto"/>
        <w:rPr>
          <w:sz w:val="20"/>
          <w:szCs w:val="20"/>
          <w:color w:val="auto"/>
        </w:rPr>
      </w:pPr>
      <w:r>
        <w:rPr>
          <w:rFonts w:ascii="Times New Roman" w:cs="Times New Roman" w:eastAsia="Times New Roman" w:hAnsi="Times New Roman"/>
          <w:sz w:val="22"/>
          <w:szCs w:val="22"/>
          <w:color w:val="auto"/>
        </w:rPr>
        <w:t>For purposes of this Section 2.12(b), the “cumulative pre-tax return on assets” shall mean a quotient, (x) the numerator of which is equal to the product of (i) the pre-tax income of the program from the date of inception through December 31 of the most recently completed calendar year, divided by the number of calendar months from the date of inception through December 31 of the most recently completed calendar year, multiplied by (ii) 12, and (y) the denominator of which is equal to (i) the sum of the monthly Average Net Receivables, divided by (ii) the number of calendar months from the date of inception through December 31 of the most recently completed calendar year.</w:t>
      </w:r>
    </w:p>
    <w:p>
      <w:pPr>
        <w:spacing w:after="0" w:line="1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DataScan Systems Enhancements; Performance Fee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4"/>
        <w:spacing w:after="0" w:line="225" w:lineRule="auto"/>
        <w:tabs>
          <w:tab w:leader="none" w:pos="119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2.A of Schedule 1 to the TCFIF Services Agreement, TCFIF shall work with DataScan Technologies LLC (“DataScan”) to provide to Red Iron the DataScan WMS 4.x test system and the DataScan DAS 4.x test system (collectively, the “Test System”) with the system enhancements described in the System Enhancement Document attached as Annex A to Schedule 1 to the TCFIF Services Agreement (the “DataScan System Enhancements”). Subject to paragraph (b) below and Section 2.12, if the DataScan Delivery Date (as defined herein) occurs on or before December 31, 2009, Toro shall pay to TCFIF a performance fee as follows (the “Performance Fee”):</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DataScan Delivery Date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Amount of Performance Fee</w:t>
            </w:r>
          </w:p>
        </w:tc>
      </w:tr>
      <w:tr>
        <w:trPr>
          <w:trHeight w:val="20"/>
        </w:trPr>
        <w:tc>
          <w:tcPr>
            <w:tcW w:w="19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90"/>
        </w:trPr>
        <w:tc>
          <w:tcPr>
            <w:tcW w:w="6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On or before October 12, 2009</w:t>
            </w:r>
          </w:p>
        </w:tc>
        <w:tc>
          <w:tcPr>
            <w:tcW w:w="24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October 13, 2009 through November 12, 2009</w:t>
            </w:r>
          </w:p>
        </w:tc>
        <w:tc>
          <w:tcPr>
            <w:tcW w:w="24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November 13, 2009 through December 12, 2009</w:t>
            </w:r>
          </w:p>
        </w:tc>
        <w:tc>
          <w:tcPr>
            <w:tcW w:w="24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6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December 13, 2009 through December 31, 2009</w:t>
            </w:r>
          </w:p>
        </w:tc>
        <w:tc>
          <w:tcPr>
            <w:tcW w:w="24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Toro shall not be required to pay a Performance Fee to TCFIF if the DataScan Delivery Date occurs after December 31, 2009. The Performance Fee, if any, shall be paid by Toro to TCFIF promptly upon the later to occur of (i) completion of the user acceptance testing described in clause (iii) of paragraph (b) below and (ii) implementation of the Canadian program described in Section 2.12.</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“DataScan Delivery Date” will be deemed to be the date upon which DataScan makes a version of the Test System (including the DataScan System Enhancements) available to TCFIF and Toro (or Red Iron) for user acceptance testing, which subsequently passes user acceptance testing as contemplated by, and subject to the provisions of, clause (iii) of paragraph (b) below.</w:t>
      </w:r>
    </w:p>
    <w:p>
      <w:pPr>
        <w:spacing w:after="0" w:line="152" w:lineRule="exact"/>
        <w:rPr>
          <w:sz w:val="20"/>
          <w:szCs w:val="20"/>
          <w:color w:val="auto"/>
        </w:rPr>
      </w:pPr>
    </w:p>
    <w:p>
      <w:pPr>
        <w:jc w:val="both"/>
        <w:ind w:left="640" w:firstLine="4"/>
        <w:spacing w:after="0" w:line="211" w:lineRule="auto"/>
        <w:tabs>
          <w:tab w:leader="none" w:pos="111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Toro shall use commercially reasonable efforts to cooperate with TCFIF and DataScan in connection with the determination of the testing requirements for the DataScan System Enhancements. In addition, Toro shall approve or otherwise respond to all DataScan provided “use cases” within four (4) business days of delivery thereof by TCFIF to Toro. For purposes of clarity, any changes to or requests for clarification regarding a “use case” shall toll the four (4) business day period until such changes or clarifications are received by Toro; provided, however, that during such tolling period, Toro responds to any request from DataScan within two (2) business days. If Toro fails to approve a “use case” within such four (4) business day period (or such additional tolling period permitted by the previous sentence), TCFIF’s sole and exclusive remedy for such failure shall be that the specified enhancement to which such “use case”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0"/>
          </w:cols>
          <w:pgMar w:left="980" w:top="1395" w:right="339" w:bottom="1440" w:gutter="0" w:footer="0" w:header="0"/>
        </w:sectPr>
      </w:pPr>
    </w:p>
    <w:bookmarkStart w:id="115" w:name="page116"/>
    <w:bookmarkEnd w:id="115"/>
    <w:p>
      <w:pPr>
        <w:ind w:left="1300"/>
        <w:spacing w:after="0" w:line="236" w:lineRule="auto"/>
        <w:rPr>
          <w:sz w:val="20"/>
          <w:szCs w:val="20"/>
          <w:color w:val="auto"/>
        </w:rPr>
      </w:pPr>
      <w:r>
        <w:rPr>
          <w:rFonts w:ascii="Times New Roman" w:cs="Times New Roman" w:eastAsia="Times New Roman" w:hAnsi="Times New Roman"/>
          <w:sz w:val="22"/>
          <w:szCs w:val="22"/>
          <w:color w:val="auto"/>
        </w:rPr>
        <w:t>shall be deemed not to be a DataScan System Enhancement for purposes of determining the DataScan Delivery Date or completion of the user acceptance testing described in clause (iii) below.</w:t>
      </w:r>
    </w:p>
    <w:p>
      <w:pPr>
        <w:spacing w:after="0" w:line="150" w:lineRule="exact"/>
        <w:rPr>
          <w:sz w:val="20"/>
          <w:szCs w:val="20"/>
          <w:color w:val="auto"/>
        </w:rPr>
      </w:pPr>
    </w:p>
    <w:p>
      <w:pPr>
        <w:jc w:val="both"/>
        <w:ind w:left="1300" w:firstLine="652"/>
        <w:spacing w:after="0" w:line="217" w:lineRule="auto"/>
        <w:tabs>
          <w:tab w:leader="none" w:pos="22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any change by, or at the request of, Toro to the scope of the DataScan System Enhancements that has the effect of extending the delivery date of any specific enhancement, TCFIF’s sole and exclusive remedy for such scope change shall be that the specified enhancement to which such “use case” relates shall be deemed not to be a DataScan System Enhancement for purposes of determining the DataScan Delivery Date or completion of the user acceptance testing described in clause (iii) below.</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1" w:lineRule="auto"/>
        <w:tabs>
          <w:tab w:leader="none" w:pos="240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shall use commercially reasonable efforts to cooperate with TCFIF (including actively participating in the design and execution of user acceptance testing) and DataScan in connection with the user acceptance testing of the Test System (including the DataScan System Enhancements) that is production ready in all material respects within twenty-six (26) calendar days from the date upon which DataScan first makes the Test System (including the DataScan System Enhancements) available to TCFIF and Toro (or Red Iron) for user acceptance testing. If the Test System (including the DataScan System Enhancements) is not production ready in all material respects within such twenty-six (26) calendar day period, then the DataScan Delivery Date for the purpose of determining the amount of the Performance Fee shall be the date of actual delivery of the Test System (including the DataScan System Enhancements) that is production ready in all material respects.</w:t>
      </w:r>
    </w:p>
    <w:p>
      <w:pPr>
        <w:spacing w:after="0" w:line="158" w:lineRule="exact"/>
        <w:rPr>
          <w:sz w:val="20"/>
          <w:szCs w:val="20"/>
          <w:color w:val="auto"/>
        </w:rPr>
      </w:pPr>
    </w:p>
    <w:p>
      <w:pPr>
        <w:jc w:val="both"/>
        <w:ind w:left="660" w:firstLine="644"/>
        <w:spacing w:after="0" w:line="225" w:lineRule="auto"/>
        <w:tabs>
          <w:tab w:leader="none" w:pos="18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Fee is in addition to any fees payable to TCFIF under the TCFIF Services Agreement for performance of services related to the Test System or the DataScan System Enhancements. The parties agree that the Performance Fee is between TCFIF and Toro and shall not be charged as an expense to Red Iron.</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Credits</w:t>
      </w:r>
      <w:r>
        <w:rPr>
          <w:rFonts w:ascii="Times New Roman" w:cs="Times New Roman" w:eastAsia="Times New Roman" w:hAnsi="Times New Roman"/>
          <w:sz w:val="22"/>
          <w:szCs w:val="22"/>
          <w:color w:val="auto"/>
        </w:rPr>
        <w:t>. If Toro or any Toro Affiliate in the ordinary course of business issues any credit to any Account Debtor with respect to any Transferred Receivable (as those terms are defined in a Receivable Purchase Agreement) sold to Red Iron under the terms of any Receivable Purchase Agreement or any Wholesale Instrument (as such term is defined in any Repurchase Agreement) issued by Red Iron that reduces any amount due with respect to a Transferred Receivable or Wholesale Instrument, Toro shall, or shall cause such Affiliate to, pay to Red Iron an amount equal to such credit within two (2) Business Days of the issuance thereof.</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Exclusivity Incentive Payment</w:t>
      </w:r>
      <w:r>
        <w:rPr>
          <w:rFonts w:ascii="Times New Roman" w:cs="Times New Roman" w:eastAsia="Times New Roman" w:hAnsi="Times New Roman"/>
          <w:sz w:val="22"/>
          <w:szCs w:val="22"/>
          <w:color w:val="auto"/>
        </w:rPr>
        <w:t>. On October 20, 2010 TCFIF shall pay to Toro an Exclusivity Incentive Payment (as defined herein) if on or before October 31, 2009, Toro shall have taken all such actions required to be taken by Toro pursuant to the initial Receivable Purchase Agreement in order to effect the initial sale of receivables under the initial Receivable Purchase Agreement which sale shall comprise all floorplan dealer and distributor receivables that are Eligible Receivables (or such lesser portion thereof as Toro is permitted to sell under the terms of any agreements of Toro restricting the amount of such sale, in which case the unsold portion is sold to Red Iron as soon as permitted under such agreements). “Exclusivity Incentive Payment” shall mean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16" w:name="page117"/>
    <w:bookmarkEnd w:id="116"/>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20" w:type="dxa"/>
            <w:vAlign w:val="bottom"/>
          </w:tcPr>
          <w:p>
            <w:pPr>
              <w:spacing w:after="0"/>
              <w:rPr>
                <w:sz w:val="22"/>
                <w:szCs w:val="22"/>
                <w:color w:val="auto"/>
              </w:rPr>
            </w:pPr>
          </w:p>
        </w:tc>
        <w:tc>
          <w:tcPr>
            <w:tcW w:w="4680" w:type="dxa"/>
            <w:vAlign w:val="bottom"/>
            <w:gridSpan w:val="4"/>
          </w:tcPr>
          <w:p>
            <w:pPr>
              <w:jc w:val="center"/>
              <w:ind w:right="220"/>
              <w:spacing w:after="0"/>
              <w:rPr>
                <w:sz w:val="20"/>
                <w:szCs w:val="20"/>
                <w:color w:val="auto"/>
              </w:rPr>
            </w:pPr>
            <w:r>
              <w:rPr>
                <w:rFonts w:ascii="Times New Roman" w:cs="Times New Roman" w:eastAsia="Times New Roman" w:hAnsi="Times New Roman"/>
                <w:sz w:val="22"/>
                <w:szCs w:val="22"/>
                <w:color w:val="auto"/>
                <w:w w:val="97"/>
              </w:rPr>
              <w:t>Date Toro Offers Receivables for Sale Under Initial</w:t>
            </w:r>
          </w:p>
        </w:tc>
        <w:tc>
          <w:tcPr>
            <w:tcW w:w="940" w:type="dxa"/>
            <w:vAlign w:val="bottom"/>
          </w:tcPr>
          <w:p>
            <w:pPr>
              <w:spacing w:after="0"/>
              <w:rPr>
                <w:sz w:val="22"/>
                <w:szCs w:val="22"/>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Amount of Exclusivity Incentive Payment</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Receivable Purchase Agreement</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On or before October 1, 2009</w:t>
            </w:r>
          </w:p>
        </w:tc>
        <w:tc>
          <w:tcPr>
            <w:tcW w:w="47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8"/>
              </w:rPr>
              <w:t>The product of [***] (the “Exclusivity Calculation”)</w:t>
            </w:r>
          </w:p>
        </w:tc>
        <w:tc>
          <w:tcPr>
            <w:tcW w:w="0" w:type="dxa"/>
            <w:vAlign w:val="bottom"/>
          </w:tcPr>
          <w:p>
            <w:pPr>
              <w:spacing w:after="0"/>
              <w:rPr>
                <w:sz w:val="1"/>
                <w:szCs w:val="1"/>
                <w:color w:val="auto"/>
              </w:rPr>
            </w:pPr>
          </w:p>
        </w:tc>
      </w:tr>
      <w:tr>
        <w:trPr>
          <w:trHeight w:val="513"/>
        </w:trPr>
        <w:tc>
          <w:tcPr>
            <w:tcW w:w="5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October 2, 2009 through October 31, 2009</w:t>
            </w:r>
          </w:p>
        </w:tc>
        <w:tc>
          <w:tcPr>
            <w:tcW w:w="47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Exclusivity Calculation less the product of [***].</w:t>
            </w:r>
          </w:p>
        </w:tc>
        <w:tc>
          <w:tcPr>
            <w:tcW w:w="0" w:type="dxa"/>
            <w:vAlign w:val="bottom"/>
          </w:tcPr>
          <w:p>
            <w:pPr>
              <w:spacing w:after="0"/>
              <w:rPr>
                <w:sz w:val="1"/>
                <w:szCs w:val="1"/>
                <w:color w:val="auto"/>
              </w:rPr>
            </w:pPr>
          </w:p>
        </w:tc>
      </w:tr>
      <w:tr>
        <w:trPr>
          <w:trHeight w:val="513"/>
        </w:trPr>
        <w:tc>
          <w:tcPr>
            <w:tcW w:w="5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After October 31, 2009</w:t>
            </w:r>
          </w:p>
        </w:tc>
        <w:tc>
          <w:tcPr>
            <w:tcW w:w="47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Zero</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Such Exclusivity Incentive Payment will be payable in consideration of the exclusive relationships among TCFIF, Toro and Red Iron, as described in Section 2.8 hereof, from which TCFIF will derive substantial benefit. If Red Iron shall be dissolved prior to October 31, 2014 pursuant to Section 10.01(a) of the LLC Agreement (with respect to Toro) or pursuant to TCFIF Sub’s election pursuant to Sections 10.01(c), (d), (e), (i), and (j) of the LLC Agreement, then Toro shall remit to TCFIF an amount equal to the product of (i) the Exclusivity Incentive Payment multiplied by (ii) a fraction, the numerator of which shall be the number of days from the date of dissolution through October 31, 2014 and the denominator of which shall be the total number of days from the date of this Agreement through October 31, 2014. The parties agree that the Exclusivity Incentive Payment is between TCFIF and Toro and shall not be charged as an expense to Red Iron.</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Termination of Toro Commercial Inventory Management System</w:t>
      </w:r>
      <w:r>
        <w:rPr>
          <w:rFonts w:ascii="Times New Roman" w:cs="Times New Roman" w:eastAsia="Times New Roman" w:hAnsi="Times New Roman"/>
          <w:sz w:val="22"/>
          <w:szCs w:val="22"/>
          <w:color w:val="auto"/>
        </w:rPr>
        <w:t>. The Parties shall work together to eliminate or minimize the cost of terminating Toro’s third-party-provided commercial inventory management system. To the extent Toro is obligated to make a payment to such third party in connection with the termination and such payment results in a reduction to TCFIF’s fees due to such third party for TCFIF’s commercial inventory management system, TCFIF shall pay to Toro an amount equal to such reduction, as and when TCFIF receives the benefit of such reduction. Notwithstanding the provisions of the TCFIF Services Agreement, TCFIF shall not be required to pass along the benefit of any discount to Red Iron.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Each Party represents and warrants to the other Party with respect to itself and its respective subsidiary that is a member of Red Iron that: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Due Organization; Authority</w:t>
      </w:r>
      <w:r>
        <w:rPr>
          <w:rFonts w:ascii="Times New Roman" w:cs="Times New Roman" w:eastAsia="Times New Roman" w:hAnsi="Times New Roman"/>
          <w:sz w:val="22"/>
          <w:szCs w:val="22"/>
          <w:color w:val="auto"/>
        </w:rPr>
        <w:t>. It is a corporation or limited liability company duly organized and validly existing in good standing under the laws of the state of its incorporation or formation, as applicable, and has the power, authority and legal right to enter into and perform its obligations under the Definitive Agreements to which it is a party.</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Due Authorization; Enforceability</w:t>
      </w:r>
      <w:r>
        <w:rPr>
          <w:rFonts w:ascii="Times New Roman" w:cs="Times New Roman" w:eastAsia="Times New Roman" w:hAnsi="Times New Roman"/>
          <w:sz w:val="22"/>
          <w:szCs w:val="22"/>
          <w:color w:val="auto"/>
        </w:rPr>
        <w:t>. Each of the Definitive Agreements to which it is a party has been duly authorized, executed and delivered by it and, assuming due authorization, execution and delivery thereof by the other parties thereto, constitutes its valid and legally binding obligation, enforceable against it in accordance with its terms, except as may be limited by bankruptcy, insolvency, reorganization fraudulent conveyance, moratorium and other similar laws affecting the rights of creditors generally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7" w:name="page118"/>
    <w:bookmarkEnd w:id="117"/>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and delivery by it of the Definitive Agreements to which it is a party do not, and the performance by it of its obligations thereunder shall not (i) violate or conflict with any provision of its charter or by-laws or other constituent documents, any law, governmental rule or regulation, judgment or order applicable to it, or any provision of any indenture, mortgage, contract or other instrument to which it is a party or by which it or its property is bound, (ii) constitute a default under any agreement to which it is a party or by which it or its property is bound, or (iii) require the consent or approval of, the giving of notice to, the registration with or the taking of any action in respect of or by, any federal or state governmental authority or agency (including any local governmental authority or agency), except such as have been duly obtained, given or accomplished and are in full force and effect</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Brokers or Finders</w:t>
      </w:r>
      <w:r>
        <w:rPr>
          <w:rFonts w:ascii="Times New Roman" w:cs="Times New Roman" w:eastAsia="Times New Roman" w:hAnsi="Times New Roman"/>
          <w:sz w:val="22"/>
          <w:szCs w:val="22"/>
          <w:color w:val="auto"/>
        </w:rPr>
        <w:t>. Neither it nor any of its officers, agents, representatives, employees, members or shareholders has employed any brokers, finders or other intermediaries, or incurred any liability for any broker’s fees, finder’s fees, commissions or other amounts, with respect to Red Iron or the transactions contemplated by the Definitive Agreements.</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Sufficient Resources</w:t>
      </w:r>
      <w:r>
        <w:rPr>
          <w:rFonts w:ascii="Times New Roman" w:cs="Times New Roman" w:eastAsia="Times New Roman" w:hAnsi="Times New Roman"/>
          <w:sz w:val="22"/>
          <w:szCs w:val="22"/>
          <w:color w:val="auto"/>
        </w:rPr>
        <w:t>. It has sufficient resources to perform or to cause its Affiliates to perform their respective financial and other obligations as contemplated by the Definitive Agreements.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performance of any transactions contemplated by this Agreement or the other Definitive Agreements shall not give rise to any liens on the property of Red Iron or either member of Red Iron, except as expressly contemplated by the Credit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5"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During the term of Red Iron and for a period of two (2) years thereafter, each Party shall, and shall cause its officers, directors, employees, representatives and agents and Affiliates to keep any nonpublic information which the other Party treats or designates as confidential, any nonpublic information concerning the formation and operation of Red Iron or the particulars thereof, and any other nonpublic information set forth in the Definitive Agreements or in other documents concerning Red Iron or relating to the performance by the Parties of any of the Definitive Agreements (“Confidential Information”), strictly confidential and not disclose any such information to any person (except for such Party’s financial and legal advisors, lenders and accountants responsible for or actively engaged in the review, performance or development of Red Iron or its business), or use any such information in the business of such Party. The Parties and their Affiliates shall be deemed to have fulfilled their obligations hereunder if they exercise the same degree of care to preserve and safeguard such Confidential Information as Toro and TCFIF, respectively, use to preserve and safeguard their own confidential information, provided that upon discovery of any inadvertent disclosure of any Confidential Information, the Party making such inadvertent disclosure endeavors to prevent further use of such information and attempts to prevent similar future inadvertent disclosures. Notwithstanding the foregoing, neither Party shall be liable for any disclosure or use of any of the disclosing Party’s Confidential Information if such information is (1) publicly available or later becomes publicly available to such Party other than through a breach of this Agreement; (2) already previously known on the date such information is disclosed; (3) subsequently lawfully obtained by such Party from a third party who does not have an obligation to keep such information confidential; (4) independently developed by such Party without the use of the disclosing Party’s Confidential Information; (5) disclosed pursuant to a valid regulatory or judicial order, decree, subpoena, or other process or requirement of law or regulation (including any requirements of any national securities exchange where such Party’s securities are listed), provided that the Party disclosing such information to such court, governmental entity or regulatory authority shall give notice to the original disclosing Party in writing in advance thereof so the original disclosing Party may seek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10" w:lineRule="auto"/>
        <w:rPr>
          <w:sz w:val="20"/>
          <w:szCs w:val="20"/>
          <w:color w:val="auto"/>
        </w:rPr>
      </w:pPr>
      <w:r>
        <w:rPr>
          <w:rFonts w:ascii="Times New Roman" w:cs="Times New Roman" w:eastAsia="Times New Roman" w:hAnsi="Times New Roman"/>
          <w:sz w:val="22"/>
          <w:szCs w:val="22"/>
          <w:color w:val="auto"/>
        </w:rPr>
        <w:t>protective order or other appropriate remedy and/or waive compliance with the provisions of this Article IV and the Party disclosing the information shall disclose only that portion of the Confidential Information that counsel to such Party disclosing the information advises is legally required to be disclosed; (6) disclosed in connection with an audit or examination of records conducted in the ordinary course of such Party’s business by a governmental or regulatory authority (including any national securities exchange where such Party’s securities are listed) with jurisdiction thereover, or by independent certified public accountants, provided that such governmental or regulatory authority or accountants shall have been advised of the confidential nature of such information; or (7) expressly released from the restrictions of this Article IV by the original disclosing Party in writing. Each Party recognizes and acknowledges that the injury to Red Iron and the other Party which would result from a breach of the provisions of this Article IV could not adequately be compensated by money damages. The Parties expressly agree and contemplate, therefore, that in the event of the breach or default by either Party of any provision of this Article IV, Red Iron or the other Party may, in addition to any remedies which it might otherwise be entitled to pursue, obtain such appropriate injunctive relief in support of any such provision of this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Each Party shall indemnify, defend and hold harmless the other Party (and its Affiliates and the past, present and future officers, directors, shareholders, members, employees, attorneys, representatives and agents of such Party and such Affiliates) (collectively, the “Indemnified Parties”) against all losses, costs, damages and expenses (including reasonable attorney’s fees and expenses) incurred by the Indemnified Parties as a result of such Party’s breach or the breach by the Affiliates of any Party of any of its representations, warranties or obligations hereunder or under any of the Definitive Agreements; provided, however, that to the extent such breach is or relates to an Arbitrable Dispute (as hereinafter defined), the Indemnified Party shall have complied with the dispute resolution procedures described in Article VI. NEITHER PARTY TO THIS AGREEMENT SHALL BE RESPONSIBLE OR LIABLE TO THE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5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If any controversy or claim arising out of or relating to the interpretation of this Agreement, or the existence or extent of, a breach of any duties hereunder (but exclusive of Article IV (confidential information), Article V (indemnification), Section 7.3 (governing laws; jurisdiction), Section 7.4 (waiver of jury trial) and Section 7.15 (publicity)) shall arise between the Parties, or if the Parties shall be unable to agree as to the determination of any accounting matter or other computation expressly contemplated by this Agreement (all such disputes and failures to agree, the “Arbitrable Disputes”), then either Party may request, by giving written notice to the other Party (the “Request Notice”), that the “Officers confer within five</w:t>
      </w:r>
    </w:p>
    <w:p>
      <w:pPr>
        <w:spacing w:after="0" w:line="4" w:lineRule="exact"/>
        <w:rPr>
          <w:sz w:val="20"/>
          <w:szCs w:val="20"/>
          <w:color w:val="auto"/>
        </w:rPr>
      </w:pPr>
    </w:p>
    <w:p>
      <w:pPr>
        <w:jc w:val="both"/>
        <w:ind w:firstLine="8"/>
        <w:spacing w:after="0" w:line="214" w:lineRule="auto"/>
        <w:tabs>
          <w:tab w:leader="none" w:pos="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regarding the Arbitrable Dispute. The Officers shall confer in good faith and use all reasonable efforts to resolve the Arbitrable Dispute. If the Officers do not resolve the Arbitrable Dispute within ten (10) business days after delivery of the Request Notice, then the Arbitrable Dispute shall be submitted to mediation and then arbitration in accordance with the procedures set forth below in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19" w:name="page120"/>
    <w:bookmarkEnd w:id="119"/>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Mediation</w:t>
      </w:r>
      <w:r>
        <w:rPr>
          <w:rFonts w:ascii="Times New Roman" w:cs="Times New Roman" w:eastAsia="Times New Roman" w:hAnsi="Times New Roman"/>
          <w:sz w:val="22"/>
          <w:szCs w:val="22"/>
          <w:color w:val="auto"/>
        </w:rPr>
        <w:t>. Arbitrable Disputes shall be submitted to mediation (assuming other good faith attempts to resolve the dispute have failed) prior to submitting such claim to arbitration pursuant to this Article VI. The mediation shall take place in Minneapolis, Minnesota, unless the Parties agree to conduct the mediation at another location. If the Parties are unable to agree upon a mediator, each Party shall select a mediator, which mediators in turn shall select the mediator of the dispute. Each Party’s representation at the mediation shall include a business representative having full settlement authority. The Parties shall use best efforts to schedule the mediation within thirty (30) days after delivery of the Request Notice. Any mediation shall be non-binding and all statements, whether oral or in writing, that are made as part of any mediation shall be subject to Federal Rule of Evidence 408 and cannot be used by either Party in any subsequent arbitration in a manner prohibited by Federal Rule of Evidence 408. The Parties acknowledge that they agree to mediate disputes in hopes of amicably resolving the matter before incurring significant attorneys’ fees that may act as a barrier to settlement of the dispute at a later time. Accordingly, the Parties shall mediate in good faith and use reasonable efforts to reach a resolution of the matter.</w:t>
      </w:r>
    </w:p>
    <w:p>
      <w:pPr>
        <w:spacing w:after="0" w:line="15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If the Parties are unable to resolve an Arbitrable Dispute through mutual cooperation, negotiation or mediation, such Arbitrable Dispute shall be finally resolved by arbitration by a single arbitrator in accordance with the Commercial Arbitration Rules, except as otherwise provided herein, of the American Arbitration Association (“AAA”) but without intervention of the AAA. The arbitration shall take place in Minneapolis, Minnesota, unless the Parties agree to conduct the arbitration at another location. If the Parties are unable to agree upon an arbitrator, each Party shall select an arbitrator, which arbitrators in turn shall select the arbitrator of the dispute. The arbitrator of the dispute shall be an accountant, attorney or retired judge with a working knowledge of the commercial inventory finance industry. The Parties agree to facilitate the arbitration by:</w:t>
      </w:r>
    </w:p>
    <w:p>
      <w:pPr>
        <w:spacing w:after="0" w:line="1" w:lineRule="exact"/>
        <w:rPr>
          <w:sz w:val="20"/>
          <w:szCs w:val="20"/>
          <w:color w:val="auto"/>
        </w:rPr>
      </w:pPr>
    </w:p>
    <w:p>
      <w:pPr>
        <w:jc w:val="both"/>
        <w:ind w:firstLine="8"/>
        <w:spacing w:after="0" w:line="217" w:lineRule="auto"/>
        <w:tabs>
          <w:tab w:leader="none" w:pos="31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shall a Party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 or like up-front fees shall be divided equally between the Parties. The arbitrator shall have the authority to award relief under legal or equitable principles and to allocate responsibility for the costs of the arbitration and to award recovery of reasonable attorney’s fees and expenses to the prevailing Party. A full and complete record and transcript of the arbitration proceeding shall be maintained. The arbitrator shall issue a reasoned decision. Each Party shall have five (5) business days to object to the arbitrator’s decision, or any part thereof, by written submission made to the arbitrator and the other Party shall have five (5)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Additional Provisions</w:t>
      </w:r>
      <w:r>
        <w:rPr>
          <w:rFonts w:ascii="Times New Roman" w:cs="Times New Roman" w:eastAsia="Times New Roman" w:hAnsi="Times New Roman"/>
          <w:sz w:val="21"/>
          <w:szCs w:val="21"/>
          <w:color w:val="auto"/>
        </w:rPr>
        <w:t>. If either Party brings or appeals any judicial action to vacate or modify any award rendered pursuant to arbitration or opposes the confirmation of such award and the Party bringing or appealing such action or opposing confirmation of such award does not prevail, such Party shall pay all of the costs and expenses (including court costs, arbitrators’ fees and expenses and reasonable attorneys’ fees) incurred by the other Party in defending such action. Additionally, if either Party brings any action for judicial relief of an Arbitrable Dispute in the first instance without pursuing arbitration prior thereto, the Party bringing such action for judicial relief shall be liable for and shall immediately pay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20" w:name="page121"/>
    <w:bookmarkEnd w:id="120"/>
    <w:p>
      <w:pPr>
        <w:jc w:val="both"/>
        <w:spacing w:after="0" w:line="218" w:lineRule="auto"/>
        <w:rPr>
          <w:sz w:val="20"/>
          <w:szCs w:val="20"/>
          <w:color w:val="auto"/>
        </w:rPr>
      </w:pPr>
      <w:r>
        <w:rPr>
          <w:rFonts w:ascii="Times New Roman" w:cs="Times New Roman" w:eastAsia="Times New Roman" w:hAnsi="Times New Roman"/>
          <w:sz w:val="21"/>
          <w:szCs w:val="21"/>
          <w:color w:val="auto"/>
        </w:rPr>
        <w:t>Party all of the other Party’s costs and expenses (including court costs and reasonable attorneys’ fees) in the event the other Party successfully moves to stay or dismiss such judicial action and/or compel it to arbitration. The failure of either Party to exercise any rights granted hereunder shall not operate as a waiver of any of those rights. This Agreement concerns transactions involving commerce among the several states. The arbitrator shall not be empowered to award punitive, exemplary, or, except in the case of fraud, bad faith, willful misconduct or gross negligence, indirect or consequential damages. The arbitrator shall decide if any inconsistency exists between the rules of the applicable arbitral forum and the arbitration provisions contained herein. If such inconsistency exists, the arbitration provisions contained herein shall control and supersede such rules. The agreement to arbitrate shall survive termination of this Agreement. The initiation of the dispute resolution procedures in this Article VI shall not excuse either Party, or any of its respective Affiliates, from performing its obligations hereunder or under any of the other Definitive Agreements or in connection with the transactions contemplated hereby. While the dispute procedure is pending, the Parties and their respective Affiliates shall continue to perform in good faith their respective obligations hereunder and under the other Definitive Agreements, subject to any rights to terminate this Agreement or the other Definitive Agreements that may be available to the Parties or their respective Affiliates. The provisions of this Article VI shall be the exclusive process for all Arbitrable Disputes. The terms of this Article VI, shall be without prejudice to the rights of each Party to obtain recovery from, or to seek recourse against, the other Party (or otherwise), in such manner as such Party may elect (but subject to Section 7.4) for all claims, damages, losses, costs and matters other than those related to Arbitrable Disputes.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Additional Documents and Acts; Further Assurances</w:t>
      </w:r>
      <w:r>
        <w:rPr>
          <w:rFonts w:ascii="Times New Roman" w:cs="Times New Roman" w:eastAsia="Times New Roman" w:hAnsi="Times New Roman"/>
          <w:sz w:val="22"/>
          <w:szCs w:val="22"/>
          <w:color w:val="auto"/>
        </w:rPr>
        <w:t>. In connection with this Agreement, as well as all transactions contemplated by this Agreement, each Party agrees to execute and deliver such additional documents and instruments, and to perform such additional acts as may be necessary or appropriate to effectuate, carry out and perform all of the terms, provisions and conditions of this Agreement, and all such transactions. All approvals of either Party hereunder shall be in writing.</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 provided for herein shall be in writing and shall be deemed to have been given to a Party at the earlier of (a) when personally delivered, (b) 72 hours after having been deposited into the custody of the U.S. Postal Service, sent by first class certified mail, postage prepaid, (c) one business day after deposit with a national overnight courier service, (d) upon receipt of a confirmation of facsimile transmission, or (e) upon receipt of electronic mail (with a notice contemporaneously given by another method specified in this Section 7.2); in each case addressed as follows:</w:t>
      </w:r>
    </w:p>
    <w:p>
      <w:pPr>
        <w:spacing w:after="0" w:line="139"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22"/>
          <w:szCs w:val="22"/>
          <w:color w:val="auto"/>
        </w:rPr>
        <w:t>If to TCFIF:</w:t>
      </w:r>
      <w:r>
        <w:rPr>
          <w:sz w:val="20"/>
          <w:szCs w:val="20"/>
          <w:color w:val="auto"/>
        </w:rPr>
        <w:tab/>
      </w:r>
      <w:r>
        <w:rPr>
          <w:rFonts w:ascii="Times New Roman" w:cs="Times New Roman" w:eastAsia="Times New Roman" w:hAnsi="Times New Roman"/>
          <w:sz w:val="21"/>
          <w:szCs w:val="21"/>
          <w:color w:val="auto"/>
        </w:rPr>
        <w:t>TCF Inventory Finance, Inc.</w:t>
      </w:r>
    </w:p>
    <w:p>
      <w:pPr>
        <w:ind w:left="3900"/>
        <w:spacing w:after="0" w:line="204" w:lineRule="auto"/>
        <w:rPr>
          <w:sz w:val="20"/>
          <w:szCs w:val="20"/>
          <w:color w:val="auto"/>
        </w:rPr>
      </w:pPr>
      <w:r>
        <w:rPr>
          <w:rFonts w:ascii="Times New Roman" w:cs="Times New Roman" w:eastAsia="Times New Roman" w:hAnsi="Times New Roman"/>
          <w:sz w:val="22"/>
          <w:szCs w:val="22"/>
          <w:color w:val="auto"/>
        </w:rPr>
        <w:t>2300 Barrington Road, Suite 600</w:t>
      </w:r>
    </w:p>
    <w:p>
      <w:pPr>
        <w:ind w:left="3900"/>
        <w:spacing w:after="0" w:line="205" w:lineRule="auto"/>
        <w:rPr>
          <w:sz w:val="20"/>
          <w:szCs w:val="20"/>
          <w:color w:val="auto"/>
        </w:rPr>
      </w:pPr>
      <w:r>
        <w:rPr>
          <w:rFonts w:ascii="Times New Roman" w:cs="Times New Roman" w:eastAsia="Times New Roman" w:hAnsi="Times New Roman"/>
          <w:sz w:val="22"/>
          <w:szCs w:val="22"/>
          <w:color w:val="auto"/>
        </w:rPr>
        <w:t>Hoffman Estates, IL 60169</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Vincent E. Hillery, General Counsel</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(847) 252-6616</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(847) 285-6012</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vhillery@tcfif.com</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21" w:name="page122"/>
    <w:bookmarkEnd w:id="121"/>
    <w:p>
      <w:pPr>
        <w:ind w:left="3900"/>
        <w:spacing w:after="0"/>
        <w:rPr>
          <w:sz w:val="20"/>
          <w:szCs w:val="20"/>
          <w:color w:val="auto"/>
        </w:rPr>
      </w:pPr>
      <w:r>
        <w:rPr>
          <w:rFonts w:ascii="Times New Roman" w:cs="Times New Roman" w:eastAsia="Times New Roman" w:hAnsi="Times New Roman"/>
          <w:sz w:val="22"/>
          <w:szCs w:val="22"/>
          <w:color w:val="auto"/>
        </w:rPr>
        <w:t>TCF National Bank</w:t>
      </w:r>
    </w:p>
    <w:p>
      <w:pPr>
        <w:ind w:left="3900"/>
        <w:spacing w:after="0" w:line="204" w:lineRule="auto"/>
        <w:rPr>
          <w:sz w:val="20"/>
          <w:szCs w:val="20"/>
          <w:color w:val="auto"/>
        </w:rPr>
      </w:pPr>
      <w:r>
        <w:rPr>
          <w:rFonts w:ascii="Times New Roman" w:cs="Times New Roman" w:eastAsia="Times New Roman" w:hAnsi="Times New Roman"/>
          <w:sz w:val="22"/>
          <w:szCs w:val="22"/>
          <w:color w:val="auto"/>
        </w:rPr>
        <w:t>200 E. Lake Street</w:t>
      </w:r>
    </w:p>
    <w:p>
      <w:pPr>
        <w:ind w:left="3900"/>
        <w:spacing w:after="0" w:line="205" w:lineRule="auto"/>
        <w:rPr>
          <w:sz w:val="20"/>
          <w:szCs w:val="20"/>
          <w:color w:val="auto"/>
        </w:rPr>
      </w:pPr>
      <w:r>
        <w:rPr>
          <w:rFonts w:ascii="Times New Roman" w:cs="Times New Roman" w:eastAsia="Times New Roman" w:hAnsi="Times New Roman"/>
          <w:sz w:val="22"/>
          <w:szCs w:val="22"/>
          <w:color w:val="auto"/>
        </w:rPr>
        <w:t>Wayzata, MN 55391</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(952) 475-6498</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(952) 475-7975</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jgreen@tcfbank.com</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Kaplan, Strangis and Kaplan, P.A.</w:t>
      </w:r>
    </w:p>
    <w:p>
      <w:pPr>
        <w:ind w:left="3900"/>
        <w:spacing w:after="0" w:line="204" w:lineRule="auto"/>
        <w:rPr>
          <w:sz w:val="20"/>
          <w:szCs w:val="20"/>
          <w:color w:val="auto"/>
        </w:rPr>
      </w:pPr>
      <w:r>
        <w:rPr>
          <w:rFonts w:ascii="Times New Roman" w:cs="Times New Roman" w:eastAsia="Times New Roman" w:hAnsi="Times New Roman"/>
          <w:sz w:val="22"/>
          <w:szCs w:val="22"/>
          <w:color w:val="auto"/>
        </w:rPr>
        <w:t>5500 Wells Fargo Center</w:t>
      </w:r>
    </w:p>
    <w:p>
      <w:pPr>
        <w:ind w:left="3900"/>
        <w:spacing w:after="0" w:line="205" w:lineRule="auto"/>
        <w:rPr>
          <w:sz w:val="20"/>
          <w:szCs w:val="20"/>
          <w:color w:val="auto"/>
        </w:rPr>
      </w:pPr>
      <w:r>
        <w:rPr>
          <w:rFonts w:ascii="Times New Roman" w:cs="Times New Roman" w:eastAsia="Times New Roman" w:hAnsi="Times New Roman"/>
          <w:sz w:val="22"/>
          <w:szCs w:val="22"/>
          <w:color w:val="auto"/>
        </w:rPr>
        <w:t>90 South Seventh Street</w:t>
      </w:r>
    </w:p>
    <w:p>
      <w:pPr>
        <w:ind w:left="3900"/>
        <w:spacing w:after="0" w:line="205" w:lineRule="auto"/>
        <w:rPr>
          <w:sz w:val="20"/>
          <w:szCs w:val="20"/>
          <w:color w:val="auto"/>
        </w:rPr>
      </w:pPr>
      <w:r>
        <w:rPr>
          <w:rFonts w:ascii="Times New Roman" w:cs="Times New Roman" w:eastAsia="Times New Roman" w:hAnsi="Times New Roman"/>
          <w:sz w:val="22"/>
          <w:szCs w:val="22"/>
          <w:color w:val="auto"/>
        </w:rPr>
        <w:t>Minneapolis, MN 55402</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Harvey F. Kaplan, Esq.</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(612) 375-1138</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(612) 375-1143</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hfk@kskpa.com</w:t>
      </w:r>
    </w:p>
    <w:p>
      <w:pPr>
        <w:spacing w:after="0" w:line="169"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2"/>
          <w:szCs w:val="22"/>
          <w:color w:val="auto"/>
        </w:rPr>
        <w:t>If to Toro:</w:t>
      </w:r>
      <w:r>
        <w:rPr>
          <w:sz w:val="20"/>
          <w:szCs w:val="20"/>
          <w:color w:val="auto"/>
        </w:rPr>
        <w:tab/>
      </w:r>
      <w:r>
        <w:rPr>
          <w:rFonts w:ascii="Times New Roman" w:cs="Times New Roman" w:eastAsia="Times New Roman" w:hAnsi="Times New Roman"/>
          <w:sz w:val="21"/>
          <w:szCs w:val="21"/>
          <w:color w:val="auto"/>
        </w:rPr>
        <w:t>The Toro Company</w:t>
      </w:r>
    </w:p>
    <w:p>
      <w:pPr>
        <w:ind w:left="390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ind w:left="390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Treasurer</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(952) 887-8449</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(952) 887-8920</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Tom.Larson@toro.com</w:t>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copies to:</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Toro Company</w:t>
      </w:r>
    </w:p>
    <w:p>
      <w:pPr>
        <w:ind w:left="390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ind w:left="390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(952) 887-8178</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(952) 887-8920</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Tim.Dordell@toro.com</w:t>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Oppenheimer Wolff &amp; Donnelly LLP</w:t>
      </w:r>
    </w:p>
    <w:p>
      <w:pPr>
        <w:ind w:left="3900"/>
        <w:spacing w:after="0" w:line="204" w:lineRule="auto"/>
        <w:rPr>
          <w:sz w:val="20"/>
          <w:szCs w:val="20"/>
          <w:color w:val="auto"/>
        </w:rPr>
      </w:pPr>
      <w:r>
        <w:rPr>
          <w:rFonts w:ascii="Times New Roman" w:cs="Times New Roman" w:eastAsia="Times New Roman" w:hAnsi="Times New Roman"/>
          <w:sz w:val="22"/>
          <w:szCs w:val="22"/>
          <w:color w:val="auto"/>
        </w:rPr>
        <w:t>3300 Plaza VII Building</w:t>
      </w:r>
    </w:p>
    <w:p>
      <w:pPr>
        <w:ind w:left="3900"/>
        <w:spacing w:after="0" w:line="205" w:lineRule="auto"/>
        <w:rPr>
          <w:sz w:val="20"/>
          <w:szCs w:val="20"/>
          <w:color w:val="auto"/>
        </w:rPr>
      </w:pPr>
      <w:r>
        <w:rPr>
          <w:rFonts w:ascii="Times New Roman" w:cs="Times New Roman" w:eastAsia="Times New Roman" w:hAnsi="Times New Roman"/>
          <w:sz w:val="22"/>
          <w:szCs w:val="22"/>
          <w:color w:val="auto"/>
        </w:rPr>
        <w:t>45 South Seventh Street</w:t>
      </w:r>
    </w:p>
    <w:p>
      <w:pPr>
        <w:ind w:left="3900"/>
        <w:spacing w:after="0" w:line="205" w:lineRule="auto"/>
        <w:rPr>
          <w:sz w:val="20"/>
          <w:szCs w:val="20"/>
          <w:color w:val="auto"/>
        </w:rPr>
      </w:pPr>
      <w:r>
        <w:rPr>
          <w:rFonts w:ascii="Times New Roman" w:cs="Times New Roman" w:eastAsia="Times New Roman" w:hAnsi="Times New Roman"/>
          <w:sz w:val="22"/>
          <w:szCs w:val="22"/>
          <w:color w:val="auto"/>
        </w:rPr>
        <w:t>Attention: C. Robert Beattie, Esq.</w:t>
      </w:r>
    </w:p>
    <w:p>
      <w:pPr>
        <w:ind w:left="3900"/>
        <w:spacing w:after="0" w:line="205" w:lineRule="auto"/>
        <w:rPr>
          <w:sz w:val="20"/>
          <w:szCs w:val="20"/>
          <w:color w:val="auto"/>
        </w:rPr>
      </w:pPr>
      <w:r>
        <w:rPr>
          <w:rFonts w:ascii="Times New Roman" w:cs="Times New Roman" w:eastAsia="Times New Roman" w:hAnsi="Times New Roman"/>
          <w:sz w:val="22"/>
          <w:szCs w:val="22"/>
          <w:color w:val="auto"/>
        </w:rPr>
        <w:t>Telephone: (612) 607-7395</w:t>
      </w:r>
    </w:p>
    <w:p>
      <w:pPr>
        <w:ind w:left="3900"/>
        <w:spacing w:after="0" w:line="205" w:lineRule="auto"/>
        <w:rPr>
          <w:sz w:val="20"/>
          <w:szCs w:val="20"/>
          <w:color w:val="auto"/>
        </w:rPr>
      </w:pPr>
      <w:r>
        <w:rPr>
          <w:rFonts w:ascii="Times New Roman" w:cs="Times New Roman" w:eastAsia="Times New Roman" w:hAnsi="Times New Roman"/>
          <w:sz w:val="22"/>
          <w:szCs w:val="22"/>
          <w:color w:val="auto"/>
        </w:rPr>
        <w:t>Facsimile: (612) 607-7100</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RBeattie@Oppenheimer.com</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to such other address as either Party hereto may have furnished to the other Party hereto in writing in accordance herewith, except that notices of change of address shall be effective only upon receipt.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Governing Laws; Jurisdiction</w:t>
      </w:r>
      <w:r>
        <w:rPr>
          <w:rFonts w:ascii="Times New Roman" w:cs="Times New Roman" w:eastAsia="Times New Roman" w:hAnsi="Times New Roman"/>
          <w:sz w:val="22"/>
          <w:szCs w:val="22"/>
          <w:color w:val="auto"/>
        </w:rPr>
        <w:t>. This Agreement shall be subject to and governed by the laws of the state of Minnesota, without regard to conflicts of laws principles. Each of the Parties hereby irrevocably submits to the non-exclusive jurisdiction of the Federal courts sitting</w:t>
      </w:r>
    </w:p>
    <w:p>
      <w:pPr>
        <w:sectPr>
          <w:pgSz w:w="11900" w:h="16838" w:orient="portrait"/>
          <w:cols w:equalWidth="0" w:num="1">
            <w:col w:w="11240"/>
          </w:cols>
          <w:pgMar w:left="320" w:top="1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82" w:right="339" w:bottom="1440" w:gutter="0" w:footer="0" w:header="0"/>
          <w:type w:val="continuous"/>
        </w:sectPr>
      </w:pPr>
    </w:p>
    <w:bookmarkStart w:id="122" w:name="page123"/>
    <w:bookmarkEnd w:id="122"/>
    <w:p>
      <w:pPr>
        <w:jc w:val="both"/>
        <w:spacing w:after="0" w:line="211" w:lineRule="auto"/>
        <w:rPr>
          <w:sz w:val="20"/>
          <w:szCs w:val="20"/>
          <w:color w:val="auto"/>
        </w:rPr>
      </w:pPr>
      <w:r>
        <w:rPr>
          <w:rFonts w:ascii="Times New Roman" w:cs="Times New Roman" w:eastAsia="Times New Roman" w:hAnsi="Times New Roman"/>
          <w:sz w:val="22"/>
          <w:szCs w:val="22"/>
          <w:color w:val="auto"/>
        </w:rPr>
        <w:t>in Minneapolis or St. Paul, Minnesota and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Definitive Agreements or the transactions contemplated thereby or any matters related thereto not subject to the provisions of Article VI. Each Party hereto irrevocably waives any objection (including any objection to the laying of venue or any objection on the grounds of forum non conveniens) which it may now or hereafter have to the bringing of any proceeding with respect to this Agreement or the Definitive Agreements to the courts set forth above. Each Party hereto agrees to the personal jurisdiction of such courts and that service of process may be made on it at the address indicated in Section 7.2 above. Nothing herein shall affect the right to serve process in any other manner permitted by law.</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OF TORO AND TCFIF, TO THE FULLEST EXTENT PERMITTED BY APPLICABLE LAW, HEREBY KNOWINGLY, VOLUNTARILY AND IRREVOCABLY WAIVES ALL RIGHT TO TRIAL BY JURY AS TO 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PARTY ENTERING INTO THIS AGREEMENT.</w:t>
      </w:r>
    </w:p>
    <w:p>
      <w:pPr>
        <w:spacing w:after="0" w:line="15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Definitive Agreements and any documents or agreements contemplated hereby or thereby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contains all of the understandings and agreements of whatsoever kind and nature existing between the Parties hereto and their respective Affiliates with respect to this Agreement and the other Definitive Agreements, the subject matter hereof and of the other Definitive Agreements, and the rights, interests, understandings, agreements and obligations of the Parties and their respective Affiliates pertaining to the subject matter hereof and thereof and Red Iron, and supersedes any previous agreements between the Parties and their respective Affiliates.</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consent or waiver, expressed or implied, by either Party or any of their respective Affiliates to or of any breach or default by the other Party or any of its Affiliates in the performance by the other Party or any of its Affiliates of its obligations under this Agreement or any of the other Definitive Agreements to which it is a party shall be deemed or construed to be a consent or waiver to or of any other breach or default in the performance by that Party or any of its Affiliates of the same or any other obligations of that Party or its Affiliates. Failure on the part of either Party or its Affiliates to complain of any act or failure to act on the part of the other Party or its Affiliates or to declare the other Party or its Affiliates in default, irrespective of how long the failure continues, shall not constitute a waiver by that Party or its Affiliates of its rights under this Agreement or the other Definitive Agreements.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its application to any Person or circumstance shall be invalid or unenforceable to any extent, the remainder of this Agreement and the application of the provisions to other persons or circumstances shall not be affected thereby, and this Agreement shall be enforced to the greatest extent permitted by law.</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Expenses Incurred in the Formation of Red Iron</w:t>
      </w:r>
      <w:r>
        <w:rPr>
          <w:rFonts w:ascii="Times New Roman" w:cs="Times New Roman" w:eastAsia="Times New Roman" w:hAnsi="Times New Roman"/>
          <w:sz w:val="22"/>
          <w:szCs w:val="22"/>
          <w:color w:val="auto"/>
        </w:rPr>
        <w:t>. All disbursements for (a) organization, qualification to do business and fictitious name filings contemplated by Section 2.3, (b) single interest insurance contemplated by Section 2.4(b), (iii) preparation of the Business Plan contemplated by Section 2.1; (c) the pre-formation costs and other costs described on Schedule 7.8 attached hereto that are in the future or have been incurred by the Parties in connection with the formation of Red Iron shall be charged by the Parties to Red Iron. All other fees, charges and expenses incurred by the Parties in connection with the formation of Red Iron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and the transactions contemplated hereby (including all related legal fees) shall be borne by the Party incurring them.</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Binding Agreement, Assignments</w:t>
      </w:r>
      <w:r>
        <w:rPr>
          <w:rFonts w:ascii="Times New Roman" w:cs="Times New Roman" w:eastAsia="Times New Roman" w:hAnsi="Times New Roman"/>
          <w:sz w:val="22"/>
          <w:szCs w:val="22"/>
          <w:color w:val="auto"/>
        </w:rPr>
        <w:t>. This Agreement shall be binding upon the Parties and their respective successors and assigns and shall inure to the benefit of the Parties and their respective successors and permitted assigns. Notwithstanding the foregoing, neither Party hereto shall be permitted to assign its rights and obligations hereunder without the prior written consent of the other Party. Whenever a reference to any party or Party is made in this Agreement, such reference shall be deemed to include a reference to the successors and permitted assigns of that party or Party.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This Agreement is for the sole and exclusive benefit of the Parties, and it shall not be deemed to be for the direct or indirect benefit of any other Person. With respect to the Definitive Agreements, Toro and TCFIF shall each be deemed a third-party beneficiary of each such Definitive Agreement to which any of its respective Affiliates or Red Iron is a party and entitled to (a) enforce any such agreements on behalf of such Affiliates or Red Iron and (b) recover damages incurred by such Party as a result of breach by any Affiliate of the other Party or Red Iron attributable to the other Party or any Affiliate of the other Party of any of the Definitive Agreements.</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Disclaimer of Agency</w:t>
      </w:r>
      <w:r>
        <w:rPr>
          <w:rFonts w:ascii="Times New Roman" w:cs="Times New Roman" w:eastAsia="Times New Roman" w:hAnsi="Times New Roman"/>
          <w:sz w:val="22"/>
          <w:szCs w:val="22"/>
          <w:color w:val="auto"/>
        </w:rPr>
        <w:t>. This Agreement shall not constitute either Party (or any of its Affiliates) as a legal representative, agent, subsidiary, joint venturer, partner, employee or servant of the other Party (or any of its Affiliates) for any purpose whatsoever, nor shall a Party (or any of its Affiliates) have the right or authority to assume, create or incur any liability or any obligation of any kind, expressed or implied, against or in the name or on behalf of the other Party (or any of its Affiliates) or Red Iron, unless otherwise expressly permitted by such other Party, and except as expressly provided in any of the Definitive Agreements.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Headings; Interpretation</w:t>
      </w:r>
      <w:r>
        <w:rPr>
          <w:rFonts w:ascii="Times New Roman" w:cs="Times New Roman" w:eastAsia="Times New Roman" w:hAnsi="Times New Roman"/>
          <w:sz w:val="22"/>
          <w:szCs w:val="22"/>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at any time and from time to time, but any amendment must be in writing and signed by the Parties.</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Neither Toro nor TCFIF nor any of their respective Affiliates shall make any public announcement or other disclosure to the press or public regarding this Agreement or Red Iron or any matter related hereto or thereto, unless Toro and TCFIF mutually agree to make an announcement in a form that both Parties have approved. Notwithstanding the foregoing, to the extent a Party (or its Affiliate) is required by law or the rules of a national securities exchange applicable to such Party (or such Affiliate) to make a public announcement regarding this Agreement or Red Iron or any matter related hereto or thereto, then such Party (or such Affiliate) may make a public announcement in order for such Party (or such Affiliate) to duly comply with such law or rule, provided that such Party (or such Affiliate) gives notice to the other Party of such public announcement promptly upon such Party (or such Affiliate) becoming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24" w:name="page125"/>
    <w:bookmarkEnd w:id="124"/>
    <w:p>
      <w:pPr>
        <w:jc w:val="both"/>
        <w:spacing w:after="0" w:line="236" w:lineRule="auto"/>
        <w:rPr>
          <w:sz w:val="20"/>
          <w:szCs w:val="20"/>
          <w:color w:val="auto"/>
        </w:rPr>
      </w:pPr>
      <w:r>
        <w:rPr>
          <w:rFonts w:ascii="Times New Roman" w:cs="Times New Roman" w:eastAsia="Times New Roman" w:hAnsi="Times New Roman"/>
          <w:sz w:val="22"/>
          <w:szCs w:val="22"/>
          <w:color w:val="auto"/>
        </w:rPr>
        <w:t>aware of its need to comply with such law or rule, but, in any event, not later than the time the public announcement is to be made.</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7.16 </w:t>
      </w:r>
      <w:r>
        <w:rPr>
          <w:rFonts w:ascii="Times New Roman" w:cs="Times New Roman" w:eastAsia="Times New Roman" w:hAnsi="Times New Roman"/>
          <w:sz w:val="21"/>
          <w:szCs w:val="21"/>
          <w:u w:val="single" w:color="auto"/>
          <w:color w:val="auto"/>
        </w:rPr>
        <w:t>No Assumption in Drafting</w:t>
      </w:r>
      <w:r>
        <w:rPr>
          <w:rFonts w:ascii="Times New Roman" w:cs="Times New Roman" w:eastAsia="Times New Roman" w:hAnsi="Times New Roman"/>
          <w:sz w:val="21"/>
          <w:szCs w:val="21"/>
          <w:color w:val="auto"/>
        </w:rPr>
        <w:t>. The Parties hereto acknowledge and agree that (a) each Party has reviewed and negotiated the terms and provisions of this Agreement and has had the opportunity to contribute to its revision, and (b)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25" w:name="page126"/>
    <w:bookmarkEnd w:id="125"/>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this Agreement has been executed and delivered as of, and is effective as of, the date first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above.</w:t>
      </w:r>
    </w:p>
    <w:p>
      <w:pPr>
        <w:spacing w:after="0" w:line="14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-13970</wp:posOffset>
            </wp:positionV>
            <wp:extent cx="1314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1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-13970</wp:posOffset>
            </wp:positionV>
            <wp:extent cx="1150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1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-13970</wp:posOffset>
            </wp:positionV>
            <wp:extent cx="1555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1555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TCF INVENTORY FINANCE, INC</w:t>
      </w: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-13970</wp:posOffset>
            </wp:positionV>
            <wp:extent cx="1367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-13970</wp:posOffset>
            </wp:positionV>
            <wp:extent cx="12039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-13970</wp:posOffset>
            </wp:positionV>
            <wp:extent cx="12230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26" w:name="page127"/>
    <w:bookmarkEnd w:id="126"/>
    <w:p>
      <w:pPr>
        <w:spacing w:after="0" w:line="17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21"/>
          <w:szCs w:val="21"/>
          <w:u w:val="single" w:color="auto"/>
          <w:color w:val="auto"/>
        </w:rPr>
        <w:t>Exhibit 2.2</w:t>
      </w:r>
    </w:p>
    <w:p>
      <w:pPr>
        <w:spacing w:after="0" w:line="21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FORM JOINT VENTURE</w:t>
      </w:r>
    </w:p>
    <w:p>
      <w:pPr>
        <w:spacing w:after="0" w:line="17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THIS FIRST AMENDMENT TO AGREEMENT TO FORM JOINT VENTURE</w:t>
      </w:r>
      <w:r>
        <w:rPr>
          <w:rFonts w:ascii="Times New Roman" w:cs="Times New Roman" w:eastAsia="Times New Roman" w:hAnsi="Times New Roman"/>
          <w:sz w:val="22"/>
          <w:szCs w:val="22"/>
          <w:color w:val="auto"/>
        </w:rPr>
        <w:t>, dated as of June 6, 2012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THE TORO COMPANY, a Delaware corporation (“</w:t>
      </w:r>
      <w:r>
        <w:rPr>
          <w:rFonts w:ascii="Times New Roman" w:cs="Times New Roman" w:eastAsia="Times New Roman" w:hAnsi="Times New Roman"/>
          <w:sz w:val="22"/>
          <w:szCs w:val="22"/>
          <w:u w:val="single" w:color="auto"/>
          <w:color w:val="auto"/>
        </w:rPr>
        <w:t>Toro</w:t>
      </w:r>
      <w:r>
        <w:rPr>
          <w:rFonts w:ascii="Times New Roman" w:cs="Times New Roman" w:eastAsia="Times New Roman" w:hAnsi="Times New Roman"/>
          <w:sz w:val="22"/>
          <w:szCs w:val="22"/>
          <w:color w:val="auto"/>
        </w:rPr>
        <w:t xml:space="preserve"> ”), and TCF INVENTORY FINANCE, INC., a Minnesota corporation (“</w:t>
      </w:r>
      <w:r>
        <w:rPr>
          <w:rFonts w:ascii="Times New Roman" w:cs="Times New Roman" w:eastAsia="Times New Roman" w:hAnsi="Times New Roman"/>
          <w:sz w:val="22"/>
          <w:szCs w:val="22"/>
          <w:u w:val="single" w:color="auto"/>
          <w:color w:val="auto"/>
        </w:rPr>
        <w:t>TCFIF</w:t>
      </w:r>
      <w:r>
        <w:rPr>
          <w:rFonts w:ascii="Times New Roman" w:cs="Times New Roman" w:eastAsia="Times New Roman" w:hAnsi="Times New Roman"/>
          <w:sz w:val="22"/>
          <w:szCs w:val="22"/>
          <w:color w:val="auto"/>
        </w:rPr>
        <w:t>”). Capitalized terms used herein and not otherwise defined shall have the meanings ascribed thereto in the JV Agreement (as hereinafter defined).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79" w:lineRule="exact"/>
        <w:rPr>
          <w:sz w:val="20"/>
          <w:szCs w:val="20"/>
          <w:color w:val="auto"/>
        </w:rPr>
      </w:pPr>
    </w:p>
    <w:p>
      <w:pPr>
        <w:ind w:left="1300" w:hanging="644"/>
        <w:spacing w:after="0" w:line="236" w:lineRule="auto"/>
        <w:tabs>
          <w:tab w:leader="none" w:pos="10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and TCFIF are parties to that certain Agreement to Form Joint Venture, made and entered into as of August 12, 2009 (the “</w:t>
      </w:r>
      <w:r>
        <w:rPr>
          <w:rFonts w:ascii="Times New Roman" w:cs="Times New Roman" w:eastAsia="Times New Roman" w:hAnsi="Times New Roman"/>
          <w:sz w:val="22"/>
          <w:szCs w:val="22"/>
          <w:u w:val="single" w:color="auto"/>
          <w:color w:val="auto"/>
        </w:rPr>
        <w:t>JV Agreement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JV Agreement as provided herein.</w:t>
      </w:r>
    </w:p>
    <w:p>
      <w:pPr>
        <w:spacing w:after="0" w:line="20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040" w:hanging="384"/>
        <w:spacing w:after="0"/>
        <w:tabs>
          <w:tab w:leader="none" w:pos="1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firstLine="652"/>
        <w:spacing w:after="0" w:line="236" w:lineRule="auto"/>
        <w:tabs>
          <w:tab w:leader="none" w:pos="260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defined term is added to Section 1.1 of the JV Agreement so that it appears in alphabetical order:</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Additional Exclusivity Incentive Payment</w:t>
      </w:r>
      <w:r>
        <w:rPr>
          <w:rFonts w:ascii="Times New Roman" w:cs="Times New Roman" w:eastAsia="Times New Roman" w:hAnsi="Times New Roman"/>
          <w:sz w:val="22"/>
          <w:szCs w:val="22"/>
          <w:i w:val="1"/>
          <w:iCs w:val="1"/>
          <w:color w:val="auto"/>
        </w:rPr>
        <w:t>” is defined in Section 2.15(b).”</w:t>
      </w:r>
    </w:p>
    <w:p>
      <w:pPr>
        <w:spacing w:after="0" w:line="210" w:lineRule="exact"/>
        <w:rPr>
          <w:sz w:val="20"/>
          <w:szCs w:val="20"/>
          <w:color w:val="auto"/>
        </w:rPr>
      </w:pPr>
    </w:p>
    <w:p>
      <w:pPr>
        <w:ind w:left="1300" w:firstLine="652"/>
        <w:spacing w:after="0" w:line="236" w:lineRule="auto"/>
        <w:tabs>
          <w:tab w:leader="none" w:pos="253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“Exclusivity Calculation” and “Exclusivity Incentive Payment” in Section 1.1 of the JV Agreement are revised to refer to Section 2.15(a) of the JV Agreement rather than Section 2.15.</w:t>
      </w:r>
    </w:p>
    <w:p>
      <w:pPr>
        <w:spacing w:after="0" w:line="177" w:lineRule="exact"/>
        <w:rPr>
          <w:rFonts w:ascii="Times New Roman" w:cs="Times New Roman" w:eastAsia="Times New Roman" w:hAnsi="Times New Roman"/>
          <w:sz w:val="22"/>
          <w:szCs w:val="22"/>
          <w:color w:val="auto"/>
        </w:rPr>
      </w:pPr>
    </w:p>
    <w:p>
      <w:pPr>
        <w:ind w:left="660" w:firstLine="644"/>
        <w:spacing w:after="0" w:line="236" w:lineRule="auto"/>
        <w:tabs>
          <w:tab w:leader="none" w:pos="18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Finance Red Iron Acquisition of Receivables; Most Favored Customer Pricing</w:t>
      </w:r>
      <w:r>
        <w:rPr>
          <w:rFonts w:ascii="Times New Roman" w:cs="Times New Roman" w:eastAsia="Times New Roman" w:hAnsi="Times New Roman"/>
          <w:sz w:val="22"/>
          <w:szCs w:val="22"/>
          <w:color w:val="auto"/>
        </w:rPr>
        <w:t>. Section 2.7(c) of the JV Agreement is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67" w:lineRule="exact"/>
        <w:rPr>
          <w:sz w:val="20"/>
          <w:szCs w:val="20"/>
          <w:color w:val="auto"/>
        </w:rPr>
      </w:pPr>
    </w:p>
    <w:p>
      <w:pPr>
        <w:jc w:val="both"/>
        <w:ind w:left="260" w:hanging="80"/>
        <w:spacing w:after="0" w:line="214" w:lineRule="auto"/>
        <w:rPr>
          <w:sz w:val="20"/>
          <w:szCs w:val="20"/>
          <w:color w:val="auto"/>
        </w:rPr>
      </w:pPr>
      <w:r>
        <w:rPr>
          <w:rFonts w:ascii="Times New Roman" w:cs="Times New Roman" w:eastAsia="Times New Roman" w:hAnsi="Times New Roman"/>
          <w:sz w:val="22"/>
          <w:szCs w:val="22"/>
          <w:i w:val="1"/>
          <w:iCs w:val="1"/>
          <w:color w:val="auto"/>
        </w:rPr>
        <w:t>“(c)</w:t>
      </w:r>
      <w:r>
        <w:rPr>
          <w:sz w:val="20"/>
          <w:szCs w:val="20"/>
          <w:color w:val="auto"/>
        </w:rPr>
        <w:t xml:space="preserve"> </w:t>
      </w:r>
      <w:r>
        <w:rPr>
          <w:rFonts w:ascii="Times New Roman" w:cs="Times New Roman" w:eastAsia="Times New Roman" w:hAnsi="Times New Roman"/>
          <w:sz w:val="22"/>
          <w:szCs w:val="22"/>
          <w:i w:val="1"/>
          <w:iCs w:val="1"/>
          <w:color w:val="auto"/>
        </w:rPr>
        <w:t>So that Toro and Toro Sub may make a fully informed decision as to whether to continue Red Iron beyond the initial term or any additional term, as applicable, contemplated by the LLC Agreement, upon the request of Toro and Toro Sub made not later than fifteen (15) months prior to the expiration of such term of Red Iron, TCFIF agrees to obtain, from TCF Bank no later than fourteen (14) months prior to the expiration of such term of Red Iron, a written notice indicating TCF Bank’s intent with respect to extension of the term of the Performance Assurance Agreement in conjunction with TCFIF’s willingness to extend the term of the Credit Agreement.”</w:t>
      </w:r>
    </w:p>
    <w:p>
      <w:pPr>
        <w:spacing w:after="0" w:line="180" w:lineRule="exact"/>
        <w:rPr>
          <w:sz w:val="20"/>
          <w:szCs w:val="20"/>
          <w:color w:val="auto"/>
        </w:rPr>
      </w:pPr>
    </w:p>
    <w:p>
      <w:pPr>
        <w:ind w:left="180"/>
        <w:spacing w:after="0"/>
        <w:tabs>
          <w:tab w:leader="none" w:pos="6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 Section 2.8(b) of the JV Agreement is amended and restated in its entirety as follows:</w:t>
      </w:r>
    </w:p>
    <w:p>
      <w:pPr>
        <w:spacing w:after="0" w:line="202"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21"/>
          <w:szCs w:val="21"/>
          <w:i w:val="1"/>
          <w:iCs w:val="1"/>
          <w:color w:val="auto"/>
        </w:rPr>
        <w:t>“(b) TCFIF covenants and agrees with Toro that, during the term of Red Iron, TCFIF will not and will not permit any Affiliate of TCFIF (other than TCFIF with respect to Red Iron) to provide financing, directly or indirectly, to any joint venture, partnership or other legal entity owned in part by TCFIF or an Affiliate of TCFIF for the purpose of operating a wholesale finance business within the United States or Canada to support the financing of Lawn and Garden Products at a non-default interest rate lower than the “TCFIF Interest Rate” (as such term is defined in the Credit Agreement). TCFIF acknowledges and agrees that its agreement set forth in this Section 2.8(b) is a material inducement for Toro to enter into, and continue performing under, this Agreement.”</w:t>
      </w:r>
    </w:p>
    <w:p>
      <w:pPr>
        <w:spacing w:after="0" w:line="181" w:lineRule="exact"/>
        <w:rPr>
          <w:sz w:val="20"/>
          <w:szCs w:val="20"/>
          <w:color w:val="auto"/>
        </w:rPr>
      </w:pPr>
    </w:p>
    <w:p>
      <w:pPr>
        <w:ind w:left="660" w:hanging="476"/>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Exclusivity Incentive Payment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0" w:right="20" w:firstLine="652"/>
        <w:spacing w:after="0" w:line="236" w:lineRule="auto"/>
        <w:tabs>
          <w:tab w:leader="none" w:pos="148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heading and introductory sentence is added to the beginning of Section 2.15 of the JV Agreement as follows:</w:t>
      </w:r>
    </w:p>
    <w:p>
      <w:pPr>
        <w:spacing w:after="0" w:line="17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i w:val="1"/>
          <w:iCs w:val="1"/>
          <w:color w:val="auto"/>
        </w:rPr>
        <w:t>“2.15</w:t>
      </w:r>
      <w:r>
        <w:rPr>
          <w:sz w:val="20"/>
          <w:szCs w:val="20"/>
          <w:color w:val="auto"/>
        </w:rPr>
        <w:tab/>
      </w:r>
      <w:r>
        <w:rPr>
          <w:rFonts w:ascii="Times New Roman" w:cs="Times New Roman" w:eastAsia="Times New Roman" w:hAnsi="Times New Roman"/>
          <w:sz w:val="22"/>
          <w:szCs w:val="22"/>
          <w:i w:val="1"/>
          <w:iCs w:val="1"/>
          <w:u w:val="single" w:color="auto"/>
          <w:color w:val="auto"/>
        </w:rPr>
        <w:t>Exclusivity Incentive Payments</w:t>
      </w:r>
      <w:r>
        <w:rPr>
          <w:rFonts w:ascii="Times New Roman" w:cs="Times New Roman" w:eastAsia="Times New Roman" w:hAnsi="Times New Roman"/>
          <w:sz w:val="22"/>
          <w:szCs w:val="22"/>
          <w:i w:val="1"/>
          <w:iCs w:val="1"/>
          <w:color w:val="auto"/>
        </w:rPr>
        <w:t>. Exclusivity incentive payments shall consist of the following:”</w:t>
      </w:r>
    </w:p>
    <w:p>
      <w:pPr>
        <w:spacing w:after="0" w:line="210" w:lineRule="exact"/>
        <w:rPr>
          <w:sz w:val="20"/>
          <w:szCs w:val="20"/>
          <w:color w:val="auto"/>
        </w:rPr>
      </w:pPr>
    </w:p>
    <w:p>
      <w:pPr>
        <w:ind w:left="180" w:firstLine="652"/>
        <w:spacing w:after="0" w:line="236" w:lineRule="auto"/>
        <w:tabs>
          <w:tab w:leader="none" w:pos="14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that previously appeared as Section 2.15 of the JV Agreement shall become Section 2.15(a) of the JV Agreement.</w:t>
      </w:r>
    </w:p>
    <w:p>
      <w:pPr>
        <w:spacing w:after="0" w:line="177" w:lineRule="exact"/>
        <w:rPr>
          <w:rFonts w:ascii="Times New Roman" w:cs="Times New Roman" w:eastAsia="Times New Roman" w:hAnsi="Times New Roman"/>
          <w:sz w:val="22"/>
          <w:szCs w:val="22"/>
          <w:color w:val="auto"/>
        </w:rPr>
      </w:pPr>
    </w:p>
    <w:p>
      <w:pPr>
        <w:ind w:left="1420" w:hanging="588"/>
        <w:spacing w:after="0"/>
        <w:tabs>
          <w:tab w:leader="none" w:pos="1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added as a new Section 2.15(b) of the JV Agreement:</w:t>
      </w:r>
    </w:p>
    <w:p>
      <w:pPr>
        <w:spacing w:after="0" w:line="202" w:lineRule="exact"/>
        <w:rPr>
          <w:sz w:val="20"/>
          <w:szCs w:val="20"/>
          <w:color w:val="auto"/>
        </w:rPr>
      </w:pPr>
    </w:p>
    <w:p>
      <w:pPr>
        <w:jc w:val="both"/>
        <w:ind w:left="84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“(b) </w:t>
      </w:r>
      <w:r>
        <w:rPr>
          <w:rFonts w:ascii="Times New Roman" w:cs="Times New Roman" w:eastAsia="Times New Roman" w:hAnsi="Times New Roman"/>
          <w:sz w:val="22"/>
          <w:szCs w:val="22"/>
          <w:i w:val="1"/>
          <w:iCs w:val="1"/>
          <w:u w:val="single" w:color="auto"/>
          <w:color w:val="auto"/>
        </w:rPr>
        <w:t>Additional Exclusivity Incentive Payment</w:t>
      </w:r>
      <w:r>
        <w:rPr>
          <w:rFonts w:ascii="Times New Roman" w:cs="Times New Roman" w:eastAsia="Times New Roman" w:hAnsi="Times New Roman"/>
          <w:sz w:val="22"/>
          <w:szCs w:val="22"/>
          <w:i w:val="1"/>
          <w:iCs w:val="1"/>
          <w:color w:val="auto"/>
        </w:rPr>
        <w:t>. On June 6, 2012, TCFIF shall pay to Toro an Additional Exclusivity Incentive Payment (as defined herein). “Additional Exclusivity Incentive Payment” shall mean an amount equal to:</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The product, rounded to the nearest thousand, of [***].</w:t>
      </w:r>
    </w:p>
    <w:p>
      <w:pPr>
        <w:spacing w:after="0" w:line="206" w:lineRule="exact"/>
        <w:rPr>
          <w:sz w:val="20"/>
          <w:szCs w:val="20"/>
          <w:color w:val="auto"/>
        </w:rPr>
      </w:pPr>
    </w:p>
    <w:p>
      <w:pPr>
        <w:jc w:val="both"/>
        <w:ind w:left="840"/>
        <w:spacing w:after="0" w:line="214" w:lineRule="auto"/>
        <w:rPr>
          <w:sz w:val="20"/>
          <w:szCs w:val="20"/>
          <w:color w:val="auto"/>
        </w:rPr>
      </w:pPr>
      <w:r>
        <w:rPr>
          <w:rFonts w:ascii="Times New Roman" w:cs="Times New Roman" w:eastAsia="Times New Roman" w:hAnsi="Times New Roman"/>
          <w:sz w:val="22"/>
          <w:szCs w:val="22"/>
          <w:i w:val="1"/>
          <w:iCs w:val="1"/>
          <w:color w:val="auto"/>
        </w:rPr>
        <w:t>Such Additional Exclusivity Incentive Payment will be payable in consideration of the continued exclusive relationships among TCFIF, Toro and Red Iron, as described in Section 2.8 hereof, from which TCFIF will continue to derive substantial benefit. If Red Iron shall be dissolved prior to October 31, 2017 pursuant to Section 10.01(a) of the LLC Agreement (with respect to Toro) or pursuant to TCFIF Sub’s election pursuant to Sections 10.01(c), (d), (e), (i), or (j) of the LLC Agreement, then Toro shall remit to TCFIF an amount equal to the product of (i) the Additional Exclusivity Incentive Payment multiplied by (ii) a fraction,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440" w:right="339" w:bottom="1440" w:gutter="0" w:footer="0" w:header="0"/>
        </w:sectPr>
      </w:pPr>
    </w:p>
    <w:bookmarkStart w:id="128" w:name="page129"/>
    <w:bookmarkEnd w:id="128"/>
    <w:p>
      <w:pPr>
        <w:spacing w:after="0" w:line="167" w:lineRule="exact"/>
        <w:rPr>
          <w:sz w:val="20"/>
          <w:szCs w:val="20"/>
          <w:color w:val="auto"/>
        </w:rPr>
      </w:pPr>
    </w:p>
    <w:p>
      <w:pPr>
        <w:jc w:val="both"/>
        <w:ind w:left="1960"/>
        <w:spacing w:after="0" w:line="221" w:lineRule="auto"/>
        <w:rPr>
          <w:sz w:val="20"/>
          <w:szCs w:val="20"/>
          <w:color w:val="auto"/>
        </w:rPr>
      </w:pPr>
      <w:r>
        <w:rPr>
          <w:rFonts w:ascii="Times New Roman" w:cs="Times New Roman" w:eastAsia="Times New Roman" w:hAnsi="Times New Roman"/>
          <w:sz w:val="22"/>
          <w:szCs w:val="22"/>
          <w:i w:val="1"/>
          <w:iCs w:val="1"/>
          <w:color w:val="auto"/>
        </w:rPr>
        <w:t>numerator of which shall be the number of days from the date of dissolution through October 31, 2017, and the denominator of which shall be the total number of days from June 6, 2012 through October 31, 2017. The parties agree that the Additional Exclusivity Incentive Payment is between TCFIF and Toro and shall not be charged as an expense to Red Iron.”</w:t>
      </w:r>
    </w:p>
    <w:p>
      <w:pPr>
        <w:spacing w:after="0" w:line="179" w:lineRule="exact"/>
        <w:rPr>
          <w:sz w:val="20"/>
          <w:szCs w:val="20"/>
          <w:color w:val="auto"/>
        </w:rPr>
      </w:pPr>
    </w:p>
    <w:p>
      <w:pPr>
        <w:jc w:val="both"/>
        <w:ind w:firstLine="656"/>
        <w:spacing w:after="0" w:line="217" w:lineRule="auto"/>
        <w:tabs>
          <w:tab w:leader="none" w:pos="113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JV Agreement; Further References</w:t>
      </w:r>
      <w:r>
        <w:rPr>
          <w:rFonts w:ascii="Times New Roman" w:cs="Times New Roman" w:eastAsia="Times New Roman" w:hAnsi="Times New Roman"/>
          <w:sz w:val="22"/>
          <w:szCs w:val="22"/>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by this Amendment.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0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88265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Thomas J. Larson</w:t>
      </w:r>
    </w:p>
    <w:p>
      <w:pPr>
        <w:spacing w:after="0" w:line="2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Its: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TCF INVENTORY FINANCE,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88265</wp:posOffset>
            </wp:positionV>
            <wp:extent cx="33089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Rosario A Perrelli</w:t>
      </w:r>
    </w:p>
    <w:p>
      <w:pPr>
        <w:spacing w:after="0" w:line="2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Agreement to Form Joint Venture</w:t>
      </w:r>
    </w:p>
    <w:p>
      <w:pPr>
        <w:sectPr>
          <w:pgSz w:w="11900" w:h="16838" w:orient="portrait"/>
          <w:cols w:equalWidth="0" w:num="1">
            <w:col w:w="10680"/>
          </w:cols>
          <w:pgMar w:left="320" w:top="1440" w:right="8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FORM JOINT VENTURE</w:t>
      </w:r>
    </w:p>
    <w:p>
      <w:pPr>
        <w:spacing w:after="0" w:line="200" w:lineRule="exact"/>
        <w:rPr>
          <w:sz w:val="20"/>
          <w:szCs w:val="20"/>
          <w:color w:val="auto"/>
        </w:rPr>
      </w:pPr>
    </w:p>
    <w:p>
      <w:pPr>
        <w:spacing w:after="0" w:line="221" w:lineRule="exact"/>
        <w:rPr>
          <w:sz w:val="20"/>
          <w:szCs w:val="20"/>
          <w:color w:val="auto"/>
        </w:rPr>
      </w:pPr>
    </w:p>
    <w:p>
      <w:pPr>
        <w:jc w:val="both"/>
        <w:ind w:firstLine="931"/>
        <w:spacing w:after="0" w:line="221" w:lineRule="auto"/>
        <w:rPr>
          <w:sz w:val="20"/>
          <w:szCs w:val="20"/>
          <w:color w:val="auto"/>
        </w:rPr>
      </w:pPr>
      <w:r>
        <w:rPr>
          <w:rFonts w:ascii="Times New Roman" w:cs="Times New Roman" w:eastAsia="Times New Roman" w:hAnsi="Times New Roman"/>
          <w:sz w:val="22"/>
          <w:szCs w:val="22"/>
          <w:b w:val="1"/>
          <w:bCs w:val="1"/>
          <w:color w:val="auto"/>
        </w:rPr>
        <w:t>THIS SECOND AMENDMENT TO AGREEMENT TO FORM JOINT VENTURE</w:t>
      </w:r>
      <w:r>
        <w:rPr>
          <w:rFonts w:ascii="Times New Roman" w:cs="Times New Roman" w:eastAsia="Times New Roman" w:hAnsi="Times New Roman"/>
          <w:sz w:val="22"/>
          <w:szCs w:val="22"/>
          <w:color w:val="auto"/>
        </w:rPr>
        <w:t>, dated as of November 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THE TORO COMPANY, a Delaware corporation (“</w:t>
      </w:r>
      <w:r>
        <w:rPr>
          <w:rFonts w:ascii="Times New Roman" w:cs="Times New Roman" w:eastAsia="Times New Roman" w:hAnsi="Times New Roman"/>
          <w:sz w:val="22"/>
          <w:szCs w:val="22"/>
          <w:u w:val="single" w:color="auto"/>
          <w:color w:val="auto"/>
        </w:rPr>
        <w:t>Toro</w:t>
      </w:r>
      <w:r>
        <w:rPr>
          <w:rFonts w:ascii="Times New Roman" w:cs="Times New Roman" w:eastAsia="Times New Roman" w:hAnsi="Times New Roman"/>
          <w:sz w:val="22"/>
          <w:szCs w:val="22"/>
          <w:color w:val="auto"/>
        </w:rPr>
        <w:t>”), and TCF INVENTORY FINANCE, INC., a Minnesota corporation (“</w:t>
      </w:r>
      <w:r>
        <w:rPr>
          <w:rFonts w:ascii="Times New Roman" w:cs="Times New Roman" w:eastAsia="Times New Roman" w:hAnsi="Times New Roman"/>
          <w:sz w:val="22"/>
          <w:szCs w:val="22"/>
          <w:u w:val="single" w:color="auto"/>
          <w:color w:val="auto"/>
        </w:rPr>
        <w:t>TCFIF</w:t>
      </w:r>
      <w:r>
        <w:rPr>
          <w:rFonts w:ascii="Times New Roman" w:cs="Times New Roman" w:eastAsia="Times New Roman" w:hAnsi="Times New Roman"/>
          <w:sz w:val="22"/>
          <w:szCs w:val="22"/>
          <w:color w:val="auto"/>
        </w:rPr>
        <w:t>”). Capitalized terms used herein and not otherwise defined shall have the meanings ascribed thereto in the JV Agreement (as hereinafter defined).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656"/>
        <w:spacing w:after="0" w:line="225" w:lineRule="auto"/>
        <w:tabs>
          <w:tab w:leader="none" w:pos="108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and TCFIF are parties to that certain Agreement to Form Joint Venture, made and entered into as of August 12, 2009, as amended by the First Amendment to Agreement to Form Joint Venture dated as of June 6, 2012 (as so amended, the “</w:t>
      </w:r>
      <w:r>
        <w:rPr>
          <w:rFonts w:ascii="Times New Roman" w:cs="Times New Roman" w:eastAsia="Times New Roman" w:hAnsi="Times New Roman"/>
          <w:sz w:val="22"/>
          <w:szCs w:val="22"/>
          <w:u w:val="single" w:color="auto"/>
          <w:color w:val="auto"/>
        </w:rPr>
        <w:t>JV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JV Agreement as provided herein.</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040" w:hanging="384"/>
        <w:spacing w:after="0"/>
        <w:tabs>
          <w:tab w:leader="none" w:pos="1040"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Changes to Definitions</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010000"/>
        </w:rPr>
      </w:pPr>
    </w:p>
    <w:p>
      <w:pPr>
        <w:ind w:left="2600" w:hanging="648"/>
        <w:spacing w:after="0" w:line="238" w:lineRule="auto"/>
        <w:tabs>
          <w:tab w:leader="none" w:pos="2412" w:val="left"/>
        </w:tabs>
        <w:numPr>
          <w:ilvl w:val="2"/>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Lawn and Garden Products</w:t>
      </w:r>
      <w:r>
        <w:rPr>
          <w:rFonts w:ascii="Times New Roman" w:cs="Times New Roman" w:eastAsia="Times New Roman" w:hAnsi="Times New Roman"/>
          <w:sz w:val="22"/>
          <w:szCs w:val="22"/>
          <w:color w:val="auto"/>
        </w:rPr>
        <w:t>” in Section 1.1 of the JV Agreement is amended and restated in its entirety as follows:</w:t>
      </w:r>
    </w:p>
    <w:p>
      <w:pPr>
        <w:spacing w:after="0" w:line="146" w:lineRule="exact"/>
        <w:rPr>
          <w:sz w:val="20"/>
          <w:szCs w:val="20"/>
          <w:color w:val="auto"/>
        </w:rPr>
      </w:pPr>
    </w:p>
    <w:p>
      <w:pPr>
        <w:jc w:val="both"/>
        <w:ind w:left="2600"/>
        <w:spacing w:after="0" w:line="21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Lawn and Garden Products</w:t>
      </w:r>
      <w:r>
        <w:rPr>
          <w:rFonts w:ascii="Times New Roman" w:cs="Times New Roman" w:eastAsia="Times New Roman" w:hAnsi="Times New Roman"/>
          <w:sz w:val="22"/>
          <w:szCs w:val="22"/>
          <w:i w:val="1"/>
          <w:iCs w:val="1"/>
          <w:color w:val="auto"/>
        </w:rPr>
        <w:t>’ means any one or more of the following: walk power mowers, lawn and garden tractors, zero-turn mowers, mid-size walk-behind and stand-on mowers, large reel and riding rotary mowers, riding and walk-behind mowers for putting greens, snow blowers, debris blowers, trimmers, tillers, sweepers and vacuums, aerators, walk-behind trenchers, turf cultivation equipment, turf sprayer equipment, compact utility loaders, golf course bunker maintenance equipment, irrigation systems, utility vehicles for golf courses, lighting products, snow and ice management products and parts and accessories for any of the foregoing.”</w:t>
      </w:r>
    </w:p>
    <w:p>
      <w:pPr>
        <w:sectPr>
          <w:pgSz w:w="11900" w:h="16838" w:orient="portrait"/>
          <w:cols w:equalWidth="0" w:num="1">
            <w:col w:w="11240"/>
          </w:cols>
          <w:pgMar w:left="320" w:top="98" w:right="339" w:bottom="1440" w:gutter="0" w:footer="0" w:header="0"/>
        </w:sectPr>
      </w:pPr>
    </w:p>
    <w:bookmarkStart w:id="131" w:name="page132"/>
    <w:bookmarkEnd w:id="131"/>
    <w:p>
      <w:pPr>
        <w:ind w:left="1940" w:hanging="648"/>
        <w:spacing w:after="0" w:line="236" w:lineRule="auto"/>
        <w:tabs>
          <w:tab w:leader="none" w:pos="1920"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following defined term is added to Section 1.1 of the JV Agreement so that it appears in alphabetical order:</w:t>
      </w:r>
    </w:p>
    <w:p>
      <w:pPr>
        <w:spacing w:after="0" w:line="146" w:lineRule="exact"/>
        <w:rPr>
          <w:rFonts w:ascii="Times New Roman" w:cs="Times New Roman" w:eastAsia="Times New Roman" w:hAnsi="Times New Roman"/>
          <w:sz w:val="22"/>
          <w:szCs w:val="22"/>
          <w:color w:val="010000"/>
        </w:rPr>
      </w:pPr>
    </w:p>
    <w:p>
      <w:pPr>
        <w:ind w:left="194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Second Additional Exclusivity Incentive Payment</w:t>
      </w:r>
      <w:r>
        <w:rPr>
          <w:rFonts w:ascii="Times New Roman" w:cs="Times New Roman" w:eastAsia="Times New Roman" w:hAnsi="Times New Roman"/>
          <w:sz w:val="22"/>
          <w:szCs w:val="22"/>
          <w:i w:val="1"/>
          <w:iCs w:val="1"/>
          <w:color w:val="auto"/>
        </w:rPr>
        <w:t>” is defined in Section 2.15(c).”</w:t>
      </w:r>
    </w:p>
    <w:p>
      <w:pPr>
        <w:spacing w:after="0" w:line="210" w:lineRule="exact"/>
        <w:rPr>
          <w:rFonts w:ascii="Times New Roman" w:cs="Times New Roman" w:eastAsia="Times New Roman" w:hAnsi="Times New Roman"/>
          <w:sz w:val="22"/>
          <w:szCs w:val="22"/>
          <w:color w:val="010000"/>
        </w:rPr>
      </w:pPr>
    </w:p>
    <w:p>
      <w:pPr>
        <w:ind w:left="1120" w:hanging="476"/>
        <w:spacing w:after="0"/>
        <w:tabs>
          <w:tab w:leader="none" w:pos="1120"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Section 2.4(b) of the JV Agreement is amended and restated in its entirety as follows:</w:t>
      </w:r>
    </w:p>
    <w:p>
      <w:pPr>
        <w:spacing w:after="0" w:line="175"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2"/>
          <w:szCs w:val="22"/>
          <w:i w:val="1"/>
          <w:iCs w:val="1"/>
          <w:color w:val="auto"/>
        </w:rPr>
        <w:t>“(b) If TCFIF has single interest insurance coverage, TCFIF shall arrange for the extension of such single interest insurance coverage to Red Iron’s business. The costs for the extension of TCFIF’s single interest insurance, if any, to Red Iron’s business shall be charged to Red Iron.”</w:t>
      </w:r>
    </w:p>
    <w:p>
      <w:pPr>
        <w:spacing w:after="0" w:line="173" w:lineRule="exact"/>
        <w:rPr>
          <w:sz w:val="20"/>
          <w:szCs w:val="20"/>
          <w:color w:val="auto"/>
        </w:rPr>
      </w:pPr>
    </w:p>
    <w:p>
      <w:pPr>
        <w:ind w:right="20" w:firstLine="644"/>
        <w:spacing w:after="0" w:line="238" w:lineRule="auto"/>
        <w:tabs>
          <w:tab w:leader="none" w:pos="119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Exclusivity Incentive Payment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last paragraph of Section 2.15(b) of the JV Agreement is amended and restated in its entirety as follows:</w:t>
      </w:r>
    </w:p>
    <w:p>
      <w:pPr>
        <w:spacing w:after="0" w:line="173" w:lineRule="exact"/>
        <w:rPr>
          <w:sz w:val="20"/>
          <w:szCs w:val="20"/>
          <w:color w:val="auto"/>
        </w:rPr>
      </w:pPr>
    </w:p>
    <w:p>
      <w:pPr>
        <w:ind w:left="1300" w:right="260"/>
        <w:spacing w:after="0" w:line="221" w:lineRule="auto"/>
        <w:rPr>
          <w:sz w:val="20"/>
          <w:szCs w:val="20"/>
          <w:color w:val="auto"/>
        </w:rPr>
      </w:pPr>
      <w:r>
        <w:rPr>
          <w:rFonts w:ascii="Times New Roman" w:cs="Times New Roman" w:eastAsia="Times New Roman" w:hAnsi="Times New Roman"/>
          <w:sz w:val="21"/>
          <w:szCs w:val="21"/>
          <w:i w:val="1"/>
          <w:iCs w:val="1"/>
          <w:color w:val="auto"/>
        </w:rPr>
        <w:t>“Such Additional Exclusivity Incentive Payment will be payable in consideration of the continued exclusive relationships among TCFIF, Toro and Red Iron, as described in Section 2.8 hereof, from which TCFIF will continue to derive substantial benefit. The parties agree that the Additional Exclusivity Incentive Payment is between TCFIF and Toro and shall not be charged as an expense to Red Iron.”</w:t>
      </w:r>
    </w:p>
    <w:p>
      <w:pPr>
        <w:ind w:left="1120" w:hanging="476"/>
        <w:spacing w:after="0" w:line="217" w:lineRule="auto"/>
        <w:tabs>
          <w:tab w:leader="none" w:pos="1120"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Second Additional Exclusivity Incentive Payment</w:t>
      </w:r>
      <w:r>
        <w:rPr>
          <w:rFonts w:ascii="Times New Roman" w:cs="Times New Roman" w:eastAsia="Times New Roman" w:hAnsi="Times New Roman"/>
          <w:sz w:val="21"/>
          <w:szCs w:val="21"/>
          <w:color w:val="auto"/>
        </w:rPr>
        <w:t>. The following is added as a new Section 2.15(c) of the JV</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Agreement:</w:t>
      </w:r>
    </w:p>
    <w:p>
      <w:pPr>
        <w:spacing w:after="0" w:line="151"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“(c) </w:t>
      </w:r>
      <w:r>
        <w:rPr>
          <w:rFonts w:ascii="Times New Roman" w:cs="Times New Roman" w:eastAsia="Times New Roman" w:hAnsi="Times New Roman"/>
          <w:sz w:val="22"/>
          <w:szCs w:val="22"/>
          <w:i w:val="1"/>
          <w:iCs w:val="1"/>
          <w:u w:val="single" w:color="auto"/>
          <w:color w:val="auto"/>
        </w:rPr>
        <w:t>Second Additional Exclusivity Incentive Payment</w:t>
      </w:r>
      <w:r>
        <w:rPr>
          <w:rFonts w:ascii="Times New Roman" w:cs="Times New Roman" w:eastAsia="Times New Roman" w:hAnsi="Times New Roman"/>
          <w:sz w:val="22"/>
          <w:szCs w:val="22"/>
          <w:i w:val="1"/>
          <w:iCs w:val="1"/>
          <w:color w:val="auto"/>
        </w:rPr>
        <w:t>. On November 30, 2016, TCFIF shall pay to Toro a Second Additional Exclusivity Incentive Payment (as defined herein). “Second Additional Exclusivity Incentive Payment” shall mean an amount equal to [***].</w:t>
      </w:r>
    </w:p>
    <w:p>
      <w:pPr>
        <w:spacing w:after="0" w:line="173" w:lineRule="exact"/>
        <w:rPr>
          <w:sz w:val="20"/>
          <w:szCs w:val="20"/>
          <w:color w:val="auto"/>
        </w:rPr>
      </w:pPr>
    </w:p>
    <w:p>
      <w:pPr>
        <w:jc w:val="both"/>
        <w:ind w:left="1300"/>
        <w:spacing w:after="0" w:line="210" w:lineRule="auto"/>
        <w:rPr>
          <w:sz w:val="20"/>
          <w:szCs w:val="20"/>
          <w:color w:val="auto"/>
        </w:rPr>
      </w:pPr>
      <w:r>
        <w:rPr>
          <w:rFonts w:ascii="Times New Roman" w:cs="Times New Roman" w:eastAsia="Times New Roman" w:hAnsi="Times New Roman"/>
          <w:sz w:val="22"/>
          <w:szCs w:val="22"/>
          <w:i w:val="1"/>
          <w:iCs w:val="1"/>
          <w:color w:val="auto"/>
        </w:rPr>
        <w:t>Such Second Additional Exclusivity Incentive Payment will be payable in consideration of the continued exclusive relationships among TCFIF, Toro and Red Iron, as described in Section 2.8 hereof, from which TCFIF will continue to derive substantial benefit. If Red Iron shall be dissolved prior to October 31, 2024 pursuant to Section 10.01(a) of the LLC Agreement (with respect to Toro) or pursuant to TCFIF Sub’s election pursuant to Sections 10.01(c), (d), (e), (i), or (j) of the LLC Agreement, then Toro shall remit to TCFIF an amount equal to the product of (i) the Second Additional Exclusivity Incentive Payment multiplied by (ii) a fraction, the numerator of which shall be the number of days from the date of dissolution through October 31, 2024, and the denominator of which shall be the total number of days from November 1, 2016 through October 31, 2024. The parties agree that the Second Additional Exclusivity Incentive Payment is between TCFIF and Toro and shall not be charged as an expense to Red Iron.”</w:t>
      </w:r>
    </w:p>
    <w:p>
      <w:pPr>
        <w:spacing w:after="0" w:line="188" w:lineRule="exact"/>
        <w:rPr>
          <w:sz w:val="20"/>
          <w:szCs w:val="20"/>
          <w:color w:val="auto"/>
        </w:rPr>
      </w:pPr>
    </w:p>
    <w:p>
      <w:pPr>
        <w:ind w:left="1100" w:hanging="456"/>
        <w:spacing w:after="0"/>
        <w:tabs>
          <w:tab w:leader="none" w:pos="1100"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Section 7.2 of the JV Agreement is amended and restated in its entirety as follows:</w:t>
      </w:r>
    </w:p>
    <w:p>
      <w:pPr>
        <w:spacing w:after="0" w:line="175"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“7.2 </w:t>
      </w:r>
      <w:r>
        <w:rPr>
          <w:rFonts w:ascii="Times New Roman" w:cs="Times New Roman" w:eastAsia="Times New Roman" w:hAnsi="Times New Roman"/>
          <w:sz w:val="22"/>
          <w:szCs w:val="22"/>
          <w:i w:val="1"/>
          <w:iCs w:val="1"/>
          <w:u w:val="single" w:color="auto"/>
          <w:color w:val="auto"/>
        </w:rPr>
        <w:t>Notices</w:t>
      </w:r>
      <w:r>
        <w:rPr>
          <w:rFonts w:ascii="Times New Roman" w:cs="Times New Roman" w:eastAsia="Times New Roman" w:hAnsi="Times New Roman"/>
          <w:sz w:val="22"/>
          <w:szCs w:val="22"/>
          <w:i w:val="1"/>
          <w:iCs w:val="1"/>
          <w:color w:val="auto"/>
        </w:rPr>
        <w:t>. Notices and all other communication provided for herein shall be in writing and shall be deemed to have been given to a Party at the earlier of (a) when personally delivered or (b) one business day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0"/>
          </w:cols>
          <w:pgMar w:left="980" w:top="1395"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2"/>
          <w:szCs w:val="22"/>
          <w:i w:val="1"/>
          <w:iCs w:val="1"/>
          <w:color w:val="auto"/>
        </w:rPr>
        <w:t>deposit with a national overnight courier service; in each case addressed as follows:</w:t>
      </w:r>
    </w:p>
    <w:p>
      <w:pPr>
        <w:spacing w:after="0" w:line="197" w:lineRule="exact"/>
        <w:rPr>
          <w:sz w:val="20"/>
          <w:szCs w:val="20"/>
          <w:color w:val="auto"/>
        </w:rPr>
      </w:pPr>
    </w:p>
    <w:p>
      <w:pPr>
        <w:ind w:left="2600"/>
        <w:spacing w:after="0"/>
        <w:tabs>
          <w:tab w:leader="none" w:pos="4140" w:val="left"/>
        </w:tabs>
        <w:rPr>
          <w:sz w:val="20"/>
          <w:szCs w:val="20"/>
          <w:color w:val="auto"/>
        </w:rPr>
      </w:pPr>
      <w:r>
        <w:rPr>
          <w:rFonts w:ascii="Times New Roman" w:cs="Times New Roman" w:eastAsia="Times New Roman" w:hAnsi="Times New Roman"/>
          <w:sz w:val="22"/>
          <w:szCs w:val="22"/>
          <w:i w:val="1"/>
          <w:iCs w:val="1"/>
          <w:color w:val="auto"/>
        </w:rPr>
        <w:t>If to TCFIF:</w:t>
      </w:r>
      <w:r>
        <w:rPr>
          <w:sz w:val="20"/>
          <w:szCs w:val="20"/>
          <w:color w:val="auto"/>
        </w:rPr>
        <w:tab/>
      </w:r>
      <w:r>
        <w:rPr>
          <w:rFonts w:ascii="Times New Roman" w:cs="Times New Roman" w:eastAsia="Times New Roman" w:hAnsi="Times New Roman"/>
          <w:sz w:val="21"/>
          <w:szCs w:val="21"/>
          <w:i w:val="1"/>
          <w:iCs w:val="1"/>
          <w:color w:val="auto"/>
        </w:rPr>
        <w:t>TCF Inventory Finance, Inc.</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1475 E. Woodfield Road, Suite 1100</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Schaumburg, IL 60173</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Chief Legal Counsel</w:t>
      </w:r>
    </w:p>
    <w:p>
      <w:pPr>
        <w:spacing w:after="0" w:line="1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With copies to:</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TCF National Bank</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200 E. Lake Street</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Wayzata, MN 55391</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General Counsel</w:t>
      </w:r>
    </w:p>
    <w:p>
      <w:pPr>
        <w:spacing w:after="0" w:line="1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and</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Faegre Baker Daniels LLP</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2200 Wells Fargo Center</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90 South Seventh Street</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Minneapolis, MN 55402</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Kate Sherburne</w:t>
      </w:r>
    </w:p>
    <w:p>
      <w:pPr>
        <w:spacing w:after="0" w:line="142"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22"/>
          <w:szCs w:val="22"/>
          <w:i w:val="1"/>
          <w:iCs w:val="1"/>
          <w:color w:val="auto"/>
        </w:rPr>
        <w:t>If to Toro:</w:t>
      </w:r>
      <w:r>
        <w:rPr>
          <w:sz w:val="20"/>
          <w:szCs w:val="20"/>
          <w:color w:val="auto"/>
        </w:rPr>
        <w:tab/>
      </w:r>
      <w:r>
        <w:rPr>
          <w:rFonts w:ascii="Times New Roman" w:cs="Times New Roman" w:eastAsia="Times New Roman" w:hAnsi="Times New Roman"/>
          <w:sz w:val="21"/>
          <w:szCs w:val="21"/>
          <w:i w:val="1"/>
          <w:iCs w:val="1"/>
          <w:color w:val="auto"/>
        </w:rPr>
        <w:t>The Toro Company</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8111 Lyndale Avenue South</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Bloomington, MN 55420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Treasurer</w:t>
      </w:r>
    </w:p>
    <w:p>
      <w:pPr>
        <w:spacing w:after="0" w:line="1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With copies to:</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The Toro Company</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8111 Lyndale Avenue South</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Bloomington, MN 55420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General Counsel</w:t>
      </w:r>
    </w:p>
    <w:p>
      <w:pPr>
        <w:spacing w:after="0" w:line="1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i w:val="1"/>
          <w:iCs w:val="1"/>
          <w:color w:val="auto"/>
        </w:rPr>
        <w:t>and</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Fox Rothschild LLP</w:t>
      </w:r>
    </w:p>
    <w:p>
      <w:pPr>
        <w:ind w:left="3240"/>
        <w:spacing w:after="0" w:line="204" w:lineRule="auto"/>
        <w:rPr>
          <w:sz w:val="20"/>
          <w:szCs w:val="20"/>
          <w:color w:val="auto"/>
        </w:rPr>
      </w:pPr>
      <w:r>
        <w:rPr>
          <w:rFonts w:ascii="Times New Roman" w:cs="Times New Roman" w:eastAsia="Times New Roman" w:hAnsi="Times New Roman"/>
          <w:sz w:val="22"/>
          <w:szCs w:val="22"/>
          <w:i w:val="1"/>
          <w:iCs w:val="1"/>
          <w:color w:val="auto"/>
        </w:rPr>
        <w:t>Campbell Mithun Tower – Suite 2000</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222 South Ninth St.</w:t>
      </w:r>
    </w:p>
    <w:p>
      <w:pPr>
        <w:ind w:left="3240"/>
        <w:spacing w:after="0" w:line="205" w:lineRule="auto"/>
        <w:rPr>
          <w:sz w:val="20"/>
          <w:szCs w:val="20"/>
          <w:color w:val="auto"/>
        </w:rPr>
      </w:pPr>
      <w:r>
        <w:rPr>
          <w:rFonts w:ascii="Times New Roman" w:cs="Times New Roman" w:eastAsia="Times New Roman" w:hAnsi="Times New Roman"/>
          <w:sz w:val="22"/>
          <w:szCs w:val="22"/>
          <w:i w:val="1"/>
          <w:iCs w:val="1"/>
          <w:color w:val="auto"/>
        </w:rPr>
        <w:t>Minneapolis, MN 55402</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Attention: C. Robert Beattie, Esq.</w:t>
      </w:r>
    </w:p>
    <w:p>
      <w:pPr>
        <w:spacing w:after="0" w:line="178" w:lineRule="exact"/>
        <w:rPr>
          <w:sz w:val="20"/>
          <w:szCs w:val="20"/>
          <w:color w:val="auto"/>
        </w:rPr>
      </w:pPr>
    </w:p>
    <w:p>
      <w:pPr>
        <w:ind w:left="1960"/>
        <w:spacing w:after="0" w:line="238" w:lineRule="auto"/>
        <w:rPr>
          <w:sz w:val="20"/>
          <w:szCs w:val="20"/>
          <w:color w:val="auto"/>
        </w:rPr>
      </w:pPr>
      <w:r>
        <w:rPr>
          <w:rFonts w:ascii="Times New Roman" w:cs="Times New Roman" w:eastAsia="Times New Roman" w:hAnsi="Times New Roman"/>
          <w:sz w:val="22"/>
          <w:szCs w:val="22"/>
          <w:i w:val="1"/>
          <w:iCs w:val="1"/>
          <w:color w:val="auto"/>
        </w:rPr>
        <w:t>or to such other address as either Party hereto may have furnished to the other Party hereto in writing in accordance herewith, except that notices of change of address shall be effective only upon receipt.”</w:t>
      </w:r>
    </w:p>
    <w:p>
      <w:pPr>
        <w:spacing w:after="0" w:line="177" w:lineRule="exact"/>
        <w:rPr>
          <w:sz w:val="20"/>
          <w:szCs w:val="20"/>
          <w:color w:val="auto"/>
        </w:rPr>
      </w:pPr>
    </w:p>
    <w:p>
      <w:pPr>
        <w:jc w:val="both"/>
        <w:ind w:firstLine="656"/>
        <w:spacing w:after="0" w:line="217" w:lineRule="auto"/>
        <w:tabs>
          <w:tab w:leader="none" w:pos="1147"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Affirmation of JV Agreement; Further References</w:t>
      </w:r>
      <w:r>
        <w:rPr>
          <w:rFonts w:ascii="Times New Roman" w:cs="Times New Roman" w:eastAsia="Times New Roman" w:hAnsi="Times New Roman"/>
          <w:sz w:val="22"/>
          <w:szCs w:val="22"/>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through this Amendment.</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90" w:right="339" w:bottom="1440" w:gutter="0" w:footer="0" w:header="0"/>
          <w:type w:val="continuous"/>
        </w:sectPr>
      </w:pPr>
    </w:p>
    <w:bookmarkStart w:id="133" w:name="page134"/>
    <w:bookmarkEnd w:id="133"/>
    <w:p>
      <w:pPr>
        <w:jc w:val="both"/>
        <w:ind w:firstLine="656"/>
        <w:spacing w:after="0" w:line="217" w:lineRule="auto"/>
        <w:tabs>
          <w:tab w:leader="none" w:pos="1053"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120"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4" w:right="339" w:bottom="1440" w:gutter="0" w:footer="0" w:header="0"/>
        </w:sectPr>
      </w:pPr>
    </w:p>
    <w:bookmarkStart w:id="134" w:name="page135"/>
    <w:bookmarkEnd w:id="134"/>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236" w:lineRule="exact"/>
        <w:rPr>
          <w:sz w:val="20"/>
          <w:szCs w:val="20"/>
          <w:color w:val="auto"/>
        </w:rPr>
      </w:pPr>
    </w:p>
    <w:p>
      <w:pPr>
        <w:ind w:left="1740"/>
        <w:spacing w:after="0"/>
        <w:tabs>
          <w:tab w:leader="none" w:pos="2300" w:val="left"/>
        </w:tabs>
        <w:rPr>
          <w:sz w:val="20"/>
          <w:szCs w:val="20"/>
          <w:color w:val="auto"/>
        </w:rPr>
      </w:pPr>
      <w:r>
        <w:rPr>
          <w:rFonts w:ascii="Times New Roman" w:cs="Times New Roman" w:eastAsia="Times New Roman" w:hAnsi="Times New Roman"/>
          <w:sz w:val="22"/>
          <w:szCs w:val="22"/>
          <w:color w:val="auto"/>
        </w:rPr>
        <w:t>By:</w:t>
        <w:tab/>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-5715</wp:posOffset>
            </wp:positionV>
            <wp:extent cx="1821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ind w:left="1740"/>
        <w:spacing w:after="0" w:line="204" w:lineRule="auto"/>
        <w:rPr>
          <w:sz w:val="20"/>
          <w:szCs w:val="20"/>
          <w:color w:val="auto"/>
        </w:rPr>
      </w:pPr>
      <w:r>
        <w:rPr>
          <w:rFonts w:ascii="Times New Roman" w:cs="Times New Roman" w:eastAsia="Times New Roman" w:hAnsi="Times New Roman"/>
          <w:sz w:val="22"/>
          <w:szCs w:val="22"/>
          <w:color w:val="auto"/>
        </w:rPr>
        <w:t>Name: Renee J. Peterson</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Vice President, Treasurer and Chief Financial Officer</w:t>
      </w:r>
    </w:p>
    <w:p>
      <w:pPr>
        <w:spacing w:after="0" w:line="200" w:lineRule="exact"/>
        <w:rPr>
          <w:sz w:val="20"/>
          <w:szCs w:val="20"/>
          <w:color w:val="auto"/>
        </w:rPr>
      </w:pP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TCF INVENTORY FINANCE, INC.</w:t>
      </w:r>
    </w:p>
    <w:p>
      <w:pPr>
        <w:spacing w:after="0" w:line="200" w:lineRule="exact"/>
        <w:rPr>
          <w:sz w:val="20"/>
          <w:szCs w:val="20"/>
          <w:color w:val="auto"/>
        </w:rPr>
      </w:pPr>
    </w:p>
    <w:p>
      <w:pPr>
        <w:spacing w:after="0" w:line="236" w:lineRule="exact"/>
        <w:rPr>
          <w:sz w:val="20"/>
          <w:szCs w:val="20"/>
          <w:color w:val="auto"/>
        </w:rPr>
      </w:pPr>
    </w:p>
    <w:p>
      <w:pPr>
        <w:ind w:left="1740"/>
        <w:spacing w:after="0"/>
        <w:tabs>
          <w:tab w:leader="none" w:pos="2300" w:val="left"/>
        </w:tabs>
        <w:rPr>
          <w:sz w:val="20"/>
          <w:szCs w:val="20"/>
          <w:color w:val="auto"/>
        </w:rPr>
      </w:pPr>
      <w:r>
        <w:rPr>
          <w:rFonts w:ascii="Times New Roman" w:cs="Times New Roman" w:eastAsia="Times New Roman" w:hAnsi="Times New Roman"/>
          <w:sz w:val="22"/>
          <w:szCs w:val="22"/>
          <w:color w:val="auto"/>
        </w:rPr>
        <w:t>By:</w:t>
        <w:tab/>
        <w:t>/s/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-5715</wp:posOffset>
            </wp:positionV>
            <wp:extent cx="18821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1882140" cy="8890"/>
                    </a:xfrm>
                    <a:prstGeom prst="rect">
                      <a:avLst/>
                    </a:prstGeom>
                    <a:noFill/>
                  </pic:spPr>
                </pic:pic>
              </a:graphicData>
            </a:graphic>
          </wp:anchor>
        </w:drawing>
      </w:r>
    </w:p>
    <w:p>
      <w:pPr>
        <w:ind w:left="174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Its: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Second Amendment to Agreement to Form Joint Venture)</w:t>
      </w:r>
    </w:p>
    <w:p>
      <w:pPr>
        <w:sectPr>
          <w:pgSz w:w="11900" w:h="16838" w:orient="portrait"/>
          <w:cols w:equalWidth="0" w:num="1">
            <w:col w:w="11220"/>
          </w:cols>
          <w:pgMar w:left="320" w:top="1394" w:right="3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1434465</wp:posOffset>
            </wp:positionV>
            <wp:extent cx="67462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 IRON ACCEPTANCE,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2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RED IRON HOLDING CORPORATION</w:t>
      </w:r>
    </w:p>
    <w:p>
      <w:pPr>
        <w:spacing w:after="0" w:line="1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jc w:val="center"/>
        <w:spacing w:after="0"/>
        <w:rPr>
          <w:sz w:val="20"/>
          <w:szCs w:val="20"/>
          <w:color w:val="auto"/>
        </w:rPr>
      </w:pPr>
      <w:r>
        <w:rPr>
          <w:rFonts w:ascii="Times New Roman" w:cs="Times New Roman" w:eastAsia="Times New Roman" w:hAnsi="Times New Roman"/>
          <w:sz w:val="22"/>
          <w:szCs w:val="22"/>
          <w:b w:val="1"/>
          <w:bCs w:val="1"/>
          <w:color w:val="auto"/>
        </w:rPr>
        <w:t>TCFIF JOINT VENTURE I, LLC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August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67462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ectPr>
          <w:pgSz w:w="11900" w:h="16838" w:orient="portrait"/>
          <w:cols w:equalWidth="0" w:num="1">
            <w:col w:w="11240"/>
          </w:cols>
          <w:pgMar w:left="320" w:top="98" w:right="339" w:bottom="1440" w:gutter="0" w:footer="0" w:header="0"/>
        </w:sectPr>
      </w:pPr>
    </w:p>
    <w:bookmarkStart w:id="136" w:name="page137"/>
    <w:bookmarkEnd w:id="136"/>
    <w:p>
      <w:pPr>
        <w:ind w:left="484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2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29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I ORGANIZATION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 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 NAME AND OFFICE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1.03 PURPOSE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1.04 TERM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II CAPITAL STRUCTURE AND CONTRIBUTIONS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2.01 AUTHORIZED 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2.02 INITIAL CAPITAL CONTRIBUTIONS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2.03 PURCHASE CAPITAL CONTRIBUTIONS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2.04 ADDITIONAL CAPITAL CONTRIBUTIONS/LOANS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16"/>
        </w:trPr>
        <w:tc>
          <w:tcPr>
            <w:tcW w:w="872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2.05 CONSEQUENCES OF FAILURE TO PROVIDE CAPITAL</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CONTRIBUTIONS</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2.06 NO INTEREST ON CAPITAL CONTRIBUTIONS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2.07 CAPITAL ACCOUNTS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III REPRESENTATIONS AND WARRANTIES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3.01 TORO SUB REPRESENTATIONS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3.02 TCFIF SUB REPRESENTATIONS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3.03 SURVIVAL</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IV DISTRIBUTIONS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4.01 DISTRIBUTIONS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V ALLOCATIONS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5.01 NET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5.02 NET LOSSES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5.03 REGULATORY ALLOCATIONS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5.04 CURATIVE ALLOCATIONS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5.05 TAX ALLOCATIONS.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5.06 OTHER ALLOCATION RULES.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5.07 TAX DECISIONS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5.08 CERTAIN 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VI MANAGEMENT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6.01 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6.02 MANAGEMENT COMMITTEE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6.03 GENERAL MANAGER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6.04 REQUIRED APPROVALS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6.05 CONSENTS AND APPROVALS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VII ADDITIONAL AGREEMENTS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7.01 CONDUCT OF BUSINESS; NO EMPLOYEES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7.02 TECHNOLOGY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7.03 TRADE NAMES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82"/>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7.04 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bl>
    <w:p>
      <w:pPr>
        <w:sectPr>
          <w:pgSz w:w="11900" w:h="16838" w:orient="portrait"/>
          <w:cols w:equalWidth="0" w:num="1">
            <w:col w:w="10119"/>
          </w:cols>
          <w:pgMar w:left="340" w:top="341" w:right="1440" w:bottom="1440" w:gutter="0" w:footer="0" w:header="0"/>
        </w:sectPr>
      </w:pPr>
    </w:p>
    <w:bookmarkStart w:id="137" w:name="page138"/>
    <w:bookmarkEnd w:id="137"/>
    <w:p>
      <w:pPr>
        <w:ind w:left="484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2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29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7.05 CONFIDENTIALITY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7.06 PUBLICITY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7.07 DISPUTE RESOLUTION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7.08 ALTERNATE DISPUTE RESOLUTION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VIII BOOKS AND RECORDS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8.01 BANK ACCOUNTS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8.02 BOOKS OF ACCOUNT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8.03 REGISTERED INDEPENDENT PUBLIC ACCOUNTING FIRM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IX TRANSFER OF MEMBER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9.01 NO TRANSFER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9.02 NEW 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16"/>
        </w:trPr>
        <w:tc>
          <w:tcPr>
            <w:tcW w:w="872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9.03 TORO SUB PURCHASE OPTION. TORO SUB SHALL HAVE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OPTION TO PURCHASE ALL, BUT NOT LESS THAN ALL, OF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SHARES OWNED BY TCFIF SUB OR ITS TRANSFEREES ON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CLOSING DATE (AS HEREINAFTER DEFINED), AT THE END OF</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THE INITIAL TERM OR THE NEXT SUCCEEDING ADDITIONAL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TERM  (THE  “END  OF  TERM  OPTION”),  OR  UPON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TERMINATION OF THE COMPANY PURSUANT TO SECTION 10.01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(OTHER THAN PURSUANT TO SECTION 10.01(F) OR (G))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“TERMINATION EVENT OPTION” AND COLLECTIVELY WITH</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THE  END  OF  TERM  OPTION,  THE  “TORO  SUB  PURCHASE</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87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OPTION”), IN EACH CASE PURSUANT TO THIS SECTION 9.03.</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X 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10.01 DISSOLUTION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10.02 TERMINATION PAYMENT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10.03 DISTRIBUTIONS UPON DISSOLUTION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10.04 TIME FOR LIQUIDATION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16"/>
        </w:trPr>
        <w:tc>
          <w:tcPr>
            <w:tcW w:w="872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10.05  MEMBERS  NOT  PERSONALLY  LIABLE  FOR  RETURN  OF</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87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CAPITAL CONTRIBUTIONS</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10.06 FINAL ACCOUNTING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10.07 CANCELLATION OF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22"/>
                <w:szCs w:val="22"/>
                <w:color w:val="auto"/>
              </w:rPr>
              <w:t>SECTION XI MISCELLANEOUS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11.01 FURTHER ASSURANCES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11.02 INDEMNITIES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11.03 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11.04 GOVERNING LAW; JURISDICTION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11.05 HEADINGS; SECTION AND ARTICLE REFERENCES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11.06 NO THIRD-PARTY BENEFICIARIES; NO PARTNERSHIP</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11.07 EXTENSION NOT A WAIVER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82"/>
        </w:trPr>
        <w:tc>
          <w:tcPr>
            <w:tcW w:w="8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11.08 SEVERABILITY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19"/>
          </w:cols>
          <w:pgMar w:left="340" w:top="341" w:right="1440" w:bottom="1440" w:gutter="0" w:footer="0" w:header="0"/>
        </w:sectPr>
      </w:pPr>
    </w:p>
    <w:bookmarkStart w:id="138" w:name="page139"/>
    <w:bookmarkEnd w:id="138"/>
    <w:p>
      <w:pPr>
        <w:ind w:left="47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0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9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11.09 ASSIGNMENT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11.10 CONSENTS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11.11 DISCLAIMER OF AGENCY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11.12 COUNTERPARTS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11.13 PERSON DEFINED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11.14 NO ASSUMPTION IN DRAFTING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11.15 WAIVER OF JURY TRIAL</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11.16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2"/>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11.17 ENTIRE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9999"/>
          </w:cols>
          <w:pgMar w:left="460" w:top="341" w:right="1440" w:bottom="1440" w:gutter="0" w:footer="0" w:header="0"/>
        </w:sectPr>
      </w:pPr>
    </w:p>
    <w:bookmarkStart w:id="139" w:name="page140"/>
    <w:bookmarkEnd w:id="139"/>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THIS LIMITED LIABILITY COMPANY AGREEMENT (this “Agreement”) of Red Iron Acceptance, LLC, a Delaware limited liability company (the “Company”), made as of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August, 2009, by and between Red Iron Holding Corporation, a Delaware corporation (“Toro Sub”), and TCFIF Joint Venture I, LLC, a Minnesota limited liability company (“TCFIF Sub”) (each individually, a “Member” and, collectively, the “Members”).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WHEREAS, the Members desire to form a limited liability company in accordance with the provisions of the Delaware Limited Liability Company Act, as amended from time to time, and any successor statute (the “Act”), for the ownership and operation of a commercial inventory finance business, including floorplan financing and open account inventory financing, supporting the business of The Toro Company, a Delaware corporation (“Toro”), and its Affiliates (as defined below) within the United States and Canada; and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Members desire to enter into a written agreement pursuant to the Act governing the affairs of the Company and the conduct of its business. Accordingly, in consideration of the mutual covenants contained herein, the Members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w:t>
      </w:r>
    </w:p>
    <w:p>
      <w:pPr>
        <w:jc w:val="center"/>
        <w:spacing w:after="0"/>
        <w:rPr>
          <w:sz w:val="20"/>
          <w:szCs w:val="20"/>
          <w:color w:val="auto"/>
        </w:rPr>
      </w:pPr>
      <w:r>
        <w:rPr>
          <w:rFonts w:ascii="Times New Roman" w:cs="Times New Roman" w:eastAsia="Times New Roman" w:hAnsi="Times New Roman"/>
          <w:sz w:val="22"/>
          <w:szCs w:val="22"/>
          <w:b w:val="1"/>
          <w:bCs w:val="1"/>
          <w:color w:val="auto"/>
        </w:rPr>
        <w:t>ORGANIZATION</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Formation</w:t>
      </w:r>
      <w:r>
        <w:rPr>
          <w:rFonts w:ascii="Times New Roman" w:cs="Times New Roman" w:eastAsia="Times New Roman" w:hAnsi="Times New Roman"/>
          <w:sz w:val="22"/>
          <w:szCs w:val="22"/>
          <w:color w:val="auto"/>
        </w:rPr>
        <w:t>. The Members have formed the Company as a limited liability company pursuant to the provisions of the Act. A Certificate of Formation for the Company has been filed in the Office of the Secretary of State of the State of Delaware in conformity with the Act. Each of the Members hereby ratifies the actions taken by or on behalf of the Company prior to the Formation Date (as defined in Section 1.04), as described in the preceding sentence. The Company and, if required, each of the Members shall execute or cause to be executed from time to time all other instruments, certificates, notices and documents and shall do or cause to be done all such acts and things (including keeping books and records and making publications or periodic filings) as may now or hereafter be required for the formation, valid existence and, when appropriate, termination of the Company as a limited liability company under the laws of the State of Delaware. In connection with the organization of the Company, the Members and certain of their respective Affiliates have entered into, are entering into contemporaneously with this Agreement or will enter into, the following ancillary agreements:</w:t>
      </w:r>
    </w:p>
    <w:p>
      <w:pPr>
        <w:spacing w:after="0" w:line="152" w:lineRule="exact"/>
        <w:rPr>
          <w:sz w:val="20"/>
          <w:szCs w:val="20"/>
          <w:color w:val="auto"/>
        </w:rPr>
      </w:pPr>
    </w:p>
    <w:p>
      <w:pPr>
        <w:ind w:firstLine="1304"/>
        <w:spacing w:after="0" w:line="236" w:lineRule="auto"/>
        <w:tabs>
          <w:tab w:leader="none" w:pos="183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Agreement to Form Joint Venture between Toro and TCF Inventory Finance, Inc. (“TCFIF”) dated as of the date hereof (the “Joint Venture Agreement”);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3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Credit and Security Agreement between the Company and TCFIF dated as of the date hereof (the “Credit Agreement”);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78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Services Agreement between the Company and TCFIF dated as of the date hereof (the “TCFIF Services Agreement”);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7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Services Agreement between the Company and Toro dated as of the date hereof (the “Toro Services Agreement” and, together with the TCFIF Services Agreement, the “Services Agreements”);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82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Repurchase Agreement between Toro and the Company in substantially the form set forth on Exhibit B attached to the Joint Venture Agreement;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7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Receivable Purchase Agreements among Toro Credit Company, Toro or any other Affiliate of Toro and the Company in substantially the form set</w:t>
      </w:r>
    </w:p>
    <w:p>
      <w:pPr>
        <w:sectPr>
          <w:pgSz w:w="11900" w:h="16838" w:orient="portrait"/>
          <w:cols w:equalWidth="0" w:num="1">
            <w:col w:w="11240"/>
          </w:cols>
          <w:pgMar w:left="320" w:top="139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forth in Exhibit C attached to the Joint Venture Agreement (each, a “Receivable Purchase Agreement”);</w:t>
      </w:r>
    </w:p>
    <w:p>
      <w:pPr>
        <w:spacing w:after="0" w:line="179" w:lineRule="exact"/>
        <w:rPr>
          <w:sz w:val="20"/>
          <w:szCs w:val="20"/>
          <w:color w:val="auto"/>
        </w:rPr>
      </w:pPr>
    </w:p>
    <w:p>
      <w:pPr>
        <w:ind w:left="1760" w:hanging="456"/>
        <w:spacing w:after="0"/>
        <w:tabs>
          <w:tab w:leader="none" w:pos="1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Program Letter between Toro and the Company dated as of the date hereof;</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76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Trademark License Agreements among Toro and/or an Affiliate of Toro and the Company dated as of the date hereof (the “Trademark License Agreement”);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7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Performance Assurance Agreement made by TCF National Bank for the benefit of Toro and Toro Sub dated as of the date 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collectively, with this Agreement, all such documents, the “Definitive Agreements.”</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“Affiliate”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Name and Office</w:t>
      </w:r>
      <w:r>
        <w:rPr>
          <w:rFonts w:ascii="Times New Roman" w:cs="Times New Roman" w:eastAsia="Times New Roman" w:hAnsi="Times New Roman"/>
          <w:sz w:val="21"/>
          <w:szCs w:val="21"/>
          <w:color w:val="auto"/>
        </w:rPr>
        <w:t>. The name of the Company shall be “Red Iron Acceptance, LLC.” All business of the Company shall be carried on in this name, with such variations and changes as the Management Committee (as defined in Section 6.02(a)) in its sole judgment deems necessary or appropriate to comply with requirements of the jurisdictions in which the Company’s operations are conducted, and all title to all property, real, personal, or mixed, owned by or leased to the Company shall be held in such name. The registered office and registered agent of the Company shall be The Corporation Trust Company, 1209 Orange Street, Wilmington, Delaware 19801, or such other office or agent as determined by the Management Committee. The principal offices and place of business of the Company shall be in Hoffman Estates, Illinois with an operations office in Bloomington, Minnesota or, in either case, such other place or places as the Management Committee may from time to time direct.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Purpose.</w:t>
      </w:r>
    </w:p>
    <w:p>
      <w:pPr>
        <w:spacing w:after="0" w:line="179" w:lineRule="exact"/>
        <w:rPr>
          <w:sz w:val="20"/>
          <w:szCs w:val="20"/>
          <w:color w:val="auto"/>
        </w:rPr>
      </w:pPr>
    </w:p>
    <w:p>
      <w:pPr>
        <w:jc w:val="both"/>
        <w:ind w:firstLine="1304"/>
        <w:spacing w:after="0" w:line="212" w:lineRule="auto"/>
        <w:tabs>
          <w:tab w:leader="none" w:pos="180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formed for the following purposes: (i) subject to the terms of this Agreement, to own and operate a commercial inventory finance business to provide floor plan and open account financing to dealers and distributors of products, including parts, accessories, software and software updates to support equipment or services, advertising materials, advertising placements, training materials, point of sale or merchandising materials, extended service contracts, licenses for scheduling software and online services; (ii) to manage, own, supervise and dispose of the assets associated with the business referred to in the preceding clause (i); and (iii) to engage in any activities or transactions necessary or desirable to accomplish the foregoing purposes and to do any other act or thing incidental or ancillary thereto. The Company’s business referred to in the preceding clauses (i) through (iii) is referred to herein as the “Business.”</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85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without the prior written consent of all the Members, engage in any business or activity other than the Business and those activities that are necessary or advisable to carry out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4" w:right="339" w:bottom="1440" w:gutter="0" w:footer="0" w:header="0"/>
        </w:sectPr>
      </w:pPr>
    </w:p>
    <w:bookmarkStart w:id="141" w:name="page142"/>
    <w:bookmarkEnd w:id="141"/>
    <w:p>
      <w:pPr>
        <w:jc w:val="both"/>
        <w:ind w:firstLine="1304"/>
        <w:spacing w:after="0" w:line="225" w:lineRule="auto"/>
        <w:tabs>
          <w:tab w:leader="none" w:pos="17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shall restrict its business to its ownership of its interest in the Company and related activities. Each Member’s Affiliates (exclusive of the Company), may, at any time and from time to time, engage in and pursue other business ventures.</w:t>
      </w:r>
    </w:p>
    <w:p>
      <w:pPr>
        <w:spacing w:after="0" w:line="15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Subject to the provisions of Article X below, the initial term of the Company shall commence on the date first written above (the “Formation Date”), shall continue until October 31, 2014 (the “Initial Term”), and thereafter shall be extended automatically for additional two-year terms (each, an “Additional Term”)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II</w:t>
      </w:r>
    </w:p>
    <w:p>
      <w:pPr>
        <w:jc w:val="center"/>
        <w:spacing w:after="0"/>
        <w:rPr>
          <w:sz w:val="20"/>
          <w:szCs w:val="20"/>
          <w:color w:val="auto"/>
        </w:rPr>
      </w:pPr>
      <w:r>
        <w:rPr>
          <w:rFonts w:ascii="Times New Roman" w:cs="Times New Roman" w:eastAsia="Times New Roman" w:hAnsi="Times New Roman"/>
          <w:sz w:val="22"/>
          <w:szCs w:val="22"/>
          <w:b w:val="1"/>
          <w:bCs w:val="1"/>
          <w:color w:val="auto"/>
        </w:rPr>
        <w:t>CAPITAL STRUCTURE AND CONTRIBUTIONS</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Subject to the terms of this Agreement, the Company is authorized to issue equity interests in the Company designated as “Shares,” which shall constitute limited liability company interests under the Act; unless otherwise determined by the Management Committee, Shares shall not be certificated. The total number of Shares which the Company shall have authority to issue is one hundred (100). All Shares shall be identical to each other in all respects. On the Formation Date, forty-five (45) Shares shall be issued to Toro Sub and fifty-five (55) Shares shall be issued to TCFIF Sub. For purposes of this Agreement, a Member’s “Percentage Interest” shall mean the number of outstanding Shares of such Member divided by the total number of issued and outstanding Shares.</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Initial Capital Contributions</w:t>
      </w:r>
      <w:r>
        <w:rPr>
          <w:rFonts w:ascii="Times New Roman" w:cs="Times New Roman" w:eastAsia="Times New Roman" w:hAnsi="Times New Roman"/>
          <w:sz w:val="22"/>
          <w:szCs w:val="22"/>
          <w:color w:val="auto"/>
        </w:rPr>
        <w:t>. On the business day immediately following the Formation Date, each Member shall contribute to the capital of the Company (the “Initial Capital Contributions”) cash in an amount set forth after each Member’s name on Schedule 2.02. To the extent the Company requires additional capital prior to closing by the Company of the purchase under the initial Receivable Purchase Agreement and the Members approve such a capital contribution, Toro Sub shall contribute forty-five percent (45%) of such required capital contribution and TCFIF Sub shall contribute fifty-five percent (55%) of such required capital contribution.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Purchase Capital Contributions</w:t>
      </w:r>
      <w:r>
        <w:rPr>
          <w:rFonts w:ascii="Times New Roman" w:cs="Times New Roman" w:eastAsia="Times New Roman" w:hAnsi="Times New Roman"/>
          <w:sz w:val="22"/>
          <w:szCs w:val="22"/>
          <w:color w:val="auto"/>
        </w:rPr>
        <w:t>. On the date the Company makes the initial purchase pursuant to the terms of the initial Receivable Purchase Agreement, each Member shall contribute to the capital of the Company (a “Purchase Capital Contribution”) cash in the amount equal to the sum of [***]. For purposes of this Agreement, “Total Tangible Assets of the Company” shall mean the remainder of (a) the total assets of the Company minus (b) all intangible assets of the Company to the extent included in calculating total assets in clause (a), all as determined in accordance with GAAP.</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Additional Capital Contributions/Loans</w:t>
      </w:r>
      <w:r>
        <w:rPr>
          <w:rFonts w:ascii="Times New Roman" w:cs="Times New Roman" w:eastAsia="Times New Roman" w:hAnsi="Times New Roman"/>
          <w:sz w:val="22"/>
          <w:szCs w:val="22"/>
          <w:color w:val="auto"/>
        </w:rPr>
        <w:t>. Notwithstanding the foregoing, each of Toro Sub and TCFIF Sub shall be required to contribute as additional capital to the Company (each, an “Additional Capital Contribution” and, together with the Initial Capital Contributions and the Purchase Capital Contributions, the “Capital Contributions”) cash in an amount sufficient to increase and/or maintain such Member’s Capital Account to an amount equal to the sum of [***]. Such contributions shall be determined (x) as of the end of each month during the term of the Company, or (y) if approved by the Management Committee, more often. The Company shall provide notice to the Members, no later than the earlier of the twenty-fifth (25th) of each month or three (3) business days prior to the last day of the month, of the estimated contribution amount for such month, which contributions shall be made no later than the last day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142" w:name="page143"/>
    <w:bookmarkEnd w:id="142"/>
    <w:p>
      <w:pPr>
        <w:jc w:val="both"/>
        <w:spacing w:after="0" w:line="222" w:lineRule="auto"/>
        <w:rPr>
          <w:sz w:val="20"/>
          <w:szCs w:val="20"/>
          <w:color w:val="auto"/>
        </w:rPr>
      </w:pPr>
      <w:r>
        <w:rPr>
          <w:rFonts w:ascii="Times New Roman" w:cs="Times New Roman" w:eastAsia="Times New Roman" w:hAnsi="Times New Roman"/>
          <w:sz w:val="21"/>
          <w:szCs w:val="21"/>
          <w:color w:val="auto"/>
        </w:rPr>
        <w:t>month or, with respect to Additional Capital Contributions referred to in clause (y) of this Section 2.04, within five (5) business days of receiving notice from the Company of any such contribution. To the extent the estimated contribution amount is greater or less than the actual capital needs for such month, such excess or shortage shall be taken into account in the Company’s calculation of the Distributable Cash (as defined in Section 4.01(b)) for such month. The requirement of each Member to maintain sufficient funds in its Capital Account shall continue through the dissolution and winding-up of the Company as specified in Article X. No additional Shares shall be issued to the Members on account of any Capital Contribution made subsequent to the Initial Capital Contributions. Except as expressly provided in this Section 2.04 or with the prior written consent of each of the Members, no Member shall be required or entitled to contribute any other or further capital to the Company, nor, except as contemplated by this Agreement, shall any Member be required or entitled to loan any funds to the Company.</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2.05 </w:t>
      </w:r>
      <w:r>
        <w:rPr>
          <w:rFonts w:ascii="Times New Roman" w:cs="Times New Roman" w:eastAsia="Times New Roman" w:hAnsi="Times New Roman"/>
          <w:sz w:val="21"/>
          <w:szCs w:val="21"/>
          <w:u w:val="single" w:color="auto"/>
          <w:color w:val="auto"/>
        </w:rPr>
        <w:t>Consequences of Failure to Provide Capital Contributions</w:t>
      </w:r>
      <w:r>
        <w:rPr>
          <w:rFonts w:ascii="Times New Roman" w:cs="Times New Roman" w:eastAsia="Times New Roman" w:hAnsi="Times New Roman"/>
          <w:sz w:val="21"/>
          <w:szCs w:val="21"/>
          <w:color w:val="auto"/>
        </w:rPr>
        <w:t>. If Capital Contributions are required to be made and if, on or prior to the due date thereof, one of the Members has made its Capital Contribution (the “Contributing Member”) and the other Member has failed to make its Capital Contribution (the “Non-Contributing Member”), then the Contributing Member shall have the option during the following five (5) business day period to (i) request and receive from the Company an immediate return of the funds advanced in such instance as its Capital Contribution or (ii) elect to lend to the Non-Contributing Member the amount of the Capital Contribution not paid by the Non-Contributing Member (a “Deficit Loan”) in such instance, the proceeds of which Deficit Loan shall be paid by the Contributing Member directly to the Company as a contribution to the capital account of the Non-Contributing Member. The Contributing Member shall be entitled to interest from the Non-Contributing Member on the amount outstanding from time to time on each Deficit Loan calculated at a rate equal to the Index plus 10% per annum, or the highest rate permitted by law, whichever is less. Notwithstanding the provisions of Sections 4.01 and 10.03, distributions otherwise payable by the Company to a Non-Contributing Member shall first be made to the Contributing Member to the extent of the amount of any outstanding Deficit Loans, including accrued interest thereon, and such distribution shall be charged to the Capital Account of the Non-Contributing Member. In addition, any amounts otherwise payable by the Company to an Affiliate of the Non-Contributing Member under the terms of the TCFIF Services Agreement or the Toro Services Agreement, as appropriate, shall be paid to the Contributing Member to the extent the amount of any outstanding Deficit Loans, including interest thereon. The rights of the Contributing Member to receive the payments described in the preceding sentence shall be in addition to the right of the Contributing Member to receive payment of the amount of all outstanding Deficit Loans, including accrued interest thereon, at any time upon demand. The term “Index” shall mean the rate of interest published in the Money Rates section of The Wall Street Journal from time to time as the Prime Rate. If more than one Prime Rate is published in The Wall Street Journal for a day, the average of the Prime Rates so published shall be used and such average shall be rounded up to the nearest one quarter of one percent (.25%). If The Wall Street Journal ceases to publish the Prime Rate, the Contributing Member may select a comparable publication or service that publishes such Prime Rate, or its equivalent, and if such Prime Rate is no longer published, then the rate publicly announced by one of the ten largest money center banks in the United States (as selected by the Contributing Member in its discretion) as its “prime,” “base” or “reference” rate shall be substituted.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No Interest on Capital Contributions</w:t>
      </w:r>
      <w:r>
        <w:rPr>
          <w:rFonts w:ascii="Times New Roman" w:cs="Times New Roman" w:eastAsia="Times New Roman" w:hAnsi="Times New Roman"/>
          <w:sz w:val="22"/>
          <w:szCs w:val="22"/>
          <w:color w:val="auto"/>
        </w:rPr>
        <w:t>. No Member shall be entitled to receive interest on its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4"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Capital Accounts</w:t>
      </w:r>
      <w:r>
        <w:rPr>
          <w:rFonts w:ascii="Times New Roman" w:cs="Times New Roman" w:eastAsia="Times New Roman" w:hAnsi="Times New Roman"/>
          <w:sz w:val="22"/>
          <w:szCs w:val="22"/>
          <w:color w:val="auto"/>
        </w:rPr>
        <w:t>. A capital account (“Capital Account”) shall be maintained for each Member on the books of the</w:t>
      </w:r>
    </w:p>
    <w:p>
      <w:pPr>
        <w:spacing w:after="0"/>
        <w:rPr>
          <w:sz w:val="20"/>
          <w:szCs w:val="20"/>
          <w:color w:val="auto"/>
        </w:rPr>
      </w:pPr>
      <w:r>
        <w:rPr>
          <w:rFonts w:ascii="Times New Roman" w:cs="Times New Roman" w:eastAsia="Times New Roman" w:hAnsi="Times New Roman"/>
          <w:sz w:val="22"/>
          <w:szCs w:val="22"/>
          <w:color w:val="auto"/>
        </w:rPr>
        <w:t>Company. The Capital Account for each Member shall be maintained in accordance with the following provisions:</w:t>
      </w:r>
    </w:p>
    <w:p>
      <w:pPr>
        <w:spacing w:after="0" w:line="155" w:lineRule="exact"/>
        <w:rPr>
          <w:sz w:val="20"/>
          <w:szCs w:val="20"/>
          <w:color w:val="auto"/>
        </w:rPr>
      </w:pPr>
    </w:p>
    <w:p>
      <w:pPr>
        <w:jc w:val="both"/>
        <w:ind w:firstLine="1304"/>
        <w:spacing w:after="0" w:line="225" w:lineRule="auto"/>
        <w:tabs>
          <w:tab w:leader="none" w:pos="189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Member’s Capital Account there shall be credited such Member’s Capital Contributions, such Member’s allocated share of Net Income (as defined in Section 5.08) and any items of income or gain specially allocated to such Member pursuant to Sections 5.03 or 5.04.</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3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Member’s Capital Account there shall be debited such Member’s allocated share of Net Loss (as defined in Section 5.08), any items of deduction or loss specially allocated to such Member pursuant to Sections 5.03 or 5.04 and the amount of cash and the value of any other property distributed to such Member (net of any liabilities assumed by such Member and liabilities, if any, to which such property is subject).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shall not be entitled to withdraw from the Company or withdraw any part of its Capital Account or receive any distributions from the Company except as specifically provided in this Agreement. No Member shall be entitled to receive any distribution in kind, except as otherwise provided herein. No interest shall be paid on or with respect to the Capital Account of any Member. Except as expressly provided herein, no Member shall have any priority over any other Member as to the return of its Capital Contributions or as to compensation by way of income, and no additional share of the profits or losses of the Company shall accrue to any Member solely by virtue of its Capital Account being proportionately greater than the Capital Account of any other Member. No Member shall be entitled to make any Capital Contributions to the Company other than as provided herein.</w:t>
      </w:r>
    </w:p>
    <w:p>
      <w:pPr>
        <w:spacing w:after="0" w:line="156"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7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Member makes a loan to the Company, such loan shall not be considered a contribution to the capital of the Company and shall not increase the Capital Account of the lending Member. Repayment of such loans shall not be deemed a withdrawal from the capital of the Company.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80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shall be required to pay to the Company or to any other Member or person any deficit in such Member’s Capital Account upon dissolution of the Company or otherwise.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5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Member receives a distribution from the Company in excess of the amount such Member should have received in accordance with the provisions of this Agreement at the time the distribution was made, such Member shall be obligated to pay any such excess to the Company for reallocation to the Member or Members rightfully entitled to such distribution upon demand to do so by the Company.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80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a Member’s Shares are transferred pursuant to Article IX hereof, the transferee shall succeed to the transferor’s Capital Account to the extent it relates to the transferred Shares.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III</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Toro Sub Representations</w:t>
      </w:r>
      <w:r>
        <w:rPr>
          <w:rFonts w:ascii="Times New Roman" w:cs="Times New Roman" w:eastAsia="Times New Roman" w:hAnsi="Times New Roman"/>
          <w:sz w:val="22"/>
          <w:szCs w:val="22"/>
          <w:color w:val="auto"/>
        </w:rPr>
        <w:t>. Toro Sub represents and warrants, as of the Formation Date, each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82" w:right="339" w:bottom="1440" w:gutter="0" w:footer="0" w:header="0"/>
        </w:sectPr>
      </w:pPr>
    </w:p>
    <w:bookmarkStart w:id="144" w:name="page145"/>
    <w:bookmarkEnd w:id="144"/>
    <w:p>
      <w:pPr>
        <w:jc w:val="both"/>
        <w:ind w:firstLine="1304"/>
        <w:spacing w:after="0" w:line="212" w:lineRule="auto"/>
        <w:tabs>
          <w:tab w:leader="none" w:pos="177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Toro Sub is a corporation duly organized, validly existing and in good standing under the laws of the State of Delaware, its sole purpose is the ownership of its Shares and activities ancillary to such ownership, and has all necessary power and authority to enter into, and to perform its obligations under, this Agreement. The execution and delivery of this Agreement by Toro Sub, the performance by Toro Sub of its obligations hereunder, and the consummation by Toro Sub of the transactions contemplated hereby have been duly and validly authorized and approved by all necessary corporate action on behalf of Toro Sub. This Agreement has been duly executed and delivered by Toro Sub, and (assuming due execution and delivery by TCFIF Sub), this Agreement constitutes a legal, valid and binding obligation of Toro Sub enforceable against Toro Sub in accordance with its terms.</w:t>
      </w:r>
    </w:p>
    <w:p>
      <w:pPr>
        <w:spacing w:after="0" w:line="154"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The execution, delivery and performance of this Agreement by Toro Sub does not and will not</w:t>
      </w:r>
    </w:p>
    <w:p>
      <w:pPr>
        <w:jc w:val="both"/>
        <w:ind w:firstLine="8"/>
        <w:spacing w:after="0" w:line="208" w:lineRule="auto"/>
        <w:tabs>
          <w:tab w:leader="none" w:pos="25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violate, conflict with or result in the breach of any provision of the certificate of incorporation of Toro Sub, (ii) conflict with or violate any law or order of any court or other governmental authority applicable to Toro Sub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Toro Sub, pursuant to any note, bond, mortgage or indenture, contract agreement, lease, sublease, license, permit, franchise or other instrument or arrangement to which Toro Sub is a party or by which any of such assets or properties is bound or affected,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in the case of clauses (ii) and (iii) above, where such conflict, violation, breach, default, failure to obtain any such consent, rights or creation will not reasonably be expected to have a material adverse effect on the Business or on Toro Sub’s ability to enter into this Agreement and perform its obligations hereunder.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TCFIF Sub Representations</w:t>
      </w:r>
      <w:r>
        <w:rPr>
          <w:rFonts w:ascii="Times New Roman" w:cs="Times New Roman" w:eastAsia="Times New Roman" w:hAnsi="Times New Roman"/>
          <w:sz w:val="22"/>
          <w:szCs w:val="22"/>
          <w:color w:val="auto"/>
        </w:rPr>
        <w:t>. TCFIF Sub represents and warrants, as of the Formation Date, each of the following:</w:t>
      </w:r>
    </w:p>
    <w:p>
      <w:pPr>
        <w:spacing w:after="0" w:line="179" w:lineRule="exact"/>
        <w:rPr>
          <w:sz w:val="20"/>
          <w:szCs w:val="20"/>
          <w:color w:val="auto"/>
        </w:rPr>
      </w:pPr>
    </w:p>
    <w:p>
      <w:pPr>
        <w:jc w:val="both"/>
        <w:ind w:firstLine="1304"/>
        <w:spacing w:after="0" w:line="212" w:lineRule="auto"/>
        <w:tabs>
          <w:tab w:leader="none" w:pos="1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TCFIF Sub is a limited liability company duly organized, validly existing and in good standing under the laws of the State of Minnesota, its sole purpose is the ownership of its Shares and activities ancillary to such ownership, and has all necessary power and authority to enter into, and to perform its obligations under, this Agreement. The execution and delivery of this Agreement by TCFIF Sub, the performance by TCFIF Sub of its obligations hereunder, and the consummation by TCFIF Sub of the transactions contemplated hereby have been duly and validly authorized and approved by all necessary limited liability company action on behalf of TCFIF Sub. This Agreement has been duly executed and delivered by TCFIF Sub, and (assuming due execution and delivery by Toro Sub) this Agreement constitutes a legal, valid and binding obligation of TCFIF Sub enforceable against TCFIF Sub in accordance with its terms.</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8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The execution, delivery and performance of this Agreement by TCFIF Sub does not and will not (i) violate, conflict with or result in the breach of any provision of the articles of organization of TCFIF Sub, (ii) conflict with or violate any law or order of any court or other governmental authority applicable to TCFIF Sub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TCFIF Sub pursuant to any note, bond, mortgage or indenture, contract agreement, lease, sublease, license, permit, franchise or other instrument or arrangement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4" w:right="339" w:bottom="1440" w:gutter="0" w:footer="0" w:header="0"/>
        </w:sectPr>
      </w:pPr>
    </w:p>
    <w:bookmarkStart w:id="145" w:name="page146"/>
    <w:bookmarkEnd w:id="145"/>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which TCFIF Sub is a party or by which any of such assets or properties is bound or affected,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in the case of clauses (ii) and (iii) above, where such conflict, violation, breach, default, failure to obtain any such consent, rights or creation will not reasonably be expected to have a material adverse effect on the Business or on TCFIF Sub’s ability to enter into this Agreement and perform its obligations hereunder.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3.03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All representations and warranties contained in this Article (notwithstanding any investigation or inquiry which any party hereto or any representative may make) shall relate solely to the Formation Date, and shall survive the execution and delivery of this Agreement and continue until the dissolution and winding-up of the Company in accordance with Article X.</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IV</w:t>
      </w: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Distributions.</w:t>
      </w:r>
    </w:p>
    <w:p>
      <w:pPr>
        <w:spacing w:after="0" w:line="179" w:lineRule="exact"/>
        <w:rPr>
          <w:sz w:val="20"/>
          <w:szCs w:val="20"/>
          <w:color w:val="auto"/>
        </w:rPr>
      </w:pPr>
    </w:p>
    <w:p>
      <w:pPr>
        <w:jc w:val="both"/>
        <w:ind w:firstLine="1304"/>
        <w:spacing w:after="0" w:line="225" w:lineRule="auto"/>
        <w:tabs>
          <w:tab w:leader="none" w:pos="177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date hereof, except as otherwise provided in this Agreement (including Sections 2.05 and 10.03), the Company shall make distributions in the same proportions as Net Income would be allocated to Members pursuant to Section 5.01.</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0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4.01(a) and except as otherwise approved by the Management Committee, the Company shall make distributions in cash pursuant to this Section 4.01 on a monthly basis, on or before the last day of each calendar month, in an amount equal to the Company’s Distributable Cash as of the end of such month. “Distributable Cash” shall mean the positive difference, if any, between (i) the estimated Capital Account balances of all the Members and (ii) the sum of [***]. Such estimates shall be calculated on the date that is the earlier of the twenty-fifth (25th) of each month or three (3) business days prior to the last day of the month. Each distribution pursuant to this Section 4.01 shall be made in immediately available funds by wire transfer in accordance with wire transfer instructions provided in writing from time to time by each Member. Any change in such wire transfer instructions shall be effective two (2) business days following receipt of notice thereof by the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w:t>
      </w:r>
    </w:p>
    <w:p>
      <w:pPr>
        <w:jc w:val="center"/>
        <w:spacing w:after="0"/>
        <w:rPr>
          <w:sz w:val="20"/>
          <w:szCs w:val="20"/>
          <w:color w:val="auto"/>
        </w:rPr>
      </w:pPr>
      <w:r>
        <w:rPr>
          <w:rFonts w:ascii="Times New Roman" w:cs="Times New Roman" w:eastAsia="Times New Roman" w:hAnsi="Times New Roman"/>
          <w:sz w:val="22"/>
          <w:szCs w:val="22"/>
          <w:b w:val="1"/>
          <w:bCs w:val="1"/>
          <w:color w:val="auto"/>
        </w:rPr>
        <w:t>ALLOCATIONS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Except as provided in Sections 5.03, 5.04 and 10.03, the Net Income shall be allocated for each fiscal year (or for any applicable portion of a fiscal year, such applicable portion to be calculated pursuant to a hypothetical closing of the Company’s books based on the specific portion of the fiscal year and not on a pro rata or other similar basis) to the Members, pro rata in accordance with their respective Percentage Interests.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Net Losses</w:t>
      </w:r>
      <w:r>
        <w:rPr>
          <w:rFonts w:ascii="Times New Roman" w:cs="Times New Roman" w:eastAsia="Times New Roman" w:hAnsi="Times New Roman"/>
          <w:sz w:val="22"/>
          <w:szCs w:val="22"/>
          <w:color w:val="auto"/>
        </w:rPr>
        <w:t>. Except as provided in Sections 5.03, 5.04 and 10.03, Net Loss shall be allocated for each fiscal year (or for any applicable portion of a fiscal year, such applicable portion to be calculated pursuant to a hypothetical closing of the Company’s books based on the specific portion of the fiscal year and not on a pro rata or other similar basis) to the Members, pro rata in accordance with their respective Percentage Interests.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Regulatory Allocations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1304"/>
        <w:spacing w:after="0" w:line="236" w:lineRule="auto"/>
        <w:tabs>
          <w:tab w:leader="none" w:pos="1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Capital Accounts</w:t>
      </w:r>
      <w:r>
        <w:rPr>
          <w:rFonts w:ascii="Times New Roman" w:cs="Times New Roman" w:eastAsia="Times New Roman" w:hAnsi="Times New Roman"/>
          <w:sz w:val="22"/>
          <w:szCs w:val="22"/>
          <w:color w:val="auto"/>
        </w:rPr>
        <w:t>. The Capital Accounts shall be maintained in accordance with Section §1.704-1(b) of the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4" w:right="339" w:bottom="1440" w:gutter="0" w:footer="0" w:header="0"/>
        </w:sectPr>
      </w:pPr>
    </w:p>
    <w:bookmarkStart w:id="146" w:name="page147"/>
    <w:bookmarkEnd w:id="146"/>
    <w:p>
      <w:pPr>
        <w:jc w:val="both"/>
        <w:ind w:firstLine="1304"/>
        <w:spacing w:after="0" w:line="213" w:lineRule="auto"/>
        <w:tabs>
          <w:tab w:leader="none" w:pos="184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Qualified Income Offset</w:t>
      </w:r>
      <w:r>
        <w:rPr>
          <w:rFonts w:ascii="Times New Roman" w:cs="Times New Roman" w:eastAsia="Times New Roman" w:hAnsi="Times New Roman"/>
          <w:sz w:val="22"/>
          <w:szCs w:val="22"/>
          <w:color w:val="auto"/>
        </w:rPr>
        <w:t>. In the event any Member unexpectedly receives any adjustments, allocations or distributions described in Sections 1.704-1(b)(2)(ii)(d)(4), (5) and (6) of the Regulations, items of Company income and gain shall be specially allocated to each such Member in an amount and manner sufficient to eliminate, to the extent required by the Regulations, the Adjusted Capital Account Deficit of such Member as quickly as possible, provided that an allocation pursuant to this Section 5.03(b) shall be made only if and to the extent that such Member would have an Adjusted Capital Account Deficit after all other allocations provided for in this Article V have been tentatively made as if this Section 5.03(b) were not in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9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Gross Income Allocation</w:t>
      </w:r>
      <w:r>
        <w:rPr>
          <w:rFonts w:ascii="Times New Roman" w:cs="Times New Roman" w:eastAsia="Times New Roman" w:hAnsi="Times New Roman"/>
          <w:sz w:val="22"/>
          <w:szCs w:val="22"/>
          <w:color w:val="auto"/>
        </w:rPr>
        <w:t>. In the event any Member has a negative Capital Account at the end of any fiscal year which is in excess of the amount such Member is deemed to be obligated to restore pursuant to the penultimate sentences of Regulations Sections 1.704-2(g)(1) and 1.704-2(i)(5), each such Member shall be specially allocated items of Company income and gain in the amount of such excess as quickly as possible provided that an allocation pursuant to this Section 5.03 shall be made only if and to the extent that such Member would have a negative Capital Account in excess of such sum after all other allocations provided for in this Article V have been made as if Section 5.03(b) and this Section 5.03(c) were not in this Agreement.</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u w:val="single" w:color="auto"/>
          <w:color w:val="auto"/>
        </w:rPr>
        <w:t>Curative Allocations</w:t>
      </w:r>
      <w:r>
        <w:rPr>
          <w:rFonts w:ascii="Times New Roman" w:cs="Times New Roman" w:eastAsia="Times New Roman" w:hAnsi="Times New Roman"/>
          <w:sz w:val="22"/>
          <w:szCs w:val="22"/>
          <w:color w:val="auto"/>
        </w:rPr>
        <w:t>. The allocations set forth in Section 5.03 hereof (the “Regulatory Allocations”)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Section 5.04. Therefore, notwithstanding any other provision of this Article V (other than the Regulatory Allocations), offsetting special allocations of Company income, gain, loss or deduction shall be made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this Article V without regard to the Regulatory Allocations. In exercising their discretion under this Section 5.04, the Members shall take into account future Regulatory Allocations under Section 5.03 that, although not yet made, are likely to offset other Regulatory Allocations previously made under Section 5.03.</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u w:val="single" w:color="auto"/>
          <w:color w:val="auto"/>
        </w:rPr>
        <w:t>Tax Allocations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7" w:lineRule="auto"/>
        <w:tabs>
          <w:tab w:leader="none" w:pos="181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Code Section 704(c) and the Regulations thereunder, income, gain, loss, and deduction with respect to any property contributed to the capital of the Company shall, solely for tax purposes (and, as such, it is not intended to change the accounting allocation), be allocated between the Members so as to take account of any variation between the adjusted basis of such property to the Company for Federal income tax purposes and its fair market value at the time of contribution.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6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elections or other decisions relating to such allocations shall be made by the Management Committee in any manner that reasonably reflects the purpose and intention of this Agreement. Allocations pursuant to this Section 5.05 are solely for purposes of Federal, state, and local taxes and shall not affect, or in any way be taken into account in computing, any Member’s Capital Account or share of Net Income, Net Loss, other items, or distributions pursuant to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147" w:name="page148"/>
    <w:bookmarkEnd w:id="147"/>
    <w:p>
      <w:pPr>
        <w:jc w:val="both"/>
        <w:ind w:firstLine="1304"/>
        <w:spacing w:after="0" w:line="220" w:lineRule="auto"/>
        <w:tabs>
          <w:tab w:leader="none" w:pos="182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all items of Company income, gain, loss, deduction, and any other allocations not otherwise provided for shall be divided between the Members in the same proportions as they share Net Income or Net Loss, or amounts specially allocated pursuant to Section 5.03 or 5.04 hereof, as the case may be, for the fiscal year.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5.06 </w:t>
      </w:r>
      <w:r>
        <w:rPr>
          <w:rFonts w:ascii="Times New Roman" w:cs="Times New Roman" w:eastAsia="Times New Roman" w:hAnsi="Times New Roman"/>
          <w:sz w:val="22"/>
          <w:szCs w:val="22"/>
          <w:u w:val="single" w:color="auto"/>
          <w:color w:val="auto"/>
        </w:rPr>
        <w:t>Other Allocation Rules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78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determining the Members’ proportionate share of the “excess nonrecourse liabilities” of the Company within the meaning of Regulations Section 1.752-3(a)(3), the Members’ interests in the Company profits shall be allocated in the same manner such item would have been allocated pursuant to Section 5.01.</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4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Section 1.704-2(h)(3) of the Regulations, the Members shall endeavor to treat distributions of cash as having been made from the proceeds of a nonrecourse liability only to the extent that such distributions would cause or increase an Adjusted Capital Account Deficit for any Member.</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5.07 </w:t>
      </w:r>
      <w:r>
        <w:rPr>
          <w:rFonts w:ascii="Times New Roman" w:cs="Times New Roman" w:eastAsia="Times New Roman" w:hAnsi="Times New Roman"/>
          <w:sz w:val="22"/>
          <w:szCs w:val="22"/>
          <w:u w:val="single" w:color="auto"/>
          <w:color w:val="auto"/>
        </w:rPr>
        <w:t>Tax Decisions</w:t>
      </w:r>
      <w:r>
        <w:rPr>
          <w:rFonts w:ascii="Times New Roman" w:cs="Times New Roman" w:eastAsia="Times New Roman" w:hAnsi="Times New Roman"/>
          <w:sz w:val="22"/>
          <w:szCs w:val="22"/>
          <w:color w:val="auto"/>
        </w:rPr>
        <w:t>. The Company shall file its income and all other tax returns (including sales, use, property, excise, information and unclaimed property reports) as a partnership. Except as otherwise provided in this Agreement, the tax matters partner shall, upon consultation with the Management Committee, make all applicable elections, determinations and other tax decisions for the Company relating to all tax matters, including, without limitation, the positions to be taken on the Company’s tax returns and the settlement or further contest and litigation of any audit matters raised by the Internal Revenue Service or any other taxing authority. TCFIF Sub shall be the tax matters partner within the meaning of Section 6231(a)(7) of the Code. TCFIF Sub shall cause all tax returns of the Company to be timely filed. The Company shall provide a draft copy of all income tax and information returns to Toro Sub for its review and comment at least ten (10) business days prior to the due date for filing such returns.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shall be defined for purposes of this Agreement as set forth below:</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“Adjusted Capital Account Deficit” means, with respect to each Member, the deficit balance, if any, in such</w:t>
      </w:r>
    </w:p>
    <w:p>
      <w:pPr>
        <w:ind w:left="660"/>
        <w:spacing w:after="0"/>
        <w:rPr>
          <w:sz w:val="20"/>
          <w:szCs w:val="20"/>
          <w:color w:val="auto"/>
        </w:rPr>
      </w:pPr>
      <w:r>
        <w:rPr>
          <w:rFonts w:ascii="Times New Roman" w:cs="Times New Roman" w:eastAsia="Times New Roman" w:hAnsi="Times New Roman"/>
          <w:sz w:val="22"/>
          <w:szCs w:val="22"/>
          <w:color w:val="auto"/>
        </w:rPr>
        <w:t>Member’s Capital Account as of the end of the relevant fiscal year, after giving effect to the following adjustments:</w:t>
      </w:r>
    </w:p>
    <w:p>
      <w:pPr>
        <w:spacing w:after="0" w:line="47" w:lineRule="exact"/>
        <w:rPr>
          <w:sz w:val="20"/>
          <w:szCs w:val="20"/>
          <w:color w:val="auto"/>
        </w:rPr>
      </w:pPr>
    </w:p>
    <w:p>
      <w:pPr>
        <w:ind w:left="1300" w:firstLine="652"/>
        <w:spacing w:after="0" w:line="255" w:lineRule="auto"/>
        <w:tabs>
          <w:tab w:leader="none" w:pos="238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to such Capital Account any amounts which such Member is deemed to be obligated to restore pursuant to the penultimate sentences of each of Regulations Sections 1.704-2(g)(1) and 1.704-2(i)(5); and</w:t>
      </w:r>
    </w:p>
    <w:p>
      <w:pPr>
        <w:spacing w:after="0" w:line="134" w:lineRule="exact"/>
        <w:rPr>
          <w:rFonts w:ascii="Times New Roman" w:cs="Times New Roman" w:eastAsia="Times New Roman" w:hAnsi="Times New Roman"/>
          <w:sz w:val="21"/>
          <w:szCs w:val="21"/>
          <w:color w:val="auto"/>
        </w:rPr>
      </w:pPr>
    </w:p>
    <w:p>
      <w:pPr>
        <w:ind w:left="1300" w:firstLine="652"/>
        <w:spacing w:after="0" w:line="236" w:lineRule="auto"/>
        <w:tabs>
          <w:tab w:leader="none" w:pos="247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Debit to such Capital Account the items described in Sections 1.704-1(b)(2)(ii)(d)(4), (5) and (6) of the Regulations.</w:t>
      </w:r>
    </w:p>
    <w:p>
      <w:pPr>
        <w:spacing w:after="0" w:line="15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The foregoing definition of Adjusted Capital Account Deficit is intended to comply with the provisions of Section 1.704-1(b)(2)(ii)(d) of the Regulations and shall be interpreted consistently therewith.</w:t>
      </w:r>
    </w:p>
    <w:p>
      <w:pPr>
        <w:spacing w:after="0" w:line="42" w:lineRule="exact"/>
        <w:rPr>
          <w:sz w:val="20"/>
          <w:szCs w:val="20"/>
          <w:color w:val="auto"/>
        </w:rPr>
      </w:pPr>
    </w:p>
    <w:p>
      <w:pPr>
        <w:jc w:val="both"/>
        <w:ind w:left="660" w:right="20" w:firstLine="648"/>
        <w:spacing w:after="0" w:line="216" w:lineRule="auto"/>
        <w:rPr>
          <w:sz w:val="20"/>
          <w:szCs w:val="20"/>
          <w:color w:val="auto"/>
        </w:rPr>
      </w:pPr>
      <w:r>
        <w:rPr>
          <w:rFonts w:ascii="Times New Roman" w:cs="Times New Roman" w:eastAsia="Times New Roman" w:hAnsi="Times New Roman"/>
          <w:sz w:val="22"/>
          <w:szCs w:val="22"/>
          <w:color w:val="auto"/>
        </w:rPr>
        <w:t>“Code” means the Internal Revenue Code of 1986, as amended, modified or supplemented from time to time, or any successor legislation.</w:t>
      </w:r>
    </w:p>
    <w:p>
      <w:pPr>
        <w:spacing w:after="0" w:line="1" w:lineRule="exact"/>
        <w:rPr>
          <w:sz w:val="20"/>
          <w:szCs w:val="20"/>
          <w:color w:val="auto"/>
        </w:rPr>
      </w:pPr>
    </w:p>
    <w:p>
      <w:pPr>
        <w:jc w:val="both"/>
        <w:ind w:left="660" w:firstLine="648"/>
        <w:spacing w:after="0" w:line="218" w:lineRule="auto"/>
        <w:rPr>
          <w:sz w:val="20"/>
          <w:szCs w:val="20"/>
          <w:color w:val="auto"/>
        </w:rPr>
      </w:pPr>
      <w:r>
        <w:rPr>
          <w:rFonts w:ascii="Times New Roman" w:cs="Times New Roman" w:eastAsia="Times New Roman" w:hAnsi="Times New Roman"/>
          <w:sz w:val="22"/>
          <w:szCs w:val="22"/>
          <w:color w:val="auto"/>
        </w:rPr>
        <w:t>“Net Income” and “Net Loss” mean, for each fiscal period, an amount equal to the Company’s taxable income or loss for such fiscal period, determined in accordance with Code Section 703(a) (for this purpose, all items of income, gain, loss, or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4" w:right="339" w:bottom="1440" w:gutter="0" w:footer="0" w:header="0"/>
        </w:sectPr>
      </w:pPr>
    </w:p>
    <w:bookmarkStart w:id="148" w:name="page149"/>
    <w:bookmarkEnd w:id="148"/>
    <w:p>
      <w:pPr>
        <w:ind w:left="1300" w:hanging="647"/>
        <w:spacing w:after="0" w:line="216" w:lineRule="auto"/>
        <w:rPr>
          <w:sz w:val="20"/>
          <w:szCs w:val="20"/>
          <w:color w:val="auto"/>
        </w:rPr>
      </w:pPr>
      <w:r>
        <w:rPr>
          <w:rFonts w:ascii="Times New Roman" w:cs="Times New Roman" w:eastAsia="Times New Roman" w:hAnsi="Times New Roman"/>
          <w:sz w:val="22"/>
          <w:szCs w:val="22"/>
          <w:color w:val="auto"/>
        </w:rPr>
        <w:t>required to be stated separately pursuant to Code Section 703(a)(1) shall be included in taxable income or loss). “Regulations” means the Income Tax Regulations, including Temporary Regulations, promulgated under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Code, as amended, modified or supplemented from time to time.</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SECTION VI</w:t>
      </w: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Members.</w:t>
      </w:r>
    </w:p>
    <w:p>
      <w:pPr>
        <w:spacing w:after="0" w:line="179" w:lineRule="exact"/>
        <w:rPr>
          <w:sz w:val="20"/>
          <w:szCs w:val="20"/>
          <w:color w:val="auto"/>
        </w:rPr>
      </w:pPr>
    </w:p>
    <w:p>
      <w:pPr>
        <w:jc w:val="both"/>
        <w:ind w:firstLine="1304"/>
        <w:spacing w:after="0" w:line="225" w:lineRule="auto"/>
        <w:tabs>
          <w:tab w:leader="none" w:pos="17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and restrictions set forth in this Agreement and the Act, each Member shall have all the rights, powers and obligations which may be possessed by a member of a limited liability company under the Act and otherwise as provided by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4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Meetings of the Members may be called by any Member on at least ten (10) business days’ prior written notice to the other Members, which notice shall contain the time, place and purpose of such meeting. The presence in person or by proxy of both of the Members shall constitute a quorum for the transaction of business by the Members at such meeting. Except as otherwise expressly set forth herein, all actions of the Members taken at a meeting shall require the affirmative vote of both of the Members.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0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meeting of the Members may be waived by any Member before or after such meeting. Meetings of the Members may be conducted by conference telephone facilities or other similar technology. The Members may approve a matter or take any action without a meeting by a written consent of the Members, which must be executed by both of the Members. In no instance where action is authorized by written consent of the Members shall a meeting of the Members be required to be called or notice to be given. The writing or writings evidencing any such consent shall be filed with the minutes of proceedings of the Company and copies thereof shall be sent to each of the Members.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8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neither Member or any of its Affiliates shall have any liability for the debts, obligations or liabilities of the Company or of the other Member or any of its Affiliates.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8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Members shall adopt credit and operational policies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policies may be modified from time to time by mutual agreement of the Members; provided, however, that such credit and operational policies shall not be inconsistent with the credit and operational policies of TCFIF. TCFIF Sub shall be responsible for advising the Members of TCFIF’s credit and operational policies.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Management Committee.</w:t>
      </w:r>
    </w:p>
    <w:p>
      <w:pPr>
        <w:spacing w:after="0" w:line="179" w:lineRule="exact"/>
        <w:rPr>
          <w:sz w:val="20"/>
          <w:szCs w:val="20"/>
          <w:color w:val="auto"/>
        </w:rPr>
      </w:pPr>
    </w:p>
    <w:p>
      <w:pPr>
        <w:jc w:val="both"/>
        <w:ind w:firstLine="1304"/>
        <w:spacing w:after="0" w:line="213" w:lineRule="auto"/>
        <w:tabs>
          <w:tab w:leader="none" w:pos="181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such matters which are expressly reserved under this Agreement or the Act to the Members for decision, the Business shall be managed through a committee of managers (the “Management Committee”), which shall initially consist of eight (8) persons (the “Managers”) who shall be determined as follows: (i) TCFIF Sub shall be entitled to designate four (4) Managers (the “TCFIF Sub Managers”) and (ii) Toro Sub shall be entitled to designate four (4) Managers (collectively, with the TCFIF Sub Managers, the “Designated Managers”). The Designated Managers shall appoint a General Manager (the “General Manager”) and all other executive officers (if any) of the Company by the affirmative vote or written consent of at least five (5) Managers, including the affirmative vote of at least 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4" w:right="339" w:bottom="1440" w:gutter="0" w:footer="0" w:header="0"/>
        </w:sectPr>
      </w:pPr>
    </w:p>
    <w:bookmarkStart w:id="149" w:name="page150"/>
    <w:bookmarkEnd w:id="149"/>
    <w:p>
      <w:pPr>
        <w:jc w:val="both"/>
        <w:spacing w:after="0" w:line="209" w:lineRule="auto"/>
        <w:rPr>
          <w:sz w:val="20"/>
          <w:szCs w:val="20"/>
          <w:color w:val="auto"/>
        </w:rPr>
      </w:pPr>
      <w:r>
        <w:rPr>
          <w:rFonts w:ascii="Times New Roman" w:cs="Times New Roman" w:eastAsia="Times New Roman" w:hAnsi="Times New Roman"/>
          <w:sz w:val="22"/>
          <w:szCs w:val="22"/>
          <w:color w:val="auto"/>
        </w:rPr>
        <w:t>Designated Managers appointed by each Member (a “Majority of the Managers”); provided, however, that if the Management Committee shall at any time be deadlocked and unable to appoint a General Manager, then TCFIF Sub shall have the sole right to appoint the General Manager on an interim basis pending resolution of the deadlock regarding final appointment of the General Manager as provided in Section 7.08. For purposes of the preceding sentence, any Designated Manager under consideration for appointment as General Manager, or other executive officer position (if any), shall not be recused from voting on such matter. Each of the Members shall, in its respective sole discretion, be entitled to remove or discharge (with or without cause and with or without prior notice) one or more of its Designated Managers at any time, and to designate an alternate (who shall be permitted to attend, and have full voting powers at, any meeting at which the Designated Manager is absent) or a successor therefor. Designated Managers may only be removed in accordance with the preceding sentence. The Member that has removed or discharged one or more of its Managers and designated an alternate or alternates shall promptly give notice to the other Member of the names of the removed or discharged Manager(s) and the name(s) and address(es) of the replacement Manager(s). The initial Designated Managers and the General Manager as of the date of this Agreement are set forth on Schedule 6.02(a) hereto, which shall be updated from time to time to reflect the addition or removal of such persons.</w:t>
      </w:r>
    </w:p>
    <w:p>
      <w:pPr>
        <w:spacing w:after="0" w:line="160" w:lineRule="exact"/>
        <w:rPr>
          <w:sz w:val="20"/>
          <w:szCs w:val="20"/>
          <w:color w:val="auto"/>
        </w:rPr>
      </w:pPr>
    </w:p>
    <w:p>
      <w:pPr>
        <w:jc w:val="both"/>
        <w:ind w:firstLine="1304"/>
        <w:spacing w:after="0" w:line="219" w:lineRule="auto"/>
        <w:tabs>
          <w:tab w:leader="none" w:pos="181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next sentence, the Management Committee shall meet at such times as may be necessary for the Business on at least ten (10) business days’ prior written notice to each Manager of such meeting given by any one (1) Manager, which written notice shall contain the time and place of such meeting and the proposed items of business; unless otherwise agreed by a Majority of the Managers, meetings of the Management Committee shall be held at the office of one of the Members. The initial meeting of the Management Committee shall be held within sixty (60) days of the Formation Date and, thereafter, the Management Committee shall meet at least once every fiscal quarter. Provided that proper and adequate notice has been provided as required by the first sentence of this Section 6.02(b), the presence of at least a Majority of the Managers (or their respective alternates) shall be required to constitute a quorum for the transaction of any business by the Management Committee. Each Manager shall have one (1) vote on all matters before the Management Committee. All actions of the Management Committee shall require the affirmative vote of at least a Majority of the Managers. No Manager (acting in his or her capacity as such) shall have any authority to bind the Company to any third party with respect to any matter, except pursuant to a resolution expressly authorizing such action (and authorizing such Manager to bind the Company with respect to such action) which resolution is duly adopted by the Management Committee by the affirmative vote of at least a Majority of the Managers.</w:t>
      </w:r>
    </w:p>
    <w:p>
      <w:pPr>
        <w:spacing w:after="0" w:line="159" w:lineRule="exact"/>
        <w:rPr>
          <w:rFonts w:ascii="Times New Roman" w:cs="Times New Roman" w:eastAsia="Times New Roman" w:hAnsi="Times New Roman"/>
          <w:sz w:val="21"/>
          <w:szCs w:val="21"/>
          <w:color w:val="auto"/>
        </w:rPr>
      </w:pPr>
    </w:p>
    <w:p>
      <w:pPr>
        <w:jc w:val="both"/>
        <w:ind w:firstLine="1304"/>
        <w:spacing w:after="0" w:line="225" w:lineRule="auto"/>
        <w:tabs>
          <w:tab w:leader="none" w:pos="175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required by this Agreement, in the event the Management Committee is evenly divided on any matter, such matter shall promptly be referred to the Members for decision and approval in accordance with the provisions of Section 7.07 or 7.08, as the case may be.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7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committees of the Management Committee and there shall be no delegation of the powers, duties and authorities of the Management Committee to any other person, entity, or committee, except as otherwise provided herein or expressly approved by the Management Committee.</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82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item of business that is not contained in the notice of the meeting may be considered unless at least a Majority of the Managers consent. Notice of any Management Committee meeting may be waived by any Manager before or after such meeting. Meetings of the Management Committee shall be conducted by conference telephone facilities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4" w:right="339" w:bottom="1440" w:gutter="0" w:footer="0" w:header="0"/>
        </w:sectPr>
      </w:pPr>
    </w:p>
    <w:bookmarkStart w:id="150" w:name="page151"/>
    <w:bookmarkEnd w:id="150"/>
    <w:p>
      <w:pPr>
        <w:jc w:val="both"/>
        <w:spacing w:after="0" w:line="213" w:lineRule="auto"/>
        <w:rPr>
          <w:sz w:val="20"/>
          <w:szCs w:val="20"/>
          <w:color w:val="auto"/>
        </w:rPr>
      </w:pPr>
      <w:r>
        <w:rPr>
          <w:rFonts w:ascii="Times New Roman" w:cs="Times New Roman" w:eastAsia="Times New Roman" w:hAnsi="Times New Roman"/>
          <w:sz w:val="22"/>
          <w:szCs w:val="22"/>
          <w:color w:val="auto"/>
        </w:rPr>
        <w:t>similar technology) if any Manager so requests. Managers may approve a matter or take any action without a meeting by a written consent of the Managers, which must be executed by at least a Majority of the Managers. In no instance where action is authorized by written consent of the Managers shall a meeting of the Managers be required to be called or notice required to be given. The writing or writings evidencing any such consent shall be filed with the minutes of proceedings of the Company and copies thereof shall be sent to each of the Managers. The Management Committee shall cause written minutes to be prepared of all actions taken by the Management Committee at a meeting thereof and shall cause a copy thereof to be delivered to each Manager within thirty (30) calendar days after each such meeting.</w:t>
      </w:r>
    </w:p>
    <w:p>
      <w:pPr>
        <w:spacing w:after="0" w:line="156" w:lineRule="exact"/>
        <w:rPr>
          <w:sz w:val="20"/>
          <w:szCs w:val="20"/>
          <w:color w:val="auto"/>
        </w:rPr>
      </w:pPr>
    </w:p>
    <w:p>
      <w:pPr>
        <w:jc w:val="both"/>
        <w:ind w:firstLine="1304"/>
        <w:spacing w:after="0" w:line="209" w:lineRule="auto"/>
        <w:tabs>
          <w:tab w:leader="none" w:pos="191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Committee shall review and approve all budgets and business plans, including any amendments thereto from time to time as necessary or desirable, of the Company. At each quarterly meeting of the Management Committee, the Management Committee will review the report, forecast and calculation referred to in Section 6.03(j) and, if such report reflects a pre-tax return on assets that is different from the Target Return by more than one-tenth of one percent, the Management Committee shall consider taking such action or actions, if any, as it may deem to be appropriate to target a pre-tax return on assets of the Company, determined cumulatively as of the end of the applicable Adjustment Period, equal to the Target Return. To that end, the Management Committee shall consider such changes deemed appropriate by the Management Committee under the currently existing or forecasted circumstances, which may include changes to the manufacturer support rate, the dealer rate or cost savings. For purposes of this Agreement, “pre-tax return on assets” shall mean a quotient, (x) the numerator of which is equal to the product of (i) the pre-tax income of the Company from the first day of the first calendar month covered by such calculation, divided by the number of calendar months included in the period covered by such calculation, multiplied by (ii) 12, and (y) the denominator of which is equal to (i) the sum of the monthly Average Net Receivables for each calendar month included in the period covered by such calculation, divided by (ii) the number of calendar months included in the period covered by such calculation.</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7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Committee shall review and approve the accounting policies, tax policies, methods or practices of the Company from time to time, which accounting policies, tax policies, methods and practices shall at all times not be inconsistent with those of TCFIF. TCFIF Sub Manager shall be responsible for advising the Management Committee of TCFIF’s accounting policies, tax policies, methods and practices.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u w:val="single" w:color="auto"/>
          <w:color w:val="auto"/>
        </w:rPr>
        <w:t>General Manager</w:t>
      </w:r>
      <w:r>
        <w:rPr>
          <w:rFonts w:ascii="Times New Roman" w:cs="Times New Roman" w:eastAsia="Times New Roman" w:hAnsi="Times New Roman"/>
          <w:sz w:val="22"/>
          <w:szCs w:val="22"/>
          <w:color w:val="auto"/>
        </w:rPr>
        <w:t>. The General Manager of the Company shall have the responsibility for managing the Business on a day-to-day basis and supervising the other officers of the Company (if any), subject to the absolute direction, supervision and control of the Management Committee. The General Manager shall have no authority or power to enter into any material agreement or material arrangement on behalf of the Company which binds the Company to any third party outside the scope of the Business, but shall have the authority and power:</w:t>
      </w:r>
    </w:p>
    <w:p>
      <w:pPr>
        <w:spacing w:after="0" w:line="139" w:lineRule="exact"/>
        <w:rPr>
          <w:sz w:val="20"/>
          <w:szCs w:val="20"/>
          <w:color w:val="auto"/>
        </w:rPr>
      </w:pPr>
    </w:p>
    <w:p>
      <w:pPr>
        <w:ind w:left="1840" w:hanging="536"/>
        <w:spacing w:after="0"/>
        <w:tabs>
          <w:tab w:leader="none" w:pos="18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generally manage the Company’s credit and operations office or offices and the Company’s marketing</w:t>
      </w:r>
    </w:p>
    <w:p>
      <w:pPr>
        <w:spacing w:after="0"/>
        <w:rPr>
          <w:sz w:val="20"/>
          <w:szCs w:val="20"/>
          <w:color w:val="auto"/>
        </w:rPr>
      </w:pPr>
      <w:r>
        <w:rPr>
          <w:rFonts w:ascii="Times New Roman" w:cs="Times New Roman" w:eastAsia="Times New Roman" w:hAnsi="Times New Roman"/>
          <w:sz w:val="22"/>
          <w:szCs w:val="22"/>
          <w:color w:val="auto"/>
        </w:rPr>
        <w:t>efforts;</w:t>
      </w:r>
    </w:p>
    <w:p>
      <w:pPr>
        <w:spacing w:after="0" w:line="155" w:lineRule="exact"/>
        <w:rPr>
          <w:sz w:val="20"/>
          <w:szCs w:val="20"/>
          <w:color w:val="auto"/>
        </w:rPr>
      </w:pPr>
    </w:p>
    <w:p>
      <w:pPr>
        <w:ind w:left="1780" w:hanging="476"/>
        <w:spacing w:after="0"/>
        <w:tabs>
          <w:tab w:leader="none" w:pos="17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credit authority within the limits established by the Company’s credit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4" w:right="339" w:bottom="1440" w:gutter="0" w:footer="0" w:header="0"/>
        </w:sectPr>
      </w:pPr>
    </w:p>
    <w:bookmarkStart w:id="151" w:name="page152"/>
    <w:bookmarkEnd w:id="151"/>
    <w:p>
      <w:pPr>
        <w:ind w:left="1760" w:hanging="456"/>
        <w:spacing w:after="0"/>
        <w:tabs>
          <w:tab w:leader="none" w:pos="1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credit, operations, legal and other policies adopted by the Management Committee;</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manage the Company’s dealer and distributor relations with respect to the Business;</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call special meetings of the Management Committee;</w:t>
      </w:r>
    </w:p>
    <w:p>
      <w:pPr>
        <w:spacing w:after="0" w:line="166"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support the staff of TCFIF and Toro in the performance of their obligations under their respective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Agreement;</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7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expenses of the Company in the ordinary course of the Business, including expenses provided for in the Definitive Agreements;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77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prepare the Company’s annual budget, which shall reflect a target pre-tax return on assets of [***] (the “Target Return”), unless otherwise approved by the Management Committee;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6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prepare for, and deliver to, the Management Committee not later than the 15th day of the first month of each calendar quarter (the first day of such quarter being an “Adjustment Date”) commencing after September 30, 2010, a report reflecting the pre-tax return on assets of the Company for the immediately preceding four calendar quarters (the “Measurement Period Return”) and on a cumulative basis over the then-current Initial Term or Additional Term of the Company, a forecast of the expected returns for the remainder of the then-current Initial Term or Additional Term of the Company, and a calculation of the adjustment, if any, that would be required to be made to the Business Plan (as that term is defined in the Joint Venture Agreement) over the applicable Adjustment Period (as defined below) in order for the Company to achieve a target pre-tax return on assets of not less than the Target Return, determined cumulatively:</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45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the difference between the Measurement Period Return and the Target Return is [***], then the “Adjustment Period” will be the next four calendar quarters beginning on the Adjustment Date (or such shorter period of time as is then remaining in the then-current Initial Term or Additional Term of the Company);</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0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the difference between the Measurement Period Return and the Target Return is [***], then the “Adjustment Period” will be the next eight calendar quarters beginning on the Adjustment Date (or such shorter period of time as is then remaining in the then-current Initial Term or Additional Term of the Company);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the difference between the Measurement Period Return and the Target Return is [***], then the “Adjustment Period” will be the next twelve calendar quarters beginning on the Adjustment Date (or such shorter period of time as is then remaining in the then-current Initial Term or Additional Term of the Company)</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do such other things and take such other actions as shall be authorized by the Management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4" w:right="339" w:bottom="1440" w:gutter="0" w:footer="0" w:header="0"/>
        </w:sectPr>
      </w:pPr>
    </w:p>
    <w:bookmarkStart w:id="152" w:name="page153"/>
    <w:bookmarkEnd w:id="152"/>
    <w:p>
      <w:pPr>
        <w:jc w:val="both"/>
        <w:spacing w:after="0" w:line="220" w:lineRule="auto"/>
        <w:rPr>
          <w:sz w:val="20"/>
          <w:szCs w:val="20"/>
          <w:color w:val="auto"/>
        </w:rPr>
      </w:pPr>
      <w:r>
        <w:rPr>
          <w:rFonts w:ascii="Times New Roman" w:cs="Times New Roman" w:eastAsia="Times New Roman" w:hAnsi="Times New Roman"/>
          <w:sz w:val="22"/>
          <w:szCs w:val="22"/>
          <w:color w:val="auto"/>
        </w:rPr>
        <w:t>The powers and duties of the General Manager shall at all times be subject to the provisions of Section 6.04 hereof. The General Manager may not be removed or discharged without cause without the approval of the Management Committee. The General Manager shall preside over all meetings of the Management Committee. In the absence of the General Manager, his or her designated alternate shall assume his or her powers, duties and authority at such meeting.</w:t>
      </w:r>
    </w:p>
    <w:p>
      <w:pPr>
        <w:spacing w:after="0" w:line="4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 The following actions shall under no circumstances be taken by the General Manager, or any other Manager or officer (if any) on behalf of the Company or by the Management Committee, without the approval of the Management Committee:</w:t>
      </w:r>
    </w:p>
    <w:p>
      <w:pPr>
        <w:spacing w:after="0" w:line="153" w:lineRule="exact"/>
        <w:rPr>
          <w:sz w:val="20"/>
          <w:szCs w:val="20"/>
          <w:color w:val="auto"/>
        </w:rPr>
      </w:pPr>
    </w:p>
    <w:p>
      <w:pPr>
        <w:jc w:val="both"/>
        <w:ind w:firstLine="1304"/>
        <w:spacing w:after="0" w:line="225" w:lineRule="auto"/>
        <w:tabs>
          <w:tab w:leader="none" w:pos="176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with, purchase all or any substantial part of the assets of, make or agree to make capital contributions to or investments in, or otherwise acquire any securities, interest or ownership in, any person, joint venture, firm, corporation or division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all or a significant portion of the assets of the Company, provided however, that the Toro Sub Managers shall not unreasonably withhold their consent to any proposed disposition of the assets of the Company to any party other than a party primarily engaged in the manufacture, sale or financing of Lawn and Garden Products (as defined in the Joint Venture Agreement);</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dissolve or liquidate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2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amend or terminate any agreement or contract involving aggregate expense for the Company in excess of $25,000 (in a single transaction or a series of related transactions), or if such contract is not so quantifiable, which would have a material adverse effect on the operations or condition (financial or otherwise) of the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7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operating expenditure or commitment therefor involving the expenditure of more than $25,000 for any individual transaction or series of related transactions or $50,000 in the aggregate in any 12-month period or any capital expenditures in any amount, except to the extent such expenditure is provided for in a budget previously approved by the Management Committee;</w:t>
      </w:r>
    </w:p>
    <w:p>
      <w:pPr>
        <w:spacing w:after="0" w:line="15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nature of the Business or enter into any new line of business;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8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contemplated by Article IV or Section 10.03 hereof, determine the amount and timing of any distribution to be made to the Members by the Company;</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76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amend any written agreement, or engage in any other transaction, with any officer (if any) of the Company or direct or indirect holder of any Shares (or any of such person’s Affiliates);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1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any lien, mortgage or other encumbrance on the property or assets of the Company, provided, however, that the Toro Sub Managers shall not unreasonably withhold their consent to any proposed encumbrance on the assets of the Company in favor of any party other than a party primarily engaged in the manufacture, sale or financing of Lawn and Garden Products (as defined in the Joint Venture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84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indebtedness for, lend or advance money to, or guarantee or endorse the obligations of, any other person, except as otherwise expressly provided herein and except for endorsement of checks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53" w:name="page154"/>
    <w:bookmarkEnd w:id="153"/>
    <w:p>
      <w:pPr>
        <w:ind w:left="1900" w:hanging="596"/>
        <w:spacing w:after="0"/>
        <w:tabs>
          <w:tab w:leader="none" w:pos="19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indebtedness for borrowed money in excess of $25,000 other than as contemplated by the Credit</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304"/>
        <w:spacing w:after="0" w:line="225" w:lineRule="auto"/>
        <w:tabs>
          <w:tab w:leader="none" w:pos="179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lease any real property, (ii) lease any personal property for a term longer than 36 months or exceeding $10,000 in the aggregate or (iii) acquire any property of any kind in excess of $10,000 in the aggregate, other than financial assets arising out of the Business or any collateral securing the performance of such financial assets;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8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transaction or series of transactions that results in the incorporation of the Company or any other material change in organizational form or causes the Company to lose its status as a partnership for any tax purpose;</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1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Sections 2.02, 2.03, 2.04 and 2.05, accept any contribution to the capital of the Company or (A) issue or sell or (B) purchase or redeem, in each case, by the Company, any Shares in the Company;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2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any petition by or on behalf of the Company seeking relief under the federal bankruptcy act or similar relief under any law or statute of the United States or any state thereof;</w:t>
      </w:r>
    </w:p>
    <w:p>
      <w:pPr>
        <w:spacing w:after="0" w:line="137"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8.03, hire or change the registered independent public accounting firm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3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6.02(g), make any material change with respect to the accounting policies, tax policies, methods or practices of the Company, except as otherwise required by generally accepted accounting principles as adopted in the United States (“GAAP”), consistently applied;</w:t>
      </w:r>
    </w:p>
    <w:p>
      <w:pPr>
        <w:spacing w:after="0" w:line="15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 or remove any executive officer of the Company;</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the Business under any name other than “Red Iron Acceptance, LLC”;</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or otherwise engage in any litigation on behalf of the Company other than in the ordinary course of the Business or to enforce an obligation of a Member under any Definitive Agreement that is not the subject of an Arbitrable Dispute under such Definitive Agreement;</w:t>
      </w:r>
    </w:p>
    <w:p>
      <w:pPr>
        <w:spacing w:after="0" w:line="13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extend or restate or otherwise modify any of the Definitive Agreements to which the Company is 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w:t>
      </w:r>
    </w:p>
    <w:p>
      <w:pPr>
        <w:spacing w:after="0" w:line="15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any of the Company’s funds;</w:t>
      </w:r>
    </w:p>
    <w:p>
      <w:pPr>
        <w:spacing w:after="0" w:line="17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contracts of insurance;</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additional Shares or repurchase any outstanding Shares;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87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cost on behalf of the Company if the amount thereof would result in an increase in the total budgeted expenses for the Company of more than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82" w:right="339" w:bottom="1440" w:gutter="0" w:footer="0" w:header="0"/>
        </w:sectPr>
      </w:pPr>
    </w:p>
    <w:bookmarkStart w:id="154" w:name="page155"/>
    <w:bookmarkEnd w:id="154"/>
    <w:p>
      <w:pPr>
        <w:ind w:left="1860" w:hanging="556"/>
        <w:spacing w:after="0"/>
        <w:tabs>
          <w:tab w:leader="none" w:pos="18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the General Manager;</w:t>
      </w:r>
    </w:p>
    <w:p>
      <w:pPr>
        <w:spacing w:after="0" w:line="17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or amend the Company budget or business plan; or</w:t>
      </w:r>
    </w:p>
    <w:p>
      <w:pPr>
        <w:spacing w:after="0" w:line="179"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 or terminate the Commitment, as that term is defined under the Credit Agreement.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Each of the Members agrees to use its commercially reasonable efforts to assist the Company in obtaining as promptly as practicable all consents, authorizations, approvals, and waivers from any governmental entity required to be obtained by the Company in order to operate the Business, including, without limitation, assisting the Company in making any required filings, submissions and notifications with any court, governmental, regulatory, or administrative body, agency or authority, department, commission, instrumentality or arbitrator. Each of the Members shall furnish to the Company such necessary information and reasonable assistance as the Company may reasonably request in connection with the foregoing.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VII</w:t>
      </w: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Conduct of Business; No Employees.</w:t>
      </w:r>
      <w:r>
        <w:rPr>
          <w:rFonts w:ascii="Times New Roman" w:cs="Times New Roman" w:eastAsia="Times New Roman" w:hAnsi="Times New Roman"/>
          <w:sz w:val="22"/>
          <w:szCs w:val="22"/>
          <w:color w:val="auto"/>
        </w:rPr>
        <w:t xml:space="preserve"> From the date hereof until the dissolution and liquidation of the Company pursuant to Article X hereof, the Company, Toro Sub and TCFIF Sub shall (A) act in good faith and use commercially reasonable efforts to maintain the value of the Company’s assets and not permit the Shares or any of the Company’s assets to become subject to any lien other than liens as may be provided for in the Credit Agreement, (B) continue to operate the business, activities and practices of the Company in the ordinary course of business, and (C) use their respective commercially reasonable efforts to preserve the business organization of the Company, and to preserve the goodwill of customers and others with whom material business relationships exist. The Company shall have no employees at any time.</w:t>
      </w:r>
    </w:p>
    <w:p>
      <w:pPr>
        <w:spacing w:after="0" w:line="15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Technology</w:t>
      </w:r>
      <w:r>
        <w:rPr>
          <w:rFonts w:ascii="Times New Roman" w:cs="Times New Roman" w:eastAsia="Times New Roman" w:hAnsi="Times New Roman"/>
          <w:sz w:val="22"/>
          <w:szCs w:val="22"/>
          <w:color w:val="auto"/>
        </w:rPr>
        <w:t>. Any processes, techniques, hardware, software, copyrights, patents, practices or other intellectual property which are owned or used by either Member or any of its Affiliates and used by such Member or Affiliate in the performance of its obligations under this Agreement or any of the other Definitive Agreements and which are proprietary to such Member or Affiliate including the System Technology of either TCFIF or Toro (collectively, the “Technology”), shall be and at all times shall remain the property of such Member or Affiliate or property of the licensor thereof, and neither the other Member nor any of its Affiliates nor the Company shall have any interest in such Technology, except to the extent expressly provided to the contrary in one or more of the Definitive Agreements. “System Technology” means the hardware and software (including, without limitation, the operating system software, the source code and the machine code, and including software owned by a Member and its Affiliates and third party licensed software) used by a Member or its Affiliates to provide the services under a Services Agreement, together with all written manuals and other documentation for system use (which are internally written or produced by a Member or an Affiliate or licensed to a Member or an Affiliate), diagnostic processes, security procedures, file arrays, database systems, processing procedures, program logic, data manipulation formats, data manipulation and processing routines including, but not limited to, (a) internal programming processing logic, (b) software logic, software formatting and software sequencing for (i) invoice purchasing, (ii) cash application, (iii) invoice purchase approval, (iv) the development and use of rates and terms, (v) credit underwriting, (vi) portfolio control, and (vii) floor check collateral verifications, and (c) third-party licensed products, but excluding system generated reports, forms of billing statements, forms of transaction statements and any information not subject to copyright (or which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155" w:name="page156"/>
    <w:bookmarkEnd w:id="155"/>
    <w:p>
      <w:pPr>
        <w:jc w:val="both"/>
        <w:spacing w:after="0" w:line="236" w:lineRule="auto"/>
        <w:rPr>
          <w:sz w:val="20"/>
          <w:szCs w:val="20"/>
          <w:color w:val="auto"/>
        </w:rPr>
      </w:pPr>
      <w:r>
        <w:rPr>
          <w:rFonts w:ascii="Times New Roman" w:cs="Times New Roman" w:eastAsia="Times New Roman" w:hAnsi="Times New Roman"/>
          <w:sz w:val="22"/>
          <w:szCs w:val="22"/>
          <w:color w:val="auto"/>
        </w:rPr>
        <w:t>otherwise proprietary to a Member or its Affiliates) related to such hardware and software, as such may be modified, expanded or superseded from time to time.</w:t>
      </w:r>
    </w:p>
    <w:p>
      <w:pPr>
        <w:spacing w:after="0" w:line="150" w:lineRule="exact"/>
        <w:rPr>
          <w:sz w:val="20"/>
          <w:szCs w:val="20"/>
          <w:color w:val="auto"/>
        </w:rPr>
      </w:pPr>
    </w:p>
    <w:p>
      <w:pPr>
        <w:jc w:val="both"/>
        <w:ind w:firstLine="660"/>
        <w:spacing w:after="0" w:line="211" w:lineRule="auto"/>
        <w:rPr>
          <w:sz w:val="20"/>
          <w:szCs w:val="20"/>
          <w:color w:val="auto"/>
        </w:rPr>
      </w:pPr>
      <w:r>
        <w:rPr>
          <w:rFonts w:ascii="Times New Roman" w:cs="Times New Roman" w:eastAsia="Times New Roman" w:hAnsi="Times New Roman"/>
          <w:sz w:val="22"/>
          <w:szCs w:val="22"/>
          <w:color w:val="auto"/>
        </w:rPr>
        <w:t>Any Technology developed by a Member or any of its Affiliates in connection with the operation of the Company, which relates to services provided by TCFIF or Toro, respectively, shall be deemed to be the property of TCFIF or Toro, respectively, and such Technology shall not be deemed property of the Company; provided, however, that if such Technology is developed for use by the Company at the request of the Company, or if substantially all of the cost of developing such Technology is paid by the Company, then (subject to the last sentence of this Section 7.02) TCFIF or Toro, as appropriate, shall permit the Company to replicate for its own use such Technology, and such replicated Technology shall be deemed to be property of the Company, and the Company shall have an independent, perpetual, non-exclusive, non-transferable right to use such replicated Technology. Notwithstanding the foregoing, the Company shall be permitted to replicate the Technology only to the extent that TCFIF or Toro is the owner of such Technology or, with respect to all such Technology not owned by TCFIF or Toro, has the legal right to permit the Company to replicate such Technology.</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Trade Names</w:t>
      </w:r>
      <w:r>
        <w:rPr>
          <w:rFonts w:ascii="Times New Roman" w:cs="Times New Roman" w:eastAsia="Times New Roman" w:hAnsi="Times New Roman"/>
          <w:sz w:val="22"/>
          <w:szCs w:val="22"/>
          <w:color w:val="auto"/>
        </w:rPr>
        <w:t>. Subject to the terms of the Trademark License Agreement, neither Member shall obtain any rights in any trade name of the other Member or any of its Affiliates by virtue of this Agreement or as a result of the formation and operation of the Company. The Company shall not use the name, fictitious or otherwise, of either Member or any Affiliate of either Member without the consent of such entity, which consent may be withheld in the sole discretion of any such entity. Upon dissolution and completion of the winding-up of the Company, Toro Sub shall succeed to the name “Red Iron Acceptance, LLC” and neither TCFIF nor TCFIF Sub shall have any rights thereto.</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of the Members shall cause its respective parent entity to provide at its own expense directors and officers liability insurance for its Designated Managers in a policy amount of not less than $5,000,000. The Members agree to cooperate with each other in coordinating the defense of litigation whenever the interests of the members of the Management Committee are aligned.</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During the term of the Company and for a period of two (2) years thereafter, each Member shall, and shall cause its officers, directors, employees, representatives and agents to keep any nonpublic information which the other Member treats or designates as confidential (including, without limitation, the Technology and System Technology), any nonpublic information concerning the formation and operation of the Company or the particulars thereof, and any other nonpublic information set forth in the Definitive Agreements or in other documents concerning the Company or relating to the performance by the Members of any of the Definitive Agreements (“Confidential Information”), strictly confidential and not disclose any such information to any person (except for such Member’s financial and legal advisors, lenders and accountants responsible for or actively engaged in the review, performance or development of the Business), or use any such information in the business of such Member. The Members and their Affiliates will be deemed to have fulfilled their obligations hereunder if they exercise the same degree of care to preserve and safeguard such Confidential Information as Toro and TCFIF, respectively, use to preserve and safeguard their own confidential information, provided that upon discovery of any inadvertent disclosure of any Confidential Information, the Member making such inadvertent disclosure endeavors to prevent further use of such information and attempts to prevent similar future inadvertent disclosures. Notwithstanding the foregoing, neither Member will be liable for any disclosure or use of any of the disclosing Member’s Confidential Information if such information is (1) publicly available or later becomes publicly available to such Member other than through a breach of this Agreement, (2) already previously known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56" w:name="page157"/>
    <w:bookmarkEnd w:id="156"/>
    <w:p>
      <w:pPr>
        <w:jc w:val="both"/>
        <w:spacing w:after="0" w:line="208" w:lineRule="auto"/>
        <w:rPr>
          <w:sz w:val="20"/>
          <w:szCs w:val="20"/>
          <w:color w:val="auto"/>
        </w:rPr>
      </w:pPr>
      <w:r>
        <w:rPr>
          <w:rFonts w:ascii="Times New Roman" w:cs="Times New Roman" w:eastAsia="Times New Roman" w:hAnsi="Times New Roman"/>
          <w:sz w:val="22"/>
          <w:szCs w:val="22"/>
          <w:color w:val="auto"/>
        </w:rPr>
        <w:t>the date such information is disclosed, (3) subsequently lawfully obtained by such Member from a third party who does not have an obligation to keep such information confidential, (4) independently developed by such Member without the use of the disclosing Member’s Confidential Information as evidenced in writing, (5) disclosed pursuant to a valid regulatory or judicial order, decree, subpoena, or other process or requirement of law or regulation (including any requirements of any national securities exchange where such Member’s securities are listed), provided that the Member disclosing such information to such court, governmental entity or regulatory authority shall give notice to the original disclosing Member in writing in advance thereof so the original disclosing Member may seek a protective order or other appropriate remedy and/or waive compliance with the provisions of this Section 7.05 and the Member disclosing the information shall disclose only that portion of the Confidential Information that counsel to such Member disclosing the information advises is legally required to be disclosed, (6) disclosed in connection with an audit or examination of records conducted in the ordinary course of such Member’s business by a governmental or regulatory authority (including any national securities exchange where such Member’s securities are listed) with jurisdiction thereover, or by independent certified public accountants, provided that such governmental or regulatory authority or accountants shall have been advised of the confidential nature of such information, or (7) expressly released from the restrictions of this Section 7.05 by the original disclosing Member in writing. Each Member recognizes and acknowledges that the injury to the Company and the other Member which would result from a breach of the provisions of this Section 7.05 could not adequately be compensated by money damages. The Members expressly agree and contemplate, therefore, that in the event of the breach or default by either Member of any provision of this Section 7.05, the Company or the other Member may, in addition to any remedies which it might otherwise be entitled to pursue, obtain such appropriate injunctive relief in support of any such provision of this Agreement. For purposes of this Section 7.05, references to a Member shall be deemed to include that Member’s Affiliates.</w:t>
      </w:r>
    </w:p>
    <w:p>
      <w:pPr>
        <w:spacing w:after="0" w:line="15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7.06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Neither Toro Sub nor TCFIF Sub nor any of their respective Affiliates shall make any public announcement or other disclosure to the press or public regarding this Agreement or the Company or any matter related hereto or thereto, unless Toro Sub and TCFIF Sub mutually agree to make an announcement in a form that both Members have approved. Notwithstanding the foregoing, to the extent a Member (or its Affiliate) is required by law, including the Federal securities laws, or the rules of a national securities exchange applicable to such Member (or such Affiliate) to make a public announcement regarding this Agreement or the Company or any matter related hereto or thereto, then such Member (or such Affiliate) may make a public announcement in order for such Member (or such Affiliate) to duly comply with such law or rule, provided that such Member (or such Affiliate) gives notice to the other Member of such public announcement promptly upon such Member (or such Affiliate) becoming aware of its need to comply with such law or rule, but, in any event, not later than the time the public announcement is to be made.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7.07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4" w:lineRule="auto"/>
        <w:tabs>
          <w:tab w:leader="none" w:pos="177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controversy or claim arising out of or relating to the interpretation of this Agreement, or the existence or extent of, a breach of any duties hereunder (but exclusive of Section 7.02 (technology), Section 7.05 (confidentiality), Section 7.06 (publicity), Section 11.02 (indemnities), Section 11.04 (governing law) and Section 11.15 (waiver of jury trial)) shall arise between the Members, or if the Members shall be unable to agree as to the determination of any accounting matter or other computation expressly contemplated by this Agreement (all such disputes and failures to agree, the “Arbitrable Disputes”), then either Member may request, by giving written notice to the other Member (the “Request Notice”), that the Officers confer within five (5) business days regarding the Arbitrable Dispute. The Officers shall confer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57" w:name="page158"/>
    <w:bookmarkEnd w:id="157"/>
    <w:p>
      <w:pPr>
        <w:jc w:val="both"/>
        <w:spacing w:after="0" w:line="217" w:lineRule="auto"/>
        <w:rPr>
          <w:sz w:val="20"/>
          <w:szCs w:val="20"/>
          <w:color w:val="auto"/>
        </w:rPr>
      </w:pPr>
      <w:r>
        <w:rPr>
          <w:rFonts w:ascii="Times New Roman" w:cs="Times New Roman" w:eastAsia="Times New Roman" w:hAnsi="Times New Roman"/>
          <w:sz w:val="22"/>
          <w:szCs w:val="22"/>
          <w:color w:val="auto"/>
        </w:rPr>
        <w:t>and use all reasonable efforts to resolve the Arbitrable Dispute. For purposes of this Section 7.07, “Officers” shall mean the President of Toro and the person to whom the President of TCFIF directly reports, provided, however, that neither such individual is or ever has been a member of the Management Committee. If either such individual is or has been a member of the Management Committee, then the “Officer” for the applicable Member shall be a senior executive officer of such Member who is not and has not ever been a member of the Management Committee, who is reasonably acceptable to the other Member.</w:t>
      </w:r>
    </w:p>
    <w:p>
      <w:pPr>
        <w:spacing w:after="0" w:line="152" w:lineRule="exact"/>
        <w:rPr>
          <w:sz w:val="20"/>
          <w:szCs w:val="20"/>
          <w:color w:val="auto"/>
        </w:rPr>
      </w:pPr>
    </w:p>
    <w:p>
      <w:pPr>
        <w:jc w:val="both"/>
        <w:ind w:firstLine="1304"/>
        <w:spacing w:after="0" w:line="225" w:lineRule="auto"/>
        <w:tabs>
          <w:tab w:leader="none" w:pos="188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Officers do not resolve the Arbitrable Dispute within ten (10) business days after delivery of the Request Notice, then the Arbitrable Dispute shall be submitted to mediation and then arbitration in accordance with the procedures set forth below in this Section 7.07.</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4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Arbitrable Disputes will be submitted to mediation (assuming other good faith attempts to resolve the dispute have failed) prior to submitting such claim to arbitration pursuant to this Section 7.07. The mediation will take place in Minneapolis, Minnesota, unless the Members agree to conduct the mediation at another location. If the Members are unable to agree upon a mediator, each Member will select a mediator, which mediators in turn will select the mediator of the dispute. Each Member’s representation at the mediation will include a business representative having full settlement authority. The Members will use best efforts to schedule the mediation within thirty (30) days after delivery of the Request Notice. Any mediation will be non-binding and all statements, whether oral or in writing, that are made as part of any mediation will be subject to Federal Rule of Evidence 408 and cannot be used by either party in any subsequent arbitration in a manner prohibited by Federal Rule of Evidence 408. The Members acknowledge that they agree to mediate disputes in hopes of amicably resolving the matter before incurring significant attorneys’ fees which may act as a barrier to settlement of the dispute at a later time. Accordingly, the Members will mediate in good faith and use reasonable efforts to reach a resolution of the matter.</w:t>
      </w:r>
    </w:p>
    <w:p>
      <w:pPr>
        <w:spacing w:after="0" w:line="157" w:lineRule="exact"/>
        <w:rPr>
          <w:rFonts w:ascii="Times New Roman" w:cs="Times New Roman" w:eastAsia="Times New Roman" w:hAnsi="Times New Roman"/>
          <w:sz w:val="21"/>
          <w:szCs w:val="21"/>
          <w:color w:val="auto"/>
        </w:rPr>
      </w:pPr>
    </w:p>
    <w:p>
      <w:pPr>
        <w:jc w:val="both"/>
        <w:ind w:firstLine="1304"/>
        <w:spacing w:after="0" w:line="213" w:lineRule="auto"/>
        <w:tabs>
          <w:tab w:leader="none" w:pos="18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Members are unable to resolve an Arbitrable Dispute through mutual cooperation, negotiation or mediation, such Arbitrable Dispute will be finally resolved by arbitration by a single arbitrator in accordance with the Commercial Arbitration Rules, except as otherwise provided herein, of the American Arbitration Association (“AAA”) but without intervention of the AAA. The arbitration will take place in Minneapolis, Minnesota, unless the Members agree to conduct the mediation at another location. If the Members are unable to agree upon an arbitrator, each Member will select an arbitrator, which arbitrators in turn will select the arbitrator of the dispute. The arbitrator of the dispute shall be an accountant, attorney or retired judge with a working knowledge of the commercial inventory finance industry.</w:t>
      </w:r>
    </w:p>
    <w:p>
      <w:pPr>
        <w:spacing w:after="0" w:line="156"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9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agree to facilitate the arbitration by: (a) 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will a Member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 or like up-front fees will be divided equally between the Members.</w:t>
      </w:r>
    </w:p>
    <w:p>
      <w:pPr>
        <w:spacing w:after="0" w:line="150" w:lineRule="exact"/>
        <w:rPr>
          <w:rFonts w:ascii="Times New Roman" w:cs="Times New Roman" w:eastAsia="Times New Roman" w:hAnsi="Times New Roman"/>
          <w:sz w:val="21"/>
          <w:szCs w:val="21"/>
          <w:color w:val="auto"/>
        </w:rPr>
      </w:pPr>
    </w:p>
    <w:p>
      <w:pPr>
        <w:ind w:firstLine="1304"/>
        <w:spacing w:after="0" w:line="236" w:lineRule="auto"/>
        <w:tabs>
          <w:tab w:leader="none" w:pos="184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 shall have the authority to award relief under legal or equitable principles and to allocate responsibility for the costs of the arbitration and to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58" w:name="page159"/>
    <w:bookmarkEnd w:id="158"/>
    <w:p>
      <w:pPr>
        <w:spacing w:after="0" w:line="236" w:lineRule="auto"/>
        <w:rPr>
          <w:sz w:val="20"/>
          <w:szCs w:val="20"/>
          <w:color w:val="auto"/>
        </w:rPr>
      </w:pPr>
      <w:r>
        <w:rPr>
          <w:rFonts w:ascii="Times New Roman" w:cs="Times New Roman" w:eastAsia="Times New Roman" w:hAnsi="Times New Roman"/>
          <w:sz w:val="22"/>
          <w:szCs w:val="22"/>
          <w:color w:val="auto"/>
        </w:rPr>
        <w:t>recovery of reasonable attorney’s fees and expenses to the prevailing Member. A full and complete record and transcript of the arbitration proceeding shall be maintained. The arbitrator shall issue a reasoned decision.</w:t>
      </w:r>
    </w:p>
    <w:p>
      <w:pPr>
        <w:spacing w:after="0" w:line="150" w:lineRule="exact"/>
        <w:rPr>
          <w:sz w:val="20"/>
          <w:szCs w:val="20"/>
          <w:color w:val="auto"/>
        </w:rPr>
      </w:pPr>
    </w:p>
    <w:p>
      <w:pPr>
        <w:jc w:val="both"/>
        <w:ind w:firstLine="1304"/>
        <w:spacing w:after="0" w:line="217" w:lineRule="auto"/>
        <w:tabs>
          <w:tab w:leader="none" w:pos="180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shall have five (5) business days to object to the arbitrator’s decision, or any part thereof, by written submission made to the arbitrator and the other Member shall have five (5)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8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Member brings or appeals any judicial action to vacate or modify any award rendered pursuant to arbitration or opposes the confirmation of such award and the Member bringing or appealing such action or opposing confirmation of such award does not prevail, such Member shall pay all of the costs and expenses (including, without limitation, court costs, arbitrators’ fees and expenses and reasonable attorneys’ fees) incurred by the other Member in defending such action. Additionally, if either Member brings any action for judicial relief of an Arbitrable Dispute in the first instance without pursuing arbitration prior thereto, the Member bringing such action for judicial relief shall be liable for and shall immediately pay to the other Member all of the other Member’s costs and expenses (including, without limitation, court costs and reasonable attorneys’ fees) in the event the other Member successfully moves to stay or dismiss such judicial action and/or compel it to arbitration. The failure of either Member to exercise any rights granted hereunder shall not operate as a waiver of any of those rights. This Agreement concerns transactions involving commerce among the several states. The arbitrator will not be empowered to award punitive, exemplary, or, except in the case of fraud, bad faith, willful misconduct or gross negligence, indirect or consequential damages. The arbitrator will decide if any inconsistency exists between the rules of the applicable arbitral forum and the arbitration provisions contained herein. If such inconsistency exists, the arbitration provisions contained herein will control and supersede such rules. The agreement to arbitrate will survive termination of this Agreement.</w:t>
      </w:r>
    </w:p>
    <w:p>
      <w:pPr>
        <w:spacing w:after="0" w:line="155" w:lineRule="exact"/>
        <w:rPr>
          <w:rFonts w:ascii="Times New Roman" w:cs="Times New Roman" w:eastAsia="Times New Roman" w:hAnsi="Times New Roman"/>
          <w:sz w:val="21"/>
          <w:szCs w:val="21"/>
          <w:color w:val="auto"/>
        </w:rPr>
      </w:pPr>
    </w:p>
    <w:p>
      <w:pPr>
        <w:jc w:val="both"/>
        <w:ind w:firstLine="1304"/>
        <w:spacing w:after="0" w:line="215" w:lineRule="auto"/>
        <w:tabs>
          <w:tab w:leader="none" w:pos="172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initiation of the dispute resolution procedures in this Section 7.07 shall not excuse either Member, or any of its respective Affiliates, from performing its obligations hereunder or under any of the other Definitive Agreements or in connection with the transactions contemplated hereby. While the dispute procedure is pending, the Members and their respective Affiliates shall continue to perform in good faith their respective obligations hereunder and under the other Definitive Agreements, subject to any rights to terminate this Agreement or the other Definitive Agreements that may be available to the Members or their respective Affiliates.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7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7.07 shall be the exclusive process for all Arbitrable Disputes. The terms of this Section 7.07, shall be without prejudice to the rights of each Member to obtain recovery from, or to seek recourse against, the other Member (or otherwise), in such manner as such Member may elect (but subject to Section 11.15) for all claims, damages, losses, costs and matters other than those related to Arbitrable Disputes.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u w:val="single" w:color="auto"/>
          <w:color w:val="auto"/>
        </w:rPr>
        <w:t>Alternate Dispute Resolution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59" w:name="page160"/>
    <w:bookmarkEnd w:id="159"/>
    <w:p>
      <w:pPr>
        <w:ind w:left="1300" w:firstLine="652"/>
        <w:spacing w:after="0" w:line="236" w:lineRule="auto"/>
        <w:tabs>
          <w:tab w:leader="none" w:pos="248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levels provided by either the TCFIF Services Agreement or the Toro Services Agreement become a continuing matter of dispute between the Members;</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47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matters of credit policy, credit decisions or matters of credit administration made by or presented to the Management Committee become a continuing matter of material dispute between the Members;</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Committee is evenly divided with regard to appointment of a General Manager, as described in Section 6.02(a); or</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Committee is evenly divided on a matter regarding the approval of the Company budget as described in Section 6.02(f);</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 Member may send a notice (“Dispute Resolution Notice”) to the other Member of its desire to utilize the provisions of this Section 7.08 to address the issue (“Issue”) described in the Dispute Resolution Notice. Such Dispute Resolution Notice shall identify with particularity the Issue to be addressed and the notifying Member’s suggestion for resolving the issue.</w:t>
      </w:r>
    </w:p>
    <w:p>
      <w:pPr>
        <w:spacing w:after="0" w:line="153" w:lineRule="exact"/>
        <w:rPr>
          <w:sz w:val="20"/>
          <w:szCs w:val="20"/>
          <w:color w:val="auto"/>
        </w:rPr>
      </w:pPr>
    </w:p>
    <w:p>
      <w:pPr>
        <w:jc w:val="both"/>
        <w:ind w:firstLine="1304"/>
        <w:spacing w:after="0" w:line="215" w:lineRule="auto"/>
        <w:tabs>
          <w:tab w:leader="none" w:pos="18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after the receipt of a Dispute Resolution Notice, the Management Committee shall meet to discuss the Issue raised in the Dispute Resolution Notice and the desired request for change. The General Manager will be responsible for preparing and making available to the Members any information regarding such Issue requested by either Member. If the Management Committee agrees to a resolution of the Issue raised in a Dispute Resolution Notice, such resolution shall be documented in the minutes of the Management Committee and appropriate amendments made to any agreement, policy or other documents required to evidence such resolution.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within fifteen (15) days after convening a meeting of the Management Committee to address an Issue, the Management Committee is unable to agree to an acceptable resolution of such Issue; (ii) the Management Committee is deadlocked with regard to appointment of a General Manager as described in Section 6.02(a) or (iii) the Management Committee is evenly divided on a matter regarding approval of the Company budget as described in Section 6.02(f) (each, a “Disputed Matter”), then either Member may request, by giving notice to the other Member, that the Officers (as defined in Section 7.07(a)) confer within five (5) business days regarding the issue. The Officers shall confer in good faith and use all reasonable efforts to resolve the Disputed Matter. If the Officers do not resolve the Disputed Matter within ten (10) business days after the delivery to them of notice of the Disputed Matter, the Disputed Matter shall be submitted to mediation in accordance with the procedures described in Section 7.07(c).</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7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Members are unable to resolve an Issue described in Section 7.08(a) through mutual cooperation, negotiation or mediation, within thirty (30) days after delivery of the Dispute Resolution Notice relating to such Issue, the Member which originally served the Dispute Resolution Notice relating to such Issue shall have the right to terminate this Agreement, provided that such notice of termination must be given within sixty (60) days after delivery of the Dispute Resolution Notice related to the Issue. Failure to timely send such notice of termination will be deemed a waiver by the notifying party of its right to terminate the Agreement as a consequence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color w:val="auto"/>
        </w:rPr>
        <w:t>SECTION VIII</w:t>
      </w:r>
    </w:p>
    <w:p>
      <w:pPr>
        <w:jc w:val="center"/>
        <w:spacing w:after="0"/>
        <w:rPr>
          <w:sz w:val="20"/>
          <w:szCs w:val="20"/>
          <w:color w:val="auto"/>
        </w:rPr>
      </w:pPr>
      <w:r>
        <w:rPr>
          <w:rFonts w:ascii="Times New Roman" w:cs="Times New Roman" w:eastAsia="Times New Roman" w:hAnsi="Times New Roman"/>
          <w:sz w:val="22"/>
          <w:szCs w:val="22"/>
          <w:b w:val="1"/>
          <w:bCs w:val="1"/>
          <w:color w:val="auto"/>
        </w:rPr>
        <w:t>BOOKS AND RECORDS</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The Management Committee shall have authority to open bank accounts and designate signatories with respect thereto on behalf of the Company and may authorize agents and independent contractors of the Company to open such bank accounts as deemed necessary or desirable for the conduct of the Business. The Company bank accounts shall be maintained on behalf of the Company as segregated accounts and shall not be commingled with the funds of any person other than the Company. The Company’s excess funds shall be invested in the manner established by the Management Committee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Books of Account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1304"/>
        <w:spacing w:after="0" w:line="236" w:lineRule="auto"/>
        <w:tabs>
          <w:tab w:leader="none" w:pos="185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TCFIF Sub shall cause to be kept full and proper ledgers and other books of account of all receipts and disbursements and the following financial reports or information shall be provided to each Member:</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37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time after the end of each calendar month and consistent with past practices of the Business, but in any event within ten (10) days thereafter, the unaudited balance sheet and the related statements of income of the Company, prepared in accordance with GAAP, applied on a consistent basis, as of the end of, and for, such month and the fiscal year-to-date;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46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time after expiration of each fiscal year and consistent with past practices of the Business, but in any event no later than the following April 15, the balance sheet and the related statements of income and cash flows of the Company and a statement of Capital Accounts and changes thereto, each prepared in accordance with GAAP, applied on a consistent basis, accompanied by all necessary tax reporting information required by each of the Members for preparation of its Federal, state and local income tax returns, including each Member’s allocable share of income, gain, loss, deductions and credits for such fiscal year;</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7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no event more than ten (10) days following the end of each calendar month and consistent with past practices of the Business, a monthly operating summary of the Company’s activities in a form to be agreed upon by Toro Sub and TCFIF Sub;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65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period of time after a request, such other financial information as to the Company as any Member shall reasonably request.</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 tax returns of the Company will be maintained at the offices of TCF National Bank in Wayzata, Minnesota. All other ledgers, books of account and financial statements shall be maintained at the offices of TCFIF in Hoffman Estates, Illinois.</w:t>
      </w:r>
    </w:p>
    <w:p>
      <w:pPr>
        <w:spacing w:after="0" w:line="17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TCFIF Sub shall certify on behalf of the Company that the financial information provided in subsections (i) through (iv) above (A) has been prepared in accordance with the books of account and other financial records of the Company, (B) presents fairly the financial condition and results of operations of the Company as of the date thereof or for the periods covered thereby,</w:t>
      </w:r>
    </w:p>
    <w:p>
      <w:pPr>
        <w:spacing w:after="0" w:line="2" w:lineRule="exact"/>
        <w:rPr>
          <w:sz w:val="20"/>
          <w:szCs w:val="20"/>
          <w:color w:val="auto"/>
        </w:rPr>
      </w:pPr>
    </w:p>
    <w:p>
      <w:pPr>
        <w:ind w:right="20" w:firstLine="8"/>
        <w:spacing w:after="0" w:line="225" w:lineRule="auto"/>
        <w:tabs>
          <w:tab w:leader="none" w:pos="34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prepared in accordance with GAAP, applied on a consistent basis, and (D) includes, with respect to annual financial statements, all adjustments that are necessary for a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82" w:right="339" w:bottom="1440" w:gutter="0" w:footer="0" w:header="0"/>
        </w:sectPr>
      </w:pPr>
    </w:p>
    <w:bookmarkStart w:id="161" w:name="page162"/>
    <w:bookmarkEnd w:id="161"/>
    <w:p>
      <w:pPr>
        <w:spacing w:after="0" w:line="236" w:lineRule="auto"/>
        <w:rPr>
          <w:sz w:val="20"/>
          <w:szCs w:val="20"/>
          <w:color w:val="auto"/>
        </w:rPr>
      </w:pPr>
      <w:r>
        <w:rPr>
          <w:rFonts w:ascii="Times New Roman" w:cs="Times New Roman" w:eastAsia="Times New Roman" w:hAnsi="Times New Roman"/>
          <w:sz w:val="22"/>
          <w:szCs w:val="22"/>
          <w:color w:val="auto"/>
        </w:rPr>
        <w:t>presentation of the financial condition of the Company as of the dates thereof or for the periods covered thereby and that there are no material adjustments with respect to quarterly financial statements.</w:t>
      </w:r>
    </w:p>
    <w:p>
      <w:pPr>
        <w:spacing w:after="0" w:line="150" w:lineRule="exact"/>
        <w:rPr>
          <w:sz w:val="20"/>
          <w:szCs w:val="20"/>
          <w:color w:val="auto"/>
        </w:rPr>
      </w:pPr>
    </w:p>
    <w:p>
      <w:pPr>
        <w:jc w:val="both"/>
        <w:ind w:firstLine="1304"/>
        <w:spacing w:after="0" w:line="222" w:lineRule="auto"/>
        <w:tabs>
          <w:tab w:leader="none" w:pos="187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reasonable notice, the Company shall and shall cause each of its officers, agents, accountants and counsel to: (i) afford the officers, authorized agents, accountants, counsel and representatives of the Members and their Affiliates reasonable access, during normal business hours, to the offices, properties, other facilities, books and records of the Company and to those officers, agents, accountants and counsel of the Company who have any knowledge relating to the Company or the Business and (ii) furnish to the officers, authorized agents, accountants, counsel and representatives of the Members and their Affiliates such additional financial and operating data and other information regarding the Business and the assets, properties and goodwill of the Company as the Members or their Affiliates may from time to time reasonably request. The parties shall use commercially reasonable efforts to minimize any disruption to the Business resulting from this Section 8.02.</w:t>
      </w:r>
    </w:p>
    <w:p>
      <w:pPr>
        <w:spacing w:after="0" w:line="157"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fiscal year end shall be December 31.</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u w:val="single" w:color="auto"/>
          <w:color w:val="auto"/>
        </w:rPr>
        <w:t>Registered Independent Public Accounting Firm</w:t>
      </w:r>
      <w:r>
        <w:rPr>
          <w:rFonts w:ascii="Times New Roman" w:cs="Times New Roman" w:eastAsia="Times New Roman" w:hAnsi="Times New Roman"/>
          <w:sz w:val="22"/>
          <w:szCs w:val="22"/>
          <w:color w:val="auto"/>
        </w:rPr>
        <w:t>. If the Management Committee determines that the Company needs to engage a registered independent public accounting firm, the Company shall retain, at its sole cost and expense, KPMG LLP to be such registered independent public accounting firm for the Company; provided, however, that TCFIF Sub, in the exercise of its reasonable discretion, shall be permitted to cause the Company instead to retain such other registered independent public accounting firm of national repute as may, from time to time, be the auditor for TCFIF Sub’s ultimate parent entity (the “Accountant”). The fees and expenses of the Accountant shall be paid by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IX</w:t>
      </w: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OF MEMBER INTERESTS</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u w:val="single" w:color="auto"/>
          <w:color w:val="auto"/>
        </w:rPr>
        <w:t>No Transfer</w:t>
      </w:r>
      <w:r>
        <w:rPr>
          <w:rFonts w:ascii="Times New Roman" w:cs="Times New Roman" w:eastAsia="Times New Roman" w:hAnsi="Times New Roman"/>
          <w:sz w:val="22"/>
          <w:szCs w:val="22"/>
          <w:color w:val="auto"/>
        </w:rPr>
        <w:t>. No Member may sell, assign, transfer, give, hypothecate or otherwise encumber, directly or indirectly, by operation of law or otherwise (including by merger, consolidation, dividend or distribution) (any such sale, assignment, transfer, gift, hypothecation or encumbrance being hereinafter referred to as a “Transfer”), any Shares or any interest of any kind therein or derived therefrom, except upon the prior written consent of the other Member. Any Transfer of any Shares in contravention of this Article IX shall be null and void.</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9.02 </w:t>
      </w:r>
      <w:r>
        <w:rPr>
          <w:rFonts w:ascii="Times New Roman" w:cs="Times New Roman" w:eastAsia="Times New Roman" w:hAnsi="Times New Roman"/>
          <w:sz w:val="22"/>
          <w:szCs w:val="22"/>
          <w:u w:val="single" w:color="auto"/>
          <w:color w:val="auto"/>
        </w:rPr>
        <w:t>New Members</w:t>
      </w:r>
      <w:r>
        <w:rPr>
          <w:rFonts w:ascii="Times New Roman" w:cs="Times New Roman" w:eastAsia="Times New Roman" w:hAnsi="Times New Roman"/>
          <w:sz w:val="22"/>
          <w:szCs w:val="22"/>
          <w:color w:val="auto"/>
        </w:rPr>
        <w:t>. Subject to the unanimous approval of the Members, no person not then a Member shall become a Member. The admission of any person as a Member under any of the provisions hereof shall be conditioned upon such person expressly assuming and agreeing to be bound by all of the terms and conditions of this Agreement. All reasonable costs and expenses incurred by the Company in connection with any Transfer and, if applicable, the admission of a person as a Member hereunder, shall be paid by the transferor. Upon compliance with all provisions hereof applicable to such person becoming a Member, the other Member agrees to execute and deliver such amendments hereto as are necessary to constitute such person a Member of the Company.</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9.03 </w:t>
      </w:r>
      <w:r>
        <w:rPr>
          <w:rFonts w:ascii="Times New Roman" w:cs="Times New Roman" w:eastAsia="Times New Roman" w:hAnsi="Times New Roman"/>
          <w:sz w:val="22"/>
          <w:szCs w:val="22"/>
          <w:u w:val="single" w:color="auto"/>
          <w:color w:val="auto"/>
        </w:rPr>
        <w:t>Toro Sub Purchase Option</w:t>
      </w:r>
      <w:r>
        <w:rPr>
          <w:rFonts w:ascii="Times New Roman" w:cs="Times New Roman" w:eastAsia="Times New Roman" w:hAnsi="Times New Roman"/>
          <w:sz w:val="22"/>
          <w:szCs w:val="22"/>
          <w:color w:val="auto"/>
        </w:rPr>
        <w:t>. Toro Sub shall have the option to purchase all, but not less than all, of the Shares owned by TCFIF Sub or its transferees on the Closing Date (as hereinafter defined), at the end of the Initial Term or the next succeeding Additional Term (the “End of Term Option”), or upon the termination of the Company pursuant to Section 10.01 (other than pursuant to Section 10.01(f) or (g)) (the “Termination Event Option” and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with the End of Term Option, the “Toro Sub Purchase Option”), in each case pursuant to this Section 9.03.</w:t>
      </w:r>
    </w:p>
    <w:p>
      <w:pPr>
        <w:spacing w:after="0" w:line="179" w:lineRule="exact"/>
        <w:rPr>
          <w:sz w:val="20"/>
          <w:szCs w:val="20"/>
          <w:color w:val="auto"/>
        </w:rPr>
      </w:pPr>
    </w:p>
    <w:p>
      <w:pPr>
        <w:ind w:left="1760" w:hanging="456"/>
        <w:spacing w:after="0"/>
        <w:tabs>
          <w:tab w:leader="none" w:pos="1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1" w:lineRule="auto"/>
        <w:tabs>
          <w:tab w:leader="none" w:pos="255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Toro Sub exercises the End of Term Option, the purchase price to be paid for by Toro Sub to TCFIF Sub for the Shares owned by TCFIF Sub shall be the sum of (i) the amount standing to the credit of the Capital Account of TCFIF Sub as of the Closing Date plus (ii) an amount equal to the Percentage Interest of TCFIF Sub multiplied by the Allowance as of the Closing Date plus (iii) the applicable Toro Sub Purchase Premium plus (iv) the unpaid balance as of the Closing Date, if any, of any Deficit Loans made by TCFIF Sub to Toro Sub including accrued interest thereon minus (v) the unpaid balance as of the Closing Date, if any, of any Deficit Loan made by Toro Sub to TCFIF Sub including accrued interest thereon, which purchase price shall be payable by Toro Sub to TCFIF Sub at the closing on the Closing Date; upon payment of the purchase price, the Deficit Loan made by Toro Sub to TCFIF Sub shall be deemed to have been paid in full. For purposes of this Agreement, the term “Toro Sub Purchase Premium” shall mean:</w:t>
      </w:r>
    </w:p>
    <w:p>
      <w:pPr>
        <w:spacing w:after="0" w:line="150"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2"/>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Closing Date occurs at October 31, 2014, an amount equal to the greater of (y) [***] or</w:t>
      </w:r>
    </w:p>
    <w:p>
      <w:pPr>
        <w:ind w:left="2240" w:hanging="288"/>
        <w:spacing w:after="0"/>
        <w:tabs>
          <w:tab w:leader="none" w:pos="22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Date occurs at October 31, 2016, an amount equal to [***];</w:t>
      </w:r>
    </w:p>
    <w:p>
      <w:pPr>
        <w:spacing w:after="0" w:line="166"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Date occurs at October 31, 2018 or at any time thereafter, an amount equal to</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left="1180"/>
        <w:spacing w:after="0" w:line="225" w:lineRule="auto"/>
        <w:rPr>
          <w:sz w:val="20"/>
          <w:szCs w:val="20"/>
          <w:color w:val="auto"/>
        </w:rPr>
      </w:pPr>
      <w:r>
        <w:rPr>
          <w:rFonts w:ascii="Times New Roman" w:cs="Times New Roman" w:eastAsia="Times New Roman" w:hAnsi="Times New Roman"/>
          <w:sz w:val="22"/>
          <w:szCs w:val="22"/>
          <w:color w:val="auto"/>
        </w:rPr>
        <w:t>“Average Net Receivables” shall be the mean of the average of the beginning and ending receivable balances for each of the months included in the calculation and shall be calculated for the 12-month period immediately preceding the Closing Date.</w:t>
      </w:r>
    </w:p>
    <w:p>
      <w:pPr>
        <w:spacing w:after="0" w:line="153" w:lineRule="exact"/>
        <w:rPr>
          <w:sz w:val="20"/>
          <w:szCs w:val="20"/>
          <w:color w:val="auto"/>
        </w:rPr>
      </w:pPr>
    </w:p>
    <w:p>
      <w:pPr>
        <w:jc w:val="both"/>
        <w:ind w:left="1300" w:firstLine="652"/>
        <w:spacing w:after="0" w:line="226" w:lineRule="auto"/>
        <w:tabs>
          <w:tab w:leader="none" w:pos="2453"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Toro Sub exercises the Termination Event Option pursuant to a termination of the Company under Section 10.01(a), the purchase price shall be the greater of (A) the purchase price calculated under Section 9.03(a)</w:t>
      </w:r>
    </w:p>
    <w:p>
      <w:pPr>
        <w:spacing w:after="0" w:line="1" w:lineRule="exact"/>
        <w:rPr>
          <w:rFonts w:ascii="Times New Roman" w:cs="Times New Roman" w:eastAsia="Times New Roman" w:hAnsi="Times New Roman"/>
          <w:sz w:val="21"/>
          <w:szCs w:val="21"/>
          <w:color w:val="auto"/>
        </w:rPr>
      </w:pPr>
    </w:p>
    <w:p>
      <w:pPr>
        <w:ind w:left="1300" w:firstLine="4"/>
        <w:spacing w:after="0" w:line="225" w:lineRule="auto"/>
        <w:tabs>
          <w:tab w:leader="none" w:pos="156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(B) the fair market value of the Shares owned by TCFIF Sub as of the Closing Date, as determined by an independent third party expert mutually agreeable to Toro Sub and TCFIF Sub.</w:t>
      </w:r>
    </w:p>
    <w:p>
      <w:pPr>
        <w:spacing w:after="0" w:line="14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66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Toro Sub exercises the Termination Event Option pursuant to any other termination of the Company under Section 10.01, the purchase price shall be the fair market value of the Shares owned by TCFIF as of the Closing Date, as determined by an independent third party expert mutually agreeable to Toro Sub and TCFIF Sub.</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Date” shall mean (A) for purposes of the End of Term Option, the last date of the Initial Term or the next succeeding Additional Term, as applicable; and (B) for purposes of the Termination Event Option, the date mutually agreed to by Toro Sub and TCFIF Sub, not to exceed 120 days from the date Toro Sub provides the notice required by Section 9.03(b)(ii).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63" w:name="page164"/>
    <w:bookmarkEnd w:id="163"/>
    <w:p>
      <w:pPr>
        <w:ind w:left="1780" w:hanging="476"/>
        <w:spacing w:after="0"/>
        <w:tabs>
          <w:tab w:leader="none" w:pos="17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Exercise; Closing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43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Sub shall exercise the End of Term Option, if at all, by giving written notice to such effect to TCFIF Sub either (i) during the 31-day period commencing October 1, 2013, or (ii) during the 31-day period commencing on the date which is thirteen (13) months prior to the end of each Additional Period; provided, however, if TCFIF Sub gives notice of its election not to renew the term of the Company pursuant to Section 1.04, Toro Sub shall have ninety (90) days after receipt of such notice within which to exercise the End of Term Option.</w:t>
      </w:r>
    </w:p>
    <w:p>
      <w:pPr>
        <w:spacing w:after="0" w:line="153" w:lineRule="exact"/>
        <w:rPr>
          <w:rFonts w:ascii="Times New Roman" w:cs="Times New Roman" w:eastAsia="Times New Roman" w:hAnsi="Times New Roman"/>
          <w:sz w:val="21"/>
          <w:szCs w:val="21"/>
          <w:color w:val="auto"/>
        </w:rPr>
      </w:pPr>
    </w:p>
    <w:p>
      <w:pPr>
        <w:jc w:val="both"/>
        <w:ind w:left="1300" w:firstLine="652"/>
        <w:spacing w:after="0" w:line="212" w:lineRule="auto"/>
        <w:tabs>
          <w:tab w:leader="none" w:pos="2432"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Sub shall exercise the Termination Event Option, if at all, by giving written notice to such effect to TCFIF Sub at the time of the events giving rise to the applicable termination event, or as soon as reasonably practicable thereafter. Upon Toro Sub’s delivery of such notice, no Termination Event (as hereinafter defined) shall have occurred, no Termination Payment (as hereinafter defined) shall be payable and the Members shall cooperate to effect an orderly transfer of the Shares to Toro Sub (including causing the Credit Agreement to continue through the Closing Date) and to consummate the closing on the Closing Date; provided, that if the closing is not consummated for any reason, then such Termination Event shall be deemed to have occurred and the related Termination Payment, if any, shall be due.</w:t>
      </w:r>
    </w:p>
    <w:p>
      <w:pPr>
        <w:spacing w:after="0" w:line="156"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Contemporaneously with the closing on the Closing Date, Toro Sub shall cause the Company to repay to TCFIF all indebtedness under the Credit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X</w:t>
      </w: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u w:val="single" w:color="auto"/>
          <w:color w:val="auto"/>
        </w:rPr>
        <w:t>Dissolution. Subject to Toro Sub’s exercise of the Toro Sub Purchase Option under Section 9.03, t</w:t>
      </w:r>
      <w:r>
        <w:rPr>
          <w:rFonts w:ascii="Times New Roman" w:cs="Times New Roman" w:eastAsia="Times New Roman" w:hAnsi="Times New Roman"/>
          <w:sz w:val="22"/>
          <w:szCs w:val="22"/>
          <w:color w:val="auto"/>
        </w:rPr>
        <w:t>he Company shall be dissolved and its business wound up as provided in Section 10.04 following the occurrence of any of the following events, whichever shall first occur (the “Termination Date”):</w:t>
      </w:r>
    </w:p>
    <w:p>
      <w:pPr>
        <w:spacing w:after="0" w:line="153" w:lineRule="exact"/>
        <w:rPr>
          <w:sz w:val="20"/>
          <w:szCs w:val="20"/>
          <w:color w:val="auto"/>
        </w:rPr>
      </w:pPr>
    </w:p>
    <w:p>
      <w:pPr>
        <w:ind w:firstLine="1304"/>
        <w:spacing w:after="0" w:line="236" w:lineRule="auto"/>
        <w:tabs>
          <w:tab w:leader="none" w:pos="175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dissolution, liquidation or final adjudication as bankrupt or the filing of a voluntary petition in bankruptcy of TCF Financial Corporation, a Delaware corporation (“TCF”), TCF National Bank, TCFIF, or Toro;</w:t>
      </w:r>
    </w:p>
    <w:p>
      <w:pPr>
        <w:spacing w:after="0" w:line="15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adjudication as bankrupt or the filing of a voluntary petition in bankruptcy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by a Member or any of its Affiliates to terminate any of the Definitive Agreements by reason of default of the other Member or any of such other Member’s Affiliates thereunder (other than failure of a Member to make a Capital Contribution pursuant to this Agreement as to which a Deficit Loan has been made by the other Member);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83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election of a Member following the transfer by the other Member of its Shares (other than to an Affiliate of such Member or in accordance with Article IX 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election of a Member following the sale, assignment or encumbrance of any part of the equity interest in other Member held by the parent of such other Member (other than to an Affiliate of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164" w:name="page165"/>
    <w:bookmarkEnd w:id="164"/>
    <w:p>
      <w:pPr>
        <w:ind w:left="1740" w:hanging="436"/>
        <w:spacing w:after="0"/>
        <w:tabs>
          <w:tab w:leader="none" w:pos="17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 of the term of the Company;</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of a notice of termination in accordance with the provisions of Section 7.08(d);</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election of a Member to dissolve due to non-viability of the Company, as described below, provided that notice of such election may not be given prior to the second anniversary of the initial closing by the Company of a purchase under the initial Receivable Purchase Agreement. (For purposes of this Agreement, “non-viability” shall mean (i) failure of the Company to achieve a minimum four quarter rolling return average for each four-quarter period ending after the second anniversary of the initial closing of a purchase by the Company under the initial Receivable Purchase Agreement of [***]% of pre-tax return on assets or such other return as may hereafter be agreed upon in writing by the Members or (ii) agreement of the Members to the effect that the equity requirements of the Company exceed the sum of [***];</w:t>
      </w:r>
    </w:p>
    <w:p>
      <w:pPr>
        <w:spacing w:after="0" w:line="156" w:lineRule="exact"/>
        <w:rPr>
          <w:rFonts w:ascii="Times New Roman" w:cs="Times New Roman" w:eastAsia="Times New Roman" w:hAnsi="Times New Roman"/>
          <w:sz w:val="22"/>
          <w:szCs w:val="22"/>
          <w:color w:val="auto"/>
        </w:rPr>
      </w:pPr>
    </w:p>
    <w:p>
      <w:pPr>
        <w:ind w:firstLine="1304"/>
        <w:spacing w:after="0" w:line="255" w:lineRule="auto"/>
        <w:tabs>
          <w:tab w:leader="none" w:pos="1716"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election of a Member due to the acquisition of the other Member or its direct or indirect parent (or in the case of TCFIF Sub, TCF National Bank) by a competitor of the direct or indirect parent company of the electing Member;</w:t>
      </w:r>
    </w:p>
    <w:p>
      <w:pPr>
        <w:spacing w:after="0" w:line="134" w:lineRule="exact"/>
        <w:rPr>
          <w:rFonts w:ascii="Times New Roman" w:cs="Times New Roman" w:eastAsia="Times New Roman" w:hAnsi="Times New Roman"/>
          <w:sz w:val="21"/>
          <w:szCs w:val="21"/>
          <w:color w:val="auto"/>
        </w:rPr>
      </w:pPr>
    </w:p>
    <w:p>
      <w:pPr>
        <w:jc w:val="both"/>
        <w:ind w:firstLine="1304"/>
        <w:spacing w:after="0" w:line="217" w:lineRule="auto"/>
        <w:tabs>
          <w:tab w:leader="none" w:pos="17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election of a Member in the event that a controlling interest in the ultimate parent of the other Member (or in the case of TCFIF Sub, TCF National Bank) were to be directly or indirectly acquired by a third party, provided that notice of such election is given to such other Member within twelve (12) months after the electing Member has notice of the acquisition, such dissolution to be effective not earlier than two (2) years after the delivery of such notice, subject to the potential earlier termination of the Company at the end of the then current term; or</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mutual written consent thereto of all of the Members.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Dissolution will not be complete until the Company has been wound-up after collecting or charging off all receivables of the Company and discharging all debts of the Company with Company assets or as a result of pursuing the obligations of the Members.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10.02 </w:t>
      </w:r>
      <w:r>
        <w:rPr>
          <w:rFonts w:ascii="Times New Roman" w:cs="Times New Roman" w:eastAsia="Times New Roman" w:hAnsi="Times New Roman"/>
          <w:sz w:val="22"/>
          <w:szCs w:val="22"/>
          <w:u w:val="single" w:color="auto"/>
          <w:color w:val="auto"/>
        </w:rPr>
        <w:t>Termination Payment</w:t>
      </w:r>
      <w:r>
        <w:rPr>
          <w:rFonts w:ascii="Times New Roman" w:cs="Times New Roman" w:eastAsia="Times New Roman" w:hAnsi="Times New Roman"/>
          <w:sz w:val="22"/>
          <w:szCs w:val="22"/>
          <w:color w:val="auto"/>
        </w:rPr>
        <w:t>. In the event of a dissolution of the Company on account of an event described in Section 10.01(c), (d) or (e), the other Member shall pay to the Member electing to dissolve the Company a termination payment (the “Termination Payment”) as follows:</w:t>
      </w:r>
    </w:p>
    <w:p>
      <w:pPr>
        <w:spacing w:after="0" w:line="151" w:lineRule="exact"/>
        <w:rPr>
          <w:sz w:val="20"/>
          <w:szCs w:val="20"/>
          <w:color w:val="auto"/>
        </w:rPr>
      </w:pPr>
    </w:p>
    <w:p>
      <w:pPr>
        <w:ind w:left="1780" w:hanging="476"/>
        <w:spacing w:after="0"/>
        <w:tabs>
          <w:tab w:leader="none" w:pos="17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termination occurs with more than two (2) years remaining in the Initial Term, then an amount equal to</w:t>
      </w:r>
    </w:p>
    <w:p>
      <w:pPr>
        <w:ind w:firstLine="8"/>
        <w:spacing w:after="0" w:line="225" w:lineRule="auto"/>
        <w:tabs>
          <w:tab w:leader="none" w:pos="31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the case of a Termination Payment to be made by TCFIF Sub) or (y) $[***] (in the case of a Termination Payment to be made by Toro Sub);</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occurs with more than one (1) but two (2) or less years remaining in the Initial Term, then an amount equal to (x) $[***] (in the case of a Termination Payment to be made by TCFIF Sub) or (y) $[***] (in the case of a Termination Payment to be made by Toro Sub);</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occurs with one (1) year or less remaining in the Initial Term, then an amount equal to (x) $[***] (in the case of a Termination Payment to be made by TCFIF Sub) or (y) $[***] (in the case of a Termination Payment to be made by Toro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36" w:lineRule="auto"/>
        <w:rPr>
          <w:sz w:val="20"/>
          <w:szCs w:val="20"/>
          <w:color w:val="auto"/>
        </w:rPr>
      </w:pPr>
      <w:r>
        <w:rPr>
          <w:rFonts w:ascii="Times New Roman" w:cs="Times New Roman" w:eastAsia="Times New Roman" w:hAnsi="Times New Roman"/>
          <w:sz w:val="22"/>
          <w:szCs w:val="22"/>
          <w:color w:val="auto"/>
        </w:rPr>
        <w:t>Such Termination Payment shall be paid no later than thirty (30) days after the Member electing to dissolve the Company delivers notice thereof to the other Member.</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10.03 </w:t>
      </w:r>
      <w:r>
        <w:rPr>
          <w:rFonts w:ascii="Times New Roman" w:cs="Times New Roman" w:eastAsia="Times New Roman" w:hAnsi="Times New Roman"/>
          <w:sz w:val="22"/>
          <w:szCs w:val="22"/>
          <w:u w:val="single" w:color="auto"/>
          <w:color w:val="auto"/>
        </w:rPr>
        <w:t>Distributions upon Dissolution</w:t>
      </w:r>
      <w:r>
        <w:rPr>
          <w:rFonts w:ascii="Times New Roman" w:cs="Times New Roman" w:eastAsia="Times New Roman" w:hAnsi="Times New Roman"/>
          <w:sz w:val="22"/>
          <w:szCs w:val="22"/>
          <w:color w:val="auto"/>
        </w:rPr>
        <w:t>. Upon the dissolution of the Company as a result of any of the events set forth in Section 10.01, the Management Committee (or, if dissolution should occur by reason of an event of default under Section 10.01(a) or (d), the remaining Member) shall proceed, subject to the provisions herein, to liquidate the Company and apply the proceeds in such liquidation, or in their sole discretion to distribute Company assets, in the following order of priority:</w:t>
      </w:r>
    </w:p>
    <w:p>
      <w:pPr>
        <w:spacing w:after="0" w:line="152" w:lineRule="exact"/>
        <w:rPr>
          <w:sz w:val="20"/>
          <w:szCs w:val="20"/>
          <w:color w:val="auto"/>
        </w:rPr>
      </w:pPr>
    </w:p>
    <w:p>
      <w:pPr>
        <w:ind w:left="1760" w:hanging="45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payment of secured debts and secured liabilities of the Company;</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the payment of expenses of liquidation;</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payment of ordinary unsecured debts and liabilities owing to third parties;</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payment of all unsecured indebtedness owing to the Members or their Affiliates;</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payment of all obligations under the TCFIF Services Agreement and the Toro Services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ind w:left="1740" w:hanging="436"/>
        <w:spacing w:after="0"/>
        <w:tabs>
          <w:tab w:leader="none" w:pos="17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to the payment of all obligations under any of the other Definitive Agreements;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87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color w:val="auto"/>
        </w:rPr>
        <w:t>, to any reserves deemed necessary by the Management Committee for contingent or unforeseen liabilities of the Company;</w:t>
      </w:r>
    </w:p>
    <w:p>
      <w:pPr>
        <w:spacing w:after="0" w:line="15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eighth</w:t>
      </w:r>
      <w:r>
        <w:rPr>
          <w:rFonts w:ascii="Times New Roman" w:cs="Times New Roman" w:eastAsia="Times New Roman" w:hAnsi="Times New Roman"/>
          <w:sz w:val="22"/>
          <w:szCs w:val="22"/>
          <w:color w:val="auto"/>
        </w:rPr>
        <w:t>, to the Members pro rata in accordance with their Capital Account balances.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distribution to a Member shall be subject to the provisions of Section 2.05 and to set-off for any damages to the Company by a default by such Member in the payment or performance of any of the obligations of such Member owing to the Company.</w:t>
      </w:r>
    </w:p>
    <w:p>
      <w:pPr>
        <w:spacing w:after="0" w:line="17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10.04 </w:t>
      </w:r>
      <w:r>
        <w:rPr>
          <w:rFonts w:ascii="Times New Roman" w:cs="Times New Roman" w:eastAsia="Times New Roman" w:hAnsi="Times New Roman"/>
          <w:sz w:val="22"/>
          <w:szCs w:val="22"/>
          <w:u w:val="single" w:color="auto"/>
          <w:color w:val="auto"/>
        </w:rPr>
        <w:t>Time for Liquidation</w:t>
      </w:r>
      <w:r>
        <w:rPr>
          <w:rFonts w:ascii="Times New Roman" w:cs="Times New Roman" w:eastAsia="Times New Roman" w:hAnsi="Times New Roman"/>
          <w:sz w:val="22"/>
          <w:szCs w:val="22"/>
          <w:color w:val="auto"/>
        </w:rPr>
        <w:t>. The Members acknowledge that any liquidation of assets of the Company must be handled in such a manner as to minimize the impact of such liquidation on the business of Toro and its Affiliates and agree, subject to the provisions of the following sentence, if so requested by Toro Sub to continue the Business for a period of up to the later of one year following the Termination Date, or, if such date shall occur in the months of February through June, until June 30 of the year following the Termination Date during which time the Members acknowledge that (a) the Company will no longer be entitled to any exclusive rights to provide floor plan and open account financing to Toro dealers and distributors and (b) TCFIF shall no longer be bound to its exclusivity obligations under Section 2.8(b) of the Joint Venture Agreement. Notwithstanding the foregoing, in the event in any one month period following the Termination Date, the Company fails to achieve the Target Return. TCFIF Sub may give written notice to Toro Sub of its election to direct that the Business be discontinued as of a date no earlier than thirty (30) days from the date of such notice, and, unless prior to such date Toro Sub or its Affiliates shall have paid to TCFIF Sub an amount, when added to amounts allocable to TCFIF Sub under the terms hereof to permit TCFIF Sub to achieve such a return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17" w:lineRule="auto"/>
        <w:rPr>
          <w:sz w:val="20"/>
          <w:szCs w:val="20"/>
          <w:color w:val="auto"/>
        </w:rPr>
      </w:pPr>
      <w:r>
        <w:rPr>
          <w:rFonts w:ascii="Times New Roman" w:cs="Times New Roman" w:eastAsia="Times New Roman" w:hAnsi="Times New Roman"/>
          <w:sz w:val="22"/>
          <w:szCs w:val="22"/>
          <w:color w:val="auto"/>
        </w:rPr>
        <w:t>its interest in the Company for such period, then the Business shall be discontinued as of the date specified in such notice and the Company shall be liquidated in accordance with the provisions of the following sentence. Following the cessation of the Business as contemplated by either of the two preceding sentences, a reasonable time period shall be allowed for the orderly liquidation of the assets of the Company and the discharge of liabilities to creditors so as to enable the Members to reasonably minimize the losses attendant upon such liquidation.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10.05 </w:t>
      </w:r>
      <w:r>
        <w:rPr>
          <w:rFonts w:ascii="Times New Roman" w:cs="Times New Roman" w:eastAsia="Times New Roman" w:hAnsi="Times New Roman"/>
          <w:sz w:val="22"/>
          <w:szCs w:val="22"/>
          <w:u w:val="single" w:color="auto"/>
          <w:color w:val="auto"/>
        </w:rPr>
        <w:t>Members Not Personally Liable for Return of Capital Contributions</w:t>
      </w:r>
      <w:r>
        <w:rPr>
          <w:rFonts w:ascii="Times New Roman" w:cs="Times New Roman" w:eastAsia="Times New Roman" w:hAnsi="Times New Roman"/>
          <w:sz w:val="22"/>
          <w:szCs w:val="22"/>
          <w:color w:val="auto"/>
        </w:rPr>
        <w:t>. Neither of the Members nor any of their respective Affiliates shall be personally liable for the return of the Capital Contributions of any Member and such return shall be made solely from available Company assets, if any, and each Member hereby waives any and all claims it may have against the other Member in this regard.</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10.06 </w:t>
      </w:r>
      <w:r>
        <w:rPr>
          <w:rFonts w:ascii="Times New Roman" w:cs="Times New Roman" w:eastAsia="Times New Roman" w:hAnsi="Times New Roman"/>
          <w:sz w:val="22"/>
          <w:szCs w:val="22"/>
          <w:u w:val="single" w:color="auto"/>
          <w:color w:val="auto"/>
        </w:rPr>
        <w:t>Final Accounting</w:t>
      </w:r>
      <w:r>
        <w:rPr>
          <w:rFonts w:ascii="Times New Roman" w:cs="Times New Roman" w:eastAsia="Times New Roman" w:hAnsi="Times New Roman"/>
          <w:sz w:val="22"/>
          <w:szCs w:val="22"/>
          <w:color w:val="auto"/>
        </w:rPr>
        <w:t>. In the event of the dissolution of the Company, prior to any liquidation, a proper accounting shall be made to the Members from the date of the last previous accounting to the date of dissolution.</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10.07 </w:t>
      </w:r>
      <w:r>
        <w:rPr>
          <w:rFonts w:ascii="Times New Roman" w:cs="Times New Roman" w:eastAsia="Times New Roman" w:hAnsi="Times New Roman"/>
          <w:sz w:val="22"/>
          <w:szCs w:val="22"/>
          <w:u w:val="single" w:color="auto"/>
          <w:color w:val="auto"/>
        </w:rPr>
        <w:t>Cancellation of Certificate</w:t>
      </w:r>
      <w:r>
        <w:rPr>
          <w:rFonts w:ascii="Times New Roman" w:cs="Times New Roman" w:eastAsia="Times New Roman" w:hAnsi="Times New Roman"/>
          <w:sz w:val="22"/>
          <w:szCs w:val="22"/>
          <w:color w:val="auto"/>
        </w:rPr>
        <w:t>. Upon the completion of the distribution of the Company’s assets upon dissolution of the Company, the Company and this Agreement (other than such provisions which, by their terms or nature, survive such transaction) shall be terminated, all Shares shall be cancelled and the Managers shall cause the Company to execute and file a Certificate of Cancellation in accordance with Section 18-203 of the Act.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XI</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11.01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Member agrees to execute, acknowledge, deliver, file, record and publish such further certificates, amendments to certificates, instruments and documents, and do all such other acts and things as may be required by law, or as may be required to carry out the intent and purposes of this Agreement.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11.02 </w:t>
      </w:r>
      <w:r>
        <w:rPr>
          <w:rFonts w:ascii="Times New Roman" w:cs="Times New Roman" w:eastAsia="Times New Roman" w:hAnsi="Times New Roman"/>
          <w:sz w:val="22"/>
          <w:szCs w:val="22"/>
          <w:u w:val="single" w:color="auto"/>
          <w:color w:val="auto"/>
        </w:rPr>
        <w:t>Indemnities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0" w:lineRule="auto"/>
        <w:tabs>
          <w:tab w:leader="none" w:pos="18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Member, Manager, Officer or any other officer of the Company, or is or was serving at the request of the Company as a director, officer or employee or agent of another corporation, partnership, joint venture, trust or other enterprise, against expenses (including reasonable attorneys’ fees and expenses),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w:t>
      </w:r>
      <w:r>
        <w:rPr>
          <w:rFonts w:ascii="Times New Roman" w:cs="Times New Roman" w:eastAsia="Times New Roman" w:hAnsi="Times New Roman"/>
          <w:sz w:val="21"/>
          <w:szCs w:val="21"/>
          <w:i w:val="1"/>
          <w:iCs w:val="1"/>
          <w:color w:val="auto"/>
        </w:rPr>
        <w:t>nolo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contendere </w:t>
      </w:r>
      <w:r>
        <w:rPr>
          <w:rFonts w:ascii="Times New Roman" w:cs="Times New Roman" w:eastAsia="Times New Roman" w:hAnsi="Times New Roman"/>
          <w:sz w:val="21"/>
          <w:szCs w:val="21"/>
          <w:color w:val="auto"/>
        </w:rPr>
        <w:t>or its equivalent, shall not, of itself, create a presumption that the person seeking indemnification did not act in good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faith and in a manner which he reasonably believed to be in or not opposed to the best interests of the Company, and, with respect to any criminal action or proceeding, had reasonable cause to believe that his conduct was unlawful.</w:t>
      </w:r>
    </w:p>
    <w:p>
      <w:pPr>
        <w:spacing w:after="0" w:line="151" w:lineRule="exact"/>
        <w:rPr>
          <w:rFonts w:ascii="Times New Roman" w:cs="Times New Roman" w:eastAsia="Times New Roman" w:hAnsi="Times New Roman"/>
          <w:sz w:val="21"/>
          <w:szCs w:val="21"/>
          <w:color w:val="auto"/>
        </w:rPr>
      </w:pPr>
    </w:p>
    <w:p>
      <w:pPr>
        <w:ind w:firstLine="1304"/>
        <w:spacing w:after="0" w:line="236" w:lineRule="auto"/>
        <w:tabs>
          <w:tab w:leader="none" w:pos="18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any person who was or is a party or is threatened to be made a party to any threatened, pending or completed action or suit by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167" w:name="page168"/>
    <w:bookmarkEnd w:id="167"/>
    <w:p>
      <w:pPr>
        <w:jc w:val="both"/>
        <w:spacing w:after="0" w:line="211" w:lineRule="auto"/>
        <w:rPr>
          <w:sz w:val="20"/>
          <w:szCs w:val="20"/>
          <w:color w:val="auto"/>
        </w:rPr>
      </w:pPr>
      <w:r>
        <w:rPr>
          <w:rFonts w:ascii="Times New Roman" w:cs="Times New Roman" w:eastAsia="Times New Roman" w:hAnsi="Times New Roman"/>
          <w:sz w:val="22"/>
          <w:szCs w:val="22"/>
          <w:color w:val="auto"/>
        </w:rPr>
        <w:t>right of the Company to procure a judgment in its favor by reason of the fact that he is or was a Member, Manager, Officer or any other officer of the Company, or is or was serving at the request of the Company as a director, officer, employee or agent of another corporation, partnership, joint venture, trust or other enterprise against expenses (including reasonable attorneys’ fees and expenses) actually and reasonably incurred by him in connection with the defense or settlement of such action or suit if he acted in good faith and in a manner he reasonably believed to be in, or not opposed to, the best interests of the Company and except that no indemnification shall be made in respect of any claim, issue or matter as to which such person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52" w:lineRule="exact"/>
        <w:rPr>
          <w:sz w:val="20"/>
          <w:szCs w:val="20"/>
          <w:color w:val="auto"/>
        </w:rPr>
      </w:pPr>
    </w:p>
    <w:p>
      <w:pPr>
        <w:jc w:val="both"/>
        <w:ind w:firstLine="1304"/>
        <w:spacing w:after="0" w:line="220" w:lineRule="auto"/>
        <w:tabs>
          <w:tab w:leader="none" w:pos="17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 Member, Manager, Officer or any other officer of the Company has been successful on the merits or otherwise in defense of any action, suit or proceeding referred to in (a) and (b) of this Section 11.02, or in defense of any claim, issue or matter therein, he shall be indemnified by the Company against expenses (including reasonable attorneys’ fees and expenses) actually and reasonably incurred by him in connection therewith.</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7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under (a) and (b) of this Section 11.02 (unless ordered by a court) shall be made by the Company only as authorized in the specific case upon a determination that indemnification of the Member, Manager, Officer or any other officer, is proper in the circumstances because he has met the applicable standard of conduct set forth in such paragraphs (a) and (b). Such determination shall be made (i) by a Majority of the Managers who were not parties to such action, suit or proceeding, or (ii) if such a quorum is not obtainable, or, even if obtainable such quorum declines to take any action with respect to such determination, a quorum of at least two disinterested Managers (which shall include at least one Manager appointed by each Member unless no such Managers are disinterested) so directs in reliance upon written advice of independent legal counsel.</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3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(including reasonable attorneys’ fees and expenses) incurred by a Member, Manager, Officer or any other officer in defending any civil, criminal, administrative or investigative action, suit or proceeding shall be paid by the Company as such expenses are incurred in advance of the final disposition of such action, suit or proceeding upon receipt of an undertaking by or on behalf of such Member, Manager, Officer or other officer to repay such amount if it shall ultimately be determined that he is not entitled to be indemnified by the Company pursuant to this Section 11.02.</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0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or granted pursuant to, this Section 11.02 shall not be deemed exclusive of any other rights to which those seeking indemnification or advancement of expenses may be entitled under any law, agreement, vote of Managers or disinterested Managers or otherwise, both as to action in an official capacity and as to action in another capacity while holding such office.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7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purchase and maintain insurance on behalf of any person who is or was a Member, Manager, Officer or any other officer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168" w:name="page169"/>
    <w:bookmarkEnd w:id="168"/>
    <w:p>
      <w:pPr>
        <w:jc w:val="both"/>
        <w:ind w:firstLine="1304"/>
        <w:spacing w:after="0" w:line="225" w:lineRule="auto"/>
        <w:tabs>
          <w:tab w:leader="none" w:pos="183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or granted pursuant to, this Section 11.02 shall, unless otherwise provided when authorized or ratified, continue as to a person who has ceased to be a Member, Manager, Officer or any other officer or agent and shall inure to the benefit of the heirs, executors and administrators of such a person.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3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or repeal of this Section 11.02 shall apply to or have any effect on the rights of any person entitled to indemnification or other rights under the terms of this Section 11.02 prior to such amendment or repeal to the extent such indemnification or other rights relate, in whole or on part, to acts or omissions occurring prior to such amendment and repeal.</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8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parties described in Sections 11.02(k) through 11.02(m) shall survive the filing of a Certification of Cancelation by the Company.</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7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shall indemnify, defend and hold harmless the Company against all losses, costs, damages and expenses (including reasonable attorneys’ fees and expenses) incurred by the Company as a result of such Member’s breach of any of its representations, warranties or obligations hereunder; provided, however, that to the extent such breach is, or relates to, an Arbitrable Dispute, the Company and the Members shall have complied with the dispute resolution procedures set forth in Section 7.07.</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Member (including its past, present and future Affiliates, officers, directors, shareholders, employees, lawyers, representatives and agents) acting in good faith in a manner it reasonably believes to be (i) in or not opposed to the best interests to the Company and (ii) consistent with the terms of this Agreement shall pay or become obligated to pay any proper obligation of the Company, such Member (including such other persons specified above) shall be entitled to contribution from the other Member to the extent necessary so that, after giving effect to such contribution, such Member shall bear no more than that part of such obligation which corresponds to its respective Percentage Interest in the Company.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8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Member shall be responsible or liable to the other Member, any successor, assignee or third party beneficiary of such Member or any other Person asserting claims derivatively through such Member, for exemplary, punitive, or, except in the case of fraud, bad faith, willful misconduct or gross negligence, indirect or consequential damages that may be alleged as a result of any transaction contemplated hereunder.</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11.03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and all other communication provided for herein shall be in writing and shall be deemed to have been given to a Member at the earlier of (a) when personally delivered, (b) 72 hours after having been deposited into the custody of the U.S. Postal Service, sent by first class certified mail, postage prepaid, (c) one (1) business day after deposit with a national overnight courier service, (d) upon receipt of a confirmation of facsimile transmission, or (e) upon receipt of electronic mail (with a notice contemporaneously given by another method specified in this Section 11.03); in each case addressed as follows:</w:t>
      </w:r>
    </w:p>
    <w:p>
      <w:pPr>
        <w:spacing w:after="0" w:line="141"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If to TCFIF Sub:</w:t>
      </w:r>
      <w:r>
        <w:rPr>
          <w:sz w:val="20"/>
          <w:szCs w:val="20"/>
          <w:color w:val="auto"/>
        </w:rPr>
        <w:tab/>
      </w:r>
      <w:r>
        <w:rPr>
          <w:rFonts w:ascii="Times New Roman" w:cs="Times New Roman" w:eastAsia="Times New Roman" w:hAnsi="Times New Roman"/>
          <w:sz w:val="21"/>
          <w:szCs w:val="21"/>
          <w:color w:val="auto"/>
        </w:rPr>
        <w:t>TCFIF Joint Venture I, LLC</w:t>
      </w:r>
    </w:p>
    <w:p>
      <w:pPr>
        <w:ind w:left="2600"/>
        <w:spacing w:after="0" w:line="204" w:lineRule="auto"/>
        <w:rPr>
          <w:sz w:val="20"/>
          <w:szCs w:val="20"/>
          <w:color w:val="auto"/>
        </w:rPr>
      </w:pPr>
      <w:r>
        <w:rPr>
          <w:rFonts w:ascii="Times New Roman" w:cs="Times New Roman" w:eastAsia="Times New Roman" w:hAnsi="Times New Roman"/>
          <w:sz w:val="22"/>
          <w:szCs w:val="22"/>
          <w:color w:val="auto"/>
        </w:rPr>
        <w:t>2300 Barrington Road, Suite 600</w:t>
      </w:r>
    </w:p>
    <w:p>
      <w:pPr>
        <w:ind w:left="2600"/>
        <w:spacing w:after="0" w:line="205" w:lineRule="auto"/>
        <w:rPr>
          <w:sz w:val="20"/>
          <w:szCs w:val="20"/>
          <w:color w:val="auto"/>
        </w:rPr>
      </w:pPr>
      <w:r>
        <w:rPr>
          <w:rFonts w:ascii="Times New Roman" w:cs="Times New Roman" w:eastAsia="Times New Roman" w:hAnsi="Times New Roman"/>
          <w:sz w:val="22"/>
          <w:szCs w:val="22"/>
          <w:color w:val="auto"/>
        </w:rPr>
        <w:t>Hoffman Estates, IL 60169</w:t>
      </w:r>
    </w:p>
    <w:p>
      <w:pPr>
        <w:ind w:left="2600"/>
        <w:spacing w:after="0" w:line="205" w:lineRule="auto"/>
        <w:rPr>
          <w:sz w:val="20"/>
          <w:szCs w:val="20"/>
          <w:color w:val="auto"/>
        </w:rPr>
      </w:pPr>
      <w:r>
        <w:rPr>
          <w:rFonts w:ascii="Times New Roman" w:cs="Times New Roman" w:eastAsia="Times New Roman" w:hAnsi="Times New Roman"/>
          <w:sz w:val="22"/>
          <w:szCs w:val="22"/>
          <w:color w:val="auto"/>
        </w:rPr>
        <w:t>Attention: Vincent E. Hillery, General Counsel</w:t>
      </w:r>
    </w:p>
    <w:p>
      <w:pPr>
        <w:ind w:left="2600"/>
        <w:spacing w:after="0" w:line="205" w:lineRule="auto"/>
        <w:rPr>
          <w:sz w:val="20"/>
          <w:szCs w:val="20"/>
          <w:color w:val="auto"/>
        </w:rPr>
      </w:pPr>
      <w:r>
        <w:rPr>
          <w:rFonts w:ascii="Times New Roman" w:cs="Times New Roman" w:eastAsia="Times New Roman" w:hAnsi="Times New Roman"/>
          <w:sz w:val="22"/>
          <w:szCs w:val="22"/>
          <w:color w:val="auto"/>
        </w:rPr>
        <w:t>Telephone: (847) 252-6616</w:t>
      </w:r>
    </w:p>
    <w:p>
      <w:pPr>
        <w:ind w:left="2600"/>
        <w:spacing w:after="0" w:line="205" w:lineRule="auto"/>
        <w:rPr>
          <w:sz w:val="20"/>
          <w:szCs w:val="20"/>
          <w:color w:val="auto"/>
        </w:rPr>
      </w:pPr>
      <w:r>
        <w:rPr>
          <w:rFonts w:ascii="Times New Roman" w:cs="Times New Roman" w:eastAsia="Times New Roman" w:hAnsi="Times New Roman"/>
          <w:sz w:val="22"/>
          <w:szCs w:val="22"/>
          <w:color w:val="auto"/>
        </w:rPr>
        <w:t>Facsimile: (847) 285-6012</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vhillery@tcfif.com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169" w:name="page170"/>
    <w:bookmarkEnd w:id="169"/>
    <w:p>
      <w:pPr>
        <w:ind w:left="1920"/>
        <w:spacing w:after="0"/>
        <w:rPr>
          <w:sz w:val="20"/>
          <w:szCs w:val="20"/>
          <w:color w:val="auto"/>
        </w:rPr>
      </w:pPr>
      <w:r>
        <w:rPr>
          <w:rFonts w:ascii="Times New Roman" w:cs="Times New Roman" w:eastAsia="Times New Roman" w:hAnsi="Times New Roman"/>
          <w:sz w:val="22"/>
          <w:szCs w:val="22"/>
          <w:color w:val="auto"/>
        </w:rPr>
        <w:t>With copies to:</w:t>
      </w:r>
    </w:p>
    <w:p>
      <w:pPr>
        <w:spacing w:after="0" w:line="19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TCF National Bank</w:t>
      </w:r>
    </w:p>
    <w:p>
      <w:pPr>
        <w:ind w:left="1920"/>
        <w:spacing w:after="0" w:line="204" w:lineRule="auto"/>
        <w:rPr>
          <w:sz w:val="20"/>
          <w:szCs w:val="20"/>
          <w:color w:val="auto"/>
        </w:rPr>
      </w:pPr>
      <w:r>
        <w:rPr>
          <w:rFonts w:ascii="Times New Roman" w:cs="Times New Roman" w:eastAsia="Times New Roman" w:hAnsi="Times New Roman"/>
          <w:sz w:val="22"/>
          <w:szCs w:val="22"/>
          <w:color w:val="auto"/>
        </w:rPr>
        <w:t>200 E. Lake Street</w:t>
      </w:r>
    </w:p>
    <w:p>
      <w:pPr>
        <w:ind w:left="1920"/>
        <w:spacing w:after="0" w:line="205" w:lineRule="auto"/>
        <w:rPr>
          <w:sz w:val="20"/>
          <w:szCs w:val="20"/>
          <w:color w:val="auto"/>
        </w:rPr>
      </w:pPr>
      <w:r>
        <w:rPr>
          <w:rFonts w:ascii="Times New Roman" w:cs="Times New Roman" w:eastAsia="Times New Roman" w:hAnsi="Times New Roman"/>
          <w:sz w:val="22"/>
          <w:szCs w:val="22"/>
          <w:color w:val="auto"/>
        </w:rPr>
        <w:t>Wayzata, MN 55391</w:t>
      </w:r>
    </w:p>
    <w:p>
      <w:pPr>
        <w:ind w:left="192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ind w:left="1920"/>
        <w:spacing w:after="0" w:line="205" w:lineRule="auto"/>
        <w:rPr>
          <w:sz w:val="20"/>
          <w:szCs w:val="20"/>
          <w:color w:val="auto"/>
        </w:rPr>
      </w:pPr>
      <w:r>
        <w:rPr>
          <w:rFonts w:ascii="Times New Roman" w:cs="Times New Roman" w:eastAsia="Times New Roman" w:hAnsi="Times New Roman"/>
          <w:sz w:val="22"/>
          <w:szCs w:val="22"/>
          <w:color w:val="auto"/>
        </w:rPr>
        <w:t>Telephone: (952) 475-6498</w:t>
      </w:r>
    </w:p>
    <w:p>
      <w:pPr>
        <w:ind w:left="1920"/>
        <w:spacing w:after="0" w:line="205" w:lineRule="auto"/>
        <w:rPr>
          <w:sz w:val="20"/>
          <w:szCs w:val="20"/>
          <w:color w:val="auto"/>
        </w:rPr>
      </w:pPr>
      <w:r>
        <w:rPr>
          <w:rFonts w:ascii="Times New Roman" w:cs="Times New Roman" w:eastAsia="Times New Roman" w:hAnsi="Times New Roman"/>
          <w:sz w:val="22"/>
          <w:szCs w:val="22"/>
          <w:color w:val="auto"/>
        </w:rPr>
        <w:t>Facsimile: (952) 475-7975</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Email: jgreen@tcfbank.com</w:t>
      </w:r>
    </w:p>
    <w:p>
      <w:pPr>
        <w:spacing w:after="0" w:line="18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Kaplan, Strangis and Kaplan, P.A.</w:t>
      </w:r>
    </w:p>
    <w:p>
      <w:pPr>
        <w:ind w:left="1920"/>
        <w:spacing w:after="0" w:line="204" w:lineRule="auto"/>
        <w:rPr>
          <w:sz w:val="20"/>
          <w:szCs w:val="20"/>
          <w:color w:val="auto"/>
        </w:rPr>
      </w:pPr>
      <w:r>
        <w:rPr>
          <w:rFonts w:ascii="Times New Roman" w:cs="Times New Roman" w:eastAsia="Times New Roman" w:hAnsi="Times New Roman"/>
          <w:sz w:val="22"/>
          <w:szCs w:val="22"/>
          <w:color w:val="auto"/>
        </w:rPr>
        <w:t>5500 Wells Fargo Center</w:t>
      </w:r>
    </w:p>
    <w:p>
      <w:pPr>
        <w:ind w:left="1920"/>
        <w:spacing w:after="0" w:line="205" w:lineRule="auto"/>
        <w:rPr>
          <w:sz w:val="20"/>
          <w:szCs w:val="20"/>
          <w:color w:val="auto"/>
        </w:rPr>
      </w:pPr>
      <w:r>
        <w:rPr>
          <w:rFonts w:ascii="Times New Roman" w:cs="Times New Roman" w:eastAsia="Times New Roman" w:hAnsi="Times New Roman"/>
          <w:sz w:val="22"/>
          <w:szCs w:val="22"/>
          <w:color w:val="auto"/>
        </w:rPr>
        <w:t>90 South Seventh Street</w:t>
      </w:r>
    </w:p>
    <w:p>
      <w:pPr>
        <w:ind w:left="1920"/>
        <w:spacing w:after="0" w:line="205" w:lineRule="auto"/>
        <w:rPr>
          <w:sz w:val="20"/>
          <w:szCs w:val="20"/>
          <w:color w:val="auto"/>
        </w:rPr>
      </w:pPr>
      <w:r>
        <w:rPr>
          <w:rFonts w:ascii="Times New Roman" w:cs="Times New Roman" w:eastAsia="Times New Roman" w:hAnsi="Times New Roman"/>
          <w:sz w:val="22"/>
          <w:szCs w:val="22"/>
          <w:color w:val="auto"/>
        </w:rPr>
        <w:t>Minneapolis, MN 55402</w:t>
      </w:r>
    </w:p>
    <w:p>
      <w:pPr>
        <w:ind w:left="1920"/>
        <w:spacing w:after="0" w:line="205" w:lineRule="auto"/>
        <w:rPr>
          <w:sz w:val="20"/>
          <w:szCs w:val="20"/>
          <w:color w:val="auto"/>
        </w:rPr>
      </w:pPr>
      <w:r>
        <w:rPr>
          <w:rFonts w:ascii="Times New Roman" w:cs="Times New Roman" w:eastAsia="Times New Roman" w:hAnsi="Times New Roman"/>
          <w:sz w:val="22"/>
          <w:szCs w:val="22"/>
          <w:color w:val="auto"/>
        </w:rPr>
        <w:t>Attention: Harvey F. Kaplan, Esq.</w:t>
      </w:r>
    </w:p>
    <w:p>
      <w:pPr>
        <w:ind w:left="1920"/>
        <w:spacing w:after="0" w:line="205" w:lineRule="auto"/>
        <w:rPr>
          <w:sz w:val="20"/>
          <w:szCs w:val="20"/>
          <w:color w:val="auto"/>
        </w:rPr>
      </w:pPr>
      <w:r>
        <w:rPr>
          <w:rFonts w:ascii="Times New Roman" w:cs="Times New Roman" w:eastAsia="Times New Roman" w:hAnsi="Times New Roman"/>
          <w:sz w:val="22"/>
          <w:szCs w:val="22"/>
          <w:color w:val="auto"/>
        </w:rPr>
        <w:t>Telephone: (612) 375-1138</w:t>
      </w:r>
    </w:p>
    <w:p>
      <w:pPr>
        <w:ind w:left="1920"/>
        <w:spacing w:after="0" w:line="205" w:lineRule="auto"/>
        <w:rPr>
          <w:sz w:val="20"/>
          <w:szCs w:val="20"/>
          <w:color w:val="auto"/>
        </w:rPr>
      </w:pPr>
      <w:r>
        <w:rPr>
          <w:rFonts w:ascii="Times New Roman" w:cs="Times New Roman" w:eastAsia="Times New Roman" w:hAnsi="Times New Roman"/>
          <w:sz w:val="22"/>
          <w:szCs w:val="22"/>
          <w:color w:val="auto"/>
        </w:rPr>
        <w:t>Facsimile: (612) 375-1143</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Email: hfk@kskpa.com</w:t>
      </w:r>
    </w:p>
    <w:p>
      <w:pPr>
        <w:spacing w:after="0" w:line="16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If to Toro Sub:</w:t>
      </w:r>
      <w:r>
        <w:rPr>
          <w:sz w:val="20"/>
          <w:szCs w:val="20"/>
          <w:color w:val="auto"/>
        </w:rPr>
        <w:tab/>
      </w:r>
      <w:r>
        <w:rPr>
          <w:rFonts w:ascii="Times New Roman" w:cs="Times New Roman" w:eastAsia="Times New Roman" w:hAnsi="Times New Roman"/>
          <w:sz w:val="21"/>
          <w:szCs w:val="21"/>
          <w:color w:val="auto"/>
        </w:rPr>
        <w:t>Red Iron Holding Corporation</w:t>
      </w:r>
    </w:p>
    <w:p>
      <w:pPr>
        <w:ind w:left="1860"/>
        <w:spacing w:after="0" w:line="204" w:lineRule="auto"/>
        <w:rPr>
          <w:sz w:val="20"/>
          <w:szCs w:val="20"/>
          <w:color w:val="auto"/>
        </w:rPr>
      </w:pPr>
      <w:r>
        <w:rPr>
          <w:rFonts w:ascii="Times New Roman" w:cs="Times New Roman" w:eastAsia="Times New Roman" w:hAnsi="Times New Roman"/>
          <w:sz w:val="22"/>
          <w:szCs w:val="22"/>
          <w:color w:val="auto"/>
        </w:rPr>
        <w:t>c/o The Toro Company</w:t>
      </w:r>
    </w:p>
    <w:p>
      <w:pPr>
        <w:ind w:left="1900"/>
        <w:spacing w:after="0" w:line="205" w:lineRule="auto"/>
        <w:rPr>
          <w:sz w:val="20"/>
          <w:szCs w:val="20"/>
          <w:color w:val="auto"/>
        </w:rPr>
      </w:pPr>
      <w:r>
        <w:rPr>
          <w:rFonts w:ascii="Times New Roman" w:cs="Times New Roman" w:eastAsia="Times New Roman" w:hAnsi="Times New Roman"/>
          <w:sz w:val="22"/>
          <w:szCs w:val="22"/>
          <w:color w:val="auto"/>
        </w:rPr>
        <w:t>8111 Lyndale Avenue South</w:t>
      </w:r>
    </w:p>
    <w:p>
      <w:pPr>
        <w:ind w:left="190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1900"/>
        <w:spacing w:after="0" w:line="205" w:lineRule="auto"/>
        <w:rPr>
          <w:sz w:val="20"/>
          <w:szCs w:val="20"/>
          <w:color w:val="auto"/>
        </w:rPr>
      </w:pPr>
      <w:r>
        <w:rPr>
          <w:rFonts w:ascii="Times New Roman" w:cs="Times New Roman" w:eastAsia="Times New Roman" w:hAnsi="Times New Roman"/>
          <w:sz w:val="22"/>
          <w:szCs w:val="22"/>
          <w:color w:val="auto"/>
        </w:rPr>
        <w:t>Attention: Treasurer</w:t>
      </w:r>
    </w:p>
    <w:p>
      <w:pPr>
        <w:ind w:left="1900"/>
        <w:spacing w:after="0" w:line="205" w:lineRule="auto"/>
        <w:rPr>
          <w:sz w:val="20"/>
          <w:szCs w:val="20"/>
          <w:color w:val="auto"/>
        </w:rPr>
      </w:pPr>
      <w:r>
        <w:rPr>
          <w:rFonts w:ascii="Times New Roman" w:cs="Times New Roman" w:eastAsia="Times New Roman" w:hAnsi="Times New Roman"/>
          <w:sz w:val="22"/>
          <w:szCs w:val="22"/>
          <w:color w:val="auto"/>
        </w:rPr>
        <w:t>Telephone: (952) 887-8449</w:t>
      </w:r>
    </w:p>
    <w:p>
      <w:pPr>
        <w:ind w:left="1900"/>
        <w:spacing w:after="0" w:line="205" w:lineRule="auto"/>
        <w:rPr>
          <w:sz w:val="20"/>
          <w:szCs w:val="20"/>
          <w:color w:val="auto"/>
        </w:rPr>
      </w:pPr>
      <w:r>
        <w:rPr>
          <w:rFonts w:ascii="Times New Roman" w:cs="Times New Roman" w:eastAsia="Times New Roman" w:hAnsi="Times New Roman"/>
          <w:sz w:val="22"/>
          <w:szCs w:val="22"/>
          <w:color w:val="auto"/>
        </w:rPr>
        <w:t>Facsimile: (952) 887-8920</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Email: Tom.Larson@toro.com</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With copies to:</w:t>
      </w:r>
    </w:p>
    <w:p>
      <w:pPr>
        <w:spacing w:after="0" w:line="19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The Toro Company</w:t>
      </w:r>
    </w:p>
    <w:p>
      <w:pPr>
        <w:ind w:left="190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ind w:left="190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190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ind w:left="1900"/>
        <w:spacing w:after="0" w:line="205" w:lineRule="auto"/>
        <w:rPr>
          <w:sz w:val="20"/>
          <w:szCs w:val="20"/>
          <w:color w:val="auto"/>
        </w:rPr>
      </w:pPr>
      <w:r>
        <w:rPr>
          <w:rFonts w:ascii="Times New Roman" w:cs="Times New Roman" w:eastAsia="Times New Roman" w:hAnsi="Times New Roman"/>
          <w:sz w:val="22"/>
          <w:szCs w:val="22"/>
          <w:color w:val="auto"/>
        </w:rPr>
        <w:t>Telephone: (952) 887-8178</w:t>
      </w:r>
    </w:p>
    <w:p>
      <w:pPr>
        <w:ind w:left="1900"/>
        <w:spacing w:after="0" w:line="205" w:lineRule="auto"/>
        <w:rPr>
          <w:sz w:val="20"/>
          <w:szCs w:val="20"/>
          <w:color w:val="auto"/>
        </w:rPr>
      </w:pPr>
      <w:r>
        <w:rPr>
          <w:rFonts w:ascii="Times New Roman" w:cs="Times New Roman" w:eastAsia="Times New Roman" w:hAnsi="Times New Roman"/>
          <w:sz w:val="22"/>
          <w:szCs w:val="22"/>
          <w:color w:val="auto"/>
        </w:rPr>
        <w:t>Facsimile: (952) 887-8920</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Email: Tim.Dordell@toro.com</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22"/>
          <w:szCs w:val="22"/>
          <w:color w:val="auto"/>
        </w:rPr>
        <w:t>Oppenheimer Wolff &amp; Donnelly LLP</w:t>
      </w:r>
    </w:p>
    <w:p>
      <w:pPr>
        <w:ind w:left="1920"/>
        <w:spacing w:after="0" w:line="204" w:lineRule="auto"/>
        <w:rPr>
          <w:sz w:val="20"/>
          <w:szCs w:val="20"/>
          <w:color w:val="auto"/>
        </w:rPr>
      </w:pPr>
      <w:r>
        <w:rPr>
          <w:rFonts w:ascii="Times New Roman" w:cs="Times New Roman" w:eastAsia="Times New Roman" w:hAnsi="Times New Roman"/>
          <w:sz w:val="22"/>
          <w:szCs w:val="22"/>
          <w:color w:val="auto"/>
        </w:rPr>
        <w:t>3300 Plaza VII Building</w:t>
      </w:r>
    </w:p>
    <w:p>
      <w:pPr>
        <w:ind w:left="1920"/>
        <w:spacing w:after="0" w:line="205" w:lineRule="auto"/>
        <w:rPr>
          <w:sz w:val="20"/>
          <w:szCs w:val="20"/>
          <w:color w:val="auto"/>
        </w:rPr>
      </w:pPr>
      <w:r>
        <w:rPr>
          <w:rFonts w:ascii="Times New Roman" w:cs="Times New Roman" w:eastAsia="Times New Roman" w:hAnsi="Times New Roman"/>
          <w:sz w:val="22"/>
          <w:szCs w:val="22"/>
          <w:color w:val="auto"/>
        </w:rPr>
        <w:t>45 South Seventh Street</w:t>
      </w:r>
    </w:p>
    <w:p>
      <w:pPr>
        <w:ind w:left="1920"/>
        <w:spacing w:after="0" w:line="205" w:lineRule="auto"/>
        <w:rPr>
          <w:sz w:val="20"/>
          <w:szCs w:val="20"/>
          <w:color w:val="auto"/>
        </w:rPr>
      </w:pPr>
      <w:r>
        <w:rPr>
          <w:rFonts w:ascii="Times New Roman" w:cs="Times New Roman" w:eastAsia="Times New Roman" w:hAnsi="Times New Roman"/>
          <w:sz w:val="22"/>
          <w:szCs w:val="22"/>
          <w:color w:val="auto"/>
        </w:rPr>
        <w:t>Attention: C. Robert Beattie, Esq.</w:t>
      </w:r>
    </w:p>
    <w:p>
      <w:pPr>
        <w:ind w:left="1920"/>
        <w:spacing w:after="0" w:line="205" w:lineRule="auto"/>
        <w:rPr>
          <w:sz w:val="20"/>
          <w:szCs w:val="20"/>
          <w:color w:val="auto"/>
        </w:rPr>
      </w:pPr>
      <w:r>
        <w:rPr>
          <w:rFonts w:ascii="Times New Roman" w:cs="Times New Roman" w:eastAsia="Times New Roman" w:hAnsi="Times New Roman"/>
          <w:sz w:val="22"/>
          <w:szCs w:val="22"/>
          <w:color w:val="auto"/>
        </w:rPr>
        <w:t>Telephone: (612) 607-7395</w:t>
      </w:r>
    </w:p>
    <w:p>
      <w:pPr>
        <w:ind w:left="1920"/>
        <w:spacing w:after="0" w:line="205" w:lineRule="auto"/>
        <w:rPr>
          <w:sz w:val="20"/>
          <w:szCs w:val="20"/>
          <w:color w:val="auto"/>
        </w:rPr>
      </w:pPr>
      <w:r>
        <w:rPr>
          <w:rFonts w:ascii="Times New Roman" w:cs="Times New Roman" w:eastAsia="Times New Roman" w:hAnsi="Times New Roman"/>
          <w:sz w:val="22"/>
          <w:szCs w:val="22"/>
          <w:color w:val="auto"/>
        </w:rPr>
        <w:t>Facsimile: (612) 607-7100</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Email: RBeattie@Oppenheimer.com</w:t>
      </w:r>
    </w:p>
    <w:p>
      <w:pPr>
        <w:sectPr>
          <w:pgSz w:w="11900" w:h="16838" w:orient="portrait"/>
          <w:cols w:equalWidth="0" w:num="1">
            <w:col w:w="9459"/>
          </w:cols>
          <w:pgMar w:left="100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459"/>
          </w:cols>
          <w:pgMar w:left="1000" w:top="1395" w:right="1440" w:bottom="1440" w:gutter="0" w:footer="0" w:header="0"/>
          <w:type w:val="continuous"/>
        </w:sectPr>
      </w:pPr>
    </w:p>
    <w:bookmarkStart w:id="170" w:name="page171"/>
    <w:bookmarkEnd w:id="170"/>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or to such other address as either Member hereto may have furnished to the other Member hereto in writing in accordance herewith, except that notices of change of address shall be effective only upon receipt.</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11.04 </w:t>
      </w: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subject to and governed by the laws of the State of Delaware, without regard to conflicts of laws principles. Each of Toro Sub and TCFIF Sub hereby irrevocably submits to the non-exclusive jurisdiction of the Federal courts sitting in Minneapolis or St. Paul, Minnesota and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other Definitive Agreements or the transactions contemplated hereby or thereby or any matters related thereto not subject to the provisions of Sections 7.07 and 7.08. Each Member irrevocably waives any objection (including, without limitation, any objection to the laying of venue or any objection on the grounds of forum non conveniens) which it may now or hereafter have to the bringing of any proceeding with respect to this Agreement or the other Definitive Agreements to the courts set forth above. Each Member agrees to the personal jurisdiction of such courts and that service of process may be made on it at the address indicated in Section 11.03 above. Nothing herein shall affect the right to serve process in any other manner permitted by law.</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11.05 </w:t>
      </w:r>
      <w:r>
        <w:rPr>
          <w:rFonts w:ascii="Times New Roman" w:cs="Times New Roman" w:eastAsia="Times New Roman" w:hAnsi="Times New Roman"/>
          <w:sz w:val="22"/>
          <w:szCs w:val="22"/>
          <w:u w:val="single" w:color="auto"/>
          <w:color w:val="auto"/>
        </w:rPr>
        <w:t>Headings; Section and Article References</w:t>
      </w:r>
      <w:r>
        <w:rPr>
          <w:rFonts w:ascii="Times New Roman" w:cs="Times New Roman" w:eastAsia="Times New Roman" w:hAnsi="Times New Roman"/>
          <w:sz w:val="22"/>
          <w:szCs w:val="22"/>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 Any pronoun used herein shall be deemed to cover all genders.</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11.06 </w:t>
      </w:r>
      <w:r>
        <w:rPr>
          <w:rFonts w:ascii="Times New Roman" w:cs="Times New Roman" w:eastAsia="Times New Roman" w:hAnsi="Times New Roman"/>
          <w:sz w:val="22"/>
          <w:szCs w:val="22"/>
          <w:u w:val="single" w:color="auto"/>
          <w:color w:val="auto"/>
        </w:rPr>
        <w:t>No Third-Party Beneficiaries; No Partnership</w:t>
      </w:r>
      <w:r>
        <w:rPr>
          <w:rFonts w:ascii="Times New Roman" w:cs="Times New Roman" w:eastAsia="Times New Roman" w:hAnsi="Times New Roman"/>
          <w:sz w:val="22"/>
          <w:szCs w:val="22"/>
          <w:color w:val="auto"/>
        </w:rPr>
        <w:t xml:space="preserve">. Except for rights in Section 11.02, and as set forth in Section 7.10 of the Joint Venture Agreement, (x) this Agreement shall be binding upon and inure solely to the benefit of the parties hereto and their permitted assigns and (y) this Agreement shall not be deemed to be for the direct or indirect benefit of any other person. It is expressly understood and agreed that the Members shall not have the relationship of partners to each other and that neither Member shall owe the other the fiduciary duties of a partner;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is understood and agreed that the Company will be treated as a partnership for tax purposes and the preceding clause shall in no way affect, limit or restrict any such tax treatment.</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11.07 </w:t>
      </w:r>
      <w:r>
        <w:rPr>
          <w:rFonts w:ascii="Times New Roman" w:cs="Times New Roman" w:eastAsia="Times New Roman" w:hAnsi="Times New Roman"/>
          <w:sz w:val="22"/>
          <w:szCs w:val="22"/>
          <w:u w:val="single" w:color="auto"/>
          <w:color w:val="auto"/>
        </w:rPr>
        <w:t>Extension Not a Waiver</w:t>
      </w:r>
      <w:r>
        <w:rPr>
          <w:rFonts w:ascii="Times New Roman" w:cs="Times New Roman" w:eastAsia="Times New Roman" w:hAnsi="Times New Roman"/>
          <w:sz w:val="22"/>
          <w:szCs w:val="22"/>
          <w:color w:val="auto"/>
        </w:rPr>
        <w:t>. No consent or waiver, expressed or implied, by either Member or any of their respective Affiliates to or of any breach or default by the other Member or any of its Affiliates in the performance by the other Member or any of its Affiliates of its obligations under this Agreement or any of the other Definitive Agreements to which it is a party shall be deemed or construed to be a consent or waiver to or of any other breach or default in the performance by that Member or any of its Affiliates of the same or any other obligations of that Member or its Affiliates. Failure on the part of either Member or its Affiliates to complain of any act or failure to act on the part of the other Member or its Affiliates or to declare the other Member or its Affiliates in default, irrespective of how long the failure continues, shall not constitute a waiver by that Member or its Affiliates of its rights under this Agreement or the other Definitive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171" w:name="page172"/>
    <w:bookmarkEnd w:id="171"/>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11.09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be binding upon the Members and their respective successors and assigns and shall inure to the benefit of the Members and their respective successors and permitted assigns. Notwithstanding the foregoing, neither Member hereto shall be permitted to assign its rights or obligations hereunder without the prior written consent of the other Member. Whenever a reference to any party or Member is made in this Agreement, such reference shall be deemed to include a reference to the successors and permitted assigns of that party or Member.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Any consent or approval to any act or matter required under this Agreement must be in writing and shall apply only with respect to the particular act or matter to which such consent or approval is given, and shall not relieve any Member from the obligation to obtain the consent or approval, as applicable, wherever required under this Agreement to any other act or matter.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Disclaimer of Agency</w:t>
      </w:r>
      <w:r>
        <w:rPr>
          <w:rFonts w:ascii="Times New Roman" w:cs="Times New Roman" w:eastAsia="Times New Roman" w:hAnsi="Times New Roman"/>
          <w:sz w:val="22"/>
          <w:szCs w:val="22"/>
          <w:color w:val="auto"/>
        </w:rPr>
        <w:t>. This Agreement shall not constitute either Member (or any of its Affiliates) as a legal representative or agent of the other Member (or any of its Affiliates), nor shall a Member (or any of its Affiliates) have the right or authority to assume, create or incur any liability or any obligation of any kind, expressed or implied, against or in the name or on behalf of the other Member (or any of its Affiliates) or the Company, unless otherwise expressly permitted by such other Member, and except as expressly provided in any of the Definitive Agreements.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agreement.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Person Defined</w:t>
      </w:r>
      <w:r>
        <w:rPr>
          <w:rFonts w:ascii="Times New Roman" w:cs="Times New Roman" w:eastAsia="Times New Roman" w:hAnsi="Times New Roman"/>
          <w:sz w:val="22"/>
          <w:szCs w:val="22"/>
          <w:color w:val="auto"/>
        </w:rPr>
        <w:t>. As used in this Agreement, “person” shall mean any individual, entity, estate, firm, corporation, partnership, association, limited liability company, joint-stock company, trust, unincorporated organization or association, or any other incorporated or unincorporated entity.</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11.14 </w:t>
      </w:r>
      <w:r>
        <w:rPr>
          <w:rFonts w:ascii="Times New Roman" w:cs="Times New Roman" w:eastAsia="Times New Roman" w:hAnsi="Times New Roman"/>
          <w:sz w:val="21"/>
          <w:szCs w:val="21"/>
          <w:u w:val="single" w:color="auto"/>
          <w:color w:val="auto"/>
        </w:rPr>
        <w:t>No Assumption in Drafting</w:t>
      </w:r>
      <w:r>
        <w:rPr>
          <w:rFonts w:ascii="Times New Roman" w:cs="Times New Roman" w:eastAsia="Times New Roman" w:hAnsi="Times New Roman"/>
          <w:sz w:val="21"/>
          <w:szCs w:val="21"/>
          <w:color w:val="auto"/>
        </w:rPr>
        <w:t>. The parties hereto acknowledge and agree that (i) each party has reviewed and negotiated the terms and provisions of this Agreement and has had the opportunity to contribute to its revision, and (ii)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TORO SUB AND TCFIF SUB, TO THE FULLEST EXTENT PERMITTED BY APPLICABLE LAW, HEREBY KNOWINGLY, VOLUNTARILY AND IRREVOCABLY WAIVES ALL RIGHT TO TRIAL BY JURY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20" w:lineRule="auto"/>
        <w:rPr>
          <w:sz w:val="20"/>
          <w:szCs w:val="20"/>
          <w:color w:val="auto"/>
        </w:rPr>
      </w:pPr>
      <w:r>
        <w:rPr>
          <w:rFonts w:ascii="Times New Roman" w:cs="Times New Roman" w:eastAsia="Times New Roman" w:hAnsi="Times New Roman"/>
          <w:sz w:val="22"/>
          <w:szCs w:val="22"/>
          <w:color w:val="auto"/>
        </w:rPr>
        <w:t>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MEMBER ENTERING INTO THIS AGREEMENT.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at any time and from time to time, but any amendment must be in writing and signed by all of the Members.</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11.17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Definitive Agreements, contains all of the understandings and agreements of whatsoever kind and nature existing among the Members and their respective Affiliates with respect to this Agreement and the other Definitive Agreements, the subject matter hereof and of the other Definitive Agreements, and the rights, interests, understandings, agreements and obligations of the Members and their respective Affiliates pertaining to the subject matter hereof and thereof and the Company, and supersedes any previous agreements among the Members and their respective Affiliates.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173" w:name="page174"/>
    <w:bookmarkEnd w:id="173"/>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 written.</w:t>
      </w:r>
    </w:p>
    <w:p>
      <w:pPr>
        <w:spacing w:after="0" w:line="1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RED IRON HOLDING CORPORATION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280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-5080</wp:posOffset>
            </wp:positionV>
            <wp:extent cx="11163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5557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TCFIF JOINT VENTURE I, LLC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33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203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647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64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395" w:right="359" w:bottom="1440" w:gutter="0" w:footer="0" w:header="0"/>
        </w:sectPr>
      </w:pPr>
    </w:p>
    <w:bookmarkStart w:id="174" w:name="page175"/>
    <w:bookmarkEnd w:id="174"/>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6660" w:type="dxa"/>
            <w:vAlign w:val="bottom"/>
            <w:gridSpan w:val="3"/>
          </w:tcPr>
          <w:p>
            <w:pPr>
              <w:jc w:val="right"/>
              <w:ind w:right="4432"/>
              <w:spacing w:after="0"/>
              <w:rPr>
                <w:sz w:val="20"/>
                <w:szCs w:val="20"/>
                <w:color w:val="auto"/>
              </w:rPr>
            </w:pPr>
            <w:r>
              <w:rPr>
                <w:rFonts w:ascii="Times New Roman" w:cs="Times New Roman" w:eastAsia="Times New Roman" w:hAnsi="Times New Roman"/>
                <w:sz w:val="22"/>
                <w:szCs w:val="22"/>
                <w:b w:val="1"/>
                <w:bCs w:val="1"/>
                <w:color w:val="auto"/>
                <w:w w:val="97"/>
              </w:rPr>
              <w:t>Schedule of Definitions</w:t>
            </w:r>
          </w:p>
        </w:tc>
      </w:tr>
      <w:tr>
        <w:trPr>
          <w:trHeight w:val="466"/>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21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5"/>
              </w:rPr>
              <w:t>Section No.</w:t>
            </w:r>
          </w:p>
        </w:tc>
      </w:tr>
      <w:tr>
        <w:trPr>
          <w:trHeight w:val="29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AAA</w:t>
            </w: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7.07(d)</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Accountant</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8.03</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Act</w:t>
            </w:r>
          </w:p>
        </w:tc>
        <w:tc>
          <w:tcPr>
            <w:tcW w:w="2120" w:type="dxa"/>
            <w:vAlign w:val="bottom"/>
          </w:tcPr>
          <w:p>
            <w:pPr>
              <w:spacing w:after="0"/>
              <w:rPr>
                <w:sz w:val="23"/>
                <w:szCs w:val="23"/>
                <w:color w:val="auto"/>
              </w:rPr>
            </w:pP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Second paragraph on page 1</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Additional Capital Contribution</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2.04</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Additional Term</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Adjusted Capital Account Deficit</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Adjustment Date</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6.03(j)</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Adjustment Period</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6.03(j)</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Affiliate</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2120" w:type="dxa"/>
            <w:vAlign w:val="bottom"/>
          </w:tcPr>
          <w:p>
            <w:pPr>
              <w:spacing w:after="0"/>
              <w:rPr>
                <w:sz w:val="23"/>
                <w:szCs w:val="23"/>
                <w:color w:val="auto"/>
              </w:rPr>
            </w:pP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First paragraph on page 1</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Allowance</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Arbitrable Disputes</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Average Net Receivables</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9.03(a)(i)</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Business</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Capital Account</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2.07</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Capital Contributions</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2.04</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9.03(a)(iv)</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Code</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2120" w:type="dxa"/>
            <w:vAlign w:val="bottom"/>
          </w:tcPr>
          <w:p>
            <w:pPr>
              <w:spacing w:after="0"/>
              <w:rPr>
                <w:sz w:val="23"/>
                <w:szCs w:val="23"/>
                <w:color w:val="auto"/>
              </w:rPr>
            </w:pP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First paragraph on page 1</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Confidential Information</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7.05</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Contributing Member</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2.05</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Credit Agreement</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1.01(b)</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Deficit Loan</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2.05</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Definitive Agreements</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Designated Managers</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Dispute Resolution Notice</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Disputed Matter</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7.08(c)</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Distributable Cash</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4.01(b)</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End of Term Option</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9.03</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Formation Date</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GAAP</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6.04(q)</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General Manager</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Index</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2.05</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Initial Capital Contributions</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2.02</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Initial Term</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Issue</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7.08(a)</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Joint Venture Agreement</w:t>
            </w:r>
          </w:p>
        </w:tc>
        <w:tc>
          <w:tcPr>
            <w:tcW w:w="2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1.01(a)</w:t>
            </w:r>
          </w:p>
        </w:tc>
      </w:tr>
      <w:tr>
        <w:trPr>
          <w:trHeight w:val="282"/>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Majority of the Managers</w:t>
            </w:r>
          </w:p>
        </w:tc>
        <w:tc>
          <w:tcPr>
            <w:tcW w:w="2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bl>
    <w:p>
      <w:pPr>
        <w:sectPr>
          <w:pgSz w:w="11900" w:h="16838" w:orient="portrait"/>
          <w:cols w:equalWidth="0" w:num="1">
            <w:col w:w="11200"/>
          </w:cols>
          <w:pgMar w:left="340" w:top="1440" w:right="359" w:bottom="1440" w:gutter="0" w:footer="0" w:header="0"/>
        </w:sectPr>
      </w:pPr>
    </w:p>
    <w:bookmarkStart w:id="175" w:name="page176"/>
    <w:bookmarkEnd w:id="17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Management Committee</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Managers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Measurement Period Return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6.03(j)</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Member</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First paragraph on page 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Non-Contributing Member</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Non-viability</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10.01(h)</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Officers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Percentage Interest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Pre-tax return on assets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6.02(f)</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Purchase Capital Contribution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Receivable Purchase Agreement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1.01(f)</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Regulations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Regulatory Allocations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5.04</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Request Notice</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Services Agreements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1.01(d)</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System Technology</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Target Return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6.03(i)</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TCF</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TCFIF</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TCFIF Sub</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First paragraph on page 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TCFIF Sub Managers</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6.02(a)</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TCFIF Services Agreement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1.01(c)</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Technology</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Termination Date</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Termination Event Option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Termination Payment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10.02</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Toro</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Second paragraph on page 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Toro Services Agreement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1.01(d)</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Toro Sub</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First paragraph on page 1</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Toro Sub Purchase Option</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Toro Sub Purchase Premium</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9.03(a)(i)</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Total Tangible Assets of the Company</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Trademark License Agreement</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1.01(h)</w:t>
            </w:r>
          </w:p>
        </w:tc>
      </w:tr>
      <w:tr>
        <w:trPr>
          <w:trHeight w:val="282"/>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Transfer</w:t>
            </w:r>
          </w:p>
        </w:tc>
        <w:tc>
          <w:tcPr>
            <w:tcW w:w="5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w:t>
            </w:r>
          </w:p>
        </w:tc>
      </w:tr>
    </w:tbl>
    <w:p>
      <w:pPr>
        <w:sectPr>
          <w:pgSz w:w="11900" w:h="16838" w:orient="portrait"/>
          <w:cols w:equalWidth="0" w:num="1">
            <w:col w:w="11200"/>
          </w:cols>
          <w:pgMar w:left="340" w:top="1440" w:right="35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 IRON ACCEPTANCE, LLC</w:t>
      </w:r>
    </w:p>
    <w:p>
      <w:pPr>
        <w:spacing w:after="0" w:line="178" w:lineRule="exact"/>
        <w:rPr>
          <w:sz w:val="20"/>
          <w:szCs w:val="20"/>
          <w:color w:val="auto"/>
        </w:rPr>
      </w:pPr>
    </w:p>
    <w:p>
      <w:pPr>
        <w:jc w:val="both"/>
        <w:ind w:firstLine="594"/>
        <w:spacing w:after="0" w:line="218" w:lineRule="auto"/>
        <w:rPr>
          <w:sz w:val="20"/>
          <w:szCs w:val="20"/>
          <w:color w:val="auto"/>
        </w:rPr>
      </w:pPr>
      <w:r>
        <w:rPr>
          <w:rFonts w:ascii="Times New Roman" w:cs="Times New Roman" w:eastAsia="Times New Roman" w:hAnsi="Times New Roman"/>
          <w:sz w:val="22"/>
          <w:szCs w:val="22"/>
          <w:b w:val="1"/>
          <w:bCs w:val="1"/>
          <w:color w:val="auto"/>
        </w:rPr>
        <w:t>THIS SECOND AMENDMENT TO LIMITED LIABILITY COMPANY AGREEMENT OF RED IRON ACCEPTANCE, LLC</w:t>
      </w:r>
      <w:r>
        <w:rPr>
          <w:rFonts w:ascii="Times New Roman" w:cs="Times New Roman" w:eastAsia="Times New Roman" w:hAnsi="Times New Roman"/>
          <w:sz w:val="22"/>
          <w:szCs w:val="22"/>
          <w:color w:val="auto"/>
        </w:rPr>
        <w:t>, dated as of June 6, 2012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RED IRON 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 Delaware corporation (“</w:t>
      </w:r>
      <w:r>
        <w:rPr>
          <w:rFonts w:ascii="Times New Roman" w:cs="Times New Roman" w:eastAsia="Times New Roman" w:hAnsi="Times New Roman"/>
          <w:sz w:val="22"/>
          <w:szCs w:val="22"/>
          <w:u w:val="single" w:color="auto"/>
          <w:color w:val="auto"/>
        </w:rPr>
        <w:t>Toro Sub</w:t>
      </w:r>
      <w:r>
        <w:rPr>
          <w:rFonts w:ascii="Times New Roman" w:cs="Times New Roman" w:eastAsia="Times New Roman" w:hAnsi="Times New Roman"/>
          <w:sz w:val="22"/>
          <w:szCs w:val="22"/>
          <w:color w:val="auto"/>
        </w:rPr>
        <w:t>”), and TCFIF JOINT VENTURE I, LLC, a Minnesota limited liability company (“</w:t>
      </w:r>
      <w:r>
        <w:rPr>
          <w:rFonts w:ascii="Times New Roman" w:cs="Times New Roman" w:eastAsia="Times New Roman" w:hAnsi="Times New Roman"/>
          <w:sz w:val="22"/>
          <w:szCs w:val="22"/>
          <w:u w:val="single" w:color="auto"/>
          <w:color w:val="auto"/>
        </w:rPr>
        <w:t>TCFIF Sub</w:t>
      </w:r>
      <w:r>
        <w:rPr>
          <w:rFonts w:ascii="Times New Roman" w:cs="Times New Roman" w:eastAsia="Times New Roman" w:hAnsi="Times New Roman"/>
          <w:sz w:val="22"/>
          <w:szCs w:val="22"/>
          <w:color w:val="auto"/>
        </w:rPr>
        <w:t>”). Capitalized terms used herein and not otherwise defined shall have the meanings ascribed thereto in the LLC Agreement (as hereinafter defined).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656"/>
        <w:spacing w:after="0" w:line="225" w:lineRule="auto"/>
        <w:tabs>
          <w:tab w:leader="none" w:pos="110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(as so amended,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LLC Agreement as provided herein.</w:t>
      </w:r>
    </w:p>
    <w:p>
      <w:pPr>
        <w:spacing w:after="0" w:line="20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040" w:hanging="384"/>
        <w:spacing w:after="0"/>
        <w:tabs>
          <w:tab w:leader="none" w:pos="10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of Initial Term</w:t>
      </w:r>
      <w:r>
        <w:rPr>
          <w:rFonts w:ascii="Times New Roman" w:cs="Times New Roman" w:eastAsia="Times New Roman" w:hAnsi="Times New Roman"/>
          <w:sz w:val="21"/>
          <w:szCs w:val="21"/>
          <w:color w:val="auto"/>
        </w:rPr>
        <w:t>. Section 1.04 of the LLC Agreement is amended and restated in its entirety to read</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78" w:lineRule="exact"/>
        <w:rPr>
          <w:sz w:val="20"/>
          <w:szCs w:val="20"/>
          <w:color w:val="auto"/>
        </w:rPr>
      </w:pPr>
    </w:p>
    <w:p>
      <w:pPr>
        <w:jc w:val="both"/>
        <w:ind w:left="1300"/>
        <w:spacing w:after="0" w:line="216" w:lineRule="auto"/>
        <w:rPr>
          <w:sz w:val="20"/>
          <w:szCs w:val="20"/>
          <w:color w:val="auto"/>
        </w:rPr>
      </w:pPr>
      <w:r>
        <w:rPr>
          <w:rFonts w:ascii="Times New Roman" w:cs="Times New Roman" w:eastAsia="Times New Roman" w:hAnsi="Times New Roman"/>
          <w:sz w:val="22"/>
          <w:szCs w:val="22"/>
          <w:i w:val="1"/>
          <w:iCs w:val="1"/>
          <w:color w:val="auto"/>
        </w:rPr>
        <w:t xml:space="preserve">“1.04 </w:t>
      </w:r>
      <w:r>
        <w:rPr>
          <w:rFonts w:ascii="Times New Roman" w:cs="Times New Roman" w:eastAsia="Times New Roman" w:hAnsi="Times New Roman"/>
          <w:sz w:val="22"/>
          <w:szCs w:val="22"/>
          <w:i w:val="1"/>
          <w:iCs w:val="1"/>
          <w:u w:val="single" w:color="auto"/>
          <w:color w:val="auto"/>
        </w:rPr>
        <w:t>Term</w:t>
      </w:r>
      <w:r>
        <w:rPr>
          <w:rFonts w:ascii="Times New Roman" w:cs="Times New Roman" w:eastAsia="Times New Roman" w:hAnsi="Times New Roman"/>
          <w:sz w:val="22"/>
          <w:szCs w:val="22"/>
          <w:i w:val="1"/>
          <w:iCs w:val="1"/>
          <w:color w:val="auto"/>
        </w:rPr>
        <w:t>. Subject to the provisions of Article X below, the initial term of the Company shall commence of the date first written above (the “Formation Date”), shall continue until October 31, 2017 (the “Initial Term”), and thereafter shall be extended automatically for additional two-year terms (each, an “Additional Term”)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pacing w:after="0" w:line="177" w:lineRule="exact"/>
        <w:rPr>
          <w:sz w:val="20"/>
          <w:szCs w:val="20"/>
          <w:color w:val="auto"/>
        </w:rPr>
      </w:pPr>
    </w:p>
    <w:p>
      <w:pPr>
        <w:ind w:left="660" w:firstLine="644"/>
        <w:spacing w:after="0" w:line="236" w:lineRule="auto"/>
        <w:tabs>
          <w:tab w:leader="none" w:pos="185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Duties of the Management Committee</w:t>
      </w:r>
      <w:r>
        <w:rPr>
          <w:rFonts w:ascii="Times New Roman" w:cs="Times New Roman" w:eastAsia="Times New Roman" w:hAnsi="Times New Roman"/>
          <w:sz w:val="22"/>
          <w:szCs w:val="22"/>
          <w:color w:val="auto"/>
        </w:rPr>
        <w:t>. Section 6.02(f) of the LLC Agreement is amended and restated in its entirety to read as follows:</w:t>
      </w:r>
    </w:p>
    <w:p>
      <w:pPr>
        <w:spacing w:after="0" w:line="173" w:lineRule="exact"/>
        <w:rPr>
          <w:sz w:val="20"/>
          <w:szCs w:val="20"/>
          <w:color w:val="auto"/>
        </w:rPr>
      </w:pPr>
    </w:p>
    <w:p>
      <w:pPr>
        <w:ind w:left="1300"/>
        <w:spacing w:after="0" w:line="238" w:lineRule="auto"/>
        <w:rPr>
          <w:sz w:val="20"/>
          <w:szCs w:val="20"/>
          <w:color w:val="auto"/>
        </w:rPr>
      </w:pPr>
      <w:r>
        <w:rPr>
          <w:rFonts w:ascii="Times New Roman" w:cs="Times New Roman" w:eastAsia="Times New Roman" w:hAnsi="Times New Roman"/>
          <w:sz w:val="22"/>
          <w:szCs w:val="22"/>
          <w:i w:val="1"/>
          <w:iCs w:val="1"/>
          <w:color w:val="auto"/>
        </w:rPr>
        <w:t>“The Management Committee shall review and approve all budgets and business plans, including any amendments thereto from time to time as necessary or desirable, of the Company.”</w:t>
      </w:r>
    </w:p>
    <w:p>
      <w:pPr>
        <w:sectPr>
          <w:pgSz w:w="11900" w:h="16838" w:orient="portrait"/>
          <w:cols w:equalWidth="0" w:num="1">
            <w:col w:w="11240"/>
          </w:cols>
          <w:pgMar w:left="320" w:top="100" w:right="339" w:bottom="1440" w:gutter="0" w:footer="0" w:header="0"/>
        </w:sectPr>
      </w:pPr>
    </w:p>
    <w:bookmarkStart w:id="177" w:name="page178"/>
    <w:bookmarkEnd w:id="177"/>
    <w:p>
      <w:pPr>
        <w:ind w:left="1100" w:hanging="456"/>
        <w:spacing w:after="0"/>
        <w:tabs>
          <w:tab w:leader="none" w:pos="11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the Authority of the General Manager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6.03(i) of the LLC Agreement is amended and restated in its entirety to read as follows:</w:t>
      </w:r>
    </w:p>
    <w:p>
      <w:pPr>
        <w:spacing w:after="0" w:line="20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i w:val="1"/>
          <w:iCs w:val="1"/>
          <w:color w:val="auto"/>
        </w:rPr>
        <w:t>“(i)</w:t>
        <w:tab/>
        <w:t>To prepare the Company’s annual budget;”</w:t>
      </w:r>
    </w:p>
    <w:p>
      <w:pPr>
        <w:spacing w:after="0" w:line="210" w:lineRule="exact"/>
        <w:rPr>
          <w:sz w:val="20"/>
          <w:szCs w:val="20"/>
          <w:color w:val="auto"/>
        </w:rPr>
      </w:pPr>
    </w:p>
    <w:p>
      <w:pPr>
        <w:ind w:left="1780" w:hanging="488"/>
        <w:spacing w:after="0"/>
        <w:tabs>
          <w:tab w:leader="none" w:pos="17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6.03(j) of the LLC Agreement is amended and restated in its entirety to read as follows:</w:t>
      </w:r>
    </w:p>
    <w:p>
      <w:pPr>
        <w:spacing w:after="0" w:line="20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i w:val="1"/>
          <w:iCs w:val="1"/>
          <w:color w:val="auto"/>
        </w:rPr>
        <w:t>“(j)</w:t>
        <w:tab/>
        <w:t>[Reserved]; and”</w:t>
      </w:r>
    </w:p>
    <w:p>
      <w:pPr>
        <w:spacing w:after="0" w:line="210" w:lineRule="exact"/>
        <w:rPr>
          <w:sz w:val="20"/>
          <w:szCs w:val="20"/>
          <w:color w:val="auto"/>
        </w:rPr>
      </w:pPr>
    </w:p>
    <w:p>
      <w:pPr>
        <w:ind w:left="1120" w:hanging="476"/>
        <w:spacing w:after="0"/>
        <w:tabs>
          <w:tab w:leader="none" w:pos="11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Illinois Office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last sentence of Section 1.02 of the LLC Agreement is amended and restated in its entirety to read</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78"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2"/>
          <w:szCs w:val="22"/>
          <w:i w:val="1"/>
          <w:iCs w:val="1"/>
          <w:color w:val="auto"/>
        </w:rPr>
        <w:t>“The principal offices and place of business of the Company shall be in Schaumburg, Illinois with an operations office in Bloomington, Minnesota or, in either case, such other place or places as the Management Committee may from time to time direct.”</w:t>
      </w:r>
    </w:p>
    <w:p>
      <w:pPr>
        <w:spacing w:after="0" w:line="177" w:lineRule="exact"/>
        <w:rPr>
          <w:sz w:val="20"/>
          <w:szCs w:val="20"/>
          <w:color w:val="auto"/>
        </w:rPr>
      </w:pPr>
    </w:p>
    <w:p>
      <w:pPr>
        <w:ind w:left="640" w:firstLine="652"/>
        <w:spacing w:after="0" w:line="236" w:lineRule="auto"/>
        <w:tabs>
          <w:tab w:leader="none" w:pos="184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the first paragraph of Section 8.02(a) of the LLC Agreement is amended and restated in its entirety to read as follows:</w:t>
      </w:r>
    </w:p>
    <w:p>
      <w:pPr>
        <w:spacing w:after="0" w:line="173" w:lineRule="exact"/>
        <w:rPr>
          <w:sz w:val="20"/>
          <w:szCs w:val="20"/>
          <w:color w:val="auto"/>
        </w:rPr>
      </w:pPr>
    </w:p>
    <w:p>
      <w:pPr>
        <w:ind w:left="1300" w:right="20"/>
        <w:spacing w:after="0" w:line="238" w:lineRule="auto"/>
        <w:rPr>
          <w:sz w:val="20"/>
          <w:szCs w:val="20"/>
          <w:color w:val="auto"/>
        </w:rPr>
      </w:pPr>
      <w:r>
        <w:rPr>
          <w:rFonts w:ascii="Times New Roman" w:cs="Times New Roman" w:eastAsia="Times New Roman" w:hAnsi="Times New Roman"/>
          <w:sz w:val="22"/>
          <w:szCs w:val="22"/>
          <w:i w:val="1"/>
          <w:iCs w:val="1"/>
          <w:color w:val="auto"/>
        </w:rPr>
        <w:t>“All other ledgers, books of account and financial statements shall be maintained at the offices of TCFIF in Schaumburg, Illinois.”</w:t>
      </w:r>
    </w:p>
    <w:p>
      <w:pPr>
        <w:spacing w:after="0" w:line="177" w:lineRule="exact"/>
        <w:rPr>
          <w:sz w:val="20"/>
          <w:szCs w:val="20"/>
          <w:color w:val="auto"/>
        </w:rPr>
      </w:pPr>
    </w:p>
    <w:p>
      <w:pPr>
        <w:ind w:left="1100" w:hanging="456"/>
        <w:spacing w:after="0"/>
        <w:tabs>
          <w:tab w:leader="none" w:pos="11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Dates Referred to in the Toro Sub Purchase Option</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Sections 9.03(a)(i)(A) – (C) of the LLC Agreement are amended and restated in their entirety to read</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78" w:lineRule="exact"/>
        <w:rPr>
          <w:sz w:val="20"/>
          <w:szCs w:val="20"/>
          <w:color w:val="auto"/>
        </w:rPr>
      </w:pPr>
    </w:p>
    <w:p>
      <w:pPr>
        <w:ind w:left="1300"/>
        <w:spacing w:after="0" w:line="238" w:lineRule="auto"/>
        <w:rPr>
          <w:sz w:val="20"/>
          <w:szCs w:val="20"/>
          <w:color w:val="auto"/>
        </w:rPr>
      </w:pPr>
      <w:r>
        <w:rPr>
          <w:rFonts w:ascii="Times New Roman" w:cs="Times New Roman" w:eastAsia="Times New Roman" w:hAnsi="Times New Roman"/>
          <w:sz w:val="22"/>
          <w:szCs w:val="22"/>
          <w:i w:val="1"/>
          <w:iCs w:val="1"/>
          <w:color w:val="auto"/>
        </w:rPr>
        <w:t>“(A) if the Closing Date occurs at October 31, 2017, an amount equal to the greater of (y) [***] or (z) [***];</w:t>
      </w:r>
    </w:p>
    <w:p>
      <w:pPr>
        <w:spacing w:after="0" w:line="173" w:lineRule="exact"/>
        <w:rPr>
          <w:sz w:val="20"/>
          <w:szCs w:val="20"/>
          <w:color w:val="auto"/>
        </w:rPr>
      </w:pPr>
    </w:p>
    <w:p>
      <w:pPr>
        <w:ind w:left="1780" w:hanging="488"/>
        <w:spacing w:after="0"/>
        <w:tabs>
          <w:tab w:leader="none" w:pos="1780" w:val="left"/>
        </w:tabs>
        <w:numPr>
          <w:ilvl w:val="0"/>
          <w:numId w:val="1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if the Closing Date occurs at October 31, 2019, an amount equal to [***]; or</w:t>
      </w:r>
    </w:p>
    <w:p>
      <w:pPr>
        <w:spacing w:after="0" w:line="206" w:lineRule="exact"/>
        <w:rPr>
          <w:rFonts w:ascii="Times New Roman" w:cs="Times New Roman" w:eastAsia="Times New Roman" w:hAnsi="Times New Roman"/>
          <w:sz w:val="22"/>
          <w:szCs w:val="22"/>
          <w:i w:val="1"/>
          <w:iCs w:val="1"/>
          <w:color w:val="auto"/>
        </w:rPr>
      </w:pPr>
    </w:p>
    <w:p>
      <w:pPr>
        <w:ind w:left="1800" w:hanging="508"/>
        <w:spacing w:after="0"/>
        <w:tabs>
          <w:tab w:leader="none" w:pos="1800" w:val="left"/>
        </w:tabs>
        <w:numPr>
          <w:ilvl w:val="0"/>
          <w:numId w:val="14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if the Closing Date occurs at October 31, 2021 or at any time thereafter, an amount equal to [***].”</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paragraph following clause (C) of Section 9.03(a)(i) of the LLC Agreement shall remain without change.</w:t>
      </w:r>
    </w:p>
    <w:p>
      <w:pPr>
        <w:spacing w:after="0" w:line="206" w:lineRule="exact"/>
        <w:rPr>
          <w:sz w:val="20"/>
          <w:szCs w:val="20"/>
          <w:color w:val="auto"/>
        </w:rPr>
      </w:pPr>
    </w:p>
    <w:p>
      <w:pPr>
        <w:ind w:left="1780" w:hanging="488"/>
        <w:spacing w:after="0"/>
        <w:tabs>
          <w:tab w:leader="none" w:pos="178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9.03(b)(i)(i) of the LLC Agreement is amended and restated in its entirety to read as follows:</w:t>
      </w:r>
    </w:p>
    <w:p>
      <w:pPr>
        <w:spacing w:after="0" w:line="21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i w:val="1"/>
          <w:iCs w:val="1"/>
          <w:color w:val="auto"/>
        </w:rPr>
        <w:t>“(i)</w:t>
        <w:tab/>
        <w:t>during the 31-day period commencing on October 1, 2016, or”</w:t>
      </w:r>
    </w:p>
    <w:p>
      <w:pPr>
        <w:spacing w:after="0" w:line="210" w:lineRule="exact"/>
        <w:rPr>
          <w:sz w:val="20"/>
          <w:szCs w:val="20"/>
          <w:color w:val="auto"/>
        </w:rPr>
      </w:pPr>
    </w:p>
    <w:p>
      <w:pPr>
        <w:ind w:right="20" w:firstLine="644"/>
        <w:spacing w:after="0" w:line="236" w:lineRule="auto"/>
        <w:tabs>
          <w:tab w:leader="none" w:pos="114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The following is added to the end of the clause that appears in parentheses following the first sentence of Section 10.01(h) of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0"/>
          </w:cols>
          <w:pgMar w:left="980" w:top="1395" w:right="339" w:bottom="1440" w:gutter="0" w:footer="0" w:header="0"/>
        </w:sectPr>
      </w:pPr>
    </w:p>
    <w:bookmarkStart w:id="178" w:name="page179"/>
    <w:bookmarkEnd w:id="178"/>
    <w:p>
      <w:pPr>
        <w:jc w:val="both"/>
        <w:ind w:left="1140"/>
        <w:spacing w:after="0" w:line="216" w:lineRule="auto"/>
        <w:rPr>
          <w:sz w:val="20"/>
          <w:szCs w:val="20"/>
          <w:color w:val="auto"/>
        </w:rPr>
      </w:pPr>
      <w:r>
        <w:rPr>
          <w:rFonts w:ascii="Times New Roman" w:cs="Times New Roman" w:eastAsia="Times New Roman" w:hAnsi="Times New Roman"/>
          <w:sz w:val="22"/>
          <w:szCs w:val="22"/>
          <w:i w:val="1"/>
          <w:iCs w:val="1"/>
          <w:color w:val="auto"/>
        </w:rPr>
        <w:t>“and “pre-tax return on assets” shall mean a quotient, (i) the numerator of which is equal to the product of (x) the pre-tax income of the Company from the first day of the first calendar month covered by such calculation, divided by the number of calendar months included in the period covered by such calculation, multiplied by (y) 12, and (ii) the denominator of which is equal to (x) the sum of the monthly Average Net Receivables for each calendar month included in the period covered by such calculation, divided by (y) the number of calendar months included in the period covered by such calculation.”</w:t>
      </w:r>
    </w:p>
    <w:p>
      <w:pPr>
        <w:spacing w:after="0" w:line="175" w:lineRule="exact"/>
        <w:rPr>
          <w:sz w:val="20"/>
          <w:szCs w:val="20"/>
          <w:color w:val="auto"/>
        </w:rPr>
      </w:pPr>
    </w:p>
    <w:p>
      <w:pPr>
        <w:ind w:left="1620" w:hanging="476"/>
        <w:spacing w:after="0"/>
        <w:tabs>
          <w:tab w:leader="none" w:pos="16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for Liquidation</w:t>
      </w:r>
      <w:r>
        <w:rPr>
          <w:rFonts w:ascii="Times New Roman" w:cs="Times New Roman" w:eastAsia="Times New Roman" w:hAnsi="Times New Roman"/>
          <w:sz w:val="21"/>
          <w:szCs w:val="21"/>
          <w:color w:val="auto"/>
        </w:rPr>
        <w:t>. Section 10.04 of the LLC Agreement is amended and restated in its entirety to read as</w:t>
      </w:r>
    </w:p>
    <w:p>
      <w:pPr>
        <w:ind w:left="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jc w:val="both"/>
        <w:ind w:left="1140"/>
        <w:spacing w:after="0" w:line="210" w:lineRule="auto"/>
        <w:rPr>
          <w:sz w:val="20"/>
          <w:szCs w:val="20"/>
          <w:color w:val="auto"/>
        </w:rPr>
      </w:pPr>
      <w:r>
        <w:rPr>
          <w:rFonts w:ascii="Times New Roman" w:cs="Times New Roman" w:eastAsia="Times New Roman" w:hAnsi="Times New Roman"/>
          <w:sz w:val="22"/>
          <w:szCs w:val="22"/>
          <w:i w:val="1"/>
          <w:iCs w:val="1"/>
          <w:color w:val="auto"/>
        </w:rPr>
        <w:t xml:space="preserve">“10.04 </w:t>
      </w:r>
      <w:r>
        <w:rPr>
          <w:rFonts w:ascii="Times New Roman" w:cs="Times New Roman" w:eastAsia="Times New Roman" w:hAnsi="Times New Roman"/>
          <w:sz w:val="22"/>
          <w:szCs w:val="22"/>
          <w:i w:val="1"/>
          <w:iCs w:val="1"/>
          <w:u w:val="single" w:color="auto"/>
          <w:color w:val="auto"/>
        </w:rPr>
        <w:t>Time for Liquidation</w:t>
      </w:r>
      <w:r>
        <w:rPr>
          <w:rFonts w:ascii="Times New Roman" w:cs="Times New Roman" w:eastAsia="Times New Roman" w:hAnsi="Times New Roman"/>
          <w:sz w:val="22"/>
          <w:szCs w:val="22"/>
          <w:i w:val="1"/>
          <w:iCs w:val="1"/>
          <w:color w:val="auto"/>
        </w:rPr>
        <w:t>. The Members acknowledge that any liquidation of assets of the Company must be handled in such a manner as to minimize the impact of such liquidation on the business of Toro and its Affiliates and agree, subject to the provisions of the following sentence, if so requested by Toro Sub to continue the Business for a period of up to the later of one year following the Termination Date, or, if such date shall occur in the months of February through June, until June 30 of the year following the Termination Date during which time the Members acknowledge that (a) the Company will no longer be entitled to any exclusive rights to provide floor plan and open account financing to Toro dealers and distributors and (b) TCFIF shall no longer be bound to its obligations under Section 2.8(b) of the Joint Venture Agreement. Following the cessation of the Business as contemplated by the preceding sentence, a reasonable time period shall be allowed for the orderly liquidation of the assets of the Company and the discharge of liabilities to creditors so as to enable the Members to reasonably minimize the losses attendant upon such liquidation.”</w:t>
      </w:r>
    </w:p>
    <w:p>
      <w:pPr>
        <w:spacing w:after="0" w:line="188" w:lineRule="exact"/>
        <w:rPr>
          <w:sz w:val="20"/>
          <w:szCs w:val="20"/>
          <w:color w:val="auto"/>
        </w:rPr>
      </w:pPr>
    </w:p>
    <w:p>
      <w:pPr>
        <w:ind w:left="1620" w:hanging="476"/>
        <w:spacing w:after="0"/>
        <w:tabs>
          <w:tab w:leader="none" w:pos="16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Schedule of 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440" w:hanging="648"/>
        <w:spacing w:after="0" w:line="236" w:lineRule="auto"/>
        <w:tabs>
          <w:tab w:leader="none" w:pos="2295"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defined terms and associated Section No. cross references shall be deleted from the Schedule of Definitions to the LLC Agreement:</w:t>
      </w:r>
    </w:p>
    <w:p>
      <w:pPr>
        <w:spacing w:after="0" w:line="16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i w:val="1"/>
          <w:iCs w:val="1"/>
          <w:color w:val="auto"/>
        </w:rPr>
        <w:t>Adjustment Date</w:t>
      </w:r>
    </w:p>
    <w:p>
      <w:pPr>
        <w:ind w:left="3080"/>
        <w:spacing w:after="0" w:line="204" w:lineRule="auto"/>
        <w:rPr>
          <w:sz w:val="20"/>
          <w:szCs w:val="20"/>
          <w:color w:val="auto"/>
        </w:rPr>
      </w:pPr>
      <w:r>
        <w:rPr>
          <w:rFonts w:ascii="Times New Roman" w:cs="Times New Roman" w:eastAsia="Times New Roman" w:hAnsi="Times New Roman"/>
          <w:sz w:val="22"/>
          <w:szCs w:val="22"/>
          <w:i w:val="1"/>
          <w:iCs w:val="1"/>
          <w:color w:val="auto"/>
        </w:rPr>
        <w:t>Adjustment Period</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i w:val="1"/>
          <w:iCs w:val="1"/>
          <w:color w:val="auto"/>
        </w:rPr>
        <w:t>Measurement Period Return</w:t>
      </w:r>
    </w:p>
    <w:p>
      <w:pPr>
        <w:spacing w:after="0" w:line="178" w:lineRule="exact"/>
        <w:rPr>
          <w:sz w:val="20"/>
          <w:szCs w:val="20"/>
          <w:color w:val="auto"/>
        </w:rPr>
      </w:pPr>
    </w:p>
    <w:p>
      <w:pPr>
        <w:ind w:left="2440" w:hanging="648"/>
        <w:spacing w:after="0" w:line="238" w:lineRule="auto"/>
        <w:tabs>
          <w:tab w:leader="none" w:pos="2415"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cross reference to the defined term, </w:t>
      </w:r>
      <w:r>
        <w:rPr>
          <w:rFonts w:ascii="Times New Roman" w:cs="Times New Roman" w:eastAsia="Times New Roman" w:hAnsi="Times New Roman"/>
          <w:sz w:val="22"/>
          <w:szCs w:val="22"/>
          <w:i w:val="1"/>
          <w:iCs w:val="1"/>
          <w:color w:val="auto"/>
        </w:rPr>
        <w:t>“pre-tax return on assets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changed to Section No. 10.01(h).</w:t>
      </w:r>
    </w:p>
    <w:p>
      <w:pPr>
        <w:spacing w:after="0" w:line="177" w:lineRule="exact"/>
        <w:rPr>
          <w:rFonts w:ascii="Times New Roman" w:cs="Times New Roman" w:eastAsia="Times New Roman" w:hAnsi="Times New Roman"/>
          <w:sz w:val="22"/>
          <w:szCs w:val="22"/>
          <w:color w:val="auto"/>
        </w:rPr>
      </w:pPr>
    </w:p>
    <w:p>
      <w:pPr>
        <w:jc w:val="both"/>
        <w:ind w:left="-160" w:firstLine="656"/>
        <w:spacing w:after="0" w:line="217" w:lineRule="auto"/>
        <w:tabs>
          <w:tab w:leader="none" w:pos="9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LLC Agreement; Further References</w:t>
      </w:r>
      <w:r>
        <w:rPr>
          <w:rFonts w:ascii="Times New Roman" w:cs="Times New Roman" w:eastAsia="Times New Roman" w:hAnsi="Times New Roman"/>
          <w:sz w:val="22"/>
          <w:szCs w:val="22"/>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by this Amendment.</w:t>
      </w:r>
    </w:p>
    <w:p>
      <w:pPr>
        <w:spacing w:after="0" w:line="179" w:lineRule="exact"/>
        <w:rPr>
          <w:rFonts w:ascii="Times New Roman" w:cs="Times New Roman" w:eastAsia="Times New Roman" w:hAnsi="Times New Roman"/>
          <w:sz w:val="22"/>
          <w:szCs w:val="22"/>
          <w:color w:val="auto"/>
        </w:rPr>
      </w:pPr>
    </w:p>
    <w:p>
      <w:pPr>
        <w:jc w:val="both"/>
        <w:ind w:left="-160" w:firstLine="656"/>
        <w:spacing w:after="0" w:line="236" w:lineRule="auto"/>
        <w:tabs>
          <w:tab w:leader="none" w:pos="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391" w:right="339" w:bottom="1440" w:gutter="0" w:footer="0" w:header="0"/>
        </w:sectPr>
      </w:pPr>
    </w:p>
    <w:bookmarkStart w:id="179" w:name="page180"/>
    <w:bookmarkEnd w:id="179"/>
    <w:p>
      <w:pPr>
        <w:spacing w:after="0" w:line="236" w:lineRule="auto"/>
        <w:rPr>
          <w:sz w:val="20"/>
          <w:szCs w:val="20"/>
          <w:color w:val="auto"/>
        </w:rPr>
      </w:pPr>
      <w:r>
        <w:rPr>
          <w:rFonts w:ascii="Times New Roman" w:cs="Times New Roman" w:eastAsia="Times New Roman" w:hAnsi="Times New Roman"/>
          <w:sz w:val="22"/>
          <w:szCs w:val="22"/>
          <w:color w:val="auto"/>
        </w:rPr>
        <w:t>their respective Affiliates pertaining to the subject matter hereof with the effect that this Amendment shall control with respect to the specific subjects hereof.</w:t>
      </w:r>
    </w:p>
    <w:p>
      <w:pPr>
        <w:spacing w:after="0" w:line="177" w:lineRule="exact"/>
        <w:rPr>
          <w:sz w:val="20"/>
          <w:szCs w:val="20"/>
          <w:color w:val="auto"/>
        </w:rPr>
      </w:pPr>
    </w:p>
    <w:p>
      <w:pPr>
        <w:jc w:val="both"/>
        <w:ind w:firstLine="656"/>
        <w:spacing w:after="0" w:line="220" w:lineRule="auto"/>
        <w:tabs>
          <w:tab w:leader="none" w:pos="11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80" w:name="page181"/>
    <w:bookmarkEnd w:id="180"/>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RED IRON HOLDING CORPORATION</w:t>
      </w:r>
    </w:p>
    <w:p>
      <w:pPr>
        <w:spacing w:after="0" w:line="200" w:lineRule="exact"/>
        <w:rPr>
          <w:sz w:val="20"/>
          <w:szCs w:val="20"/>
          <w:color w:val="auto"/>
        </w:rPr>
      </w:pPr>
    </w:p>
    <w:p>
      <w:pPr>
        <w:spacing w:after="0" w:line="236" w:lineRule="exact"/>
        <w:rPr>
          <w:sz w:val="20"/>
          <w:szCs w:val="20"/>
          <w:color w:val="auto"/>
        </w:rPr>
      </w:pPr>
    </w:p>
    <w:p>
      <w:pPr>
        <w:ind w:left="1960"/>
        <w:spacing w:after="0"/>
        <w:tabs>
          <w:tab w:leader="none" w:pos="2760" w:val="left"/>
        </w:tabs>
        <w:rPr>
          <w:sz w:val="20"/>
          <w:szCs w:val="20"/>
          <w:color w:val="auto"/>
        </w:rPr>
      </w:pPr>
      <w:r>
        <w:rPr>
          <w:rFonts w:ascii="Times New Roman" w:cs="Times New Roman" w:eastAsia="Times New Roman" w:hAnsi="Times New Roman"/>
          <w:sz w:val="22"/>
          <w:szCs w:val="22"/>
          <w:color w:val="auto"/>
        </w:rPr>
        <w:t>By: /s/</w:t>
      </w:r>
      <w:r>
        <w:rPr>
          <w:sz w:val="20"/>
          <w:szCs w:val="20"/>
          <w:color w:val="auto"/>
        </w:rPr>
        <w:tab/>
      </w:r>
      <w:r>
        <w:rPr>
          <w:rFonts w:ascii="Times New Roman" w:cs="Times New Roman" w:eastAsia="Times New Roman" w:hAnsi="Times New Roman"/>
          <w:sz w:val="21"/>
          <w:szCs w:val="21"/>
          <w:color w:val="auto"/>
        </w:rPr>
        <w:t>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-5715</wp:posOffset>
            </wp:positionV>
            <wp:extent cx="1551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ind w:left="1960"/>
        <w:spacing w:after="0" w:line="204" w:lineRule="auto"/>
        <w:rPr>
          <w:sz w:val="20"/>
          <w:szCs w:val="20"/>
          <w:color w:val="auto"/>
        </w:rPr>
      </w:pPr>
      <w:r>
        <w:rPr>
          <w:rFonts w:ascii="Times New Roman" w:cs="Times New Roman" w:eastAsia="Times New Roman" w:hAnsi="Times New Roman"/>
          <w:sz w:val="22"/>
          <w:szCs w:val="22"/>
          <w:color w:val="auto"/>
        </w:rPr>
        <w:t>Name: Thomas J. Larson</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Vice President and Chief Financial Officer</w:t>
      </w:r>
    </w:p>
    <w:p>
      <w:pPr>
        <w:spacing w:after="0" w:line="200" w:lineRule="exact"/>
        <w:rPr>
          <w:sz w:val="20"/>
          <w:szCs w:val="20"/>
          <w:color w:val="auto"/>
        </w:rPr>
      </w:pP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TCFIF JOINT VENTURE I, LLC</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By: /s/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-5715</wp:posOffset>
            </wp:positionV>
            <wp:extent cx="14706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ind w:left="196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Second Amendment to Limited Liability Company Agreement</w:t>
      </w:r>
    </w:p>
    <w:p>
      <w:pPr>
        <w:sectPr>
          <w:pgSz w:w="11900" w:h="16838" w:orient="portrait"/>
          <w:cols w:equalWidth="0" w:num="1">
            <w:col w:w="10560"/>
          </w:cols>
          <w:pgMar w:left="320" w:top="1395" w:right="1019" w:bottom="1440" w:gutter="0" w:footer="0" w:header="0"/>
        </w:sectPr>
      </w:pPr>
    </w:p>
    <w:bookmarkStart w:id="181" w:name="page182"/>
    <w:bookmarkEnd w:id="181"/>
    <w:p>
      <w:pPr>
        <w:ind w:left="10180"/>
        <w:spacing w:after="0"/>
        <w:rPr>
          <w:sz w:val="20"/>
          <w:szCs w:val="20"/>
          <w:color w:val="auto"/>
        </w:rPr>
      </w:pPr>
      <w:r>
        <w:rPr>
          <w:rFonts w:ascii="Times New Roman" w:cs="Times New Roman" w:eastAsia="Times New Roman" w:hAnsi="Times New Roman"/>
          <w:sz w:val="21"/>
          <w:szCs w:val="21"/>
          <w:u w:val="single" w:color="auto"/>
          <w:color w:val="auto"/>
        </w:rPr>
        <w:t>Exhibit 2.10</w:t>
      </w:r>
    </w:p>
    <w:p>
      <w:pPr>
        <w:spacing w:after="0" w:line="21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[PORTIONS HEREIN IDENTIFIED BY [***] HAVE BEEN EXCLUDED FROM THIS EXHIBIT BECAUSE THE EXCLUDED INFORMATION IS BOTH (I)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 IRON ACCEPTANCE, LLC</w:t>
      </w:r>
    </w:p>
    <w:p>
      <w:pPr>
        <w:spacing w:after="0" w:line="178" w:lineRule="exact"/>
        <w:rPr>
          <w:sz w:val="20"/>
          <w:szCs w:val="20"/>
          <w:color w:val="auto"/>
        </w:rPr>
      </w:pPr>
    </w:p>
    <w:p>
      <w:pPr>
        <w:jc w:val="both"/>
        <w:ind w:firstLine="1107"/>
        <w:spacing w:after="0" w:line="218" w:lineRule="auto"/>
        <w:rPr>
          <w:sz w:val="20"/>
          <w:szCs w:val="20"/>
          <w:color w:val="auto"/>
        </w:rPr>
      </w:pPr>
      <w:r>
        <w:rPr>
          <w:rFonts w:ascii="Times New Roman" w:cs="Times New Roman" w:eastAsia="Times New Roman" w:hAnsi="Times New Roman"/>
          <w:sz w:val="22"/>
          <w:szCs w:val="22"/>
          <w:b w:val="1"/>
          <w:bCs w:val="1"/>
          <w:color w:val="auto"/>
        </w:rPr>
        <w:t>THIS THIRD AMENDMENT TO LIMITED LIABILITY COMPANY AGREEMENT OF RED IRON ACCEPTANCE, LLC</w:t>
      </w:r>
      <w:r>
        <w:rPr>
          <w:rFonts w:ascii="Times New Roman" w:cs="Times New Roman" w:eastAsia="Times New Roman" w:hAnsi="Times New Roman"/>
          <w:sz w:val="22"/>
          <w:szCs w:val="22"/>
          <w:color w:val="auto"/>
        </w:rPr>
        <w:t>, dated as of November 29, 2016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RED IRON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 CORPORATION, a Delaware corporation (“</w:t>
      </w:r>
      <w:r>
        <w:rPr>
          <w:rFonts w:ascii="Times New Roman" w:cs="Times New Roman" w:eastAsia="Times New Roman" w:hAnsi="Times New Roman"/>
          <w:sz w:val="22"/>
          <w:szCs w:val="22"/>
          <w:u w:val="single" w:color="auto"/>
          <w:color w:val="auto"/>
        </w:rPr>
        <w:t>Toro Sub</w:t>
      </w:r>
      <w:r>
        <w:rPr>
          <w:rFonts w:ascii="Times New Roman" w:cs="Times New Roman" w:eastAsia="Times New Roman" w:hAnsi="Times New Roman"/>
          <w:sz w:val="22"/>
          <w:szCs w:val="22"/>
          <w:color w:val="auto"/>
        </w:rPr>
        <w:t>”), and TCFIF JOINT VENTURE I, LLC, a Minnesota limited liability company (“</w:t>
      </w:r>
      <w:r>
        <w:rPr>
          <w:rFonts w:ascii="Times New Roman" w:cs="Times New Roman" w:eastAsia="Times New Roman" w:hAnsi="Times New Roman"/>
          <w:sz w:val="22"/>
          <w:szCs w:val="22"/>
          <w:u w:val="single" w:color="auto"/>
          <w:color w:val="auto"/>
        </w:rPr>
        <w:t>TCFIF Sub</w:t>
      </w:r>
      <w:r>
        <w:rPr>
          <w:rFonts w:ascii="Times New Roman" w:cs="Times New Roman" w:eastAsia="Times New Roman" w:hAnsi="Times New Roman"/>
          <w:sz w:val="22"/>
          <w:szCs w:val="22"/>
          <w:color w:val="auto"/>
        </w:rPr>
        <w:t xml:space="preserve"> ”). Capitalized terms used herein and not otherwise defined shall have the meanings ascribed thereto in the LLC Agreement (as hereinafter defined).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656"/>
        <w:spacing w:after="0" w:line="220" w:lineRule="auto"/>
        <w:tabs>
          <w:tab w:leader="none" w:pos="110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and by the Second Amendment to Limited Liability Company Agreement of Red Iron Acceptance, LLC dated as of June 6, 2012 (as so amended,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LLC Agreement as provided herein.</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040" w:hanging="384"/>
        <w:spacing w:after="0"/>
        <w:tabs>
          <w:tab w:leader="none" w:pos="1040"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Amendments.</w:t>
      </w:r>
    </w:p>
    <w:p>
      <w:pPr>
        <w:spacing w:after="0" w:line="17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1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Extension of Initial Term</w:t>
      </w:r>
      <w:r>
        <w:rPr>
          <w:rFonts w:ascii="Times New Roman" w:cs="Times New Roman" w:eastAsia="Times New Roman" w:hAnsi="Times New Roman"/>
          <w:sz w:val="21"/>
          <w:szCs w:val="21"/>
          <w:color w:val="auto"/>
        </w:rPr>
        <w:t>. Section 1.04 of the LLC Agreement is amended and restated in its entirety to read</w:t>
      </w: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as follows:</w:t>
      </w:r>
    </w:p>
    <w:p>
      <w:pPr>
        <w:spacing w:after="0" w:line="151"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“1.04 </w:t>
      </w:r>
      <w:r>
        <w:rPr>
          <w:rFonts w:ascii="Times New Roman" w:cs="Times New Roman" w:eastAsia="Times New Roman" w:hAnsi="Times New Roman"/>
          <w:sz w:val="22"/>
          <w:szCs w:val="22"/>
          <w:i w:val="1"/>
          <w:iCs w:val="1"/>
          <w:u w:val="single" w:color="auto"/>
          <w:color w:val="auto"/>
        </w:rPr>
        <w:t>Term</w:t>
      </w:r>
      <w:r>
        <w:rPr>
          <w:rFonts w:ascii="Times New Roman" w:cs="Times New Roman" w:eastAsia="Times New Roman" w:hAnsi="Times New Roman"/>
          <w:sz w:val="22"/>
          <w:szCs w:val="22"/>
          <w:i w:val="1"/>
          <w:iCs w:val="1"/>
          <w:color w:val="auto"/>
        </w:rPr>
        <w:t>. Subject to the provisions of Article X below, the initial term of the Company shall commence on the date first written above (the “Formation Date”), shall continue until October 31, 2024 (the “Initial Term”), and thereafter shall be</w:t>
      </w:r>
    </w:p>
    <w:p>
      <w:pPr>
        <w:sectPr>
          <w:pgSz w:w="11900" w:h="16838" w:orient="portrait"/>
          <w:cols w:equalWidth="0" w:num="1">
            <w:col w:w="11240"/>
          </w:cols>
          <w:pgMar w:left="320" w:top="100" w:right="339" w:bottom="1440" w:gutter="0" w:footer="0" w:header="0"/>
        </w:sectPr>
      </w:pPr>
    </w:p>
    <w:bookmarkStart w:id="182" w:name="page183"/>
    <w:bookmarkEnd w:id="182"/>
    <w:p>
      <w:pPr>
        <w:jc w:val="both"/>
        <w:ind w:left="640"/>
        <w:spacing w:after="0" w:line="221" w:lineRule="auto"/>
        <w:rPr>
          <w:sz w:val="20"/>
          <w:szCs w:val="20"/>
          <w:color w:val="auto"/>
        </w:rPr>
      </w:pPr>
      <w:r>
        <w:rPr>
          <w:rFonts w:ascii="Times New Roman" w:cs="Times New Roman" w:eastAsia="Times New Roman" w:hAnsi="Times New Roman"/>
          <w:sz w:val="22"/>
          <w:szCs w:val="22"/>
          <w:i w:val="1"/>
          <w:iCs w:val="1"/>
          <w:color w:val="auto"/>
        </w:rPr>
        <w:t>extended automatically for additional two-year terms (each, an “Additional Term”)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pacing w:after="0" w:line="175" w:lineRule="exact"/>
        <w:rPr>
          <w:sz w:val="20"/>
          <w:szCs w:val="20"/>
          <w:color w:val="auto"/>
        </w:rPr>
      </w:pPr>
    </w:p>
    <w:p>
      <w:pPr>
        <w:jc w:val="both"/>
        <w:ind w:firstLine="644"/>
        <w:spacing w:after="0" w:line="227" w:lineRule="auto"/>
        <w:tabs>
          <w:tab w:leader="none" w:pos="1129"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at the end of Section 6.04(bb) of the LLC Agreement is deleted, the period at the end of Section 6.04(cc) is changed to a semi-colon and the word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is added after such semi-colon, and the following is added as a new Section 6.04(dd):</w:t>
      </w:r>
    </w:p>
    <w:p>
      <w:pPr>
        <w:spacing w:after="0" w:line="146" w:lineRule="exact"/>
        <w:rPr>
          <w:sz w:val="20"/>
          <w:szCs w:val="20"/>
          <w:color w:val="auto"/>
        </w:rPr>
      </w:pPr>
    </w:p>
    <w:p>
      <w:pPr>
        <w:jc w:val="both"/>
        <w:ind w:left="640"/>
        <w:spacing w:after="0" w:line="227" w:lineRule="auto"/>
        <w:rPr>
          <w:sz w:val="20"/>
          <w:szCs w:val="20"/>
          <w:color w:val="auto"/>
        </w:rPr>
      </w:pPr>
      <w:r>
        <w:rPr>
          <w:rFonts w:ascii="Times New Roman" w:cs="Times New Roman" w:eastAsia="Times New Roman" w:hAnsi="Times New Roman"/>
          <w:sz w:val="22"/>
          <w:szCs w:val="22"/>
          <w:i w:val="1"/>
          <w:iCs w:val="1"/>
          <w:color w:val="auto"/>
        </w:rPr>
        <w:t>“(dd) establish or amend service level agreements (SLAs) applicable to the services provided under either of the Services Agreements, which service level agreements (if any) the Members will endeavor to re-evaluate on a periodic basis.”</w:t>
      </w:r>
    </w:p>
    <w:p>
      <w:pPr>
        <w:spacing w:after="0" w:line="150" w:lineRule="exact"/>
        <w:rPr>
          <w:sz w:val="20"/>
          <w:szCs w:val="20"/>
          <w:color w:val="auto"/>
        </w:rPr>
      </w:pPr>
    </w:p>
    <w:p>
      <w:pPr>
        <w:ind w:left="1100" w:hanging="456"/>
        <w:spacing w:after="0"/>
        <w:tabs>
          <w:tab w:leader="none" w:pos="11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Extension of Dates Referred to in the Toro Sub Purchase Option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8"/>
        <w:spacing w:after="0" w:line="236" w:lineRule="auto"/>
        <w:tabs>
          <w:tab w:leader="none" w:pos="1747"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Sections 9.03(a)(i)(A) – (C) of the LLC Agreement are amended and restated in their entirety to read as follows:</w:t>
      </w:r>
    </w:p>
    <w:p>
      <w:pPr>
        <w:spacing w:after="0" w:line="146" w:lineRule="exact"/>
        <w:rPr>
          <w:sz w:val="20"/>
          <w:szCs w:val="20"/>
          <w:color w:val="auto"/>
        </w:rPr>
      </w:pPr>
    </w:p>
    <w:p>
      <w:pPr>
        <w:ind w:left="1300" w:right="20"/>
        <w:spacing w:after="0" w:line="238" w:lineRule="auto"/>
        <w:rPr>
          <w:sz w:val="20"/>
          <w:szCs w:val="20"/>
          <w:color w:val="auto"/>
        </w:rPr>
      </w:pPr>
      <w:r>
        <w:rPr>
          <w:rFonts w:ascii="Times New Roman" w:cs="Times New Roman" w:eastAsia="Times New Roman" w:hAnsi="Times New Roman"/>
          <w:sz w:val="22"/>
          <w:szCs w:val="22"/>
          <w:i w:val="1"/>
          <w:iCs w:val="1"/>
          <w:color w:val="auto"/>
        </w:rPr>
        <w:t>“(A) if the Closing Date occurs at the expiration date of the Initial Term, an amount equal to the greater of (y) [***] or (z) [***];</w:t>
      </w:r>
    </w:p>
    <w:p>
      <w:pPr>
        <w:spacing w:after="0" w:line="173" w:lineRule="exact"/>
        <w:rPr>
          <w:sz w:val="20"/>
          <w:szCs w:val="20"/>
          <w:color w:val="auto"/>
        </w:rPr>
      </w:pPr>
    </w:p>
    <w:p>
      <w:pPr>
        <w:ind w:left="1300" w:hanging="8"/>
        <w:spacing w:after="0" w:line="238" w:lineRule="auto"/>
        <w:tabs>
          <w:tab w:leader="none" w:pos="1874" w:val="left"/>
        </w:tabs>
        <w:numPr>
          <w:ilvl w:val="0"/>
          <w:numId w:val="15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if the Closing Date occurs at the expiration date of the first Additional Term, an amount equal to [***]; or</w:t>
      </w:r>
    </w:p>
    <w:p>
      <w:pPr>
        <w:spacing w:after="0" w:line="173" w:lineRule="exact"/>
        <w:rPr>
          <w:rFonts w:ascii="Times New Roman" w:cs="Times New Roman" w:eastAsia="Times New Roman" w:hAnsi="Times New Roman"/>
          <w:sz w:val="22"/>
          <w:szCs w:val="22"/>
          <w:i w:val="1"/>
          <w:iCs w:val="1"/>
          <w:color w:val="auto"/>
        </w:rPr>
      </w:pPr>
    </w:p>
    <w:p>
      <w:pPr>
        <w:ind w:left="1300" w:right="20" w:hanging="8"/>
        <w:spacing w:after="0" w:line="238" w:lineRule="auto"/>
        <w:tabs>
          <w:tab w:leader="none" w:pos="1935" w:val="left"/>
        </w:tabs>
        <w:numPr>
          <w:ilvl w:val="0"/>
          <w:numId w:val="15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if the Closing Date occurs at the expiration date of the second Additional Term or at any time thereafter, an amount equal to [***].”</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paragraph following clause (C) of Section 9.03(a)(i) of the LLC Agreement shall remain without change.</w:t>
      </w:r>
    </w:p>
    <w:p>
      <w:pPr>
        <w:spacing w:after="0" w:line="206" w:lineRule="exact"/>
        <w:rPr>
          <w:sz w:val="20"/>
          <w:szCs w:val="20"/>
          <w:color w:val="auto"/>
        </w:rPr>
      </w:pPr>
    </w:p>
    <w:p>
      <w:pPr>
        <w:ind w:left="1780" w:hanging="488"/>
        <w:spacing w:after="0"/>
        <w:tabs>
          <w:tab w:leader="none" w:pos="1780" w:val="left"/>
        </w:tabs>
        <w:numPr>
          <w:ilvl w:val="0"/>
          <w:numId w:val="1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 9.03(b)(i)(i) of the LLC Agreement is amended and restated in its entirety to read as follows:</w:t>
      </w:r>
    </w:p>
    <w:p>
      <w:pPr>
        <w:spacing w:after="0" w:line="187" w:lineRule="exact"/>
        <w:rPr>
          <w:sz w:val="20"/>
          <w:szCs w:val="20"/>
          <w:color w:val="auto"/>
        </w:rPr>
      </w:pPr>
    </w:p>
    <w:p>
      <w:pPr>
        <w:ind w:left="1300" w:right="180"/>
        <w:spacing w:after="0" w:line="238" w:lineRule="auto"/>
        <w:rPr>
          <w:sz w:val="20"/>
          <w:szCs w:val="20"/>
          <w:color w:val="auto"/>
        </w:rPr>
      </w:pPr>
      <w:r>
        <w:rPr>
          <w:rFonts w:ascii="Times New Roman" w:cs="Times New Roman" w:eastAsia="Times New Roman" w:hAnsi="Times New Roman"/>
          <w:sz w:val="22"/>
          <w:szCs w:val="22"/>
          <w:i w:val="1"/>
          <w:iCs w:val="1"/>
          <w:color w:val="auto"/>
        </w:rPr>
        <w:t>“(i) during the 31-day period commencing on October 1 of the year prior to the calendar year in which the Initial Term expires, or”</w:t>
      </w:r>
    </w:p>
    <w:p>
      <w:pPr>
        <w:spacing w:after="0" w:line="177" w:lineRule="exact"/>
        <w:rPr>
          <w:sz w:val="20"/>
          <w:szCs w:val="20"/>
          <w:color w:val="auto"/>
        </w:rPr>
      </w:pPr>
    </w:p>
    <w:p>
      <w:pPr>
        <w:ind w:left="1120" w:hanging="476"/>
        <w:spacing w:after="0"/>
        <w:tabs>
          <w:tab w:leader="none" w:pos="112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Section 10.01(h) of the LLC Agreement is amended and restated in its entirety as follows:</w:t>
      </w:r>
    </w:p>
    <w:p>
      <w:pPr>
        <w:spacing w:after="0" w:line="175" w:lineRule="exact"/>
        <w:rPr>
          <w:sz w:val="20"/>
          <w:szCs w:val="20"/>
          <w:color w:val="auto"/>
        </w:rPr>
      </w:pPr>
    </w:p>
    <w:p>
      <w:pPr>
        <w:jc w:val="both"/>
        <w:ind w:left="1300"/>
        <w:spacing w:after="0" w:line="213" w:lineRule="auto"/>
        <w:rPr>
          <w:sz w:val="20"/>
          <w:szCs w:val="20"/>
          <w:color w:val="auto"/>
        </w:rPr>
      </w:pPr>
      <w:r>
        <w:rPr>
          <w:rFonts w:ascii="Times New Roman" w:cs="Times New Roman" w:eastAsia="Times New Roman" w:hAnsi="Times New Roman"/>
          <w:sz w:val="22"/>
          <w:szCs w:val="22"/>
          <w:i w:val="1"/>
          <w:iCs w:val="1"/>
          <w:color w:val="auto"/>
        </w:rPr>
        <w:t>“(h) upon election of a Member to dissolve due to non-viability of the Company, as described below, provided that notice of such election may not be given prior to the second anniversary of the initial closing by the Company of a purchase under the initial Receivable Purchase Agreement. (For purposes of this Agreement, (i) “non-viability shall mean (A) failure of the Company to achieve a minimum four quarter rolling return average for each four-quarter period ending after the second anniversary of the initial closing of a purchase by the Company under the initial Receivable Purchase Agreement of [***] of pre-tax return on assets or such other return as may hereafter be agreed upon in writing by the Members or (B) agreement of the Members to the effect that the equity requirements of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0"/>
          </w:cols>
          <w:pgMar w:left="980" w:top="1391" w:right="339" w:bottom="1440" w:gutter="0" w:footer="0" w:header="0"/>
        </w:sectPr>
      </w:pPr>
    </w:p>
    <w:bookmarkStart w:id="183" w:name="page184"/>
    <w:bookmarkEnd w:id="183"/>
    <w:p>
      <w:pPr>
        <w:jc w:val="both"/>
        <w:ind w:left="840"/>
        <w:spacing w:after="0" w:line="214" w:lineRule="auto"/>
        <w:rPr>
          <w:sz w:val="20"/>
          <w:szCs w:val="20"/>
          <w:color w:val="auto"/>
        </w:rPr>
      </w:pPr>
      <w:r>
        <w:rPr>
          <w:rFonts w:ascii="Times New Roman" w:cs="Times New Roman" w:eastAsia="Times New Roman" w:hAnsi="Times New Roman"/>
          <w:sz w:val="22"/>
          <w:szCs w:val="22"/>
          <w:i w:val="1"/>
          <w:iCs w:val="1"/>
          <w:color w:val="auto"/>
        </w:rPr>
        <w:t>Company exceed the sum of [***]; and (ii) “pre-tax return on assets” shall mean a quotient, (A) the numerator of which is equal to the product of (x) the pre-tax income of the Company from the first day of the first calendar month covered by such calculation, divided by the number of calendar months included in the period covered by such calculation, multiplied by (y) 12, and (B) the denominator of which is equal to (x) the sum of the monthly Average Net Receivables for each calendar month included in the period covered by such calculation, divided by (y) the number of calendar months included in the period covered by such calculation.)”</w:t>
      </w:r>
    </w:p>
    <w:p>
      <w:pPr>
        <w:spacing w:after="0" w:line="45" w:lineRule="exact"/>
        <w:rPr>
          <w:sz w:val="20"/>
          <w:szCs w:val="20"/>
          <w:color w:val="auto"/>
        </w:rPr>
      </w:pPr>
    </w:p>
    <w:p>
      <w:pPr>
        <w:ind w:left="640" w:hanging="456"/>
        <w:spacing w:after="0"/>
        <w:tabs>
          <w:tab w:leader="none" w:pos="640"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Section 11.03 of the LLC Agreement is amended and restated in its entirety as follows:</w:t>
      </w:r>
    </w:p>
    <w:p>
      <w:pPr>
        <w:spacing w:after="0" w:line="175" w:lineRule="exact"/>
        <w:rPr>
          <w:sz w:val="20"/>
          <w:szCs w:val="20"/>
          <w:color w:val="auto"/>
        </w:rPr>
      </w:pPr>
    </w:p>
    <w:p>
      <w:pPr>
        <w:jc w:val="both"/>
        <w:ind w:left="84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“11.03 </w:t>
      </w:r>
      <w:r>
        <w:rPr>
          <w:rFonts w:ascii="Times New Roman" w:cs="Times New Roman" w:eastAsia="Times New Roman" w:hAnsi="Times New Roman"/>
          <w:sz w:val="22"/>
          <w:szCs w:val="22"/>
          <w:i w:val="1"/>
          <w:iCs w:val="1"/>
          <w:u w:val="single" w:color="auto"/>
          <w:color w:val="auto"/>
        </w:rPr>
        <w:t>Notices</w:t>
      </w:r>
      <w:r>
        <w:rPr>
          <w:rFonts w:ascii="Times New Roman" w:cs="Times New Roman" w:eastAsia="Times New Roman" w:hAnsi="Times New Roman"/>
          <w:sz w:val="22"/>
          <w:szCs w:val="22"/>
          <w:i w:val="1"/>
          <w:iCs w:val="1"/>
          <w:color w:val="auto"/>
        </w:rPr>
        <w:t>. Notices and all other communication provided for herein shall be in writing and shall be deemed to have been given to a Member at the earlier of (a) when personally delivered to (b) one business day after deposit with a national overnight courier services; in each case addressed as follows:</w:t>
      </w:r>
    </w:p>
    <w:p>
      <w:pPr>
        <w:spacing w:after="0" w:line="164" w:lineRule="exact"/>
        <w:rPr>
          <w:sz w:val="20"/>
          <w:szCs w:val="20"/>
          <w:color w:val="auto"/>
        </w:rPr>
      </w:pPr>
    </w:p>
    <w:p>
      <w:pPr>
        <w:ind w:left="1480"/>
        <w:spacing w:after="0"/>
        <w:tabs>
          <w:tab w:leader="none" w:pos="3180" w:val="left"/>
        </w:tabs>
        <w:rPr>
          <w:sz w:val="20"/>
          <w:szCs w:val="20"/>
          <w:color w:val="auto"/>
        </w:rPr>
      </w:pPr>
      <w:r>
        <w:rPr>
          <w:rFonts w:ascii="Times New Roman" w:cs="Times New Roman" w:eastAsia="Times New Roman" w:hAnsi="Times New Roman"/>
          <w:sz w:val="22"/>
          <w:szCs w:val="22"/>
          <w:i w:val="1"/>
          <w:iCs w:val="1"/>
          <w:color w:val="auto"/>
        </w:rPr>
        <w:t>If to TCFIF Sub:</w:t>
      </w:r>
      <w:r>
        <w:rPr>
          <w:sz w:val="20"/>
          <w:szCs w:val="20"/>
          <w:color w:val="auto"/>
        </w:rPr>
        <w:tab/>
      </w:r>
      <w:r>
        <w:rPr>
          <w:rFonts w:ascii="Times New Roman" w:cs="Times New Roman" w:eastAsia="Times New Roman" w:hAnsi="Times New Roman"/>
          <w:sz w:val="21"/>
          <w:szCs w:val="21"/>
          <w:i w:val="1"/>
          <w:iCs w:val="1"/>
          <w:color w:val="auto"/>
        </w:rPr>
        <w:t>TCFIF Joint Venture I, LLC</w:t>
      </w:r>
    </w:p>
    <w:p>
      <w:pPr>
        <w:ind w:left="2120"/>
        <w:spacing w:after="0" w:line="204" w:lineRule="auto"/>
        <w:rPr>
          <w:sz w:val="20"/>
          <w:szCs w:val="20"/>
          <w:color w:val="auto"/>
        </w:rPr>
      </w:pPr>
      <w:r>
        <w:rPr>
          <w:rFonts w:ascii="Times New Roman" w:cs="Times New Roman" w:eastAsia="Times New Roman" w:hAnsi="Times New Roman"/>
          <w:sz w:val="22"/>
          <w:szCs w:val="22"/>
          <w:i w:val="1"/>
          <w:iCs w:val="1"/>
          <w:color w:val="auto"/>
        </w:rPr>
        <w:t>1475 E. Woodfield Road, Suite 1100</w:t>
      </w:r>
    </w:p>
    <w:p>
      <w:pPr>
        <w:ind w:left="2120"/>
        <w:spacing w:after="0" w:line="205" w:lineRule="auto"/>
        <w:rPr>
          <w:sz w:val="20"/>
          <w:szCs w:val="20"/>
          <w:color w:val="auto"/>
        </w:rPr>
      </w:pPr>
      <w:r>
        <w:rPr>
          <w:rFonts w:ascii="Times New Roman" w:cs="Times New Roman" w:eastAsia="Times New Roman" w:hAnsi="Times New Roman"/>
          <w:sz w:val="22"/>
          <w:szCs w:val="22"/>
          <w:i w:val="1"/>
          <w:iCs w:val="1"/>
          <w:color w:val="auto"/>
        </w:rPr>
        <w:t>Schaumburg, IL 60173</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i w:val="1"/>
          <w:iCs w:val="1"/>
          <w:color w:val="auto"/>
        </w:rPr>
        <w:t>Attention: Chief Legal Counsel</w:t>
      </w: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i w:val="1"/>
          <w:iCs w:val="1"/>
          <w:color w:val="auto"/>
        </w:rPr>
        <w:t>With copies to:</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i w:val="1"/>
          <w:iCs w:val="1"/>
          <w:color w:val="auto"/>
        </w:rPr>
        <w:t>TCF National Bank</w:t>
      </w:r>
    </w:p>
    <w:p>
      <w:pPr>
        <w:ind w:left="2120"/>
        <w:spacing w:after="0" w:line="204" w:lineRule="auto"/>
        <w:rPr>
          <w:sz w:val="20"/>
          <w:szCs w:val="20"/>
          <w:color w:val="auto"/>
        </w:rPr>
      </w:pPr>
      <w:r>
        <w:rPr>
          <w:rFonts w:ascii="Times New Roman" w:cs="Times New Roman" w:eastAsia="Times New Roman" w:hAnsi="Times New Roman"/>
          <w:sz w:val="22"/>
          <w:szCs w:val="22"/>
          <w:i w:val="1"/>
          <w:iCs w:val="1"/>
          <w:color w:val="auto"/>
        </w:rPr>
        <w:t>200 E. Lake Street</w:t>
      </w:r>
    </w:p>
    <w:p>
      <w:pPr>
        <w:ind w:left="2120"/>
        <w:spacing w:after="0" w:line="205" w:lineRule="auto"/>
        <w:rPr>
          <w:sz w:val="20"/>
          <w:szCs w:val="20"/>
          <w:color w:val="auto"/>
        </w:rPr>
      </w:pPr>
      <w:r>
        <w:rPr>
          <w:rFonts w:ascii="Times New Roman" w:cs="Times New Roman" w:eastAsia="Times New Roman" w:hAnsi="Times New Roman"/>
          <w:sz w:val="22"/>
          <w:szCs w:val="22"/>
          <w:i w:val="1"/>
          <w:iCs w:val="1"/>
          <w:color w:val="auto"/>
        </w:rPr>
        <w:t>Wayzata, MN 55391</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i w:val="1"/>
          <w:iCs w:val="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391" w:right="339" w:bottom="1440" w:gutter="0" w:footer="0" w:header="0"/>
        </w:sectPr>
      </w:pPr>
    </w:p>
    <w:bookmarkStart w:id="184" w:name="page185"/>
    <w:bookmarkEnd w:id="184"/>
    <w:p>
      <w:pPr>
        <w:ind w:left="2584"/>
        <w:spacing w:after="0"/>
        <w:rPr>
          <w:sz w:val="20"/>
          <w:szCs w:val="20"/>
          <w:color w:val="auto"/>
        </w:rPr>
      </w:pPr>
      <w:r>
        <w:rPr>
          <w:rFonts w:ascii="Times New Roman" w:cs="Times New Roman" w:eastAsia="Times New Roman" w:hAnsi="Times New Roman"/>
          <w:sz w:val="22"/>
          <w:szCs w:val="22"/>
          <w:i w:val="1"/>
          <w:iCs w:val="1"/>
          <w:color w:val="auto"/>
        </w:rPr>
        <w:t>and</w:t>
      </w:r>
    </w:p>
    <w:p>
      <w:pPr>
        <w:spacing w:after="0" w:line="197"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Faegre Baker Daniels LLP</w:t>
      </w:r>
    </w:p>
    <w:p>
      <w:pPr>
        <w:ind w:left="2584"/>
        <w:spacing w:after="0" w:line="204" w:lineRule="auto"/>
        <w:rPr>
          <w:sz w:val="20"/>
          <w:szCs w:val="20"/>
          <w:color w:val="auto"/>
        </w:rPr>
      </w:pPr>
      <w:r>
        <w:rPr>
          <w:rFonts w:ascii="Times New Roman" w:cs="Times New Roman" w:eastAsia="Times New Roman" w:hAnsi="Times New Roman"/>
          <w:sz w:val="22"/>
          <w:szCs w:val="22"/>
          <w:i w:val="1"/>
          <w:iCs w:val="1"/>
          <w:color w:val="auto"/>
        </w:rPr>
        <w:t>2200 Wells Fargo Center</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90 South Seventh Street</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Minneapolis, MN 55402</w:t>
      </w:r>
    </w:p>
    <w:p>
      <w:pPr>
        <w:spacing w:after="0" w:line="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Attention: Kate Sherburne</w:t>
      </w:r>
    </w:p>
    <w:p>
      <w:pPr>
        <w:spacing w:after="0" w:line="169" w:lineRule="exact"/>
        <w:rPr>
          <w:sz w:val="20"/>
          <w:szCs w:val="20"/>
          <w:color w:val="auto"/>
        </w:rPr>
      </w:pPr>
    </w:p>
    <w:p>
      <w:pPr>
        <w:ind w:left="1944"/>
        <w:spacing w:after="0"/>
        <w:tabs>
          <w:tab w:leader="none" w:pos="3604" w:val="left"/>
        </w:tabs>
        <w:rPr>
          <w:sz w:val="20"/>
          <w:szCs w:val="20"/>
          <w:color w:val="auto"/>
        </w:rPr>
      </w:pPr>
      <w:r>
        <w:rPr>
          <w:rFonts w:ascii="Times New Roman" w:cs="Times New Roman" w:eastAsia="Times New Roman" w:hAnsi="Times New Roman"/>
          <w:sz w:val="22"/>
          <w:szCs w:val="22"/>
          <w:i w:val="1"/>
          <w:iCs w:val="1"/>
          <w:color w:val="auto"/>
        </w:rPr>
        <w:t>If to Toro Sub:</w:t>
      </w:r>
      <w:r>
        <w:rPr>
          <w:sz w:val="20"/>
          <w:szCs w:val="20"/>
          <w:color w:val="auto"/>
        </w:rPr>
        <w:tab/>
      </w:r>
      <w:r>
        <w:rPr>
          <w:rFonts w:ascii="Times New Roman" w:cs="Times New Roman" w:eastAsia="Times New Roman" w:hAnsi="Times New Roman"/>
          <w:sz w:val="21"/>
          <w:szCs w:val="21"/>
          <w:i w:val="1"/>
          <w:iCs w:val="1"/>
          <w:color w:val="auto"/>
        </w:rPr>
        <w:t>Red Iron Holding Corporation</w:t>
      </w:r>
    </w:p>
    <w:p>
      <w:pPr>
        <w:ind w:left="2584"/>
        <w:spacing w:after="0" w:line="204" w:lineRule="auto"/>
        <w:rPr>
          <w:sz w:val="20"/>
          <w:szCs w:val="20"/>
          <w:color w:val="auto"/>
        </w:rPr>
      </w:pPr>
      <w:r>
        <w:rPr>
          <w:rFonts w:ascii="Times New Roman" w:cs="Times New Roman" w:eastAsia="Times New Roman" w:hAnsi="Times New Roman"/>
          <w:sz w:val="22"/>
          <w:szCs w:val="22"/>
          <w:i w:val="1"/>
          <w:iCs w:val="1"/>
          <w:color w:val="auto"/>
        </w:rPr>
        <w:t>c/o The Toro Company</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8111 Lyndale Avenue South</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Bloomington, MN 55420</w:t>
      </w:r>
    </w:p>
    <w:p>
      <w:pPr>
        <w:spacing w:after="0" w:line="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Attention: Treasurer</w:t>
      </w:r>
    </w:p>
    <w:p>
      <w:pPr>
        <w:spacing w:after="0" w:line="15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With copies to:</w:t>
      </w:r>
    </w:p>
    <w:p>
      <w:pPr>
        <w:spacing w:after="0" w:line="197"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The Toro Company</w:t>
      </w:r>
    </w:p>
    <w:p>
      <w:pPr>
        <w:ind w:left="2584"/>
        <w:spacing w:after="0" w:line="204" w:lineRule="auto"/>
        <w:rPr>
          <w:sz w:val="20"/>
          <w:szCs w:val="20"/>
          <w:color w:val="auto"/>
        </w:rPr>
      </w:pPr>
      <w:r>
        <w:rPr>
          <w:rFonts w:ascii="Times New Roman" w:cs="Times New Roman" w:eastAsia="Times New Roman" w:hAnsi="Times New Roman"/>
          <w:sz w:val="22"/>
          <w:szCs w:val="22"/>
          <w:i w:val="1"/>
          <w:iCs w:val="1"/>
          <w:color w:val="auto"/>
        </w:rPr>
        <w:t>8111 Lyndale Avenue South</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Bloomington, MN 55420</w:t>
      </w:r>
    </w:p>
    <w:p>
      <w:pPr>
        <w:spacing w:after="0" w:line="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Attention: General Counsel</w:t>
      </w:r>
    </w:p>
    <w:p>
      <w:pPr>
        <w:spacing w:after="0" w:line="15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and</w:t>
      </w:r>
    </w:p>
    <w:p>
      <w:pPr>
        <w:spacing w:after="0" w:line="197"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Fox Rothschild LLP</w:t>
      </w:r>
    </w:p>
    <w:p>
      <w:pPr>
        <w:ind w:left="2584"/>
        <w:spacing w:after="0" w:line="204" w:lineRule="auto"/>
        <w:rPr>
          <w:sz w:val="20"/>
          <w:szCs w:val="20"/>
          <w:color w:val="auto"/>
        </w:rPr>
      </w:pPr>
      <w:r>
        <w:rPr>
          <w:rFonts w:ascii="Times New Roman" w:cs="Times New Roman" w:eastAsia="Times New Roman" w:hAnsi="Times New Roman"/>
          <w:sz w:val="22"/>
          <w:szCs w:val="22"/>
          <w:i w:val="1"/>
          <w:iCs w:val="1"/>
          <w:color w:val="auto"/>
        </w:rPr>
        <w:t>Campbell Mithun Tower – Suite 2000</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222 South Ninth St.</w:t>
      </w:r>
    </w:p>
    <w:p>
      <w:pPr>
        <w:ind w:left="2584"/>
        <w:spacing w:after="0" w:line="205" w:lineRule="auto"/>
        <w:rPr>
          <w:sz w:val="20"/>
          <w:szCs w:val="20"/>
          <w:color w:val="auto"/>
        </w:rPr>
      </w:pPr>
      <w:r>
        <w:rPr>
          <w:rFonts w:ascii="Times New Roman" w:cs="Times New Roman" w:eastAsia="Times New Roman" w:hAnsi="Times New Roman"/>
          <w:sz w:val="22"/>
          <w:szCs w:val="22"/>
          <w:i w:val="1"/>
          <w:iCs w:val="1"/>
          <w:color w:val="auto"/>
        </w:rPr>
        <w:t>Minneapolis, MN 55402</w:t>
      </w:r>
    </w:p>
    <w:p>
      <w:pPr>
        <w:spacing w:after="0" w:line="1"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22"/>
          <w:szCs w:val="22"/>
          <w:i w:val="1"/>
          <w:iCs w:val="1"/>
          <w:color w:val="auto"/>
        </w:rPr>
        <w:t>Attention: C. Robert Beattie, Esq.</w:t>
      </w:r>
    </w:p>
    <w:p>
      <w:pPr>
        <w:spacing w:after="0" w:line="151" w:lineRule="exact"/>
        <w:rPr>
          <w:sz w:val="20"/>
          <w:szCs w:val="20"/>
          <w:color w:val="auto"/>
        </w:rPr>
      </w:pPr>
    </w:p>
    <w:p>
      <w:pPr>
        <w:jc w:val="both"/>
        <w:ind w:left="1304"/>
        <w:spacing w:after="0" w:line="227" w:lineRule="auto"/>
        <w:rPr>
          <w:sz w:val="20"/>
          <w:szCs w:val="20"/>
          <w:color w:val="auto"/>
        </w:rPr>
      </w:pPr>
      <w:r>
        <w:rPr>
          <w:rFonts w:ascii="Times New Roman" w:cs="Times New Roman" w:eastAsia="Times New Roman" w:hAnsi="Times New Roman"/>
          <w:sz w:val="22"/>
          <w:szCs w:val="22"/>
          <w:i w:val="1"/>
          <w:iCs w:val="1"/>
          <w:color w:val="auto"/>
        </w:rPr>
        <w:t>or to such other address as either Member hereto may have furnished to the other Member hereto in writing in accordance herewith, except that notice of change of address shall be effective only upon receipt.”</w:t>
      </w:r>
    </w:p>
    <w:p>
      <w:pPr>
        <w:spacing w:after="0" w:line="177" w:lineRule="exact"/>
        <w:rPr>
          <w:sz w:val="20"/>
          <w:szCs w:val="20"/>
          <w:color w:val="auto"/>
        </w:rPr>
      </w:pPr>
    </w:p>
    <w:p>
      <w:pPr>
        <w:jc w:val="both"/>
        <w:ind w:left="-656" w:firstLine="656"/>
        <w:spacing w:after="0" w:line="220" w:lineRule="auto"/>
        <w:tabs>
          <w:tab w:leader="none" w:pos="451"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Title of General Manager</w:t>
      </w:r>
      <w:r>
        <w:rPr>
          <w:rFonts w:ascii="Times New Roman" w:cs="Times New Roman" w:eastAsia="Times New Roman" w:hAnsi="Times New Roman"/>
          <w:sz w:val="22"/>
          <w:szCs w:val="22"/>
          <w:color w:val="auto"/>
        </w:rPr>
        <w:t>. The General Manager of the Company shall, from and after the date of this Amendment, be referred to as the Director of Operations. All references to “</w:t>
      </w:r>
      <w:r>
        <w:rPr>
          <w:rFonts w:ascii="Times New Roman" w:cs="Times New Roman" w:eastAsia="Times New Roman" w:hAnsi="Times New Roman"/>
          <w:sz w:val="22"/>
          <w:szCs w:val="22"/>
          <w:i w:val="1"/>
          <w:iCs w:val="1"/>
          <w:color w:val="auto"/>
        </w:rPr>
        <w:t>General Manager</w:t>
      </w:r>
      <w:r>
        <w:rPr>
          <w:rFonts w:ascii="Times New Roman" w:cs="Times New Roman" w:eastAsia="Times New Roman" w:hAnsi="Times New Roman"/>
          <w:sz w:val="22"/>
          <w:szCs w:val="22"/>
          <w:color w:val="auto"/>
        </w:rPr>
        <w:t>” in the LLC Agreement and in any other document or instrument entered into prior to the date hereof by the parties hereto or their respective Affiliates are hereby amended to refer to the “</w:t>
      </w:r>
      <w:r>
        <w:rPr>
          <w:rFonts w:ascii="Times New Roman" w:cs="Times New Roman" w:eastAsia="Times New Roman" w:hAnsi="Times New Roman"/>
          <w:sz w:val="22"/>
          <w:szCs w:val="22"/>
          <w:i w:val="1"/>
          <w:iCs w:val="1"/>
          <w:color w:val="auto"/>
        </w:rPr>
        <w:t>Director of Operations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17" w:lineRule="auto"/>
        <w:tabs>
          <w:tab w:leader="none" w:pos="424"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Affirmation of LLC Agreement; Further References</w:t>
      </w:r>
      <w:r>
        <w:rPr>
          <w:rFonts w:ascii="Times New Roman" w:cs="Times New Roman" w:eastAsia="Times New Roman" w:hAnsi="Times New Roman"/>
          <w:sz w:val="22"/>
          <w:szCs w:val="22"/>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through this Amendment.</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17" w:lineRule="auto"/>
        <w:tabs>
          <w:tab w:leader="none" w:pos="397"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ectPr>
          <w:pgSz w:w="11900" w:h="16838" w:orient="portrait"/>
          <w:cols w:equalWidth="0" w:num="1">
            <w:col w:w="10584"/>
          </w:cols>
          <w:pgMar w:left="976"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584"/>
          </w:cols>
          <w:pgMar w:left="976" w:top="1391" w:right="339" w:bottom="1440" w:gutter="0" w:footer="0" w:header="0"/>
          <w:type w:val="continuous"/>
        </w:sectPr>
      </w:pPr>
    </w:p>
    <w:bookmarkStart w:id="185" w:name="page186"/>
    <w:bookmarkEnd w:id="185"/>
    <w:p>
      <w:pPr>
        <w:jc w:val="both"/>
        <w:ind w:left="-20" w:firstLine="656"/>
        <w:spacing w:after="0" w:line="220" w:lineRule="auto"/>
        <w:tabs>
          <w:tab w:leader="none" w:pos="110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40" w:top="1395" w:right="339" w:bottom="1440" w:gutter="0" w:footer="0" w:header="0"/>
        </w:sectPr>
      </w:pPr>
    </w:p>
    <w:bookmarkStart w:id="186" w:name="page187"/>
    <w:bookmarkEnd w:id="186"/>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RED IRON HOLDING CORPORATION</w:t>
      </w:r>
    </w:p>
    <w:p>
      <w:pPr>
        <w:spacing w:after="0" w:line="200" w:lineRule="exact"/>
        <w:rPr>
          <w:sz w:val="20"/>
          <w:szCs w:val="20"/>
          <w:color w:val="auto"/>
        </w:rPr>
      </w:pPr>
    </w:p>
    <w:p>
      <w:pPr>
        <w:spacing w:after="0" w:line="236" w:lineRule="exact"/>
        <w:rPr>
          <w:sz w:val="20"/>
          <w:szCs w:val="20"/>
          <w:color w:val="auto"/>
        </w:rPr>
      </w:pPr>
    </w:p>
    <w:p>
      <w:pPr>
        <w:ind w:left="1740"/>
        <w:spacing w:after="0"/>
        <w:tabs>
          <w:tab w:leader="none" w:pos="2300" w:val="left"/>
        </w:tabs>
        <w:rPr>
          <w:sz w:val="20"/>
          <w:szCs w:val="20"/>
          <w:color w:val="auto"/>
        </w:rPr>
      </w:pPr>
      <w:r>
        <w:rPr>
          <w:rFonts w:ascii="Times New Roman" w:cs="Times New Roman" w:eastAsia="Times New Roman" w:hAnsi="Times New Roman"/>
          <w:sz w:val="22"/>
          <w:szCs w:val="22"/>
          <w:color w:val="auto"/>
        </w:rPr>
        <w:t>By:</w:t>
        <w:tab/>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-5715</wp:posOffset>
            </wp:positionV>
            <wp:extent cx="1821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ind w:left="1740"/>
        <w:spacing w:after="0" w:line="204" w:lineRule="auto"/>
        <w:rPr>
          <w:sz w:val="20"/>
          <w:szCs w:val="20"/>
          <w:color w:val="auto"/>
        </w:rPr>
      </w:pPr>
      <w:r>
        <w:rPr>
          <w:rFonts w:ascii="Times New Roman" w:cs="Times New Roman" w:eastAsia="Times New Roman" w:hAnsi="Times New Roman"/>
          <w:sz w:val="22"/>
          <w:szCs w:val="22"/>
          <w:color w:val="auto"/>
        </w:rPr>
        <w:t>Name: Renee J. Peterson</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President</w:t>
      </w:r>
    </w:p>
    <w:p>
      <w:pPr>
        <w:spacing w:after="0" w:line="200" w:lineRule="exact"/>
        <w:rPr>
          <w:sz w:val="20"/>
          <w:szCs w:val="20"/>
          <w:color w:val="auto"/>
        </w:rPr>
      </w:pP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TCFIF JOINT VENTURE I, LLC</w:t>
      </w:r>
    </w:p>
    <w:p>
      <w:pPr>
        <w:spacing w:after="0" w:line="200" w:lineRule="exact"/>
        <w:rPr>
          <w:sz w:val="20"/>
          <w:szCs w:val="20"/>
          <w:color w:val="auto"/>
        </w:rPr>
      </w:pPr>
    </w:p>
    <w:p>
      <w:pPr>
        <w:spacing w:after="0" w:line="236" w:lineRule="exact"/>
        <w:rPr>
          <w:sz w:val="20"/>
          <w:szCs w:val="20"/>
          <w:color w:val="auto"/>
        </w:rPr>
      </w:pPr>
    </w:p>
    <w:p>
      <w:pPr>
        <w:ind w:left="1740"/>
        <w:spacing w:after="0"/>
        <w:tabs>
          <w:tab w:leader="none" w:pos="2300" w:val="left"/>
        </w:tabs>
        <w:rPr>
          <w:sz w:val="20"/>
          <w:szCs w:val="20"/>
          <w:color w:val="auto"/>
        </w:rPr>
      </w:pPr>
      <w:r>
        <w:rPr>
          <w:rFonts w:ascii="Times New Roman" w:cs="Times New Roman" w:eastAsia="Times New Roman" w:hAnsi="Times New Roman"/>
          <w:sz w:val="22"/>
          <w:szCs w:val="22"/>
          <w:color w:val="auto"/>
        </w:rPr>
        <w:t>By:</w:t>
        <w:tab/>
        <w:t>/s/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-5715</wp:posOffset>
            </wp:positionV>
            <wp:extent cx="1882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174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Third Amendment to Limited Liability Company Agreement of Red Iron Acceptance, LLC)</w:t>
      </w:r>
    </w:p>
    <w:p>
      <w:pPr>
        <w:sectPr>
          <w:pgSz w:w="11900" w:h="16838" w:orient="portrait"/>
          <w:cols w:equalWidth="0" w:num="1">
            <w:col w:w="11220"/>
          </w:cols>
          <w:pgMar w:left="320" w:top="1395" w:right="35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9"/>
          <w:szCs w:val="19"/>
          <w:u w:val="single" w:color="auto"/>
          <w:color w:val="auto"/>
        </w:rPr>
        <w:t>Exhibit 2.13</w:t>
      </w:r>
    </w:p>
    <w:p>
      <w:pPr>
        <w:spacing w:after="0" w:line="200" w:lineRule="exact"/>
        <w:rPr>
          <w:sz w:val="20"/>
          <w:szCs w:val="20"/>
          <w:color w:val="auto"/>
        </w:rPr>
      </w:pPr>
    </w:p>
    <w:p>
      <w:pPr>
        <w:spacing w:after="0" w:line="25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SIXTH AMENDMENT</w:t>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LIMITED LIABILITY COMPANY AGREEMENT</w:t>
      </w:r>
    </w:p>
    <w:p>
      <w:pPr>
        <w:spacing w:after="0" w:line="1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RED IRON ACCEPTANCE, LLC</w:t>
      </w:r>
    </w:p>
    <w:p>
      <w:pPr>
        <w:spacing w:after="0" w:line="330" w:lineRule="exact"/>
        <w:rPr>
          <w:sz w:val="20"/>
          <w:szCs w:val="20"/>
          <w:color w:val="auto"/>
        </w:rPr>
      </w:pPr>
    </w:p>
    <w:p>
      <w:pPr>
        <w:jc w:val="both"/>
        <w:ind w:right="60" w:firstLine="614"/>
        <w:spacing w:after="0" w:line="272" w:lineRule="auto"/>
        <w:rPr>
          <w:sz w:val="20"/>
          <w:szCs w:val="20"/>
          <w:color w:val="auto"/>
        </w:rPr>
      </w:pPr>
      <w:r>
        <w:rPr>
          <w:rFonts w:ascii="Times New Roman" w:cs="Times New Roman" w:eastAsia="Times New Roman" w:hAnsi="Times New Roman"/>
          <w:sz w:val="19"/>
          <w:szCs w:val="19"/>
          <w:b w:val="1"/>
          <w:bCs w:val="1"/>
          <w:color w:val="auto"/>
        </w:rPr>
        <w:t xml:space="preserve">THIS SIXTH AMENDMENT TO LIMITED LIABILITY COMPANY AGREEMENT OF RED IRON ACCEPTANCE, LLC, </w:t>
      </w:r>
      <w:r>
        <w:rPr>
          <w:rFonts w:ascii="Times New Roman" w:cs="Times New Roman" w:eastAsia="Times New Roman" w:hAnsi="Times New Roman"/>
          <w:sz w:val="19"/>
          <w:szCs w:val="19"/>
          <w:color w:val="auto"/>
        </w:rPr>
        <w:t xml:space="preserve">effective as of March 10, 2022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xml:space="preserve"> is entered into by and between RED IRON HOLDING CORPORATION, a Delaware corporation </w:t>
      </w:r>
      <w:r>
        <w:rPr>
          <w:rFonts w:ascii="Times New Roman" w:cs="Times New Roman" w:eastAsia="Times New Roman" w:hAnsi="Times New Roman"/>
          <w:sz w:val="19"/>
          <w:szCs w:val="19"/>
          <w:b w:val="1"/>
          <w:bCs w:val="1"/>
          <w:color w:val="auto"/>
        </w:rPr>
        <w:t>("Toro Sub"),</w:t>
      </w:r>
      <w:r>
        <w:rPr>
          <w:rFonts w:ascii="Times New Roman" w:cs="Times New Roman" w:eastAsia="Times New Roman" w:hAnsi="Times New Roman"/>
          <w:sz w:val="19"/>
          <w:szCs w:val="19"/>
          <w:color w:val="auto"/>
        </w:rPr>
        <w:t xml:space="preserve"> and TCF1F JOINT VENTURE 1, LLC. a Minnesota limited liability company </w:t>
      </w:r>
      <w:r>
        <w:rPr>
          <w:rFonts w:ascii="Times New Roman" w:cs="Times New Roman" w:eastAsia="Times New Roman" w:hAnsi="Times New Roman"/>
          <w:sz w:val="19"/>
          <w:szCs w:val="19"/>
          <w:b w:val="1"/>
          <w:bCs w:val="1"/>
          <w:color w:val="auto"/>
        </w:rPr>
        <w:t>("TCFIF Sub").</w:t>
      </w:r>
      <w:r>
        <w:rPr>
          <w:rFonts w:ascii="Times New Roman" w:cs="Times New Roman" w:eastAsia="Times New Roman" w:hAnsi="Times New Roman"/>
          <w:sz w:val="19"/>
          <w:szCs w:val="19"/>
          <w:color w:val="auto"/>
        </w:rPr>
        <w:t xml:space="preserve"> Capitalized terms used herein and not otherwise defined shall have the meanings ascribed thereto in the LLC Agreement (as hereinafter defined).</w:t>
      </w:r>
    </w:p>
    <w:p>
      <w:pPr>
        <w:spacing w:after="0" w:line="20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214" w:lineRule="exact"/>
        <w:rPr>
          <w:sz w:val="20"/>
          <w:szCs w:val="20"/>
          <w:color w:val="auto"/>
        </w:rPr>
      </w:pPr>
    </w:p>
    <w:p>
      <w:pPr>
        <w:jc w:val="both"/>
        <w:ind w:right="40" w:firstLine="613"/>
        <w:spacing w:after="0" w:line="266" w:lineRule="auto"/>
        <w:tabs>
          <w:tab w:leader="none" w:pos="105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Toro Sub and TCFIF Sub are parties to that certain Limited Liability Company Agreement of Red Iron Acceptance, LLC, dated as of August 12, 2009, as amended by the Amendment No. I to Limited Liability Company Agreement of Red Iron Acceptance, LLC, made as of May 31, 2011, the Second Amendment to Limited Liability Company Agreement of Red Iron Acceptance, LLC dated as of June 6, 2012, the Third Amendment to Limited Liability Company Agreement of Red Iron Acceptance, LLC dated as of November 29, 2016, the Fourth Amendment to Limited Liability Company Agreement of Red Iron Acceptance, LLC dated as of July 17. 2019, and by the Fifth Amendment to Limited Liability Company Agreement dated as of December 20, 2019 (as so amended, the </w:t>
      </w:r>
      <w:r>
        <w:rPr>
          <w:rFonts w:ascii="Times New Roman" w:cs="Times New Roman" w:eastAsia="Times New Roman" w:hAnsi="Times New Roman"/>
          <w:sz w:val="19"/>
          <w:szCs w:val="19"/>
          <w:b w:val="1"/>
          <w:bCs w:val="1"/>
          <w:color w:val="auto"/>
        </w:rPr>
        <w:t>"LLC Agreement").</w:t>
      </w:r>
    </w:p>
    <w:p>
      <w:pPr>
        <w:spacing w:after="0" w:line="221" w:lineRule="exact"/>
        <w:rPr>
          <w:rFonts w:ascii="Times New Roman" w:cs="Times New Roman" w:eastAsia="Times New Roman" w:hAnsi="Times New Roman"/>
          <w:sz w:val="19"/>
          <w:szCs w:val="19"/>
          <w:color w:val="auto"/>
        </w:rPr>
      </w:pPr>
    </w:p>
    <w:p>
      <w:pPr>
        <w:ind w:left="900" w:hanging="277"/>
        <w:spacing w:after="0"/>
        <w:tabs>
          <w:tab w:leader="none" w:pos="900"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have agreed to amend the LLC Agreement as provided herein.</w:t>
      </w:r>
    </w:p>
    <w:p>
      <w:pPr>
        <w:spacing w:after="0" w:line="227" w:lineRule="exact"/>
        <w:rPr>
          <w:sz w:val="20"/>
          <w:szCs w:val="20"/>
          <w:color w:val="auto"/>
        </w:rPr>
      </w:pPr>
    </w:p>
    <w:p>
      <w:pPr>
        <w:ind w:right="60" w:firstLine="617"/>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agreements hereinafter set forth, and for other good and valuable consideration, the receipt and adequacy of which are hereby acknowledged. the parties hereto agree as follows:</w:t>
      </w:r>
    </w:p>
    <w:p>
      <w:pPr>
        <w:spacing w:after="0" w:line="20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u w:val="single" w:color="auto"/>
          <w:color w:val="auto"/>
        </w:rPr>
        <w:t>AGREEMENT</w:t>
      </w:r>
    </w:p>
    <w:p>
      <w:pPr>
        <w:spacing w:after="0" w:line="214" w:lineRule="exact"/>
        <w:rPr>
          <w:sz w:val="20"/>
          <w:szCs w:val="20"/>
          <w:color w:val="auto"/>
        </w:rPr>
      </w:pPr>
    </w:p>
    <w:p>
      <w:pPr>
        <w:ind w:left="820" w:hanging="167"/>
        <w:spacing w:after="0"/>
        <w:tabs>
          <w:tab w:leader="none" w:pos="8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w:t>
      </w:r>
    </w:p>
    <w:p>
      <w:pPr>
        <w:spacing w:after="0" w:line="227" w:lineRule="exact"/>
        <w:rPr>
          <w:rFonts w:ascii="Times New Roman" w:cs="Times New Roman" w:eastAsia="Times New Roman" w:hAnsi="Times New Roman"/>
          <w:sz w:val="19"/>
          <w:szCs w:val="19"/>
          <w:color w:val="auto"/>
        </w:rPr>
      </w:pPr>
    </w:p>
    <w:p>
      <w:pPr>
        <w:ind w:left="620" w:right="60" w:firstLine="624"/>
        <w:spacing w:after="0" w:line="295" w:lineRule="auto"/>
        <w:tabs>
          <w:tab w:leader="none" w:pos="1701"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yearly meetings of the Management Committee.</w:t>
      </w:r>
      <w:r>
        <w:rPr>
          <w:rFonts w:ascii="Times New Roman" w:cs="Times New Roman" w:eastAsia="Times New Roman" w:hAnsi="Times New Roman"/>
          <w:sz w:val="19"/>
          <w:szCs w:val="19"/>
          <w:color w:val="auto"/>
        </w:rPr>
        <w:t xml:space="preserve"> The second sentence of Section 6.02 paragraph (b) of the LLC Agreement is amended as follows:</w:t>
      </w:r>
    </w:p>
    <w:p>
      <w:pPr>
        <w:spacing w:after="0" w:line="138" w:lineRule="exact"/>
        <w:rPr>
          <w:sz w:val="20"/>
          <w:szCs w:val="20"/>
          <w:color w:val="auto"/>
        </w:rPr>
      </w:pPr>
    </w:p>
    <w:p>
      <w:pPr>
        <w:jc w:val="both"/>
        <w:ind w:right="60" w:firstLine="86"/>
        <w:spacing w:after="0" w:line="295" w:lineRule="auto"/>
        <w:rPr>
          <w:sz w:val="20"/>
          <w:szCs w:val="20"/>
          <w:color w:val="auto"/>
        </w:rPr>
      </w:pPr>
      <w:r>
        <w:rPr>
          <w:rFonts w:ascii="Times New Roman" w:cs="Times New Roman" w:eastAsia="Times New Roman" w:hAnsi="Times New Roman"/>
          <w:sz w:val="19"/>
          <w:szCs w:val="19"/>
          <w:color w:val="auto"/>
        </w:rPr>
        <w:t>The initial meeting of the Management Committee shall be held within sixty (60) days of the Formation Date and, thereafter, the Management Committee shall meet at least once each fiscal year."</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As a result. Section 6.02 (b) is restated in its entirety to read as follows</w:t>
      </w:r>
    </w:p>
    <w:p>
      <w:pPr>
        <w:spacing w:after="0" w:line="254"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9"/>
          <w:szCs w:val="19"/>
          <w:color w:val="auto"/>
        </w:rPr>
        <w:t>"Subject to the next sentence, the Management Committee shall meet at such times as may be necessary for the Business on at least ten (10) business days' prior written notice to each Manager of such meeting given by any one (1) Manager, which written notice shall contain the time and</w:t>
      </w:r>
    </w:p>
    <w:p>
      <w:pPr>
        <w:sectPr>
          <w:pgSz w:w="11900" w:h="16838" w:orient="portrait"/>
          <w:cols w:equalWidth="0" w:num="1">
            <w:col w:w="11060"/>
          </w:cols>
          <w:pgMar w:left="500" w:top="923" w:right="339" w:bottom="1440" w:gutter="0" w:footer="0" w:header="0"/>
        </w:sectPr>
      </w:pPr>
    </w:p>
    <w:bookmarkStart w:id="188" w:name="page189"/>
    <w:bookmarkEnd w:id="188"/>
    <w:p>
      <w:pPr>
        <w:spacing w:after="0" w:line="1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place of such meeting and the proposed items of business; unless otherwise agreed by a Majority of the Managers, meetings of the Management Committee shall be held at the office of one of the Members. The initial meeting of the Management Committee shall be held within sixty (60) days of the Formation Date and, thereafter, the Management Committee shall meet at least once each fiscal year. Provided that proper and adequate notice has been provided as required by the first sentence of this Section 6.02(b), the presence of at least a Majority of the Managers (or their respective alternates) shall be required to constitute a quorum for the transaction of any business by the Management Committee. Each Manager shall have one (I) vote on all matters before the Management Committee. All actions of the Management Committee shall require the affirmative vote of at least a Majority of the Managers. No Manager (acting in his or her capacity as such) shall have any authority to bind the Company to any third party with respect to any matter, except pursuant to a resolution expressly authorizing such action (and authorizing such Manager to bind the Company with respect to such action) which resolution is duly adopted by the Management Committee by the affirmative vote of at least a Majority of the Managers."</w:t>
      </w:r>
    </w:p>
    <w:p>
      <w:pPr>
        <w:spacing w:after="0" w:line="207" w:lineRule="exact"/>
        <w:rPr>
          <w:sz w:val="20"/>
          <w:szCs w:val="20"/>
          <w:color w:val="auto"/>
        </w:rPr>
      </w:pPr>
    </w:p>
    <w:p>
      <w:pPr>
        <w:jc w:val="both"/>
        <w:ind w:left="20" w:right="20" w:firstLine="625"/>
        <w:spacing w:after="0" w:line="270" w:lineRule="auto"/>
        <w:tabs>
          <w:tab w:leader="none" w:pos="1056"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Affirmation of LLC Agreement: Further References.</w:t>
      </w:r>
      <w:r>
        <w:rPr>
          <w:rFonts w:ascii="Times New Roman" w:cs="Times New Roman" w:eastAsia="Times New Roman" w:hAnsi="Times New Roman"/>
          <w:sz w:val="19"/>
          <w:szCs w:val="19"/>
          <w:color w:val="auto"/>
        </w:rPr>
        <w:t xml:space="preserve">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through this Amendment.</w:t>
      </w:r>
    </w:p>
    <w:p>
      <w:pPr>
        <w:spacing w:after="0" w:line="161" w:lineRule="exact"/>
        <w:rPr>
          <w:rFonts w:ascii="Times New Roman" w:cs="Times New Roman" w:eastAsia="Times New Roman" w:hAnsi="Times New Roman"/>
          <w:sz w:val="19"/>
          <w:szCs w:val="19"/>
          <w:color w:val="auto"/>
        </w:rPr>
      </w:pPr>
    </w:p>
    <w:p>
      <w:pPr>
        <w:jc w:val="both"/>
        <w:ind w:left="20" w:firstLine="639"/>
        <w:spacing w:after="0" w:line="271" w:lineRule="auto"/>
        <w:tabs>
          <w:tab w:leader="none" w:pos="1056"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xml:space="preserve">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74" w:lineRule="exact"/>
        <w:rPr>
          <w:rFonts w:ascii="Times New Roman" w:cs="Times New Roman" w:eastAsia="Times New Roman" w:hAnsi="Times New Roman"/>
          <w:sz w:val="19"/>
          <w:szCs w:val="19"/>
          <w:color w:val="auto"/>
        </w:rPr>
      </w:pPr>
    </w:p>
    <w:p>
      <w:pPr>
        <w:jc w:val="both"/>
        <w:ind w:left="40" w:right="20" w:firstLine="613"/>
        <w:spacing w:after="0" w:line="273" w:lineRule="auto"/>
        <w:tabs>
          <w:tab w:leader="none" w:pos="1049"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60"/>
          </w:cols>
          <w:pgMar w:left="460" w:top="1440" w:right="379"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day and year first above written.</w:t>
      </w:r>
    </w:p>
    <w:p>
      <w:pPr>
        <w:spacing w:after="0" w:line="38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RED IRON HOLDING CORPORATION</w:t>
      </w:r>
    </w:p>
    <w:p>
      <w:pPr>
        <w:spacing w:after="0" w:line="36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-10160</wp:posOffset>
            </wp:positionV>
            <wp:extent cx="12096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1209675" cy="8890"/>
                    </a:xfrm>
                    <a:prstGeom prst="rect">
                      <a:avLst/>
                    </a:prstGeom>
                    <a:noFill/>
                  </pic:spPr>
                </pic:pic>
              </a:graphicData>
            </a:graphic>
          </wp:anchor>
        </w:drawing>
      </w:r>
    </w:p>
    <w:p>
      <w:pPr>
        <w:spacing w:after="0" w:line="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Name: Julie A. Kerekes</w:t>
      </w:r>
    </w:p>
    <w:p>
      <w:pPr>
        <w:spacing w:after="0" w:line="1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Its: Vice President and Chief Financial Officer</w:t>
      </w:r>
    </w:p>
    <w:p>
      <w:pPr>
        <w:spacing w:after="0" w:line="200" w:lineRule="exact"/>
        <w:rPr>
          <w:sz w:val="20"/>
          <w:szCs w:val="20"/>
          <w:color w:val="auto"/>
        </w:rPr>
      </w:pPr>
    </w:p>
    <w:p>
      <w:pPr>
        <w:spacing w:after="0" w:line="28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TCFIF JOINT VENTURE I, LLC</w:t>
      </w:r>
    </w:p>
    <w:p>
      <w:pPr>
        <w:spacing w:after="0" w:line="1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By: /s/Jay R. Deverell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-10160</wp:posOffset>
            </wp:positionV>
            <wp:extent cx="11264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Name: Jay R. Deverell</w:t>
      </w:r>
    </w:p>
    <w:p>
      <w:pPr>
        <w:spacing w:after="0" w:line="1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0" w:right="1579" w:hanging="1935"/>
        <w:spacing w:after="0" w:line="284" w:lineRule="auto"/>
        <w:rPr>
          <w:sz w:val="20"/>
          <w:szCs w:val="20"/>
          <w:color w:val="auto"/>
        </w:rPr>
      </w:pPr>
      <w:r>
        <w:rPr>
          <w:rFonts w:ascii="Times New Roman" w:cs="Times New Roman" w:eastAsia="Times New Roman" w:hAnsi="Times New Roman"/>
          <w:sz w:val="19"/>
          <w:szCs w:val="19"/>
          <w:i w:val="1"/>
          <w:iCs w:val="1"/>
          <w:color w:val="auto"/>
        </w:rPr>
        <w:t>(Signature page to Sixth Amendment to Limited Liability Company Agreement of Red Iron Acceptance, LLC)</w:t>
      </w:r>
    </w:p>
    <w:p>
      <w:pPr>
        <w:spacing w:after="0" w:line="25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9"/>
          <w:szCs w:val="19"/>
          <w:color w:val="auto"/>
        </w:rPr>
        <w:t>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2022.03.10 Sixth Amendment to LLC Agreement</w:t>
      </w:r>
    </w:p>
    <w:p>
      <w:pPr>
        <w:sectPr>
          <w:pgSz w:w="11900" w:h="16838" w:orient="portrait"/>
          <w:cols w:equalWidth="0" w:num="1">
            <w:col w:w="9959"/>
          </w:cols>
          <w:pgMar w:left="500" w:top="1423" w:right="1440" w:bottom="1440" w:gutter="0" w:footer="0" w:header="0"/>
        </w:sectPr>
      </w:pPr>
    </w:p>
    <w:bookmarkStart w:id="190" w:name="page191"/>
    <w:bookmarkEnd w:id="190"/>
    <w:p>
      <w:pPr>
        <w:ind w:left="10440"/>
        <w:spacing w:after="0"/>
        <w:rPr>
          <w:sz w:val="20"/>
          <w:szCs w:val="20"/>
          <w:color w:val="auto"/>
        </w:rPr>
      </w:pPr>
      <w:r>
        <w:rPr>
          <w:rFonts w:ascii="Times New Roman" w:cs="Times New Roman" w:eastAsia="Times New Roman" w:hAnsi="Times New Roman"/>
          <w:sz w:val="17"/>
          <w:szCs w:val="17"/>
          <w:u w:val="single" w:color="auto"/>
          <w:color w:val="auto"/>
        </w:rPr>
        <w:t>Exhibit 4.5</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Toro Company, a Delaware corporation (“TTC,” “we,” “us” and “our”), has one class of securities registered under Section 12 of the Securities Exchange Act of 1934, as amended: common stock, par value $1.00 per share (“common stock”).</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Restated Certificate of Incorporation, as amended (the “Certificate of Incorporation”), and our Amended and Restated Bylaws (the “Bylaws”), each of which is filed as an exhibit to our most recent Annual Report on Form 10-K and incorporated by reference herein. We encourage you to read our Certificate of Incorporation, our Bylaws and the applicable provisions of the General Corporation Law of the State of Delaware (the “DGCL”)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up to 176,850,000 shares of capital stock, consisting of:</w:t>
      </w:r>
    </w:p>
    <w:p>
      <w:pPr>
        <w:spacing w:after="0" w:line="185" w:lineRule="exact"/>
        <w:rPr>
          <w:sz w:val="20"/>
          <w:szCs w:val="20"/>
          <w:color w:val="auto"/>
        </w:rPr>
      </w:pPr>
    </w:p>
    <w:p>
      <w:pPr>
        <w:ind w:left="840" w:hanging="508"/>
        <w:spacing w:after="0"/>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175,000,000 shares of common stock;</w:t>
      </w:r>
    </w:p>
    <w:p>
      <w:pPr>
        <w:spacing w:after="0" w:line="76"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voting preferred stock, par value $1.00 per share (“voting preferred stock”); and</w:t>
      </w:r>
    </w:p>
    <w:p>
      <w:pPr>
        <w:spacing w:after="0" w:line="90"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 shares of non-voting preferred stock, par value $1.00 per share (“non-voting preferred stock”).</w:t>
      </w:r>
    </w:p>
    <w:p>
      <w:pPr>
        <w:spacing w:after="0" w:line="7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Under the Certificate of Incorporation, the rights, preferences and privileges of the voting preferred stock and non-voting preferred stock (collectively, the “preferred stock”) may be designated from time to time by the Board of Directors of TTC (the “Board”).</w:t>
      </w:r>
    </w:p>
    <w:p>
      <w:pPr>
        <w:spacing w:after="0" w:line="6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We currently have no shares of voting preferred stock or non-voting preferred stock outstanding.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all matters submitted to a vote of shareholders, each holder of common stock is entitled to one vote for each share registered in the holder’s name on our books. Our common stock does not have cumulative voting rights.</w:t>
      </w:r>
    </w:p>
    <w:p>
      <w:pPr>
        <w:spacing w:after="0" w:line="6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votes cast (excluding abstentions and broker non-votes) on such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matter. For the avoidance of doubt, abstentions and broker non-votes will not be treated as a vote cast and as such will have no impact on such matters. Our Certificate of Incorporation provides that the Board is divided into three classes, and, pursuant to our Bylaws, at all meetings of shareholders for the election of directors at which a quorum is present, a plurality of votes cast is sufficient to elect directors. Our Bylaws further provide that any nominee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 in an uncontested election as to whom a majority of the votes of the shares present in person or represented by proxy at the meeting and entitled to vote on the election of directors are designated to be “withheld” from, or are voted “against”, that director’s election shall tender his or her resignation for consideration by the Nominating and Governance Committee of the Board of Directors. The Nominating and Governance Committee shall evaluate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best interests of the Corporation and its stockholders and shall recommend to the Board of Directors the action to be taken with respect to such tendered resignation.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9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9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do not have preemptive rights or subscription rights, and they have no right to convert their common stock into any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securities. There are no redemption or sinking fund provisions applicable to our common stock. The rights, preferences, and privileges of our common shareholders are subject to the rights of the shareholders of any series of preferred stock that we may designate in the future. Our Certificate of</w:t>
      </w:r>
    </w:p>
    <w:p>
      <w:pPr>
        <w:jc w:val="both"/>
        <w:spacing w:after="0" w:line="245" w:lineRule="auto"/>
        <w:rPr>
          <w:sz w:val="20"/>
          <w:szCs w:val="20"/>
          <w:color w:val="auto"/>
        </w:rPr>
      </w:pPr>
      <w:r>
        <w:rPr>
          <w:rFonts w:ascii="Times New Roman" w:cs="Times New Roman" w:eastAsia="Times New Roman" w:hAnsi="Times New Roman"/>
          <w:sz w:val="18"/>
          <w:szCs w:val="18"/>
          <w:color w:val="auto"/>
        </w:rPr>
        <w:t>Incorporation and Bylaws do not restrict the ability of a holder of our common stock to transfer his or her shares of common stock. All shares of our outstanding common stock are fully paid and non-assessable.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“TTC”.</w:t>
      </w:r>
    </w:p>
    <w:p>
      <w:pPr>
        <w:sectPr>
          <w:pgSz w:w="11900" w:h="16838" w:orient="portrait"/>
          <w:cols w:equalWidth="0" w:num="1">
            <w:col w:w="11240"/>
          </w:cols>
          <w:pgMar w:left="320" w:top="1093"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and Bylaws and the DGCL</w:t>
      </w:r>
    </w:p>
    <w:p>
      <w:pPr>
        <w:spacing w:after="0" w:line="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and the DGCL contain provisions that may deter or render more difficult certain proposals, such as proposals to acquire control of TTC, which a holder of our common stock may consider to be in his, her or its best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and Bylaws</w:t>
      </w:r>
    </w:p>
    <w:p>
      <w:pPr>
        <w:spacing w:after="0" w:line="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provisions of our Certificate of Incorporation and Bylaws may have the anti-takeover effect of preventing, discouraging or delaying any change in the control of TTC:</w:t>
      </w:r>
    </w:p>
    <w:p>
      <w:pPr>
        <w:spacing w:after="0" w:line="41" w:lineRule="exact"/>
        <w:rPr>
          <w:sz w:val="20"/>
          <w:szCs w:val="20"/>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classified into three classes, each of which serves for three years, with one class being elected each year;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and only with the approval of holders of at least 80% of the voting power of our capital stock;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on the Board must be filled only by the remaining directors then in office;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 must be taken at a meeting of shareholders, and shareholders may not act by written consent;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shareholders may be called only by the Board pursuant to a resolution adopted by a majority of the entire Board;</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price” provision requires the approval by the holders of 80% of the then outstanding common stock as a condition for mergers and certain other business combinations of TTC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w:t>
      </w:r>
    </w:p>
    <w:p>
      <w:pPr>
        <w:spacing w:after="0" w:line="50"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our Certificate of Incorporation related to the Board, actions by stockholders and certain business combinations require at least 80% of the voting power of the then outstanding shares of TTC, voting together as a single class, to alter, amend, or repeal;</w:t>
      </w:r>
    </w:p>
    <w:p>
      <w:pPr>
        <w:spacing w:after="0" w:line="4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vote required to alter, amend or repeal the provisions of our Bylaws that are substantially identical to or implement provisions of our Certificate of Incorporation related to cumulative voting and preemptive rights, the Board, actions by stockholders, and certain business combinations, and the shareholder vote required to alter, amend or repeal the provision in our Certificate of Incorporation setting forth these requirements, is 80% of the voting power of the then outstanding shares of TTC, voting together as a single class;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shares of preferred stock, with designations, rights and preferences as may be determined from time to time by the Board;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do not have the right to cumulative voting in the election of directors; and</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follow advance notice procedure to submit proposed nominations of persons for election to the Board and other proposals for business to be brought before an annual meeting of our shareholders.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8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We are a Delaware corporation and are subject to Section 203 of the DGCL, known as the Delaware Business Combination Statute. In general, Section 203 prohibits a publicly held Delaware corporation from engaging in a “business combination” with an “interested shareholder” within three years of the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 became an interested shareholder, unless:</w:t>
      </w:r>
    </w:p>
    <w:p>
      <w:pPr>
        <w:spacing w:after="0" w:line="57" w:lineRule="exact"/>
        <w:rPr>
          <w:sz w:val="20"/>
          <w:szCs w:val="20"/>
          <w:color w:val="auto"/>
        </w:rPr>
      </w:pPr>
    </w:p>
    <w:p>
      <w:pPr>
        <w:ind w:left="660" w:hanging="328"/>
        <w:spacing w:after="0" w:line="237"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shareholder became an interested shareholder, the board of directors of the corporation approved either the business combination or the transaction that resulted in the shareholder becoming an interested shareholder;</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exclusive of shares owned by directors who are also officers and by certain employee stock plans; or</w:t>
      </w:r>
    </w:p>
    <w:p>
      <w:pPr>
        <w:spacing w:after="0" w:line="4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the shareholders by the affirmative vote of at least two-thirds of the outstanding voting stock that is not owned by the interested shareholder.</w:t>
      </w:r>
    </w:p>
    <w:p>
      <w:pPr>
        <w:spacing w:after="0" w:line="4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Generally, for purposes of the Delaware Business Combination Statute, a “business combination” includes a merger, asset or stock sale or other transaction resulting in a financial benefit to the interested shareholder, and an “interested shareholder” is a person who owns, individually or through other persons,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or more of the corporation’s outstanding voting stock.</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89"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10.27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 TO AMENDED AND RESTATED CREDIT AGREEMENT</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THIS AMENDMENT NO. 2 TO AMENDED AND RESTATED CREDIT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entered into as of September 22, 2023 by and among </w:t>
      </w:r>
      <w:r>
        <w:rPr>
          <w:rFonts w:ascii="Times New Roman" w:cs="Times New Roman" w:eastAsia="Times New Roman" w:hAnsi="Times New Roman"/>
          <w:sz w:val="19"/>
          <w:szCs w:val="19"/>
          <w:b w:val="1"/>
          <w:bCs w:val="1"/>
          <w:color w:val="auto"/>
        </w:rPr>
        <w:t>THE TORO COMPANY</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u w:val="single" w:color="auto"/>
          <w:color w:val="auto"/>
        </w:rPr>
        <w:t>Toro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TORO LUXEMBOURG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color w:val="auto"/>
        </w:rPr>
        <w:t>S.A.R.L.</w:t>
      </w:r>
      <w:r>
        <w:rPr>
          <w:rFonts w:ascii="Times New Roman" w:cs="Times New Roman" w:eastAsia="Times New Roman" w:hAnsi="Times New Roman"/>
          <w:sz w:val="20"/>
          <w:szCs w:val="20"/>
          <w:color w:val="auto"/>
        </w:rPr>
        <w:t>, a Luxembourg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incorporated and existing under the laws of the Grand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Duchy of Luxembourg, and registered with the Luxembourg trade and companies register (</w:t>
      </w:r>
      <w:r>
        <w:rPr>
          <w:rFonts w:ascii="Times New Roman" w:cs="Times New Roman" w:eastAsia="Times New Roman" w:hAnsi="Times New Roman"/>
          <w:sz w:val="20"/>
          <w:szCs w:val="20"/>
          <w:i w:val="1"/>
          <w:iCs w:val="1"/>
          <w:color w:val="auto"/>
        </w:rPr>
        <w:t>Registre de Commerce et des Sociétés de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i w:val="1"/>
          <w:iCs w:val="1"/>
          <w:color w:val="auto"/>
        </w:rPr>
        <w:t>Luxembourg</w:t>
      </w:r>
      <w:r>
        <w:rPr>
          <w:rFonts w:ascii="Times New Roman" w:cs="Times New Roman" w:eastAsia="Times New Roman" w:hAnsi="Times New Roman"/>
          <w:sz w:val="20"/>
          <w:szCs w:val="20"/>
          <w:color w:val="auto"/>
        </w:rPr>
        <w:t>) under registration number B 131.092, (“</w:t>
      </w:r>
      <w:r>
        <w:rPr>
          <w:rFonts w:ascii="Times New Roman" w:cs="Times New Roman" w:eastAsia="Times New Roman" w:hAnsi="Times New Roman"/>
          <w:sz w:val="20"/>
          <w:szCs w:val="20"/>
          <w:u w:val="single" w:color="auto"/>
          <w:color w:val="auto"/>
        </w:rPr>
        <w:t>Toro Luxembourg</w:t>
      </w:r>
      <w:r>
        <w:rPr>
          <w:rFonts w:ascii="Times New Roman" w:cs="Times New Roman" w:eastAsia="Times New Roman" w:hAnsi="Times New Roman"/>
          <w:sz w:val="20"/>
          <w:szCs w:val="20"/>
          <w:color w:val="auto"/>
        </w:rPr>
        <w:t>”), each of the Lenders (as defined in the Credit Agreement)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hereto,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Toro, Toro Luxembourg, the Designated Borrowers from time to time party thereto (together with Toro and Toro</w:t>
      </w:r>
    </w:p>
    <w:p>
      <w:pPr>
        <w:ind w:right="20"/>
        <w:spacing w:after="0" w:line="215" w:lineRule="auto"/>
        <w:rPr>
          <w:sz w:val="20"/>
          <w:szCs w:val="20"/>
          <w:color w:val="auto"/>
        </w:rPr>
      </w:pPr>
      <w:r>
        <w:rPr>
          <w:rFonts w:ascii="Times New Roman" w:cs="Times New Roman" w:eastAsia="Times New Roman" w:hAnsi="Times New Roman"/>
          <w:sz w:val="19"/>
          <w:szCs w:val="19"/>
          <w:color w:val="auto"/>
        </w:rPr>
        <w:t>Luxembourg,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Administrative Agent and the Lenders from time to time party thereto have entered into that certain Amended and Restated Credit Agreement dated as of October 5, 2021 (as amended by that certain Amendment No. 1</w:t>
      </w:r>
    </w:p>
    <w:p>
      <w:pPr>
        <w:spacing w:after="0" w:line="211" w:lineRule="auto"/>
        <w:rPr>
          <w:sz w:val="20"/>
          <w:szCs w:val="20"/>
          <w:color w:val="auto"/>
        </w:rPr>
      </w:pPr>
      <w:r>
        <w:rPr>
          <w:rFonts w:ascii="Times New Roman" w:cs="Times New Roman" w:eastAsia="Times New Roman" w:hAnsi="Times New Roman"/>
          <w:sz w:val="20"/>
          <w:szCs w:val="20"/>
          <w:color w:val="auto"/>
        </w:rPr>
        <w:t>to Amended and Restated Credit Agreement dated as of April 27, 2022, and as amended hereby and as may be amended, restated, amended</w:t>
      </w:r>
    </w:p>
    <w:p>
      <w:pPr>
        <w:ind w:right="20"/>
        <w:spacing w:after="0" w:line="221" w:lineRule="auto"/>
        <w:rPr>
          <w:sz w:val="20"/>
          <w:szCs w:val="20"/>
          <w:color w:val="auto"/>
        </w:rPr>
      </w:pPr>
      <w:r>
        <w:rPr>
          <w:rFonts w:ascii="Times New Roman" w:cs="Times New Roman" w:eastAsia="Times New Roman" w:hAnsi="Times New Roman"/>
          <w:sz w:val="20"/>
          <w:szCs w:val="20"/>
          <w:color w:val="auto"/>
        </w:rPr>
        <w:t>and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all capitalized terms not otherwise defined herein shall have the respective meanings given thereto in the Credit Agreement); and</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Toro has requested that the Credit Agreement be amended as set forth herein, and the Lenders party hereto have agreed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such amendments subject to the conditions set forth herein;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terms hereof, the parties hereto agree as follows:</w:t>
      </w:r>
    </w:p>
    <w:p>
      <w:pPr>
        <w:spacing w:after="0" w:line="189" w:lineRule="exact"/>
        <w:rPr>
          <w:sz w:val="20"/>
          <w:szCs w:val="20"/>
          <w:color w:val="auto"/>
        </w:rPr>
      </w:pPr>
    </w:p>
    <w:p>
      <w:pPr>
        <w:ind w:left="1000" w:hanging="344"/>
        <w:spacing w:after="0"/>
        <w:tabs>
          <w:tab w:leader="none" w:pos="10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Subject to the terms and conditions set forth herein:</w:t>
      </w:r>
    </w:p>
    <w:p>
      <w:pPr>
        <w:spacing w:after="0" w:line="179" w:lineRule="exact"/>
        <w:rPr>
          <w:rFonts w:ascii="Times New Roman" w:cs="Times New Roman" w:eastAsia="Times New Roman" w:hAnsi="Times New Roman"/>
          <w:sz w:val="20"/>
          <w:szCs w:val="20"/>
          <w:color w:val="auto"/>
        </w:rPr>
      </w:pPr>
    </w:p>
    <w:p>
      <w:pPr>
        <w:ind w:left="660" w:right="20" w:firstLine="644"/>
        <w:spacing w:after="0"/>
        <w:tabs>
          <w:tab w:leader="none" w:pos="174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“Consolidated EBIT” contained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such that, after giving effect to all such amendments, it shall read in its entirety as set forth below:</w:t>
      </w:r>
    </w:p>
    <w:p>
      <w:pPr>
        <w:spacing w:after="0" w:line="161" w:lineRule="exact"/>
        <w:rPr>
          <w:sz w:val="20"/>
          <w:szCs w:val="20"/>
          <w:color w:val="auto"/>
        </w:rPr>
      </w:pPr>
    </w:p>
    <w:p>
      <w:pPr>
        <w:ind w:left="130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w:t>
      </w:r>
      <w:r>
        <w:rPr>
          <w:rFonts w:ascii="Times New Roman" w:cs="Times New Roman" w:eastAsia="Times New Roman" w:hAnsi="Times New Roman"/>
          <w:sz w:val="19"/>
          <w:szCs w:val="19"/>
          <w:color w:val="auto"/>
        </w:rPr>
        <w:t xml:space="preserve">” means, for any period, for Toro and its Subsidiaries on a consolidated basis, an amount equal to Consolidated Net Income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following to the extent deducted in calculating such Consolidated Net</w:t>
      </w:r>
    </w:p>
    <w:p>
      <w:pPr>
        <w:ind w:left="1300"/>
        <w:spacing w:after="0" w:line="222" w:lineRule="auto"/>
        <w:rPr>
          <w:sz w:val="20"/>
          <w:szCs w:val="20"/>
          <w:color w:val="auto"/>
        </w:rPr>
      </w:pPr>
      <w:r>
        <w:rPr>
          <w:rFonts w:ascii="Times New Roman" w:cs="Times New Roman" w:eastAsia="Times New Roman" w:hAnsi="Times New Roman"/>
          <w:sz w:val="19"/>
          <w:szCs w:val="19"/>
          <w:color w:val="auto"/>
        </w:rPr>
        <w:t>Income: (a) Consolidated Interest Charges for such period, (b) the provision for Federal, state, local and foreign income taxes</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payable by Toro and its Subsidiaries for such period, (c) one-time, non-recurring cash fees and expenses, not to exceed $50,000,000 in the aggregate, related to (i) restructurings or (ii) cost savings, restructuring, severance, integration, or</w:t>
      </w:r>
    </w:p>
    <w:p>
      <w:pPr>
        <w:ind w:left="1300"/>
        <w:spacing w:after="0" w:line="211" w:lineRule="auto"/>
        <w:rPr>
          <w:sz w:val="20"/>
          <w:szCs w:val="20"/>
          <w:color w:val="auto"/>
        </w:rPr>
      </w:pPr>
      <w:r>
        <w:rPr>
          <w:rFonts w:ascii="Times New Roman" w:cs="Times New Roman" w:eastAsia="Times New Roman" w:hAnsi="Times New Roman"/>
          <w:sz w:val="20"/>
          <w:szCs w:val="20"/>
          <w:color w:val="auto"/>
        </w:rPr>
        <w:t>consolidation related to an Acquisition, and to include without limitation advisory, legal, financing, and consulting fees</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related to an Acquisition, incurred in anticipation of, in connection with or as a result of such Acquisition, and (d) non-cash charges (including any non-cash charges related to impairment or equity compensation) for such period.”; and</w:t>
      </w:r>
    </w:p>
    <w:p>
      <w:pPr>
        <w:spacing w:after="0" w:line="162" w:lineRule="exact"/>
        <w:rPr>
          <w:sz w:val="20"/>
          <w:szCs w:val="20"/>
          <w:color w:val="auto"/>
        </w:rPr>
      </w:pPr>
    </w:p>
    <w:p>
      <w:pPr>
        <w:ind w:left="660" w:firstLine="644"/>
        <w:spacing w:after="0"/>
        <w:tabs>
          <w:tab w:leader="none" w:pos="179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“Sanction(s)” contained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such that, after giving effect to all such amendments, it shall read in its entirety as set forth below:</w:t>
      </w:r>
    </w:p>
    <w:p>
      <w:pPr>
        <w:spacing w:after="0" w:line="14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w:t>
      </w:r>
    </w:p>
    <w:p>
      <w:pPr>
        <w:spacing w:after="0" w:line="8"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limitation, OFAC), the United Nations Security Council, the European Union, His Majesty’s Treasury or other relevant sanctions authority.”</w:t>
      </w:r>
    </w:p>
    <w:p>
      <w:pPr>
        <w:sectPr>
          <w:pgSz w:w="11900" w:h="16838" w:orient="portrait"/>
          <w:cols w:equalWidth="0" w:num="1">
            <w:col w:w="11240"/>
          </w:cols>
          <w:pgMar w:left="320" w:top="1399" w:right="339" w:bottom="1440" w:gutter="0" w:footer="0" w:header="0"/>
        </w:sectPr>
      </w:pPr>
    </w:p>
    <w:bookmarkStart w:id="193" w:name="page194"/>
    <w:bookmarkEnd w:id="193"/>
    <w:p>
      <w:pPr>
        <w:jc w:val="both"/>
        <w:ind w:firstLine="656"/>
        <w:spacing w:after="0" w:line="227" w:lineRule="auto"/>
        <w:tabs>
          <w:tab w:leader="none" w:pos="104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color w:val="auto"/>
        </w:rPr>
        <w:t>. This Amendment, and the amendments to the Credit Agreement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shall become effective on the first Business Day on which the following conditions are satisfied or waived (such date,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7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counterparts of this Amendment, duly executed by the Borrowers, the Administrative Agent and the Lenders, which counterparts may be delivered by telefacsimile or other electronic means (including</w:t>
      </w:r>
    </w:p>
    <w:p>
      <w:pPr>
        <w:spacing w:after="0" w:line="1" w:lineRule="exact"/>
        <w:rPr>
          <w:rFonts w:ascii="Times New Roman" w:cs="Times New Roman" w:eastAsia="Times New Roman" w:hAnsi="Times New Roman"/>
          <w:sz w:val="20"/>
          <w:szCs w:val="20"/>
          <w:color w:val="auto"/>
        </w:rPr>
      </w:pPr>
    </w:p>
    <w:p>
      <w:pPr>
        <w:ind w:left="66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.pdf), but such delivery will be promptly followed by the delivery of original signature pages by each Person party hereto unless waived by the Administrative Agent.</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777"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and expenses payable to the Administrative Agent (including the fees, charges and disbursements of counsel (directly to such counsel if requested by the Administrative Agent) to the Administrative Agent (to the extent due and payable under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of the Credit Agreement) to the extent invoiced prior to or on the date hereof, plus such additional amounts of such fees, charges and disbursements as shall constitute its reasonable estimate of such fees, charges and disbursements incurred or to be incurred by it through the date hereof shall have been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Toro and the Administrative Agent).</w:t>
      </w:r>
    </w:p>
    <w:p>
      <w:pPr>
        <w:spacing w:after="0" w:line="158" w:lineRule="exact"/>
        <w:rPr>
          <w:rFonts w:ascii="Times New Roman" w:cs="Times New Roman" w:eastAsia="Times New Roman" w:hAnsi="Times New Roman"/>
          <w:sz w:val="20"/>
          <w:szCs w:val="20"/>
          <w:color w:val="auto"/>
        </w:rPr>
      </w:pPr>
    </w:p>
    <w:p>
      <w:pPr>
        <w:ind w:right="20" w:firstLine="656"/>
        <w:spacing w:after="0" w:line="235" w:lineRule="auto"/>
        <w:tabs>
          <w:tab w:leader="none" w:pos="102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In order to induce the Administrative Agent and the Lenders to enter into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Borrower represents and warrants to the Administrative Agent and the Lenders, as follows:</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as of the date hereof or will result from the amendments contemplated hereby;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77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other Loan Document and other document furnished at any time under or in connection therewith, are true and correct in all material respects on and as of the date hereof,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Credit Agreement, and excluding the representation and warranty set forth in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 xml:space="preserve"> of the Credit Agreement;</w:t>
      </w:r>
    </w:p>
    <w:p>
      <w:pPr>
        <w:spacing w:after="0" w:line="162" w:lineRule="exact"/>
        <w:rPr>
          <w:rFonts w:ascii="Times New Roman" w:cs="Times New Roman" w:eastAsia="Times New Roman" w:hAnsi="Times New Roman"/>
          <w:sz w:val="20"/>
          <w:szCs w:val="20"/>
          <w:color w:val="auto"/>
        </w:rPr>
      </w:pPr>
    </w:p>
    <w:p>
      <w:pPr>
        <w:ind w:left="660" w:firstLine="644"/>
        <w:spacing w:after="0" w:line="233" w:lineRule="auto"/>
        <w:tabs>
          <w:tab w:leader="none" w:pos="176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all requisite power and authority and all requisite governmental licenses, authorizations, consents and approvals to execute, deliver and perform its obligations under this Amendment;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86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Borrower of this Amendment have been duly authorized by all necessary corporate or other organizational action, and do not and will not (i) contravene the terms of any of the Borrower’s Organization Documents; (ii) conflict with or result in any breach or contravention of, or the creation of any Lien under, or require any payment to be made under (A) any Contractual Obligation to which such Borrower is a party or affecting such Borrower or the properties of such Borrower or any of its Subsidiaries except to the extent that such conflict, breach, contravention, Lien or violation could not reasonably be expected to have a Material Adverse Effect or (B) any order, injunction, writ or decree of any Governmental Authority or any arbitral award to which such Borrower or its property is subject; or (iii) violate any Law; and</w:t>
      </w:r>
    </w:p>
    <w:p>
      <w:pPr>
        <w:spacing w:after="0" w:line="164" w:lineRule="exact"/>
        <w:rPr>
          <w:rFonts w:ascii="Times New Roman" w:cs="Times New Roman" w:eastAsia="Times New Roman" w:hAnsi="Times New Roman"/>
          <w:sz w:val="20"/>
          <w:szCs w:val="20"/>
          <w:color w:val="auto"/>
        </w:rPr>
      </w:pPr>
    </w:p>
    <w:p>
      <w:pPr>
        <w:ind w:left="660" w:firstLine="644"/>
        <w:spacing w:after="0" w:line="233" w:lineRule="auto"/>
        <w:tabs>
          <w:tab w:leader="none" w:pos="175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constitutes a legal, valid and binding obligation of each Borrower, enforceable against such Borrower in accordance with its terms.</w:t>
      </w:r>
    </w:p>
    <w:p>
      <w:pPr>
        <w:spacing w:after="0" w:line="156" w:lineRule="exact"/>
        <w:rPr>
          <w:rFonts w:ascii="Times New Roman" w:cs="Times New Roman" w:eastAsia="Times New Roman" w:hAnsi="Times New Roman"/>
          <w:sz w:val="20"/>
          <w:szCs w:val="20"/>
          <w:color w:val="auto"/>
        </w:rPr>
      </w:pPr>
    </w:p>
    <w:p>
      <w:pPr>
        <w:ind w:right="20" w:firstLine="656"/>
        <w:spacing w:after="0" w:line="245" w:lineRule="auto"/>
        <w:tabs>
          <w:tab w:leader="none" w:pos="106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Amendment, together with all the other Loan Documents (collectively,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the entire understanding and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9"/>
          <w:szCs w:val="19"/>
          <w:color w:val="auto"/>
        </w:rPr>
        <w:t>hereto in relation to the subject matter hereof and supersedes any prior negotiations and agreements among the parties relating to such subject</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matter. No promise, condition, representation or warranty, express or implied, not set forth in the Relevant Documents shall bind any party hereto, and no such party has relied on any such promise, condition, representation or warranty. Each of the parties hereto acknowledges that,</w:t>
      </w:r>
    </w:p>
    <w:p>
      <w:pPr>
        <w:spacing w:after="0" w:line="211" w:lineRule="auto"/>
        <w:rPr>
          <w:sz w:val="20"/>
          <w:szCs w:val="20"/>
          <w:color w:val="auto"/>
        </w:rPr>
      </w:pPr>
      <w:r>
        <w:rPr>
          <w:rFonts w:ascii="Times New Roman" w:cs="Times New Roman" w:eastAsia="Times New Roman" w:hAnsi="Times New Roman"/>
          <w:sz w:val="20"/>
          <w:szCs w:val="20"/>
          <w:color w:val="auto"/>
        </w:rPr>
        <w:t>except as otherwise expressly stated in the Relevant Documents, no representations, warranties or commitments, express or implied, have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of the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3" w:lineRule="exact"/>
        <w:rPr>
          <w:sz w:val="20"/>
          <w:szCs w:val="20"/>
          <w:color w:val="auto"/>
        </w:rPr>
      </w:pPr>
    </w:p>
    <w:p>
      <w:pPr>
        <w:ind w:firstLine="656"/>
        <w:spacing w:after="0" w:line="235" w:lineRule="auto"/>
        <w:tabs>
          <w:tab w:leader="none" w:pos="10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Full Force and Effect of Credit Agreement</w:t>
      </w:r>
      <w:r>
        <w:rPr>
          <w:rFonts w:ascii="Times New Roman" w:cs="Times New Roman" w:eastAsia="Times New Roman" w:hAnsi="Times New Roman"/>
          <w:sz w:val="20"/>
          <w:szCs w:val="20"/>
          <w:color w:val="auto"/>
        </w:rPr>
        <w:t>. Except as hereby specifically amended, waived, modified or supplemented,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is hereby confirmed and ratified in all respects and shall be and remain in full force and effect according to its terms.</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02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shall in all respects be governed by, and construed in accordance with, the laws of the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New York, and shall be further subject to the provisions of </w:t>
      </w:r>
      <w:r>
        <w:rPr>
          <w:rFonts w:ascii="Times New Roman" w:cs="Times New Roman" w:eastAsia="Times New Roman" w:hAnsi="Times New Roman"/>
          <w:sz w:val="20"/>
          <w:szCs w:val="20"/>
          <w:u w:val="single" w:color="auto"/>
          <w:color w:val="auto"/>
        </w:rPr>
        <w:t>Sections 11.14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11.15</w:t>
      </w:r>
      <w:r>
        <w:rPr>
          <w:rFonts w:ascii="Times New Roman" w:cs="Times New Roman" w:eastAsia="Times New Roman" w:hAnsi="Times New Roman"/>
          <w:sz w:val="20"/>
          <w:szCs w:val="20"/>
          <w:color w:val="auto"/>
        </w:rPr>
        <w:t xml:space="preserve"> of the Credit Agreement.</w:t>
      </w:r>
    </w:p>
    <w:p>
      <w:pPr>
        <w:spacing w:after="0" w:line="137" w:lineRule="exact"/>
        <w:rPr>
          <w:rFonts w:ascii="Times New Roman" w:cs="Times New Roman" w:eastAsia="Times New Roman" w:hAnsi="Times New Roman"/>
          <w:sz w:val="20"/>
          <w:szCs w:val="20"/>
          <w:color w:val="auto"/>
        </w:rPr>
      </w:pPr>
    </w:p>
    <w:p>
      <w:pPr>
        <w:jc w:val="both"/>
        <w:ind w:firstLine="656"/>
        <w:spacing w:after="0" w:line="220" w:lineRule="auto"/>
        <w:tabs>
          <w:tab w:leader="none" w:pos="102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If any provision of this Amendment is held to be illegal, invalid or unenforceable, (a) the legality, validity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0" w:lineRule="exact"/>
        <w:rPr>
          <w:rFonts w:ascii="Times New Roman" w:cs="Times New Roman" w:eastAsia="Times New Roman" w:hAnsi="Times New Roman"/>
          <w:sz w:val="20"/>
          <w:szCs w:val="20"/>
          <w:color w:val="auto"/>
        </w:rPr>
      </w:pPr>
    </w:p>
    <w:p>
      <w:pPr>
        <w:jc w:val="both"/>
        <w:ind w:firstLine="656"/>
        <w:spacing w:after="0" w:line="219" w:lineRule="auto"/>
        <w:tabs>
          <w:tab w:leader="none" w:pos="107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References; Interpretation</w:t>
      </w:r>
      <w:r>
        <w:rPr>
          <w:rFonts w:ascii="Times New Roman" w:cs="Times New Roman" w:eastAsia="Times New Roman" w:hAnsi="Times New Roman"/>
          <w:sz w:val="20"/>
          <w:szCs w:val="20"/>
          <w:color w:val="auto"/>
        </w:rPr>
        <w:t>. All references in any of the Loan Documents to the “Credit Agreement” shall mean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as amended hereby. This Amendment shall be deemed incorporated into, and a part of, the Credit Agreement, and shall constitute a “Loan Document” under and as defined in the Credit Agreement. The rules of interpretation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the Credit Agreement shall be applicable to this Amendment.</w:t>
      </w:r>
    </w:p>
    <w:p>
      <w:pPr>
        <w:spacing w:after="0" w:line="159" w:lineRule="exact"/>
        <w:rPr>
          <w:rFonts w:ascii="Times New Roman" w:cs="Times New Roman" w:eastAsia="Times New Roman" w:hAnsi="Times New Roman"/>
          <w:sz w:val="20"/>
          <w:szCs w:val="20"/>
          <w:color w:val="auto"/>
        </w:rPr>
      </w:pPr>
    </w:p>
    <w:p>
      <w:pPr>
        <w:jc w:val="both"/>
        <w:ind w:firstLine="656"/>
        <w:spacing w:after="0" w:line="227" w:lineRule="auto"/>
        <w:tabs>
          <w:tab w:leader="none" w:pos="103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Amendment shall be binding upon and inure to the benefit of the Company,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and each of the Lenders, and their respective successors, legal representatives, and assignees to the extent such assignees are permitted assignees as provided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of the Credit Agreement.</w:t>
      </w:r>
    </w:p>
    <w:p>
      <w:pPr>
        <w:spacing w:after="0" w:line="157" w:lineRule="exact"/>
        <w:rPr>
          <w:rFonts w:ascii="Times New Roman" w:cs="Times New Roman" w:eastAsia="Times New Roman" w:hAnsi="Times New Roman"/>
          <w:sz w:val="20"/>
          <w:szCs w:val="20"/>
          <w:color w:val="auto"/>
        </w:rPr>
      </w:pPr>
    </w:p>
    <w:p>
      <w:pPr>
        <w:jc w:val="both"/>
        <w:ind w:firstLine="656"/>
        <w:spacing w:after="0" w:line="220" w:lineRule="auto"/>
        <w:tabs>
          <w:tab w:leader="none" w:pos="118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Novation; Reaffirmation</w:t>
      </w:r>
      <w:r>
        <w:rPr>
          <w:rFonts w:ascii="Times New Roman" w:cs="Times New Roman" w:eastAsia="Times New Roman" w:hAnsi="Times New Roman"/>
          <w:sz w:val="20"/>
          <w:szCs w:val="20"/>
          <w:color w:val="auto"/>
        </w:rPr>
        <w:t>. Neither the execution and delivery of this Amendment nor the consummation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contemplated hereunder is intended to constitute a novation of the Credit Agreement or of any of the other Loan Documents or any obligations thereunder. Each Borrower hereby (a) affirms and confirms each of the Loan Documents to which it is a party and its Obligations thereunder, and (b) agrees that, notwithstanding the effectiveness of this Amendment, each Loan Document shall continue to be in full force and effect.</w:t>
      </w:r>
    </w:p>
    <w:p>
      <w:pPr>
        <w:spacing w:after="0" w:line="147" w:lineRule="exact"/>
        <w:rPr>
          <w:rFonts w:ascii="Times New Roman" w:cs="Times New Roman" w:eastAsia="Times New Roman" w:hAnsi="Times New Roman"/>
          <w:sz w:val="20"/>
          <w:szCs w:val="20"/>
          <w:color w:val="auto"/>
        </w:rPr>
      </w:pPr>
    </w:p>
    <w:p>
      <w:pPr>
        <w:jc w:val="both"/>
        <w:ind w:firstLine="656"/>
        <w:spacing w:after="0" w:line="223" w:lineRule="auto"/>
        <w:tabs>
          <w:tab w:leader="none" w:pos="10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an original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any party whose signature appears thereon, and all of which shall together constitute one and the same instrument. Delivery of an executed counterpart of a signature page of this Amendment by telecopy or other electronic means (including .pdf) shall be effective as delivery of a manually executed counterpart of this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is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duly executed this Amendment on the day and year first written above.</w:t>
      </w:r>
    </w:p>
    <w:p>
      <w:pPr>
        <w:spacing w:after="0" w:line="1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123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Angela C. Drake</w:t>
      </w:r>
    </w:p>
    <w:p>
      <w:pPr>
        <w:ind w:left="3240"/>
        <w:spacing w:after="0"/>
        <w:rPr>
          <w:sz w:val="20"/>
          <w:szCs w:val="20"/>
          <w:color w:val="auto"/>
        </w:rPr>
      </w:pPr>
      <w:r>
        <w:rPr>
          <w:rFonts w:ascii="Times New Roman" w:cs="Times New Roman" w:eastAsia="Times New Roman" w:hAnsi="Times New Roman"/>
          <w:sz w:val="20"/>
          <w:szCs w:val="20"/>
          <w:color w:val="auto"/>
        </w:rPr>
        <w:t>Title: Vice President, Chief Financial Officer</w:t>
      </w:r>
    </w:p>
    <w:p>
      <w:pPr>
        <w:spacing w:after="0" w:line="1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-7620</wp:posOffset>
            </wp:positionV>
            <wp:extent cx="1141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Julie A. Kerekes</w:t>
      </w:r>
    </w:p>
    <w:p>
      <w:pPr>
        <w:jc w:val="right"/>
        <w:spacing w:after="0"/>
        <w:rPr>
          <w:sz w:val="20"/>
          <w:szCs w:val="20"/>
          <w:color w:val="auto"/>
        </w:rPr>
      </w:pPr>
      <w:r>
        <w:rPr>
          <w:rFonts w:ascii="Times New Roman" w:cs="Times New Roman" w:eastAsia="Times New Roman" w:hAnsi="Times New Roman"/>
          <w:sz w:val="20"/>
          <w:szCs w:val="20"/>
          <w:color w:val="auto"/>
        </w:rPr>
        <w:t>Title: Treasurer and Senior Managing Director, Global Tax &amp; Investor Relations</w:t>
      </w:r>
    </w:p>
    <w:p>
      <w:pPr>
        <w:spacing w:after="0" w:line="1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TORO LUXEMBOURG S.A.R.L.</w:t>
      </w: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-7620</wp:posOffset>
            </wp:positionV>
            <wp:extent cx="11093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3240"/>
        <w:spacing w:after="0" w:line="197" w:lineRule="auto"/>
        <w:rPr>
          <w:sz w:val="20"/>
          <w:szCs w:val="20"/>
          <w:color w:val="auto"/>
        </w:rPr>
      </w:pPr>
      <w:r>
        <w:rPr>
          <w:rFonts w:ascii="Times New Roman" w:cs="Times New Roman" w:eastAsia="Times New Roman" w:hAnsi="Times New Roman"/>
          <w:sz w:val="20"/>
          <w:szCs w:val="20"/>
          <w:color w:val="auto"/>
        </w:rPr>
        <w:t>Name: Julie A. Kerekes</w:t>
      </w:r>
    </w:p>
    <w:p>
      <w:pPr>
        <w:ind w:left="3240"/>
        <w:spacing w:after="0"/>
        <w:rPr>
          <w:sz w:val="20"/>
          <w:szCs w:val="20"/>
          <w:color w:val="auto"/>
        </w:rPr>
      </w:pPr>
      <w:r>
        <w:rPr>
          <w:rFonts w:ascii="Times New Roman" w:cs="Times New Roman" w:eastAsia="Times New Roman" w:hAnsi="Times New Roman"/>
          <w:sz w:val="20"/>
          <w:szCs w:val="20"/>
          <w:color w:val="auto"/>
        </w:rPr>
        <w:t>Title: Class A Manager</w:t>
      </w:r>
    </w:p>
    <w:p>
      <w:pPr>
        <w:spacing w:after="0" w:line="18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Usama 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900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ind w:left="3240"/>
        <w:spacing w:after="0" w:line="197" w:lineRule="auto"/>
        <w:rPr>
          <w:sz w:val="20"/>
          <w:szCs w:val="20"/>
          <w:color w:val="auto"/>
        </w:rPr>
      </w:pPr>
      <w:r>
        <w:rPr>
          <w:rFonts w:ascii="Times New Roman" w:cs="Times New Roman" w:eastAsia="Times New Roman" w:hAnsi="Times New Roman"/>
          <w:sz w:val="20"/>
          <w:szCs w:val="20"/>
          <w:color w:val="auto"/>
        </w:rPr>
        <w:t>Name: Usama Ajan</w:t>
      </w:r>
    </w:p>
    <w:p>
      <w:pPr>
        <w:ind w:left="3240"/>
        <w:spacing w:after="0"/>
        <w:rPr>
          <w:sz w:val="20"/>
          <w:szCs w:val="20"/>
          <w:color w:val="auto"/>
        </w:rPr>
      </w:pPr>
      <w:r>
        <w:rPr>
          <w:rFonts w:ascii="Times New Roman" w:cs="Times New Roman" w:eastAsia="Times New Roman" w:hAnsi="Times New Roman"/>
          <w:sz w:val="20"/>
          <w:szCs w:val="20"/>
          <w:color w:val="auto"/>
        </w:rPr>
        <w:t>Title: Class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The Toro Company</w:t>
      </w:r>
    </w:p>
    <w:p>
      <w:pPr>
        <w:ind w:left="1920"/>
        <w:spacing w:after="0" w:line="205" w:lineRule="auto"/>
        <w:rPr>
          <w:sz w:val="20"/>
          <w:szCs w:val="20"/>
          <w:color w:val="auto"/>
        </w:rPr>
      </w:pPr>
      <w:r>
        <w:rPr>
          <w:rFonts w:ascii="Times New Roman" w:cs="Times New Roman" w:eastAsia="Times New Roman" w:hAnsi="Times New Roman"/>
          <w:sz w:val="18"/>
          <w:szCs w:val="18"/>
          <w:color w:val="auto"/>
        </w:rPr>
        <w:t>AMENDMENT NO. 2 TO AMENDED AND RESTATED CREDIT AGREEMENT</w:t>
      </w:r>
    </w:p>
    <w:p>
      <w:pPr>
        <w:spacing w:after="0" w:line="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00"/>
          </w:cols>
          <w:pgMar w:left="980" w:top="1395" w:right="1319" w:bottom="1440" w:gutter="0" w:footer="0" w:header="0"/>
        </w:sectPr>
      </w:pPr>
    </w:p>
    <w:bookmarkStart w:id="196" w:name="page197"/>
    <w:bookmarkEnd w:id="196"/>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w:t>
      </w:r>
    </w:p>
    <w:p>
      <w:pPr>
        <w:ind w:left="27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-7620</wp:posOffset>
            </wp:positionV>
            <wp:extent cx="1036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Angela Larkin</w:t>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4"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 a Lender, L/C Issuer and Swing Line Lender</w:t>
      </w:r>
    </w:p>
    <w:p>
      <w:pPr>
        <w:spacing w:after="0" w:line="3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 Quinn Richardson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 Quinn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378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Toro Company</w:t>
      </w:r>
    </w:p>
    <w:p>
      <w:pPr>
        <w:ind w:left="1460"/>
        <w:spacing w:after="0" w:line="205" w:lineRule="auto"/>
        <w:rPr>
          <w:sz w:val="20"/>
          <w:szCs w:val="20"/>
          <w:color w:val="auto"/>
        </w:rPr>
      </w:pPr>
      <w:r>
        <w:rPr>
          <w:rFonts w:ascii="Times New Roman" w:cs="Times New Roman" w:eastAsia="Times New Roman" w:hAnsi="Times New Roman"/>
          <w:sz w:val="18"/>
          <w:szCs w:val="18"/>
          <w:color w:val="auto"/>
        </w:rPr>
        <w:t>AMENDMENT NO. 2 TO AMENDED AND RESTATED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20"/>
          </w:cols>
          <w:pgMar w:left="1440" w:top="1395" w:right="1439" w:bottom="1440" w:gutter="0" w:footer="0" w:header="0"/>
        </w:sectPr>
      </w:pPr>
    </w:p>
    <w:bookmarkStart w:id="198" w:name="page199"/>
    <w:bookmarkEnd w:id="198"/>
    <w:p>
      <w:pPr>
        <w:ind w:left="278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Tyrone Parker</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Tyrone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893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98933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Toro Company</w:t>
      </w:r>
    </w:p>
    <w:p>
      <w:pPr>
        <w:ind w:left="1460"/>
        <w:spacing w:after="0" w:line="217"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5" w:right="1440" w:bottom="1440" w:gutter="0" w:footer="0" w:header="0"/>
        </w:sectPr>
      </w:pPr>
    </w:p>
    <w:bookmarkStart w:id="199" w:name="page200"/>
    <w:bookmarkEnd w:id="199"/>
    <w:p>
      <w:pPr>
        <w:jc w:val="right"/>
        <w:ind w:right="579"/>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Steven Chen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Steven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14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5" w:right="1440" w:bottom="1440" w:gutter="0" w:footer="0" w:header="0"/>
        </w:sectPr>
      </w:pPr>
    </w:p>
    <w:bookmarkStart w:id="200" w:name="page201"/>
    <w:bookmarkEnd w:id="200"/>
    <w:p>
      <w:pPr>
        <w:spacing w:after="0" w:line="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BMO HARRIS BANK N.A.</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Corey Noland</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Corey Noland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842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01" w:name="page202"/>
    <w:bookmarkEnd w:id="201"/>
    <w:p>
      <w:pPr>
        <w:spacing w:after="0" w:line="64"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Casey Klepsch</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102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02" w:name="page203"/>
    <w:bookmarkEnd w:id="202"/>
    <w:p>
      <w:pPr>
        <w:spacing w:after="0" w:line="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JPMORGAN CHASE BANK, N.A. </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Gregory T. Martin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293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03" w:name="page204"/>
    <w:bookmarkEnd w:id="203"/>
    <w:p>
      <w:pPr>
        <w:spacing w:after="0" w:line="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Ana Gaytan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Ana Gaytan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8794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jc w:val="center"/>
        <w:spacing w:after="0" w:line="232"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04" w:name="page205"/>
    <w:bookmarkEnd w:id="204"/>
    <w:p>
      <w:pPr>
        <w:spacing w:after="0" w:line="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Jason Hembree</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Jason Hembree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10464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Toro Company</w:t>
      </w:r>
    </w:p>
    <w:p>
      <w:pPr>
        <w:ind w:left="1460"/>
        <w:spacing w:after="0" w:line="217" w:lineRule="auto"/>
        <w:rPr>
          <w:sz w:val="20"/>
          <w:szCs w:val="20"/>
          <w:color w:val="auto"/>
        </w:rPr>
      </w:pPr>
      <w:r>
        <w:rPr>
          <w:rFonts w:ascii="Times New Roman" w:cs="Times New Roman" w:eastAsia="Times New Roman" w:hAnsi="Times New Roman"/>
          <w:sz w:val="17"/>
          <w:szCs w:val="17"/>
          <w:color w:val="auto"/>
        </w:rPr>
        <w:t>AMENDMENT NO. 2 TO AMENDED AND RESTATED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10.29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TERM LOAN CREDIT AGREEMENT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THIS AMENDMENT NO. 1 TO TERM LOAN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and entered into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September 22, 2023 by and among </w:t>
      </w:r>
      <w:r>
        <w:rPr>
          <w:rFonts w:ascii="Times New Roman" w:cs="Times New Roman" w:eastAsia="Times New Roman" w:hAnsi="Times New Roman"/>
          <w:sz w:val="20"/>
          <w:szCs w:val="20"/>
          <w:b w:val="1"/>
          <w:bCs w:val="1"/>
          <w:color w:val="auto"/>
        </w:rPr>
        <w:t>THE TORO COMPANY</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 Lenders (as defined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Credit Agreement) party hereto,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Administrative Agent and the Lenders from time to time party thereto have entered into that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Loan Credit Agreement dated as of April 27, 2022 (as amended hereby and as may be amended, restated, amended and restated,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all capitalized terms not otherwise defined herein shall have the respective meanings given thereto in the Credit Agreement); and</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Credit Agreement be amended as set forth herein, and the Lenders party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agreed to such amendments subject to the conditions set forth herein;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terms hereof, the parties hereto agree as follows:</w:t>
      </w:r>
    </w:p>
    <w:p>
      <w:pPr>
        <w:spacing w:after="0" w:line="189" w:lineRule="exact"/>
        <w:rPr>
          <w:sz w:val="20"/>
          <w:szCs w:val="20"/>
          <w:color w:val="auto"/>
        </w:rPr>
      </w:pPr>
    </w:p>
    <w:p>
      <w:pPr>
        <w:ind w:left="1000" w:hanging="344"/>
        <w:spacing w:after="0"/>
        <w:tabs>
          <w:tab w:leader="none" w:pos="10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Subject to the terms and conditions set forth herein:</w:t>
      </w:r>
    </w:p>
    <w:p>
      <w:pPr>
        <w:spacing w:after="0" w:line="192"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745"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“Consolidated EBIT” contained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such that, after giving effect to all such amendments, it shall read in its entirety as set forth below:</w:t>
      </w:r>
    </w:p>
    <w:p>
      <w:pPr>
        <w:spacing w:after="0" w:line="1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w:t>
      </w:r>
      <w:r>
        <w:rPr>
          <w:rFonts w:ascii="Times New Roman" w:cs="Times New Roman" w:eastAsia="Times New Roman" w:hAnsi="Times New Roman"/>
          <w:sz w:val="19"/>
          <w:szCs w:val="19"/>
          <w:color w:val="auto"/>
        </w:rPr>
        <w:t>” means, for any period, for Toro and its Subsidiaries on a consolidated basis, an amount equal</w:t>
      </w:r>
    </w:p>
    <w:p>
      <w:pPr>
        <w:spacing w:after="0" w:line="6"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to Consolidated Net Income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following to the extent deducted in calculating such Consolidated Net Income: (a) Consolidated Interest Charges for such period, (b) the provision for Federal, state, local and foreign income taxes</w:t>
      </w:r>
    </w:p>
    <w:p>
      <w:pPr>
        <w:ind w:left="1300"/>
        <w:spacing w:after="0" w:line="211" w:lineRule="auto"/>
        <w:rPr>
          <w:sz w:val="20"/>
          <w:szCs w:val="20"/>
          <w:color w:val="auto"/>
        </w:rPr>
      </w:pPr>
      <w:r>
        <w:rPr>
          <w:rFonts w:ascii="Times New Roman" w:cs="Times New Roman" w:eastAsia="Times New Roman" w:hAnsi="Times New Roman"/>
          <w:sz w:val="20"/>
          <w:szCs w:val="20"/>
          <w:color w:val="auto"/>
        </w:rPr>
        <w:t>payable by Toro and its Subsidiaries for such period, (c) one-time, non-recurring cash fees and expenses, not to exceed</w:t>
      </w:r>
    </w:p>
    <w:p>
      <w:pPr>
        <w:ind w:left="1300"/>
        <w:spacing w:after="0" w:line="204" w:lineRule="auto"/>
        <w:rPr>
          <w:sz w:val="20"/>
          <w:szCs w:val="20"/>
          <w:color w:val="auto"/>
        </w:rPr>
      </w:pPr>
      <w:r>
        <w:rPr>
          <w:rFonts w:ascii="Times New Roman" w:cs="Times New Roman" w:eastAsia="Times New Roman" w:hAnsi="Times New Roman"/>
          <w:sz w:val="20"/>
          <w:szCs w:val="20"/>
          <w:color w:val="auto"/>
        </w:rPr>
        <w:t>$50,000,000 in the aggregate, related to (i) restructurings or (ii) cost savings, restructuring, severance, integration, or consolidation related to an Acquisition, and to include without limitation advisory, legal, financing, and consulting fees</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related to an Acquisition, incurred in anticipation of, in connection with or as a result of such Acquisition, and (d) non-cash charges (including any non-cash charges related to impairment or equity compensation) for such period.”; and</w:t>
      </w:r>
    </w:p>
    <w:p>
      <w:pPr>
        <w:spacing w:after="0" w:line="149" w:lineRule="exact"/>
        <w:rPr>
          <w:sz w:val="20"/>
          <w:szCs w:val="20"/>
          <w:color w:val="auto"/>
        </w:rPr>
      </w:pPr>
    </w:p>
    <w:p>
      <w:pPr>
        <w:ind w:left="660" w:firstLine="644"/>
        <w:spacing w:after="0"/>
        <w:tabs>
          <w:tab w:leader="none" w:pos="17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“Sanction(s)” contained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such that, after giving effect to all such amendments, it shall read in its entirety as set forth below:</w:t>
      </w:r>
    </w:p>
    <w:p>
      <w:pPr>
        <w:spacing w:after="0" w:line="161" w:lineRule="exact"/>
        <w:rPr>
          <w:sz w:val="20"/>
          <w:szCs w:val="20"/>
          <w:color w:val="auto"/>
        </w:rPr>
      </w:pPr>
    </w:p>
    <w:p>
      <w:pPr>
        <w:jc w:val="both"/>
        <w:ind w:left="130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His Majesty’s Treasury or other relevant sanctions authority.”</w:t>
      </w:r>
    </w:p>
    <w:p>
      <w:pPr>
        <w:spacing w:after="0" w:line="158" w:lineRule="exact"/>
        <w:rPr>
          <w:sz w:val="20"/>
          <w:szCs w:val="20"/>
          <w:color w:val="auto"/>
        </w:rPr>
      </w:pPr>
    </w:p>
    <w:p>
      <w:pPr>
        <w:jc w:val="both"/>
        <w:ind w:firstLine="656"/>
        <w:spacing w:after="0" w:line="227" w:lineRule="auto"/>
        <w:tabs>
          <w:tab w:leader="none" w:pos="104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color w:val="auto"/>
        </w:rPr>
        <w:t>. This Amendment, and the amendments to the Credit Agreement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shall become effective on the first Business Day on which the following conditions are satisfied or waived (such date,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237" w:right="339" w:bottom="1440" w:gutter="0" w:footer="0" w:header="0"/>
        </w:sectPr>
      </w:pPr>
    </w:p>
    <w:bookmarkStart w:id="206" w:name="page207"/>
    <w:bookmarkEnd w:id="206"/>
    <w:p>
      <w:pPr>
        <w:jc w:val="both"/>
        <w:ind w:left="660" w:firstLine="644"/>
        <w:spacing w:after="0" w:line="222" w:lineRule="auto"/>
        <w:tabs>
          <w:tab w:leader="none" w:pos="180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counterparts of this Amendment, duly executed by the Borrower, the Administrative Agent and the Lenders, which counterparts may be delivered by telefacsimile or other electronic means (including</w:t>
      </w:r>
    </w:p>
    <w:p>
      <w:pPr>
        <w:spacing w:after="0" w:line="1" w:lineRule="exact"/>
        <w:rPr>
          <w:rFonts w:ascii="Times New Roman" w:cs="Times New Roman" w:eastAsia="Times New Roman" w:hAnsi="Times New Roman"/>
          <w:sz w:val="20"/>
          <w:szCs w:val="20"/>
          <w:color w:val="auto"/>
        </w:rPr>
      </w:pPr>
    </w:p>
    <w:p>
      <w:pPr>
        <w:ind w:left="660"/>
        <w:spacing w:after="0" w:line="2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.pdf), but such delivery will be promptly followed by the delivery of original signature pages by each Person party hereto unless waived by the Administrative Agent.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777"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and expenses payable to the Administrative Agent (including the fees, charges and disbursements of counsel (directly to such counsel if requested by the Administrative Agent) to the Administrative Agent (to the extent due and payable under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of the Credit Agreement) to the extent invoiced prior to or on the date hereof, plus such additional amounts of such fees, charges and disbursements as shall constitute its reasonable estimate of such fees, charges and disbursements incurred or to be incurred by it through the date hereof shall have been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Borrower and the Administrative Agent).</w:t>
      </w:r>
    </w:p>
    <w:p>
      <w:pPr>
        <w:spacing w:after="0" w:line="158" w:lineRule="exact"/>
        <w:rPr>
          <w:rFonts w:ascii="Times New Roman" w:cs="Times New Roman" w:eastAsia="Times New Roman" w:hAnsi="Times New Roman"/>
          <w:sz w:val="20"/>
          <w:szCs w:val="20"/>
          <w:color w:val="auto"/>
        </w:rPr>
      </w:pPr>
    </w:p>
    <w:p>
      <w:pPr>
        <w:ind w:right="20" w:firstLine="656"/>
        <w:spacing w:after="0" w:line="245" w:lineRule="auto"/>
        <w:tabs>
          <w:tab w:leader="none" w:pos="102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In order to induce the Administrative Agent and the Lenders to enter into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represents and warrants to the Administrative Agent and the Lenders, as follows:</w:t>
      </w:r>
    </w:p>
    <w:p>
      <w:pPr>
        <w:spacing w:after="0" w:line="14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as of the date hereof or will result from the amendments contemplated hereby;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791"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other Loan Document and other document furnished at any time under or in connection therewith, are true and correct in all material respects on and as of the date hereof,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Credit Agreement, and excluding the representation and warranty set forth in </w:t>
      </w:r>
      <w:r>
        <w:rPr>
          <w:rFonts w:ascii="Times New Roman" w:cs="Times New Roman" w:eastAsia="Times New Roman" w:hAnsi="Times New Roman"/>
          <w:sz w:val="20"/>
          <w:szCs w:val="20"/>
          <w:u w:val="single" w:color="auto"/>
          <w:color w:val="auto"/>
        </w:rPr>
        <w:t>Section 5.21</w:t>
      </w:r>
      <w:r>
        <w:rPr>
          <w:rFonts w:ascii="Times New Roman" w:cs="Times New Roman" w:eastAsia="Times New Roman" w:hAnsi="Times New Roman"/>
          <w:sz w:val="20"/>
          <w:szCs w:val="20"/>
          <w:color w:val="auto"/>
        </w:rPr>
        <w:t xml:space="preserve"> of the Credit Agreement;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765"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all requisite power and authority and all requisite governmental licenses, authorizations, consents and approvals to execute, deliver and perform its obligations under this Amendment;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88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Borrower of this Amendment have been duly authorized by all necessary corporate or other organizational action, and do not and will not (i) contravene the terms of any of the Borrower’s Organization Documents; (ii) conflict with or result in any breach or contravention of, or the creation of any Lien under, or require any payment to be made under (A) any Contractual Obligation to which the Borrower is a party or affecting the Borrower or the properties of the Borrower or any of its Subsidiaries except to the extent that such conflict, breach, contravention, Lien or violation could not reasonably be expected to have a Material Adverse Effect or (B) any order, injunction, writ or decree of any Governmental Authority or any arbitral award to which the Borrower or its property is subject; or (iii) violate any Law; and</w:t>
      </w:r>
    </w:p>
    <w:p>
      <w:pPr>
        <w:spacing w:after="0" w:line="150" w:lineRule="exact"/>
        <w:rPr>
          <w:rFonts w:ascii="Times New Roman" w:cs="Times New Roman" w:eastAsia="Times New Roman" w:hAnsi="Times New Roman"/>
          <w:sz w:val="20"/>
          <w:szCs w:val="20"/>
          <w:color w:val="auto"/>
        </w:rPr>
      </w:pPr>
    </w:p>
    <w:p>
      <w:pPr>
        <w:ind w:left="660" w:firstLine="644"/>
        <w:spacing w:after="0"/>
        <w:tabs>
          <w:tab w:leader="none" w:pos="175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constitutes a legal, valid and binding obligation of the Borrower, enforceable against the Borrower in accordance with its terms.</w:t>
      </w:r>
    </w:p>
    <w:p>
      <w:pPr>
        <w:spacing w:after="0" w:line="143" w:lineRule="exact"/>
        <w:rPr>
          <w:rFonts w:ascii="Times New Roman" w:cs="Times New Roman" w:eastAsia="Times New Roman" w:hAnsi="Times New Roman"/>
          <w:sz w:val="20"/>
          <w:szCs w:val="20"/>
          <w:color w:val="auto"/>
        </w:rPr>
      </w:pPr>
    </w:p>
    <w:p>
      <w:pPr>
        <w:jc w:val="both"/>
        <w:ind w:firstLine="656"/>
        <w:spacing w:after="0" w:line="219" w:lineRule="auto"/>
        <w:tabs>
          <w:tab w:leader="none" w:pos="106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Amendment, together with all the other Loan Documents (collectively,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37" w:right="339" w:bottom="1440" w:gutter="0" w:footer="0" w:header="0"/>
        </w:sectPr>
      </w:pPr>
    </w:p>
    <w:bookmarkStart w:id="207" w:name="page208"/>
    <w:bookmarkEnd w:id="207"/>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 xml:space="preserve">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145" w:lineRule="exact"/>
        <w:rPr>
          <w:sz w:val="20"/>
          <w:szCs w:val="20"/>
          <w:color w:val="auto"/>
        </w:rPr>
      </w:pPr>
    </w:p>
    <w:p>
      <w:pPr>
        <w:ind w:firstLine="656"/>
        <w:spacing w:after="0" w:line="245" w:lineRule="auto"/>
        <w:tabs>
          <w:tab w:leader="none" w:pos="104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Full Force and Effect of Credit Agreement</w:t>
      </w:r>
      <w:r>
        <w:rPr>
          <w:rFonts w:ascii="Times New Roman" w:cs="Times New Roman" w:eastAsia="Times New Roman" w:hAnsi="Times New Roman"/>
          <w:sz w:val="20"/>
          <w:szCs w:val="20"/>
          <w:color w:val="auto"/>
        </w:rPr>
        <w:t>. Except as hereby specifically amended, waived, modified or supplemented,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is hereby confirmed and ratified in all respects and shall be and remain in full force and effect according to its terms.</w:t>
      </w:r>
    </w:p>
    <w:p>
      <w:pPr>
        <w:spacing w:after="0" w:line="151" w:lineRule="exact"/>
        <w:rPr>
          <w:rFonts w:ascii="Times New Roman" w:cs="Times New Roman" w:eastAsia="Times New Roman" w:hAnsi="Times New Roman"/>
          <w:sz w:val="20"/>
          <w:szCs w:val="20"/>
          <w:color w:val="auto"/>
        </w:rPr>
      </w:pPr>
    </w:p>
    <w:p>
      <w:pPr>
        <w:ind w:firstLine="656"/>
        <w:spacing w:after="0" w:line="235" w:lineRule="auto"/>
        <w:tabs>
          <w:tab w:leader="none" w:pos="102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shall in all respects be governed by, and construed in accordance with, the laws of the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57" w:lineRule="exact"/>
        <w:rPr>
          <w:rFonts w:ascii="Times New Roman" w:cs="Times New Roman" w:eastAsia="Times New Roman" w:hAnsi="Times New Roman"/>
          <w:sz w:val="20"/>
          <w:szCs w:val="20"/>
          <w:color w:val="auto"/>
        </w:rPr>
      </w:pPr>
    </w:p>
    <w:p>
      <w:pPr>
        <w:jc w:val="both"/>
        <w:ind w:firstLine="656"/>
        <w:spacing w:after="0" w:line="220" w:lineRule="auto"/>
        <w:tabs>
          <w:tab w:leader="none" w:pos="102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If any provision of this Amendment is held to be illegal, invalid or unenforceable, (a) the legality, validity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7" w:lineRule="exact"/>
        <w:rPr>
          <w:rFonts w:ascii="Times New Roman" w:cs="Times New Roman" w:eastAsia="Times New Roman" w:hAnsi="Times New Roman"/>
          <w:sz w:val="20"/>
          <w:szCs w:val="20"/>
          <w:color w:val="auto"/>
        </w:rPr>
      </w:pPr>
    </w:p>
    <w:p>
      <w:pPr>
        <w:jc w:val="both"/>
        <w:ind w:firstLine="656"/>
        <w:spacing w:after="0" w:line="223" w:lineRule="auto"/>
        <w:tabs>
          <w:tab w:leader="none" w:pos="107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References; Interpretation</w:t>
      </w:r>
      <w:r>
        <w:rPr>
          <w:rFonts w:ascii="Times New Roman" w:cs="Times New Roman" w:eastAsia="Times New Roman" w:hAnsi="Times New Roman"/>
          <w:sz w:val="20"/>
          <w:szCs w:val="20"/>
          <w:color w:val="auto"/>
        </w:rPr>
        <w:t>. All references in any of the Loan Documents to the “Credit Agreement” shall mean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as amended hereby. This Amendment shall be deemed incorporated into, and a part of, the Credit Agreement, and shall constitute a “Loan Document” under and as defined in the Credit Agreement. The rules of interpretation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the Credit Agreement shall be applicable to this Amendment.</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03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Amendment shall be binding upon and inure to the benefit of the Company,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and each of the Lenders, and their respective successors, legal representatives, and assignees to the extent such assignees are permitted assignees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57" w:lineRule="exact"/>
        <w:rPr>
          <w:rFonts w:ascii="Times New Roman" w:cs="Times New Roman" w:eastAsia="Times New Roman" w:hAnsi="Times New Roman"/>
          <w:sz w:val="20"/>
          <w:szCs w:val="20"/>
          <w:color w:val="auto"/>
        </w:rPr>
      </w:pPr>
    </w:p>
    <w:p>
      <w:pPr>
        <w:jc w:val="both"/>
        <w:ind w:firstLine="656"/>
        <w:spacing w:after="0" w:line="220" w:lineRule="auto"/>
        <w:tabs>
          <w:tab w:leader="none" w:pos="118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Novation; Reaffirmation</w:t>
      </w:r>
      <w:r>
        <w:rPr>
          <w:rFonts w:ascii="Times New Roman" w:cs="Times New Roman" w:eastAsia="Times New Roman" w:hAnsi="Times New Roman"/>
          <w:sz w:val="20"/>
          <w:szCs w:val="20"/>
          <w:color w:val="auto"/>
        </w:rPr>
        <w:t>. Neither the execution and delivery of this Amendment nor the consummation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contemplated hereunder is intended to constitute a novation of the Credit Agreement or of any of the other Loan Documents or any obligations thereunder. The Borrower hereby (a) affirms and confirms each of the Loan Documents to which it is a party and its Obligations thereunder, and (b) agrees that, notwithstanding the effectiveness of this Amendment, each Loan Document shall continue to be in full force and effect.</w:t>
      </w:r>
    </w:p>
    <w:p>
      <w:pPr>
        <w:spacing w:after="0" w:line="147" w:lineRule="exact"/>
        <w:rPr>
          <w:rFonts w:ascii="Times New Roman" w:cs="Times New Roman" w:eastAsia="Times New Roman" w:hAnsi="Times New Roman"/>
          <w:sz w:val="20"/>
          <w:szCs w:val="20"/>
          <w:color w:val="auto"/>
        </w:rPr>
      </w:pPr>
    </w:p>
    <w:p>
      <w:pPr>
        <w:jc w:val="both"/>
        <w:ind w:firstLine="656"/>
        <w:spacing w:after="0" w:line="223" w:lineRule="auto"/>
        <w:tabs>
          <w:tab w:leader="none" w:pos="108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an original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any party whose signature appears thereon, and all of which shall together constitute one and the same instrument. Delivery of an executed counterpart of a signature page of this Amendment by telecopy or other electronic means (including .pdf) shall be effective as delivery of a manually executed counterpart of this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is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37"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duly executed this Amendment on the day and year first written above.</w:t>
      </w:r>
    </w:p>
    <w:p>
      <w:pPr>
        <w:spacing w:after="0" w:line="1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1233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Angela C. Drake</w:t>
      </w:r>
    </w:p>
    <w:p>
      <w:pPr>
        <w:ind w:left="3240"/>
        <w:spacing w:after="0"/>
        <w:rPr>
          <w:sz w:val="20"/>
          <w:szCs w:val="20"/>
          <w:color w:val="auto"/>
        </w:rPr>
      </w:pPr>
      <w:r>
        <w:rPr>
          <w:rFonts w:ascii="Times New Roman" w:cs="Times New Roman" w:eastAsia="Times New Roman" w:hAnsi="Times New Roman"/>
          <w:sz w:val="20"/>
          <w:szCs w:val="20"/>
          <w:color w:val="auto"/>
        </w:rPr>
        <w:t>Title: Vice President, Chief Financial Officer</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1093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Julie A. Kerekes</w:t>
      </w:r>
    </w:p>
    <w:p>
      <w:pPr>
        <w:jc w:val="right"/>
        <w:spacing w:after="0"/>
        <w:rPr>
          <w:sz w:val="20"/>
          <w:szCs w:val="20"/>
          <w:color w:val="auto"/>
        </w:rPr>
      </w:pPr>
      <w:r>
        <w:rPr>
          <w:rFonts w:ascii="Times New Roman" w:cs="Times New Roman" w:eastAsia="Times New Roman" w:hAnsi="Times New Roman"/>
          <w:sz w:val="20"/>
          <w:szCs w:val="20"/>
          <w:color w:val="auto"/>
        </w:rPr>
        <w:t>Title: Treasurer and Senior Managing Director, Global Tax &amp;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339"/>
        <w:spacing w:after="0" w:line="203"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33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00"/>
          </w:cols>
          <w:pgMar w:left="980" w:top="1395" w:right="1319" w:bottom="1440" w:gutter="0" w:footer="0" w:header="0"/>
        </w:sectPr>
      </w:pPr>
    </w:p>
    <w:bookmarkStart w:id="209" w:name="page210"/>
    <w:bookmarkEnd w:id="209"/>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w:t>
      </w:r>
    </w:p>
    <w:p>
      <w:pPr>
        <w:ind w:left="27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0045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Angela Larkin</w:t>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4" w:right="1440" w:bottom="1440" w:gutter="0" w:footer="0" w:header="0"/>
        </w:sectPr>
      </w:pPr>
    </w:p>
    <w:bookmarkStart w:id="210" w:name="page211"/>
    <w:bookmarkEnd w:id="21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 a Lender</w:t>
      </w:r>
    </w:p>
    <w:p>
      <w:pPr>
        <w:spacing w:after="0" w:line="3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 Quinn Richardson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 Quinn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134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Toro Company</w:t>
      </w:r>
    </w:p>
    <w:p>
      <w:pPr>
        <w:ind w:left="2060"/>
        <w:spacing w:after="0" w:line="205"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5" w:right="1440" w:bottom="1440" w:gutter="0" w:footer="0" w:header="0"/>
        </w:sectPr>
      </w:pPr>
    </w:p>
    <w:bookmarkStart w:id="211" w:name="page212"/>
    <w:bookmarkEnd w:id="211"/>
    <w:p>
      <w:pPr>
        <w:spacing w:after="0" w:line="6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Steven Chen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Steven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14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Toro Company</w:t>
      </w:r>
    </w:p>
    <w:p>
      <w:pPr>
        <w:ind w:left="2060"/>
        <w:spacing w:after="0" w:line="205"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12" w:name="page213"/>
    <w:bookmarkEnd w:id="212"/>
    <w:p>
      <w:pPr>
        <w:jc w:val="right"/>
        <w:ind w:right="1739"/>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Tyrone Parker</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Tyrone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893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95" w:right="1440" w:bottom="1440" w:gutter="0" w:footer="0" w:header="0"/>
        </w:sectPr>
      </w:pPr>
    </w:p>
    <w:bookmarkStart w:id="213" w:name="page214"/>
    <w:bookmarkEnd w:id="213"/>
    <w:p>
      <w:pPr>
        <w:spacing w:after="0" w:line="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BMO HARRIS BANK N.A.</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Corey Noland</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Corey Noland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9842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14" w:name="page215"/>
    <w:bookmarkEnd w:id="214"/>
    <w:p>
      <w:pPr>
        <w:spacing w:after="0" w:line="64"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Ana Gaytan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Ana Gaytan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8794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15" w:name="page216"/>
    <w:bookmarkEnd w:id="215"/>
    <w:p>
      <w:pPr>
        <w:spacing w:after="0" w:line="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JPMORGAN CHASE BANK, N.A. </w:t>
      </w:r>
      <w:r>
        <w:rPr>
          <w:rFonts w:ascii="Times New Roman" w:cs="Times New Roman" w:eastAsia="Times New Roman" w:hAnsi="Times New Roman"/>
          <w:sz w:val="20"/>
          <w:szCs w:val="20"/>
          <w:color w:val="auto"/>
        </w:rPr>
        <w:t>, as a Lender</w:t>
      </w: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Gregory T. Martin</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11976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119761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16" w:name="page217"/>
    <w:bookmarkEnd w:id="216"/>
    <w:p>
      <w:pPr>
        <w:spacing w:after="0" w:line="2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 Lender</w:t>
      </w:r>
    </w:p>
    <w:p>
      <w:pPr>
        <w:spacing w:after="0" w:line="3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Jason Hembree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0464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line="197" w:lineRule="auto"/>
        <w:rPr>
          <w:sz w:val="20"/>
          <w:szCs w:val="20"/>
          <w:color w:val="auto"/>
        </w:rPr>
      </w:pPr>
      <w:r>
        <w:rPr>
          <w:rFonts w:ascii="Times New Roman" w:cs="Times New Roman" w:eastAsia="Times New Roman" w:hAnsi="Times New Roman"/>
          <w:sz w:val="20"/>
          <w:szCs w:val="20"/>
          <w:color w:val="auto"/>
        </w:rPr>
        <w:t>Name: Jason Hembree</w:t>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jc w:val="center"/>
        <w:ind w:right="19"/>
        <w:spacing w:after="0" w:line="203" w:lineRule="auto"/>
        <w:rPr>
          <w:sz w:val="20"/>
          <w:szCs w:val="20"/>
          <w:color w:val="auto"/>
        </w:rPr>
      </w:pPr>
      <w:r>
        <w:rPr>
          <w:rFonts w:ascii="Times New Roman" w:cs="Times New Roman" w:eastAsia="Times New Roman" w:hAnsi="Times New Roman"/>
          <w:sz w:val="18"/>
          <w:szCs w:val="18"/>
          <w:color w:val="auto"/>
        </w:rPr>
        <w:t>AMENDMENT NO. 1 TO TERM LOAN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40" w:right="1440"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AND SECURITY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12, 2009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 IRON ACCEPTANCE, LLC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TCF INVENTORY FINANCE, INC.</w:t>
      </w:r>
    </w:p>
    <w:p>
      <w:pPr>
        <w:spacing w:after="0" w:line="200" w:lineRule="exact"/>
        <w:rPr>
          <w:sz w:val="20"/>
          <w:szCs w:val="20"/>
          <w:color w:val="auto"/>
        </w:rPr>
      </w:pPr>
    </w:p>
    <w:p>
      <w:pPr>
        <w:spacing w:after="0" w:line="22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ectPr>
          <w:pgSz w:w="11900" w:h="16838" w:orient="portrait"/>
          <w:cols w:equalWidth="0" w:num="1">
            <w:col w:w="11240"/>
          </w:cols>
          <w:pgMar w:left="320" w:top="100"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53"/>
        </w:trPr>
        <w:tc>
          <w:tcPr>
            <w:tcW w:w="520" w:type="dxa"/>
            <w:vAlign w:val="bottom"/>
          </w:tcPr>
          <w:p>
            <w:pPr>
              <w:spacing w:after="0"/>
              <w:rPr>
                <w:sz w:val="22"/>
                <w:szCs w:val="22"/>
                <w:color w:val="auto"/>
              </w:rPr>
            </w:pPr>
          </w:p>
        </w:tc>
        <w:tc>
          <w:tcPr>
            <w:tcW w:w="9620" w:type="dxa"/>
            <w:vAlign w:val="bottom"/>
          </w:tcPr>
          <w:p>
            <w:pPr>
              <w:ind w:left="3020"/>
              <w:spacing w:after="0"/>
              <w:rPr>
                <w:sz w:val="20"/>
                <w:szCs w:val="20"/>
                <w:color w:val="auto"/>
              </w:rPr>
            </w:pPr>
            <w:r>
              <w:rPr>
                <w:rFonts w:ascii="Times New Roman" w:cs="Times New Roman" w:eastAsia="Times New Roman" w:hAnsi="Times New Roman"/>
                <w:sz w:val="22"/>
                <w:szCs w:val="22"/>
                <w:color w:val="auto"/>
              </w:rPr>
              <w:t>Table of Contents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9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I INTERPRETATION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1.02 GAAP</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1.03</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Headings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1.04</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Plural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1.05</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1.06</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Governing Law</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1.07</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Construction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1.08</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Entire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1.09</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Calculation of Interest and Fees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1.10</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II CREDIT FACILITY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Revolving Loan Facility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Commitment, Commitment Reductions, Etc.</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2.03</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2.04</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Payment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2.05</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Revolving Loan Note and Interest Account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2.06</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Revolving Loan Funding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2.07</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16"/>
        </w:trPr>
        <w:tc>
          <w:tcPr>
            <w:tcW w:w="10140" w:type="dxa"/>
            <w:vAlign w:val="bottom"/>
            <w:gridSpan w:val="2"/>
          </w:tcPr>
          <w:p>
            <w:pPr>
              <w:ind w:left="80"/>
              <w:spacing w:after="0" w:line="217" w:lineRule="exact"/>
              <w:rPr>
                <w:sz w:val="20"/>
                <w:szCs w:val="20"/>
                <w:color w:val="auto"/>
              </w:rPr>
            </w:pPr>
            <w:r>
              <w:rPr>
                <w:rFonts w:ascii="Times New Roman" w:cs="Times New Roman" w:eastAsia="Times New Roman" w:hAnsi="Times New Roman"/>
                <w:sz w:val="22"/>
                <w:szCs w:val="22"/>
                <w:color w:val="auto"/>
              </w:rPr>
              <w:t>2.08 Additional Compensation in Certain Circumstances; Increased Costs or Reduced</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Return Resulting from Taxes, Reserves, Capital Adequacy Requirements, Expenses, Etc</w:t>
            </w: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III CONDITIONS PRECEDENT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3.01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Conditions Precedent to Initial Revolving Loan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3.02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Conditions Precedent to Each Revolving Loan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3.03</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Covenant to Deliver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IV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4.01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Borrower’s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4.02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Reaffirmation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V COVENANTS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5.01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Affirmative Covenants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5.02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Negative Covenants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VI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6.01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Events of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6.02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Remedies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16"/>
        </w:trPr>
        <w:tc>
          <w:tcPr>
            <w:tcW w:w="1014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rPr>
              <w:t>SECTION VII GRANT OF SECURITY INTEREST AND PROVISIONS REGARDING</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COLLATERAL</w:t>
            </w: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7.01</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 of Security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7.02</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Lock Box</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82"/>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7.03</w:t>
            </w:r>
          </w:p>
        </w:tc>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Provisions Regarding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340" w:top="142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560"/>
          </w:cols>
          <w:pgMar w:left="340" w:top="1426" w:right="999" w:bottom="1440" w:gutter="0" w:footer="0" w:header="0"/>
          <w:type w:val="continuous"/>
        </w:sectPr>
      </w:pPr>
    </w:p>
    <w:bookmarkStart w:id="219" w:name="page220"/>
    <w:bookmarkEnd w:id="21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7.04</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Lender’s Power of Attorney</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7.05</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Liability for Safekeeping</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7.06</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Supplemental Documentation Relating to Collateral; Further Assurances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7.07</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Rights and Remedies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8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VIII MISCELLANEOUS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8.01</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8.02</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Expenses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8.03</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Indemnification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8.04</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Waivers; Amendments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8.05</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Successors and Assigns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8.06</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Setoff</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8.07</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Third Party Rights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8.08</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Partial Invalidity</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8.09</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Jury Trial</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8.10</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8.11 Counterparts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8.12</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Disclosure of Information about Borrower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8.13</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Recourse to Members of Borrower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82"/>
        </w:trPr>
        <w:tc>
          <w:tcPr>
            <w:tcW w:w="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8.14</w:t>
            </w:r>
          </w:p>
        </w:tc>
        <w:tc>
          <w:tcPr>
            <w:tcW w:w="8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Indirect or Consequential Damages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560"/>
          </w:cols>
          <w:pgMar w:left="340" w:top="1440" w:right="999" w:bottom="1440" w:gutter="0" w:footer="0" w:header="0"/>
        </w:sectPr>
      </w:pPr>
    </w:p>
    <w:bookmarkStart w:id="220" w:name="page221"/>
    <w:bookmarkEnd w:id="220"/>
    <w:p>
      <w:pPr>
        <w:ind w:left="3620"/>
        <w:spacing w:after="0"/>
        <w:rPr>
          <w:sz w:val="20"/>
          <w:szCs w:val="20"/>
          <w:color w:val="auto"/>
        </w:rPr>
      </w:pPr>
      <w:r>
        <w:rPr>
          <w:rFonts w:ascii="Times New Roman" w:cs="Times New Roman" w:eastAsia="Times New Roman" w:hAnsi="Times New Roman"/>
          <w:sz w:val="22"/>
          <w:szCs w:val="22"/>
          <w:b w:val="1"/>
          <w:bCs w:val="1"/>
          <w:u w:val="single" w:color="auto"/>
          <w:color w:val="auto"/>
        </w:rPr>
        <w:t>CREDIT AND SECURITY AGREEMENT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CREDIT AND SECURITY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August 12, 2009, is entered into by and</w:t>
      </w:r>
    </w:p>
    <w:p>
      <w:pPr>
        <w:spacing w:after="0"/>
        <w:rPr>
          <w:sz w:val="20"/>
          <w:szCs w:val="20"/>
          <w:color w:val="auto"/>
        </w:rPr>
      </w:pPr>
      <w:r>
        <w:rPr>
          <w:rFonts w:ascii="Times New Roman" w:cs="Times New Roman" w:eastAsia="Times New Roman" w:hAnsi="Times New Roman"/>
          <w:sz w:val="22"/>
          <w:szCs w:val="22"/>
          <w:color w:val="auto"/>
        </w:rPr>
        <w:t>among: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RED IRON ACCEPTANCE, LLC, a Delaware limited liability company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TCF INVENTORY FINANCE, INC., a Minnesota corporation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TCFIF</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183"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requested Lender to provide a revolving credit facility to Borrower for general business purposes.</w:t>
      </w:r>
    </w:p>
    <w:p>
      <w:pPr>
        <w:spacing w:after="0" w:line="16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is willing to provide such revolving credit facility upon the terms and subject to the conditions set forth</w:t>
      </w: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above Recitals and the mutual covenants herein contained, the parties hereto hereby 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w:t>
      </w:r>
    </w:p>
    <w:p>
      <w:pPr>
        <w:jc w:val="center"/>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Unless otherwise indicated in this Agreement or any other Credit Document, each term set forth in </w:t>
      </w:r>
      <w:r>
        <w:rPr>
          <w:rFonts w:ascii="Times New Roman" w:cs="Times New Roman" w:eastAsia="Times New Roman" w:hAnsi="Times New Roman"/>
          <w:sz w:val="22"/>
          <w:szCs w:val="22"/>
          <w:u w:val="single" w:color="auto"/>
          <w:color w:val="auto"/>
        </w:rPr>
        <w:t>Schedule</w:t>
      </w:r>
    </w:p>
    <w:p>
      <w:pPr>
        <w:jc w:val="both"/>
        <w:ind w:right="20"/>
        <w:spacing w:after="0" w:line="225" w:lineRule="auto"/>
        <w:rPr>
          <w:sz w:val="20"/>
          <w:szCs w:val="20"/>
          <w:color w:val="auto"/>
        </w:rPr>
      </w:pPr>
      <w:r>
        <w:rPr>
          <w:rFonts w:ascii="Times New Roman" w:cs="Times New Roman" w:eastAsia="Times New Roman" w:hAnsi="Times New Roman"/>
          <w:sz w:val="22"/>
          <w:szCs w:val="22"/>
          <w:u w:val="single" w:color="auto"/>
          <w:color w:val="auto"/>
        </w:rPr>
        <w:t>1.01</w:t>
      </w:r>
      <w:r>
        <w:rPr>
          <w:rFonts w:ascii="Times New Roman" w:cs="Times New Roman" w:eastAsia="Times New Roman" w:hAnsi="Times New Roman"/>
          <w:sz w:val="22"/>
          <w:szCs w:val="22"/>
          <w:color w:val="auto"/>
        </w:rPr>
        <w:t xml:space="preserve">, when used in this Agreement or any other Credit Document, shall have the respective meaning given to that term in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or in the provision of this Agreement or other Credit Document referenced in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Unless otherwise indicated in this Agreement or any other Credit Document, all accounting terms used in this Agreement or any other Credit Document shall be construed, and all accounting and financial computations hereunder or thereunder shall be computed, in accordance with GAAP. If GAAP changes during the term of this Agreement such that any covenants contained herein would then be calculated in a different manner or with different components, Borrower and Lender agree to negotiate in good faith to amend this Agreement in such respects as are necessary to conform those covenants as criteria for evaluating Borrower’s financial condition to substantially the same criteria as were effective prior to such change in GAAP; provided, however, that, until Borrower and Lender so amend this Agreement, all such covenants shall be calculated in accordance with GAAP as in effect immediately prior to such change.</w:t>
      </w:r>
    </w:p>
    <w:p>
      <w:pPr>
        <w:spacing w:after="0" w:line="15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in this Agreement and each of the other Credit Documents are for convenience of reference only and are not part of the substance hereof or thereof.</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Plural Terms</w:t>
      </w:r>
      <w:r>
        <w:rPr>
          <w:rFonts w:ascii="Times New Roman" w:cs="Times New Roman" w:eastAsia="Times New Roman" w:hAnsi="Times New Roman"/>
          <w:sz w:val="22"/>
          <w:szCs w:val="22"/>
          <w:color w:val="auto"/>
        </w:rPr>
        <w:t>. All terms defined in this Agreement or any other Credit Document in the singular form shall have comparable meanings when used in the plural form and vice versa.</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All references in this Agreement and each of the other Credit Documents to a time of day shall mean Chicago, Illinois time, unless otherwise indicated.</w:t>
      </w:r>
    </w:p>
    <w:p>
      <w:pPr>
        <w:sectPr>
          <w:pgSz w:w="11900" w:h="16838" w:orient="portrait"/>
          <w:cols w:equalWidth="0" w:num="1">
            <w:col w:w="11240"/>
          </w:cols>
          <w:pgMar w:left="320" w:top="1391" w:right="339" w:bottom="1440" w:gutter="0" w:footer="0" w:header="0"/>
        </w:sectPr>
      </w:pPr>
    </w:p>
    <w:bookmarkStart w:id="221" w:name="page222"/>
    <w:bookmarkEnd w:id="22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each of the other Credit Documents shall be governed by and construed in accordance with the laws of the state of Minnesota without reference to conflicts of law rules.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Each of this Agreement and the other Credit Documents is the result of negotiations among, and has been reviewed by, Borrower, Lender and their respective counsel. Accordingly, this Agreement and the other Credit Documents shall be deemed to be the product of all parties hereto, and no ambiguity shall be construed in favor of or against Borrower or Lender.</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each of the other Credit Documents, taken together, constitute and contain the entire agreement of Borrower and Lender and supersede any and all prior agreements, negotiations, correspondence, understandings and communications among the parties, whether written or oral, respecting the subject matter hereof.</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Calculation of Interest and Fees</w:t>
      </w:r>
      <w:r>
        <w:rPr>
          <w:rFonts w:ascii="Times New Roman" w:cs="Times New Roman" w:eastAsia="Times New Roman" w:hAnsi="Times New Roman"/>
          <w:sz w:val="22"/>
          <w:szCs w:val="22"/>
          <w:color w:val="auto"/>
        </w:rPr>
        <w:t>. All calculations of interest and fees under this Agreement and the other Credit Documents for any period shall include the first day and the last day of such period.</w:t>
      </w:r>
    </w:p>
    <w:p>
      <w:pPr>
        <w:spacing w:after="0" w:line="15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References in this Agreement to “Recitals,” “Sections,” “Exhibits” and “Schedules” are to recitals, sections, exhibits and schedules herein and hereto unless otherwise indicated. References in this Agreement and each of the other Credit Documents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modified and supplemented in writing from time to time and in effect at any given time. The words “hereof,” “herein” and “hereunder” and words of similar import when used in this Agreement or any other Credit Document shall refer to this Agreement or such other Credit Document, as the case may be, as a whole and not to any particular provision of this Agreement or such other Credit Document, as the case may be. The words “include” and “including” and words of similar import when used in this Agreement or any other Credit Document shall not be construed to be limiting or exclusive. The word “or” when used in this Agreement or any other Credit Document shall have the meaning represented by the phrase “and/or.”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II</w:t>
      </w:r>
    </w:p>
    <w:p>
      <w:pPr>
        <w:jc w:val="center"/>
        <w:spacing w:after="0"/>
        <w:rPr>
          <w:sz w:val="20"/>
          <w:szCs w:val="20"/>
          <w:color w:val="auto"/>
        </w:rPr>
      </w:pPr>
      <w:r>
        <w:rPr>
          <w:rFonts w:ascii="Times New Roman" w:cs="Times New Roman" w:eastAsia="Times New Roman" w:hAnsi="Times New Roman"/>
          <w:sz w:val="22"/>
          <w:szCs w:val="22"/>
          <w:b w:val="1"/>
          <w:bCs w:val="1"/>
          <w:color w:val="auto"/>
        </w:rPr>
        <w:t>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Revolving Loan Facility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8"/>
        <w:spacing w:after="0" w:line="225" w:lineRule="auto"/>
        <w:tabs>
          <w:tab w:leader="none" w:pos="46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Loan Availability</w:t>
      </w:r>
      <w:r>
        <w:rPr>
          <w:rFonts w:ascii="Times New Roman" w:cs="Times New Roman" w:eastAsia="Times New Roman" w:hAnsi="Times New Roman"/>
          <w:sz w:val="21"/>
          <w:szCs w:val="21"/>
          <w:color w:val="auto"/>
        </w:rPr>
        <w:t>. Subject to the terms and conditions of this Agreement, Lender agrees to advance to Borrower from time to time during the period beginning on the Closing Date and ending on October 31, 2014, or such earlier date on which the LLC Term shall end (such date or such earlier date, if applicable, the “</w:t>
      </w:r>
      <w:r>
        <w:rPr>
          <w:rFonts w:ascii="Times New Roman" w:cs="Times New Roman" w:eastAsia="Times New Roman" w:hAnsi="Times New Roman"/>
          <w:sz w:val="21"/>
          <w:szCs w:val="21"/>
          <w:u w:val="single" w:color="auto"/>
          <w:color w:val="auto"/>
        </w:rPr>
        <w:t>Revolving Loan Maturity Date</w:t>
      </w:r>
      <w:r>
        <w:rPr>
          <w:rFonts w:ascii="Times New Roman" w:cs="Times New Roman" w:eastAsia="Times New Roman" w:hAnsi="Times New Roman"/>
          <w:sz w:val="21"/>
          <w:szCs w:val="21"/>
          <w:color w:val="auto"/>
        </w:rPr>
        <w:t xml:space="preserve">”), such loans as Borrower may request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(individually, a “</w:t>
      </w:r>
      <w:r>
        <w:rPr>
          <w:rFonts w:ascii="Times New Roman" w:cs="Times New Roman" w:eastAsia="Times New Roman" w:hAnsi="Times New Roman"/>
          <w:sz w:val="21"/>
          <w:szCs w:val="21"/>
          <w:u w:val="single" w:color="auto"/>
          <w:color w:val="auto"/>
        </w:rPr>
        <w:t>Revolving Loan</w:t>
      </w:r>
      <w:r>
        <w:rPr>
          <w:rFonts w:ascii="Times New Roman" w:cs="Times New Roman" w:eastAsia="Times New Roman" w:hAnsi="Times New Roman"/>
          <w:sz w:val="21"/>
          <w:szCs w:val="21"/>
          <w:color w:val="auto"/>
        </w:rPr>
        <w:t>”); provided, however, that the aggregate principal amount of all Revolving Loans outstanding at any time shall not exceed the Commitment at such time. Except as otherwise provided herein, Borrower may borrow, repay and reborrow Revolving Loans until the Revolving Loan Maturity Date.</w:t>
      </w:r>
    </w:p>
    <w:p>
      <w:pPr>
        <w:spacing w:after="0" w:line="153" w:lineRule="exact"/>
        <w:rPr>
          <w:rFonts w:ascii="Times New Roman" w:cs="Times New Roman" w:eastAsia="Times New Roman" w:hAnsi="Times New Roman"/>
          <w:sz w:val="21"/>
          <w:szCs w:val="21"/>
          <w:color w:val="auto"/>
        </w:rPr>
      </w:pPr>
    </w:p>
    <w:p>
      <w:pPr>
        <w:jc w:val="both"/>
        <w:ind w:firstLine="8"/>
        <w:spacing w:after="0" w:line="225" w:lineRule="auto"/>
        <w:tabs>
          <w:tab w:leader="none" w:pos="50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Loan Borrowings</w:t>
      </w:r>
      <w:r>
        <w:rPr>
          <w:rFonts w:ascii="Times New Roman" w:cs="Times New Roman" w:eastAsia="Times New Roman" w:hAnsi="Times New Roman"/>
          <w:sz w:val="22"/>
          <w:szCs w:val="22"/>
          <w:color w:val="auto"/>
        </w:rPr>
        <w:t>. Borrower shall request each Revolving Loan by having a representative of Borrower request by telephone or other means acceptable to Lender a Revolving Loan, which request shall specify the principal amount of the requested Revolving Loan and the date of the requested Revolving Loan, which shall be a Business Day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22" w:name="page223"/>
    <w:bookmarkEnd w:id="222"/>
    <w:p>
      <w:pPr>
        <w:jc w:val="both"/>
        <w:spacing w:after="0" w:line="225" w:lineRule="auto"/>
        <w:rPr>
          <w:sz w:val="20"/>
          <w:szCs w:val="20"/>
          <w:color w:val="auto"/>
        </w:rPr>
      </w:pPr>
      <w:r>
        <w:rPr>
          <w:rFonts w:ascii="Times New Roman" w:cs="Times New Roman" w:eastAsia="Times New Roman" w:hAnsi="Times New Roman"/>
          <w:sz w:val="22"/>
          <w:szCs w:val="22"/>
          <w:color w:val="auto"/>
        </w:rPr>
        <w:t>request, a “</w:t>
      </w:r>
      <w:r>
        <w:rPr>
          <w:rFonts w:ascii="Times New Roman" w:cs="Times New Roman" w:eastAsia="Times New Roman" w:hAnsi="Times New Roman"/>
          <w:sz w:val="22"/>
          <w:szCs w:val="22"/>
          <w:u w:val="single" w:color="auto"/>
          <w:color w:val="auto"/>
        </w:rPr>
        <w:t>Revolving Loan Borrowing Request</w:t>
      </w:r>
      <w:r>
        <w:rPr>
          <w:rFonts w:ascii="Times New Roman" w:cs="Times New Roman" w:eastAsia="Times New Roman" w:hAnsi="Times New Roman"/>
          <w:sz w:val="22"/>
          <w:szCs w:val="22"/>
          <w:color w:val="auto"/>
        </w:rPr>
        <w:t>”). Any Revolving Loan Borrowing Request received after 11:00 a.m., Chicago time, on a Business Day may not be honored until the next following Business Day (or such later time as may be specified in the Revolving Loan Borrowing Request).</w:t>
      </w:r>
    </w:p>
    <w:p>
      <w:pPr>
        <w:spacing w:after="0" w:line="153" w:lineRule="exact"/>
        <w:rPr>
          <w:sz w:val="20"/>
          <w:szCs w:val="20"/>
          <w:color w:val="auto"/>
        </w:rPr>
      </w:pPr>
    </w:p>
    <w:p>
      <w:pPr>
        <w:jc w:val="both"/>
        <w:ind w:firstLine="8"/>
        <w:spacing w:after="0" w:line="225" w:lineRule="auto"/>
        <w:tabs>
          <w:tab w:leader="none" w:pos="45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Loan Interest Rate</w:t>
      </w:r>
      <w:r>
        <w:rPr>
          <w:rFonts w:ascii="Times New Roman" w:cs="Times New Roman" w:eastAsia="Times New Roman" w:hAnsi="Times New Roman"/>
          <w:sz w:val="22"/>
          <w:szCs w:val="22"/>
          <w:color w:val="auto"/>
        </w:rPr>
        <w:t>s. Borrower shall pay interest on the unpaid principal amount of each Revolving Loan from the date of such Revolving Loan until the Maturity thereof, at a rate per annum equal to the TCFIF Rate from time to time in effect. All computations of interest on Revolving Loans shall be based on a year of 365 days for actual days elapsed.</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61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Revolving Loan Payments</w:t>
      </w:r>
      <w:r>
        <w:rPr>
          <w:rFonts w:ascii="Times New Roman" w:cs="Times New Roman" w:eastAsia="Times New Roman" w:hAnsi="Times New Roman"/>
          <w:sz w:val="22"/>
          <w:szCs w:val="22"/>
          <w:color w:val="auto"/>
        </w:rPr>
        <w:t>. Unless sooner repaid, Borrower shall repay to Lender on the Revolving Loan Maturity Date the unpaid principal amount of each Revolving Loan made by Lender. Borrower shall pay accrued interest in arrears on the unpaid principal amount of each Revolving Loan (A) no later than the fifteenth day in each calendar month for the preceding calendar month, and (B) at Maturity.</w:t>
      </w:r>
    </w:p>
    <w:p>
      <w:pPr>
        <w:spacing w:after="0" w:line="139"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Borrower shall use the proceeds of the Revolving Loans solely for Borrower’s general business needs (including</w:t>
      </w:r>
    </w:p>
    <w:p>
      <w:pPr>
        <w:jc w:val="both"/>
        <w:ind w:firstLine="8"/>
        <w:spacing w:after="0" w:line="212" w:lineRule="auto"/>
        <w:tabs>
          <w:tab w:leader="none" w:pos="26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certain receivables from Toro, TCC, Toro International, Exmark and their Affiliates, or from third parties that have purchased receivables from Toro or its Affiliates (the “</w:t>
      </w:r>
      <w:r>
        <w:rPr>
          <w:rFonts w:ascii="Times New Roman" w:cs="Times New Roman" w:eastAsia="Times New Roman" w:hAnsi="Times New Roman"/>
          <w:sz w:val="22"/>
          <w:szCs w:val="22"/>
          <w:u w:val="single" w:color="auto"/>
          <w:color w:val="auto"/>
        </w:rPr>
        <w:t>Purchased Receivables</w:t>
      </w:r>
      <w:r>
        <w:rPr>
          <w:rFonts w:ascii="Times New Roman" w:cs="Times New Roman" w:eastAsia="Times New Roman" w:hAnsi="Times New Roman"/>
          <w:sz w:val="22"/>
          <w:szCs w:val="22"/>
          <w:color w:val="auto"/>
        </w:rPr>
        <w:t xml:space="preserve">”), (ii) the funding of Borrower’s financing programs for its customers, (iii) payment of expenses and other items incurred in the ordinary course of business (including payments of principal and interest under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and (iv) distributions of “Distributable Cash” (as defined in the LLC Agreement) to the Members).</w:t>
      </w:r>
    </w:p>
    <w:p>
      <w:pPr>
        <w:spacing w:after="0" w:line="154" w:lineRule="exact"/>
        <w:rPr>
          <w:rFonts w:ascii="Times New Roman" w:cs="Times New Roman" w:eastAsia="Times New Roman" w:hAnsi="Times New Roman"/>
          <w:sz w:val="22"/>
          <w:szCs w:val="22"/>
          <w:color w:val="auto"/>
        </w:rPr>
      </w:pPr>
    </w:p>
    <w:p>
      <w:pPr>
        <w:jc w:val="both"/>
        <w:ind w:firstLine="8"/>
        <w:spacing w:after="0" w:line="215" w:lineRule="auto"/>
        <w:tabs>
          <w:tab w:leader="none" w:pos="52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Facility</w:t>
      </w:r>
      <w:r>
        <w:rPr>
          <w:rFonts w:ascii="Times New Roman" w:cs="Times New Roman" w:eastAsia="Times New Roman" w:hAnsi="Times New Roman"/>
          <w:sz w:val="22"/>
          <w:szCs w:val="22"/>
          <w:color w:val="auto"/>
        </w:rPr>
        <w:t>. So that the Members of Borrower may make a fully informed decision as to whether to continue Borrower’s existence beyond the then-current LLC Term, Lender agrees to provide to Borrower, no later than fourteen (14) months prior to the expiration of the then-current LLC Term, written notice indicating Lender’s intent with respect to the extension of the Revolving Loan facility and, if Lender intends to extend the Revolving Loan facility, the proposed material terms of such extension; provided, however, that failure to provide such notice by Lender shall not be a default of the terms of this Agreement and shall be deemed to be a declination of its willingness to extend the term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Commitment, Commitment Reductions, Etc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8"/>
        <w:spacing w:after="0" w:line="225" w:lineRule="auto"/>
        <w:tabs>
          <w:tab w:leader="none" w:pos="45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The aggregate principal amount of all Revolving Loans outstanding at a time shall not exceed the lesser of (x) the Borrowing Base and (y) $450,000,000 (or, if reduced pursuant to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or otherwise; the lesser amount to which reduced) (such lesser amount, as so reduced from time to time, to be referred to herein as the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8"/>
        <w:spacing w:after="0" w:line="212" w:lineRule="auto"/>
        <w:tabs>
          <w:tab w:leader="none" w:pos="56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or Cancellation of the Commitment</w:t>
      </w:r>
      <w:r>
        <w:rPr>
          <w:rFonts w:ascii="Times New Roman" w:cs="Times New Roman" w:eastAsia="Times New Roman" w:hAnsi="Times New Roman"/>
          <w:sz w:val="22"/>
          <w:szCs w:val="22"/>
          <w:color w:val="auto"/>
        </w:rPr>
        <w:t>. Borrower may, upon three (3) Business Days’ written notice to Lender, permanently reduce the Commitment by the amount of $1,000,000 or an integral multiple of $1,000,000 in excess thereof or cancel the Commitment in its entirety; provided, however, that (i) Borrower may not reduce the Commitment prior to the Revolving Loan Maturity Date, if, after giving effect to such reduction, the aggregate principal amount of all Revolving Loans outstanding would exceed the Commitment, (ii) Borrower may not cancel the Commitment prior to the Revolving Loan Maturity Date, if, after giving effect to such cancellation, any Obligations would remain outstanding, and (iii) Borrower may reduce or cancel the Commitment in connection with a dissolution of Borrower under the terms of the LLC Agreement. Once reduced or cancelled, the Commitment may not be increased or reinstated without the prior written consent of Lender.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Prepayments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23" w:name="page224"/>
    <w:bookmarkEnd w:id="223"/>
    <w:p>
      <w:pPr>
        <w:ind w:right="20" w:firstLine="8"/>
        <w:spacing w:after="0" w:line="236" w:lineRule="auto"/>
        <w:tabs>
          <w:tab w:leader="none" w:pos="55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At its option, Borrower may prepay, at any time and from time to time on a Business Day, any Revolving Loan in whole or in part.</w:t>
      </w:r>
    </w:p>
    <w:p>
      <w:pPr>
        <w:spacing w:after="0" w:line="150" w:lineRule="exact"/>
        <w:rPr>
          <w:rFonts w:ascii="Times New Roman" w:cs="Times New Roman" w:eastAsia="Times New Roman" w:hAnsi="Times New Roman"/>
          <w:sz w:val="22"/>
          <w:szCs w:val="22"/>
          <w:color w:val="auto"/>
        </w:rPr>
      </w:pPr>
    </w:p>
    <w:p>
      <w:pPr>
        <w:jc w:val="both"/>
        <w:ind w:firstLine="8"/>
        <w:spacing w:after="0" w:line="205" w:lineRule="auto"/>
        <w:tabs>
          <w:tab w:leader="none" w:pos="52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If, at any time, the aggregate principal amount of all Revolving Loans then outstanding exceeds the Commitment at such time, Borrower shall prepay Revolving Loans in an aggregate principal amount equal to such excess (i) by the twentieth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following month if such excess is greater than $500,000 or (ii) if less, by the end of the last day of such month. Lender acknowledges that under the terms of Section 2.4 of the LLC Agreement, required capital contributions to Borrower at the end of each month will be based upon estimates and that Borrower’s Borrowing Base compliance as determined as of the end of any month will be dependent upon the accuracy of such estimates. Borrower shall not be deemed to be in breach of this covenant as a result of reliance on such estimates so long as it complies with the provisions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2.03(b)</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Other Payment Terms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8"/>
        <w:spacing w:after="0" w:line="211" w:lineRule="auto"/>
        <w:tabs>
          <w:tab w:leader="none" w:pos="46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and Manner</w:t>
      </w:r>
      <w:r>
        <w:rPr>
          <w:rFonts w:ascii="Times New Roman" w:cs="Times New Roman" w:eastAsia="Times New Roman" w:hAnsi="Times New Roman"/>
          <w:sz w:val="22"/>
          <w:szCs w:val="22"/>
          <w:color w:val="auto"/>
        </w:rPr>
        <w:t xml:space="preserve">. Borrower shall make all payments due to Lender hereunder without setoff, counterclaim or deduction by payments at Lender’s office, located at the address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or to such other place or account as Lender may designate from time to time in writing to Borrower, in lawful money of the United States and in same day or immediately available funds not later than 2:00 p.m. on the date due. Borrower shall establish various bank accounts, including a parent account, an electronic disbursements account, a manual collections account, an electronic collections account, and one or more Lock Box accounts. Each day, funds will be transferred electronically between the parent account and the electronic disbursement, manual collections, electronic collections and the Lock Box accounts so as to result in a zero balance in all accounts other than the parent account. The balance in the parent account, if positive, will be transferred electronically to Lender and applied pursuant to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8"/>
        <w:spacing w:after="0" w:line="236" w:lineRule="auto"/>
        <w:tabs>
          <w:tab w:leader="none" w:pos="4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Whenever any payment due hereunder shall fall due on a day other than a Business Day, such payment shall be made on the next succeeding Business Day, and such extension of time shall be included in the computation of interest.</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56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If any amounts required to be paid by Borrower under this Agreement or the other Credit Documents (including principal or interest payable on any Revolving Loan or other amounts) remain unpaid when due, Borrower shall pay interest on the aggregate outstanding balance of such amounts from the due date thereof until such amounts are paid in full at a per annum rate equal to the TCFIF Rate from time to time in effect plus two percent (2.00%) (or, if less, the maximum amount permitted by law), such rate to change from time to time as the TCFIF Rate shall change. All computations of such interest shall be based on a year of 365 days for actual days elapsed.</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9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All payments hereunder shall be applied first to unpaid costs and expenses then due and payable under this Agreement or the other Credit Documents, second to accrued interest then due and payable under this Agreement or the other Credit Documents and finally to reduce the principal amount of outstanding Revolving Loans.</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49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Seller Credits</w:t>
      </w:r>
      <w:r>
        <w:rPr>
          <w:rFonts w:ascii="Times New Roman" w:cs="Times New Roman" w:eastAsia="Times New Roman" w:hAnsi="Times New Roman"/>
          <w:sz w:val="22"/>
          <w:szCs w:val="22"/>
          <w:color w:val="auto"/>
        </w:rPr>
        <w:t xml:space="preserve">. At Lender’s request, Borrower shall pay all Seller Credits to Lender as soon as the same are received for application to the Obligations. At any time Lender is entitled to terminate the Commitment after the occurrence and during the continuance of an Event of Default under </w:t>
      </w:r>
      <w:r>
        <w:rPr>
          <w:rFonts w:ascii="Times New Roman" w:cs="Times New Roman" w:eastAsia="Times New Roman" w:hAnsi="Times New Roman"/>
          <w:sz w:val="22"/>
          <w:szCs w:val="22"/>
          <w:u w:val="single" w:color="auto"/>
          <w:color w:val="auto"/>
        </w:rPr>
        <w:t>Section 6.01(f)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6.01(g)</w:t>
      </w:r>
      <w:r>
        <w:rPr>
          <w:rFonts w:ascii="Times New Roman" w:cs="Times New Roman" w:eastAsia="Times New Roman" w:hAnsi="Times New Roman"/>
          <w:sz w:val="22"/>
          <w:szCs w:val="22"/>
          <w:color w:val="auto"/>
        </w:rPr>
        <w:t>, Borrower authorizes Lender to collect such amounts directly from Sellers and, upon request of Lender, shall instruct Sellers to pay Lender directly.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Revolving Loan Note and Interest Account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24" w:name="page225"/>
    <w:bookmarkEnd w:id="224"/>
    <w:p>
      <w:pPr>
        <w:jc w:val="both"/>
        <w:ind w:firstLine="8"/>
        <w:spacing w:after="0" w:line="217" w:lineRule="auto"/>
        <w:tabs>
          <w:tab w:leader="none" w:pos="53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Loan Note</w:t>
      </w:r>
      <w:r>
        <w:rPr>
          <w:rFonts w:ascii="Times New Roman" w:cs="Times New Roman" w:eastAsia="Times New Roman" w:hAnsi="Times New Roman"/>
          <w:sz w:val="22"/>
          <w:szCs w:val="22"/>
          <w:color w:val="auto"/>
        </w:rPr>
        <w:t xml:space="preserve">. The obligation of Borrower to repay the Revolving Loans and to pay interest thereon at the rates provided herein shall be evidenced by a promissory note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Revolving Loan Note</w:t>
      </w:r>
      <w:r>
        <w:rPr>
          <w:rFonts w:ascii="Times New Roman" w:cs="Times New Roman" w:eastAsia="Times New Roman" w:hAnsi="Times New Roman"/>
          <w:sz w:val="22"/>
          <w:szCs w:val="22"/>
          <w:color w:val="auto"/>
        </w:rPr>
        <w:t>”), which note shall be (i) in the original principal amount of $450,000,000, (ii) dated the Closing Date and (iii) otherwise appropriately completed. Lender shall record on its general ledger the date and amount of each Revolving Loan and of each payment or prepayment of principal and each payment of interest or other amounts thereon made by Borrower.</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50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Account</w:t>
      </w:r>
      <w:r>
        <w:rPr>
          <w:rFonts w:ascii="Times New Roman" w:cs="Times New Roman" w:eastAsia="Times New Roman" w:hAnsi="Times New Roman"/>
          <w:sz w:val="22"/>
          <w:szCs w:val="22"/>
          <w:color w:val="auto"/>
        </w:rPr>
        <w:t>. Borrower authorizes Lender to record in an account or accounts maintained by Lender on its books (the “</w:t>
      </w:r>
      <w:r>
        <w:rPr>
          <w:rFonts w:ascii="Times New Roman" w:cs="Times New Roman" w:eastAsia="Times New Roman" w:hAnsi="Times New Roman"/>
          <w:sz w:val="22"/>
          <w:szCs w:val="22"/>
          <w:u w:val="single" w:color="auto"/>
          <w:color w:val="auto"/>
        </w:rPr>
        <w:t>Interest Account</w:t>
      </w:r>
      <w:r>
        <w:rPr>
          <w:rFonts w:ascii="Times New Roman" w:cs="Times New Roman" w:eastAsia="Times New Roman" w:hAnsi="Times New Roman"/>
          <w:sz w:val="22"/>
          <w:szCs w:val="22"/>
          <w:color w:val="auto"/>
        </w:rPr>
        <w:t>”) (i) the interest rates applicable to all Revolving Loans and the effective dates of all changes thereto, (ii) the date and amount of each principal and interest payment on each Revolving Loan and (iii) such other information as Lender may determine is necessary for the computation of interest payable by Borrower hereunder.</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5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Notations</w:t>
      </w:r>
      <w:r>
        <w:rPr>
          <w:rFonts w:ascii="Times New Roman" w:cs="Times New Roman" w:eastAsia="Times New Roman" w:hAnsi="Times New Roman"/>
          <w:sz w:val="22"/>
          <w:szCs w:val="22"/>
          <w:color w:val="auto"/>
        </w:rPr>
        <w:t>. Borrower agrees that all notations on the Schedule annexed to the Revolving Loan Note and the Interest Account shall constitute prima facie evidence of the matters noted absent manifest error; provided, however, that the failure of Lender to make any such notation shall not affect Borrower’s Obligations.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Revolving Loan Funding</w:t>
      </w:r>
      <w:r>
        <w:rPr>
          <w:rFonts w:ascii="Times New Roman" w:cs="Times New Roman" w:eastAsia="Times New Roman" w:hAnsi="Times New Roman"/>
          <w:sz w:val="22"/>
          <w:szCs w:val="22"/>
          <w:color w:val="auto"/>
        </w:rPr>
        <w:t>. Unless otherwise directed by Borrower, Lender shall disburse the proceeds of each Revolving Loan to Borrower by disbursement to such account at such bank as Borrower may designate from time to time in writing to Lender from time to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[Reserved]</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Additional Compensation in Certain Circumstances; Increased Costs or Reduced Return Resulting from Taxes, Reserves,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 Adequacy Requirements, Expenses, Etc.</w:t>
      </w:r>
      <w:r>
        <w:rPr>
          <w:rFonts w:ascii="Times New Roman" w:cs="Times New Roman" w:eastAsia="Times New Roman" w:hAnsi="Times New Roman"/>
          <w:sz w:val="22"/>
          <w:szCs w:val="22"/>
          <w:color w:val="auto"/>
        </w:rPr>
        <w:t xml:space="preserve"> If any change in any Requirement of Law, guideline or interpretation or application thereof by any Governmental Authority charged with the interpretation or administration thereof or compliance with any request or directive (whether or not having the force of a Requirement of Law) of any central bank or other Governmental Authority:</w:t>
      </w:r>
    </w:p>
    <w:p>
      <w:pPr>
        <w:spacing w:after="0" w:line="152" w:lineRule="exact"/>
        <w:rPr>
          <w:sz w:val="20"/>
          <w:szCs w:val="20"/>
          <w:color w:val="auto"/>
        </w:rPr>
      </w:pPr>
    </w:p>
    <w:p>
      <w:pPr>
        <w:ind w:firstLine="8"/>
        <w:spacing w:after="0" w:line="236" w:lineRule="auto"/>
        <w:tabs>
          <w:tab w:leader="none" w:pos="56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subjects Lender to any Taxes or changes the basis of taxation with respect to this Agreement, the Revolving Loans or payments by Borrower of principal, interest, fees, or other amounts due from Borrower hereunder,</w:t>
      </w:r>
    </w:p>
    <w:p>
      <w:pPr>
        <w:spacing w:after="0" w:line="150" w:lineRule="exact"/>
        <w:rPr>
          <w:rFonts w:ascii="Times New Roman" w:cs="Times New Roman" w:eastAsia="Times New Roman" w:hAnsi="Times New Roman"/>
          <w:sz w:val="22"/>
          <w:szCs w:val="22"/>
          <w:color w:val="auto"/>
        </w:rPr>
      </w:pPr>
    </w:p>
    <w:p>
      <w:pPr>
        <w:jc w:val="both"/>
        <w:ind w:firstLine="8"/>
        <w:spacing w:after="0" w:line="225" w:lineRule="auto"/>
        <w:tabs>
          <w:tab w:leader="none" w:pos="47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imposes, modifies or deems applicable any reserve, special deposit or similar requirement against credits or commitments to extend credit extended by, or assets (funded or contingent) of, deposits with or for the account of, or other acquisitions of funds by, Lender, or</w:t>
      </w:r>
    </w:p>
    <w:p>
      <w:pPr>
        <w:spacing w:after="0" w:line="152" w:lineRule="exact"/>
        <w:rPr>
          <w:rFonts w:ascii="Times New Roman" w:cs="Times New Roman" w:eastAsia="Times New Roman" w:hAnsi="Times New Roman"/>
          <w:sz w:val="22"/>
          <w:szCs w:val="22"/>
          <w:color w:val="auto"/>
        </w:rPr>
      </w:pPr>
    </w:p>
    <w:p>
      <w:pPr>
        <w:jc w:val="both"/>
        <w:ind w:right="20" w:firstLine="8"/>
        <w:spacing w:after="0" w:line="225" w:lineRule="auto"/>
        <w:tabs>
          <w:tab w:leader="none" w:pos="47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imposes, modifies or deems applicable any capital adequacy or similar requirement (i) against assets (funded or contingent) of, or other credits or commitments to extend credit extended by, Lender, or (ii) otherwise applicable to the obligations of Lender under this Agreement,</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and the result of any of the foregoing is to increase the cost to, reduce the income receivable by, or impose any expense (including loss of margin) upon Lender with respect to this Agreement or the making, maintenance or funding of any part of the Revolving Loans (or, in the case of any capital adequacy or similar requirement, to have the effect of reducing the rate of return on Lender’s capital, taking into consideration Lender’s customary policies with respect to capital adequacy) by an amount which Lender in its sole discretion deems to be material, Lender shall from time to time notify Borrower of the amount determined in good faith by Lender to be necessary to compensate Lender for such increase in cost, reduction of income,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25" w:name="page226"/>
    <w:bookmarkEnd w:id="225"/>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expense or reduced rate of return. Such notice shall set forth in reasonable detail the basis for such determination. Such amount shall be due and payable by Borrower to Lender ten (10) Business Days after such notice is given. If Lender fails to give such notice within three hundred sixty-five (365) days after it obtains knowledge of such event, Lender shall, with respect to compensation payable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only be entitled to payment for increase in cost, reduction of income, additional expense or reduced rate of return incurred from and after the date three hundred sixty five (365) days prior to the date that Lender does give such notice.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III</w:t>
      </w: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3.01 </w:t>
      </w:r>
      <w:r>
        <w:rPr>
          <w:rFonts w:ascii="Times New Roman" w:cs="Times New Roman" w:eastAsia="Times New Roman" w:hAnsi="Times New Roman"/>
          <w:sz w:val="21"/>
          <w:szCs w:val="21"/>
          <w:u w:val="single" w:color="auto"/>
          <w:color w:val="auto"/>
        </w:rPr>
        <w:t>Conditions Precedent to Initial Revolving Loan</w:t>
      </w:r>
      <w:r>
        <w:rPr>
          <w:rFonts w:ascii="Times New Roman" w:cs="Times New Roman" w:eastAsia="Times New Roman" w:hAnsi="Times New Roman"/>
          <w:sz w:val="21"/>
          <w:szCs w:val="21"/>
          <w:color w:val="auto"/>
        </w:rPr>
        <w:t>. The obligation of Lender to make the initial Revolving Loan is subject to receipt by Lender, on or prior to the Closing Date, of the following documents, each in form and substance satisfactory to Lender:</w:t>
      </w:r>
    </w:p>
    <w:p>
      <w:pPr>
        <w:spacing w:after="0" w:line="135"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Borrower;</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Loan Note payable to Lender, duly executed by Borrower;</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duly executed and delivered to Lender;</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organizational documents of each of the Members;</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 of Formation of Borrower;</w:t>
      </w:r>
    </w:p>
    <w:p>
      <w:pPr>
        <w:spacing w:after="0" w:line="17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Venture Agreement duly executed by the parties thereto;</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LLC Agreement duly executed by the parties thereto;</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57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general manager of Borrower, dated the Closing Date, certifying that attached thereto are true and correct copies of resolutions duly adopted by the Board of Managers of Borrower and continuing in effect, which authorize the execution, delivery and performance by Borrower of this Agreement and the other Credit Documents executed or to be executed by Borrower and the consummation of the transactions contemplated hereby and thereby; and</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57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general manager of Borrower, dated the Closing Date, certifying the incumbency, signatures and authority of the members of the Board of Managers of Borrower or other officers of Borrower authorized to execute, deliver and perform this Agreement and the other applicable Credit Documents on behalf of Borrower.</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Conditions Precedent to Each Revolving Loan</w:t>
      </w:r>
      <w:r>
        <w:rPr>
          <w:rFonts w:ascii="Times New Roman" w:cs="Times New Roman" w:eastAsia="Times New Roman" w:hAnsi="Times New Roman"/>
          <w:sz w:val="22"/>
          <w:szCs w:val="22"/>
          <w:color w:val="auto"/>
        </w:rPr>
        <w:t>. The obligation of Lender to make each Revolving Loan, including the making of the initial Revolving Loan, is subject to the further conditions that Lender shall have received the appropriate Revolving Loan Borrowing Request requesting such Revolving Loan, or request therefor shall otherwise have been made to Lender’s satisfaction, in accordance with the terms of this Agreement and that on the date such Revolving Loan is to be made and after giving effect to such Revolving Loan, the following shall be true and correct:</w:t>
      </w:r>
    </w:p>
    <w:p>
      <w:pPr>
        <w:spacing w:after="0" w:line="139" w:lineRule="exact"/>
        <w:rPr>
          <w:sz w:val="20"/>
          <w:szCs w:val="20"/>
          <w:color w:val="auto"/>
        </w:rPr>
      </w:pPr>
    </w:p>
    <w:p>
      <w:pPr>
        <w:ind w:left="500" w:hanging="492"/>
        <w:spacing w:after="0"/>
        <w:tabs>
          <w:tab w:leader="none" w:pos="5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true and correct in all material respects as if made on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155"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and is continuing that would permit the Lender to terminate the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26" w:name="page227"/>
    <w:bookmarkEnd w:id="226"/>
    <w:p>
      <w:pPr>
        <w:ind w:left="460" w:hanging="452"/>
        <w:spacing w:after="0"/>
        <w:tabs>
          <w:tab w:leader="none" w:pos="4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Adverse Effect or Acceleration Event has occurred and is continuing; and</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Credit Documents remains in full force and effect.</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u w:val="single" w:color="auto"/>
          <w:color w:val="auto"/>
        </w:rPr>
        <w:t>Covenant to Deliver</w:t>
      </w:r>
      <w:r>
        <w:rPr>
          <w:rFonts w:ascii="Times New Roman" w:cs="Times New Roman" w:eastAsia="Times New Roman" w:hAnsi="Times New Roman"/>
          <w:sz w:val="22"/>
          <w:szCs w:val="22"/>
          <w:color w:val="auto"/>
        </w:rPr>
        <w:t>. Borrower agrees (not as a condition but as a covenant) to deliver to Lender each item required to be delivered to Lender as a condition to the making of each Revolving Loan. Borrower expressly agrees that the making of any Revolving Loan prior to the receipt by Lender of any such item shall not constitute a waiver by Lender of Borrower’s obligation to deliver such item.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IV</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Borrower’s Representations and Warranties</w:t>
      </w:r>
      <w:r>
        <w:rPr>
          <w:rFonts w:ascii="Times New Roman" w:cs="Times New Roman" w:eastAsia="Times New Roman" w:hAnsi="Times New Roman"/>
          <w:sz w:val="22"/>
          <w:szCs w:val="22"/>
          <w:color w:val="auto"/>
        </w:rPr>
        <w:t>. To induce Lender to enter into this Agreement and to make Revolving Loans hereunder, Borrower represents and warrants to Lender that:</w:t>
      </w:r>
    </w:p>
    <w:p>
      <w:pPr>
        <w:spacing w:after="0" w:line="150" w:lineRule="exact"/>
        <w:rPr>
          <w:sz w:val="20"/>
          <w:szCs w:val="20"/>
          <w:color w:val="auto"/>
        </w:rPr>
      </w:pPr>
    </w:p>
    <w:p>
      <w:pPr>
        <w:jc w:val="both"/>
        <w:ind w:firstLine="8"/>
        <w:spacing w:after="0" w:line="217" w:lineRule="auto"/>
        <w:tabs>
          <w:tab w:leader="none" w:pos="48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Organization, Qualification, Etc</w:t>
      </w:r>
      <w:r>
        <w:rPr>
          <w:rFonts w:ascii="Times New Roman" w:cs="Times New Roman" w:eastAsia="Times New Roman" w:hAnsi="Times New Roman"/>
          <w:sz w:val="22"/>
          <w:szCs w:val="22"/>
          <w:color w:val="auto"/>
        </w:rPr>
        <w:t>. Borrower (i) is a limited liability company duly organized and validly existing under the laws of the state of Delaware; (ii) has the power and authority to own, lease and operate its properties and carry on its business as now conducted and as proposed to be conducted; and (iii) is duly qualified or licensed to do business in each jurisdiction where the nature of the business of Borrower requires such qualification or licensing and the failure to be so qualified or licensed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8"/>
        <w:spacing w:after="0" w:line="226" w:lineRule="auto"/>
        <w:tabs>
          <w:tab w:leader="none" w:pos="46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The execution, delivery and performance by Borrower of each Credit Document to be executed by Borrower and the consummation of the transactions contemplated thereby (i) are within the limited liability company power of Borrower and</w:t>
      </w:r>
    </w:p>
    <w:p>
      <w:pPr>
        <w:spacing w:after="0" w:line="1" w:lineRule="exact"/>
        <w:rPr>
          <w:rFonts w:ascii="Times New Roman" w:cs="Times New Roman" w:eastAsia="Times New Roman" w:hAnsi="Times New Roman"/>
          <w:sz w:val="21"/>
          <w:szCs w:val="21"/>
          <w:color w:val="auto"/>
        </w:rPr>
      </w:pPr>
    </w:p>
    <w:p>
      <w:pPr>
        <w:ind w:right="20" w:firstLine="8"/>
        <w:spacing w:after="0" w:line="225" w:lineRule="auto"/>
        <w:tabs>
          <w:tab w:leader="none" w:pos="34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duly authorized by all necessary limited liability company actions on the part of Borrower (including Member action, if necessary).</w:t>
      </w:r>
    </w:p>
    <w:p>
      <w:pPr>
        <w:spacing w:after="0" w:line="149" w:lineRule="exact"/>
        <w:rPr>
          <w:rFonts w:ascii="Times New Roman" w:cs="Times New Roman" w:eastAsia="Times New Roman" w:hAnsi="Times New Roman"/>
          <w:sz w:val="22"/>
          <w:szCs w:val="22"/>
          <w:color w:val="auto"/>
        </w:rPr>
      </w:pPr>
    </w:p>
    <w:p>
      <w:pPr>
        <w:jc w:val="both"/>
        <w:ind w:firstLine="8"/>
        <w:spacing w:after="0" w:line="225" w:lineRule="auto"/>
        <w:tabs>
          <w:tab w:leader="none" w:pos="52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Each Credit Document executed, or to be executed, by Borrower has been, or will be, duly executed and delivered by Borrower and constitutes, or will constitute, a legal, valid and binding obligation of Borrower enforceable against Borrower in accordance with its terms.</w:t>
      </w:r>
    </w:p>
    <w:p>
      <w:pPr>
        <w:spacing w:after="0" w:line="152" w:lineRule="exact"/>
        <w:rPr>
          <w:rFonts w:ascii="Times New Roman" w:cs="Times New Roman" w:eastAsia="Times New Roman" w:hAnsi="Times New Roman"/>
          <w:sz w:val="22"/>
          <w:szCs w:val="22"/>
          <w:color w:val="auto"/>
        </w:rPr>
      </w:pPr>
    </w:p>
    <w:p>
      <w:pPr>
        <w:jc w:val="both"/>
        <w:ind w:firstLine="8"/>
        <w:spacing w:after="0" w:line="215" w:lineRule="auto"/>
        <w:tabs>
          <w:tab w:leader="none" w:pos="58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The execution and delivery by Borrower of the Credit Documents executed by Borrower and the performance and consummation of the transactions contemplated thereby do not (i) violate any Requirement of Law applicable to Borrower; (ii) violate any provision of, or result in the breach or the acceleration of, or entitle any other Person to accelerate (whether after the giving of notice or lapse of time or both), any Contractual Obligation of Borrower; or (iii) result in the creation or imposition of any Lien upon any property, asset or revenue of Borrower (except such Liens as may be created in favor of Lender pursuant to this Agreement or the other Credit Documents).</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537"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No consent, approval, order or authorization of, or registration, declaration or filing with, any Governmental Authority or other Person (including the partners, members or shareholders of any Person) that has not been obtained on or prior to the Closing Date is required in connection with the execution and delivery of the Credit Documents executed by Borrower and the consummation and performance of the transactions contemplated thereby.</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4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Borrower is not in violation of or in default with respect to (i) any Requirement of Law applicable to it or (ii) any Contractual Obligation of it (nor is there any waiver in effect which, if not in effect, would result in such a violation or default),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individually or in the aggregate, such violations or defaults could reasonably be expected to have a Material Adverse Effect.</w:t>
      </w:r>
    </w:p>
    <w:p>
      <w:pPr>
        <w:spacing w:after="0" w:line="179" w:lineRule="exact"/>
        <w:rPr>
          <w:sz w:val="20"/>
          <w:szCs w:val="20"/>
          <w:color w:val="auto"/>
        </w:rPr>
      </w:pPr>
    </w:p>
    <w:p>
      <w:pPr>
        <w:jc w:val="both"/>
        <w:ind w:firstLine="8"/>
        <w:spacing w:after="0" w:line="220" w:lineRule="auto"/>
        <w:tabs>
          <w:tab w:leader="none" w:pos="46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No actions, suits, proceedings or investigations are pending or, to the knowledge of Borrower, threatened against Borrower at law or in equity in any court or before any other Governmental Authority which (i) could reasonably be expected to (individually or in the aggregate) have a Material Adverse Effect or (ii) seek to enjoin, either directly or indirectly, the execution, delivery or performance by Borrower of the Credit Documents or the transactions contemplated thereby.</w:t>
      </w:r>
    </w:p>
    <w:p>
      <w:pPr>
        <w:spacing w:after="0" w:line="152" w:lineRule="exact"/>
        <w:rPr>
          <w:rFonts w:ascii="Times New Roman" w:cs="Times New Roman" w:eastAsia="Times New Roman" w:hAnsi="Times New Roman"/>
          <w:sz w:val="22"/>
          <w:szCs w:val="22"/>
          <w:color w:val="auto"/>
        </w:rPr>
      </w:pPr>
    </w:p>
    <w:p>
      <w:pPr>
        <w:jc w:val="both"/>
        <w:ind w:firstLine="8"/>
        <w:spacing w:after="0" w:line="215" w:lineRule="auto"/>
        <w:tabs>
          <w:tab w:leader="none" w:pos="50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Borrower owns and has good and marketable title in fee simple absolute to, or a valid leasehold interest in, all of its real properties and good title to its other respective assets and properties as reflected in the most recent Financial Statements delivered to Lender (except those assets and properties disposed of in the ordinary course of business or otherwise in compliance with this Agreement since the date of such Financial Statements) and all respective assets and properties acquired by Borrower since such date (except those disposed of in the ordinary course of business or otherwise in compliance with this Agreement), including all of the Collateral. Such assets and properties are subject to no Liens, except for Permitted Liens.</w:t>
      </w:r>
    </w:p>
    <w:p>
      <w:pPr>
        <w:spacing w:after="0" w:line="152" w:lineRule="exact"/>
        <w:rPr>
          <w:rFonts w:ascii="Times New Roman" w:cs="Times New Roman" w:eastAsia="Times New Roman" w:hAnsi="Times New Roman"/>
          <w:sz w:val="22"/>
          <w:szCs w:val="22"/>
          <w:color w:val="auto"/>
        </w:rPr>
      </w:pPr>
    </w:p>
    <w:p>
      <w:pPr>
        <w:jc w:val="both"/>
        <w:ind w:firstLine="8"/>
        <w:spacing w:after="0" w:line="217" w:lineRule="auto"/>
        <w:tabs>
          <w:tab w:leader="none" w:pos="4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Financial Statements of Borrower that have been delivered to Lender, (i) are in accordance with the books and records of Borrower, which have been maintained in accordance with good business practice; (ii) have been prepared in conformity with GAAP and (iii) fairly present the financial position of Borrower at such date. Borrower does not have any contingent obligations, liability for Taxes or other outstanding obligations which are material in the aggregate, except as disclosed in the Financial Statements most recently delivered to Lender pursuant to </w:t>
      </w:r>
      <w:r>
        <w:rPr>
          <w:rFonts w:ascii="Times New Roman" w:cs="Times New Roman" w:eastAsia="Times New Roman" w:hAnsi="Times New Roman"/>
          <w:sz w:val="22"/>
          <w:szCs w:val="22"/>
          <w:u w:val="single" w:color="auto"/>
          <w:color w:val="auto"/>
        </w:rPr>
        <w:t>Section 5.01(a)(i)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Membership Interests</w:t>
      </w:r>
      <w:r>
        <w:rPr>
          <w:rFonts w:ascii="Times New Roman" w:cs="Times New Roman" w:eastAsia="Times New Roman" w:hAnsi="Times New Roman"/>
          <w:sz w:val="22"/>
          <w:szCs w:val="22"/>
          <w:color w:val="auto"/>
        </w:rPr>
        <w:t>. Outstanding Membership Interests of Borrower are owned as follows:</w:t>
      </w:r>
    </w:p>
    <w:p>
      <w:pPr>
        <w:spacing w:after="0" w:line="17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2"/>
          <w:szCs w:val="22"/>
          <w:color w:val="auto"/>
        </w:rPr>
        <w:t>Toro Sub:</w:t>
      </w:r>
      <w:r>
        <w:rPr>
          <w:sz w:val="20"/>
          <w:szCs w:val="20"/>
          <w:color w:val="auto"/>
        </w:rPr>
        <w:tab/>
      </w:r>
      <w:r>
        <w:rPr>
          <w:rFonts w:ascii="Times New Roman" w:cs="Times New Roman" w:eastAsia="Times New Roman" w:hAnsi="Times New Roman"/>
          <w:sz w:val="21"/>
          <w:szCs w:val="21"/>
          <w:color w:val="auto"/>
        </w:rPr>
        <w:t>45%</w:t>
      </w:r>
    </w:p>
    <w:p>
      <w:pPr>
        <w:spacing w:after="0" w:line="179" w:lineRule="exact"/>
        <w:rPr>
          <w:sz w:val="20"/>
          <w:szCs w:val="20"/>
          <w:color w:val="auto"/>
        </w:rPr>
      </w:pPr>
    </w:p>
    <w:p>
      <w:pPr>
        <w:ind w:left="1960"/>
        <w:spacing w:after="0"/>
        <w:tabs>
          <w:tab w:leader="none" w:pos="3400" w:val="left"/>
        </w:tabs>
        <w:rPr>
          <w:sz w:val="20"/>
          <w:szCs w:val="20"/>
          <w:color w:val="auto"/>
        </w:rPr>
      </w:pPr>
      <w:r>
        <w:rPr>
          <w:rFonts w:ascii="Times New Roman" w:cs="Times New Roman" w:eastAsia="Times New Roman" w:hAnsi="Times New Roman"/>
          <w:sz w:val="22"/>
          <w:szCs w:val="22"/>
          <w:color w:val="auto"/>
        </w:rPr>
        <w:t>TCFIF Sub:</w:t>
      </w:r>
      <w:r>
        <w:rPr>
          <w:sz w:val="20"/>
          <w:szCs w:val="20"/>
          <w:color w:val="auto"/>
        </w:rPr>
        <w:tab/>
      </w:r>
      <w:r>
        <w:rPr>
          <w:rFonts w:ascii="Times New Roman" w:cs="Times New Roman" w:eastAsia="Times New Roman" w:hAnsi="Times New Roman"/>
          <w:sz w:val="21"/>
          <w:szCs w:val="21"/>
          <w:color w:val="auto"/>
        </w:rPr>
        <w:t>55%</w:t>
      </w:r>
    </w:p>
    <w:p>
      <w:pPr>
        <w:spacing w:after="0" w:line="179" w:lineRule="exact"/>
        <w:rPr>
          <w:sz w:val="20"/>
          <w:szCs w:val="20"/>
          <w:color w:val="auto"/>
        </w:rPr>
      </w:pPr>
    </w:p>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All outstanding Membership Interests of Borrower are duly authorized, validly issued and fully paid, subject to the “Purchase Capital Contribution” and the “Additional Capital Contribution” requirements set forth in Sections 2.03 and 2.04 of the LLC Agreement, respectively. There are no outstanding subscriptions, options, conversion rights, warrants or other agreements or commitments of any nature whatsoever (firm or conditional) regarding the Membership Interests of Borrower other than as contemplated by the Joint Venture Agreement or the LLC Agreement. All Membership Interests of Borrower have been offered and sold in compliance with all federal and state securities laws and all other Requirements of Law.</w:t>
      </w:r>
    </w:p>
    <w:p>
      <w:pPr>
        <w:spacing w:after="0" w:line="156" w:lineRule="exact"/>
        <w:rPr>
          <w:sz w:val="20"/>
          <w:szCs w:val="20"/>
          <w:color w:val="auto"/>
        </w:rPr>
      </w:pPr>
    </w:p>
    <w:p>
      <w:pPr>
        <w:jc w:val="both"/>
        <w:ind w:firstLine="8"/>
        <w:spacing w:after="0" w:line="225" w:lineRule="auto"/>
        <w:tabs>
          <w:tab w:leader="none" w:pos="46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Agreements to Sell Assets, Etc</w:t>
      </w:r>
      <w:r>
        <w:rPr>
          <w:rFonts w:ascii="Times New Roman" w:cs="Times New Roman" w:eastAsia="Times New Roman" w:hAnsi="Times New Roman"/>
          <w:sz w:val="22"/>
          <w:szCs w:val="22"/>
          <w:color w:val="auto"/>
        </w:rPr>
        <w:t>. Borrower has no legal obligation, absolute or contingent, to any Person to sell the assets of Borrower (other than sales in the ordinary course of business), or to effect any merger, consolidation or other reorganization of Borrower or to enter into any agreement with respect thereto.</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3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As of the date hereof, Borrower does not maintain or contribute to, nor has it any obligation under any Employee Benefit Plan of any type or nature whatsoever. Borrower does not contribute to and does not have any liability with respect to any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28" w:name="page229"/>
    <w:bookmarkEnd w:id="228"/>
    <w:p>
      <w:pPr>
        <w:jc w:val="both"/>
        <w:ind w:firstLine="8"/>
        <w:spacing w:after="0" w:line="225" w:lineRule="auto"/>
        <w:tabs>
          <w:tab w:leader="none" w:pos="59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Regulations</w:t>
      </w:r>
      <w:r>
        <w:rPr>
          <w:rFonts w:ascii="Times New Roman" w:cs="Times New Roman" w:eastAsia="Times New Roman" w:hAnsi="Times New Roman"/>
          <w:sz w:val="22"/>
          <w:szCs w:val="22"/>
          <w:color w:val="auto"/>
        </w:rPr>
        <w:t>. Borrower is not subject to regulation under the Investment Company Act of 1940, the Public Utility Holding Company Act of 1935, the Federal Power Act, any state public utilities code or to any federal or state statute or regulation limiting its ability to incur Indebtedness.</w:t>
      </w:r>
    </w:p>
    <w:p>
      <w:pPr>
        <w:spacing w:after="0" w:line="152" w:lineRule="exact"/>
        <w:rPr>
          <w:rFonts w:ascii="Times New Roman" w:cs="Times New Roman" w:eastAsia="Times New Roman" w:hAnsi="Times New Roman"/>
          <w:sz w:val="22"/>
          <w:szCs w:val="22"/>
          <w:color w:val="auto"/>
        </w:rPr>
      </w:pPr>
    </w:p>
    <w:p>
      <w:pPr>
        <w:jc w:val="both"/>
        <w:ind w:firstLine="8"/>
        <w:spacing w:after="0" w:line="215" w:lineRule="auto"/>
        <w:tabs>
          <w:tab w:leader="none" w:pos="46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Charges and Other Indebtedness</w:t>
      </w:r>
      <w:r>
        <w:rPr>
          <w:rFonts w:ascii="Times New Roman" w:cs="Times New Roman" w:eastAsia="Times New Roman" w:hAnsi="Times New Roman"/>
          <w:sz w:val="22"/>
          <w:szCs w:val="22"/>
          <w:color w:val="auto"/>
        </w:rPr>
        <w:t>. Borrower has filed or caused to be filed all tax returns which are required to be filed by it. Borrower has paid, or made provision for the payment of, all taxes and other Governmental Charges which have or may have become due pursuant to said returns or otherwise and all other Indebtedness which has become due, except for such Governmental Charges or Indebtedness, if any, which are being contested in good faith and as to which adequate reserves (determined in accordance with GAAP) have been provided or which could not reasonably be expected to have a Material Adverse Effect if unpaid.</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52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Etc</w:t>
      </w:r>
      <w:r>
        <w:rPr>
          <w:rFonts w:ascii="Times New Roman" w:cs="Times New Roman" w:eastAsia="Times New Roman" w:hAnsi="Times New Roman"/>
          <w:sz w:val="22"/>
          <w:szCs w:val="22"/>
          <w:color w:val="auto"/>
        </w:rPr>
        <w:t>. Borrower has no Subsidiaries, is not a partner in any partnership and is not a joint venturer in any joint venture.</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50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No event has occurred and no condition exists which could reasonably be expected to have a Material Adverse Effect.</w:t>
      </w:r>
    </w:p>
    <w:p>
      <w:pPr>
        <w:spacing w:after="0" w:line="150" w:lineRule="exact"/>
        <w:rPr>
          <w:rFonts w:ascii="Times New Roman" w:cs="Times New Roman" w:eastAsia="Times New Roman" w:hAnsi="Times New Roman"/>
          <w:sz w:val="22"/>
          <w:szCs w:val="22"/>
          <w:color w:val="auto"/>
        </w:rPr>
      </w:pPr>
    </w:p>
    <w:p>
      <w:pPr>
        <w:jc w:val="both"/>
        <w:ind w:firstLine="8"/>
        <w:spacing w:after="0" w:line="225" w:lineRule="auto"/>
        <w:tabs>
          <w:tab w:leader="none" w:pos="48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Regarding Collateral</w:t>
      </w:r>
      <w:r>
        <w:rPr>
          <w:rFonts w:ascii="Times New Roman" w:cs="Times New Roman" w:eastAsia="Times New Roman" w:hAnsi="Times New Roman"/>
          <w:sz w:val="22"/>
          <w:szCs w:val="22"/>
          <w:color w:val="auto"/>
        </w:rPr>
        <w:t>. Borrower keeps and maintains its books and records regarding its accounts and chattel paper at its chief executive office in Hoffman Estates, Illinois or at its office in Bloomington, Minnesota. The only locations at which any Collateral is located are at its offices in Bloomington, Minnesota and Hoffman Estates, Illinois.</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3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All of Borrower’s accounts are bona fide existing receivables created by Toro, an Affiliate of Toro or a distributor of Toro in the regular course of business of Toro or such Affiliate or distributor to their respective account debtors or acquired by Toro or an Affiliate of Toro in connection with the acquisition of the business of another party.</w:t>
      </w:r>
    </w:p>
    <w:p>
      <w:pPr>
        <w:spacing w:after="0" w:line="152" w:lineRule="exact"/>
        <w:rPr>
          <w:rFonts w:ascii="Times New Roman" w:cs="Times New Roman" w:eastAsia="Times New Roman" w:hAnsi="Times New Roman"/>
          <w:sz w:val="22"/>
          <w:szCs w:val="22"/>
          <w:color w:val="auto"/>
        </w:rPr>
      </w:pPr>
    </w:p>
    <w:p>
      <w:pPr>
        <w:jc w:val="both"/>
        <w:ind w:firstLine="8"/>
        <w:spacing w:after="0" w:line="231" w:lineRule="auto"/>
        <w:tabs>
          <w:tab w:leader="none" w:pos="60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Information Furnished</w:t>
      </w:r>
      <w:r>
        <w:rPr>
          <w:rFonts w:ascii="Times New Roman" w:cs="Times New Roman" w:eastAsia="Times New Roman" w:hAnsi="Times New Roman"/>
          <w:sz w:val="21"/>
          <w:szCs w:val="21"/>
          <w:color w:val="auto"/>
        </w:rPr>
        <w:t>. None of the Credit Documents and none of the other certificates, statements or information furnished to Lender by or on behalf of Borrower in connection with the Credit Documents or the transactions contemplated hereby or thereby contains or will contain any untrue statement of a material fact or omits or will omit to state a material fact necessary to make the statements therein, in light of the circumstances under which they were made, not misleading.</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xml:space="preserve">. Borrower shall be deemed to have reaffirmed, in all material respects, for the benefit of Lender, each representation and warranty contained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on and as of the date each Revolving Loan is made.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w:t>
      </w: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5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Until the termination of this Agreement and the satisfaction in full by Borrower of all Obligations, Borrower shall comply, and shall cause compliance, with the following affirmative covenants unless Lender shall otherwise consent in writing:</w:t>
      </w:r>
    </w:p>
    <w:p>
      <w:pPr>
        <w:spacing w:after="0" w:line="153" w:lineRule="exact"/>
        <w:rPr>
          <w:sz w:val="20"/>
          <w:szCs w:val="20"/>
          <w:color w:val="auto"/>
        </w:rPr>
      </w:pPr>
    </w:p>
    <w:p>
      <w:pPr>
        <w:ind w:firstLine="8"/>
        <w:spacing w:after="0" w:line="236" w:lineRule="auto"/>
        <w:tabs>
          <w:tab w:leader="none" w:pos="52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Borrower shall furnish to Lender the following, each in such form and such detail as Lender shall reasonably request:</w:t>
      </w:r>
    </w:p>
    <w:p>
      <w:pPr>
        <w:spacing w:after="0" w:line="150" w:lineRule="exact"/>
        <w:rPr>
          <w:sz w:val="20"/>
          <w:szCs w:val="20"/>
          <w:color w:val="auto"/>
        </w:rPr>
      </w:pPr>
    </w:p>
    <w:p>
      <w:pPr>
        <w:ind w:firstLine="8"/>
        <w:spacing w:after="0" w:line="236" w:lineRule="auto"/>
        <w:tabs>
          <w:tab w:leader="none" w:pos="44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Business Days after the last day of each calendar month, copies of the unaudited Financial Statements of Borrower for such month as of the last day of such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29" w:name="page230"/>
    <w:bookmarkEnd w:id="229"/>
    <w:p>
      <w:pPr>
        <w:ind w:left="-8" w:right="20" w:firstLine="8"/>
        <w:spacing w:after="0" w:line="236" w:lineRule="auto"/>
        <w:tabs>
          <w:tab w:leader="none" w:pos="54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hundred twenty (120) days after the close of each fiscal year of Borrower, copies of the unaudited Financial Statements of Borrower;</w:t>
      </w:r>
    </w:p>
    <w:p>
      <w:pPr>
        <w:spacing w:after="0" w:line="150" w:lineRule="exact"/>
        <w:rPr>
          <w:rFonts w:ascii="Times New Roman" w:cs="Times New Roman" w:eastAsia="Times New Roman" w:hAnsi="Times New Roman"/>
          <w:sz w:val="22"/>
          <w:szCs w:val="22"/>
          <w:color w:val="auto"/>
        </w:rPr>
      </w:pPr>
    </w:p>
    <w:p>
      <w:pPr>
        <w:jc w:val="both"/>
        <w:ind w:left="-8" w:firstLine="8"/>
        <w:spacing w:after="0" w:line="215" w:lineRule="auto"/>
        <w:tabs>
          <w:tab w:leader="none" w:pos="56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no event later than five (5) Business Days after any manager or officer of Borrower knows of the occurrence or existence of (A) any actual or threatened litigation, suits, claims or disputes against Borrower involving potential monetary damages payable by Borrower of $100,000 or more (individually or in the aggregate), (B) any other event or condition which could reasonably be expected to have a Material Adverse Effect, or (C) any Event of Default or Default; a written statement of the general manager of Borrower setting forth the details of such event, condition, Event of Default or Default and the action which Borrower proposes to take with respect thereto; and</w:t>
      </w:r>
    </w:p>
    <w:p>
      <w:pPr>
        <w:spacing w:after="0" w:line="152"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instruments, agreements, certificates, opinions, statements, documents and information relating to the operations or condition (financial or otherwise) of Borrower, and compliance by Borrower with the terms of this Agreement and the other Credit Documents, as Lender may from time to time reasonably request.</w:t>
      </w:r>
    </w:p>
    <w:p>
      <w:pPr>
        <w:spacing w:after="0" w:line="153" w:lineRule="exact"/>
        <w:rPr>
          <w:sz w:val="20"/>
          <w:szCs w:val="20"/>
          <w:color w:val="auto"/>
        </w:rPr>
      </w:pPr>
    </w:p>
    <w:p>
      <w:pPr>
        <w:ind w:left="-8" w:right="20" w:firstLine="8"/>
        <w:spacing w:after="0" w:line="236" w:lineRule="auto"/>
        <w:tabs>
          <w:tab w:leader="none" w:pos="52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Borrower shall at all times keep proper books of record and account in which full, true and correct entries will be made of its transactions in accordance with GAAP.</w:t>
      </w:r>
    </w:p>
    <w:p>
      <w:pPr>
        <w:spacing w:after="0" w:line="150" w:lineRule="exact"/>
        <w:rPr>
          <w:rFonts w:ascii="Times New Roman" w:cs="Times New Roman" w:eastAsia="Times New Roman" w:hAnsi="Times New Roman"/>
          <w:sz w:val="22"/>
          <w:szCs w:val="22"/>
          <w:color w:val="auto"/>
        </w:rPr>
      </w:pPr>
    </w:p>
    <w:p>
      <w:pPr>
        <w:jc w:val="both"/>
        <w:ind w:left="-8" w:firstLine="8"/>
        <w:spacing w:after="0" w:line="213" w:lineRule="auto"/>
        <w:tabs>
          <w:tab w:leader="none" w:pos="58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Inspections; Information</w:t>
      </w:r>
      <w:r>
        <w:rPr>
          <w:rFonts w:ascii="Times New Roman" w:cs="Times New Roman" w:eastAsia="Times New Roman" w:hAnsi="Times New Roman"/>
          <w:sz w:val="22"/>
          <w:szCs w:val="22"/>
          <w:color w:val="auto"/>
        </w:rPr>
        <w:t>. Borrower shall permit any Person designated by Lender, upon reasonable notice and during normal business hours, to visit and inspect any of the properties and offices of Borrower, to examine the books of account of Borrower and to discuss the affairs, finances and accounts of Borrower with, and to be advised as to the same by, their managers, officers, auditors and accountants, all at such times and intervals as Lender may reasonably request. Borrower shall permit Lender, upon reasonable notice and during normal business hours, to inspect the Collateral and Borrower shall furnish to Lender, upon request of Lender, such information regarding the Collateral and Borrower’s business as Lender may from time to time reasonably request.</w:t>
      </w:r>
    </w:p>
    <w:p>
      <w:pPr>
        <w:spacing w:after="0" w:line="156" w:lineRule="exact"/>
        <w:rPr>
          <w:rFonts w:ascii="Times New Roman" w:cs="Times New Roman" w:eastAsia="Times New Roman" w:hAnsi="Times New Roman"/>
          <w:sz w:val="22"/>
          <w:szCs w:val="22"/>
          <w:color w:val="auto"/>
        </w:rPr>
      </w:pPr>
    </w:p>
    <w:p>
      <w:pPr>
        <w:jc w:val="both"/>
        <w:ind w:left="-8" w:firstLine="8"/>
        <w:spacing w:after="0" w:line="215" w:lineRule="auto"/>
        <w:tabs>
          <w:tab w:leader="none" w:pos="4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Charges and Other Indebtedness</w:t>
      </w:r>
      <w:r>
        <w:rPr>
          <w:rFonts w:ascii="Times New Roman" w:cs="Times New Roman" w:eastAsia="Times New Roman" w:hAnsi="Times New Roman"/>
          <w:sz w:val="22"/>
          <w:szCs w:val="22"/>
          <w:color w:val="auto"/>
        </w:rPr>
        <w:t>. Borrower shall promptly pay and discharge when due (i) all taxes and other Governmental Charges imposed on Borrower prior to the date upon which penalties accrue thereon, (ii) all Indebtedness which, if unpaid, could become a Lien upon the property of Borrower and (iii) all other Indebtedness which, if unpaid, could reasonably be expected to have a Material Adverse Effect, except such taxes and Indebtedness as may in good faith be contested or disputed, or for which arrangements for deferred payment have been made, provided that in each such case appropriate reserves are maintained to the reasonable satisfaction of Lender.</w:t>
      </w:r>
    </w:p>
    <w:p>
      <w:pPr>
        <w:spacing w:after="0" w:line="152"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xml:space="preserve">. Borrower shall use the proceeds of the Revolving Loans only for the purposes set forth in </w:t>
      </w:r>
      <w:r>
        <w:rPr>
          <w:rFonts w:ascii="Times New Roman" w:cs="Times New Roman" w:eastAsia="Times New Roman" w:hAnsi="Times New Roman"/>
          <w:sz w:val="21"/>
          <w:szCs w:val="21"/>
          <w:u w:val="single" w:color="auto"/>
          <w:color w:val="auto"/>
        </w:rPr>
        <w:t>Section 2.01(e)</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left="-8" w:firstLine="8"/>
        <w:spacing w:after="0" w:line="215" w:lineRule="auto"/>
        <w:tabs>
          <w:tab w:leader="none" w:pos="45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Business Operations</w:t>
      </w:r>
      <w:r>
        <w:rPr>
          <w:rFonts w:ascii="Times New Roman" w:cs="Times New Roman" w:eastAsia="Times New Roman" w:hAnsi="Times New Roman"/>
          <w:sz w:val="22"/>
          <w:szCs w:val="22"/>
          <w:color w:val="auto"/>
        </w:rPr>
        <w:t>. Borrower shall (i) preserve and maintain its limited liability company existence and all of its rights, privileges and franchises reasonably necessary to the conduct of its business, (ii) conduct its business activities in compliance with all Requirements of Law and Contractual Obligations applicable to it, the violation of which could reasonably be expected to have a Material Adverse Effect, (iii) keep all property useful and necessary in its business in good working order and condition, ordinary wear and tear excepted, and (iv) maintain its chief executive office and principal place of business in Hoffman Estates, Illinois.</w:t>
      </w:r>
    </w:p>
    <w:p>
      <w:pPr>
        <w:spacing w:after="0" w:line="152"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9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Borrower shall keep all Collateral at the locations identified in </w:t>
      </w:r>
      <w:r>
        <w:rPr>
          <w:rFonts w:ascii="Times New Roman" w:cs="Times New Roman" w:eastAsia="Times New Roman" w:hAnsi="Times New Roman"/>
          <w:sz w:val="22"/>
          <w:szCs w:val="22"/>
          <w:u w:val="single" w:color="auto"/>
          <w:color w:val="auto"/>
        </w:rPr>
        <w:t>Section 4.01(q)</w:t>
      </w:r>
      <w:r>
        <w:rPr>
          <w:rFonts w:ascii="Times New Roman" w:cs="Times New Roman" w:eastAsia="Times New Roman" w:hAnsi="Times New Roman"/>
          <w:sz w:val="22"/>
          <w:szCs w:val="22"/>
          <w:color w:val="auto"/>
        </w:rPr>
        <w:t xml:space="preserve"> and shall keep all tangible Collateral in good order, repair and operating condition. Borrower shall not sell, rent, lease, transfer, consign, dispose or otherwise convey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32"/>
          </w:cols>
          <w:pgMar w:left="328" w:top="1395" w:right="339" w:bottom="1440" w:gutter="0" w:footer="0" w:header="0"/>
        </w:sectPr>
      </w:pPr>
    </w:p>
    <w:bookmarkStart w:id="230" w:name="page231"/>
    <w:bookmarkEnd w:id="230"/>
    <w:p>
      <w:pPr>
        <w:jc w:val="both"/>
        <w:spacing w:after="0" w:line="225" w:lineRule="auto"/>
        <w:rPr>
          <w:sz w:val="20"/>
          <w:szCs w:val="20"/>
          <w:color w:val="auto"/>
        </w:rPr>
      </w:pPr>
      <w:r>
        <w:rPr>
          <w:rFonts w:ascii="Times New Roman" w:cs="Times New Roman" w:eastAsia="Times New Roman" w:hAnsi="Times New Roman"/>
          <w:sz w:val="22"/>
          <w:szCs w:val="22"/>
          <w:color w:val="auto"/>
        </w:rPr>
        <w:t>Collateral except for sales or other dispositions in the ordinary course of Borrower’s business. Borrower shall not change its name or change its chief executive office or the office where it keeps its books and records with respect to accounts and chattel paper without giving at least thirty (30) days’ prior written notice to Lender.</w:t>
      </w:r>
    </w:p>
    <w:p>
      <w:pPr>
        <w:spacing w:after="0" w:line="153" w:lineRule="exact"/>
        <w:rPr>
          <w:sz w:val="20"/>
          <w:szCs w:val="20"/>
          <w:color w:val="auto"/>
        </w:rPr>
      </w:pPr>
    </w:p>
    <w:p>
      <w:pPr>
        <w:ind w:firstLine="8"/>
        <w:spacing w:after="0" w:line="236" w:lineRule="auto"/>
        <w:tabs>
          <w:tab w:leader="none" w:pos="64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Upon request of Lender, Borrower promptly shall provide to Lender a written report, prepared in reasonable detail and with supporting documentation, setting forth the calculation of the Borrowing Base.</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Negative Covenants</w:t>
      </w:r>
      <w:r>
        <w:rPr>
          <w:rFonts w:ascii="Times New Roman" w:cs="Times New Roman" w:eastAsia="Times New Roman" w:hAnsi="Times New Roman"/>
          <w:sz w:val="22"/>
          <w:szCs w:val="22"/>
          <w:color w:val="auto"/>
        </w:rPr>
        <w:t>. Until the termination of this Agreement and the satisfaction in full by Borrower of all Obligations, Borrower shall comply, and shall cause compliance, with the following negative covenants unless Lender shall otherwise consent in writing:</w:t>
      </w:r>
    </w:p>
    <w:p>
      <w:pPr>
        <w:spacing w:after="0" w:line="152" w:lineRule="exact"/>
        <w:rPr>
          <w:sz w:val="20"/>
          <w:szCs w:val="20"/>
          <w:color w:val="auto"/>
        </w:rPr>
      </w:pPr>
    </w:p>
    <w:p>
      <w:pPr>
        <w:ind w:firstLine="8"/>
        <w:spacing w:after="0" w:line="236" w:lineRule="auto"/>
        <w:tabs>
          <w:tab w:leader="none" w:pos="69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Borrower shall not create, incur, assume or permit to exist any Indebtedness except for Permitted Indebtedness.</w:t>
      </w:r>
    </w:p>
    <w:p>
      <w:pPr>
        <w:spacing w:after="0" w:line="150" w:lineRule="exact"/>
        <w:rPr>
          <w:rFonts w:ascii="Times New Roman" w:cs="Times New Roman" w:eastAsia="Times New Roman" w:hAnsi="Times New Roman"/>
          <w:sz w:val="22"/>
          <w:szCs w:val="22"/>
          <w:color w:val="auto"/>
        </w:rPr>
      </w:pPr>
    </w:p>
    <w:p>
      <w:pPr>
        <w:jc w:val="both"/>
        <w:ind w:firstLine="8"/>
        <w:spacing w:after="0" w:line="225" w:lineRule="auto"/>
        <w:tabs>
          <w:tab w:leader="none" w:pos="46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Borrower shall not create, incur, assume or permit to exist any Lien on or with respect to any of its assets or property of any character, whether now owned or hereafter acquired, except for Permitted Liens. Borrower shall keep all Collateral free and clear of all Liens except Liens in favor of Lender.</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45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Asset Dispositions</w:t>
      </w:r>
      <w:r>
        <w:rPr>
          <w:rFonts w:ascii="Times New Roman" w:cs="Times New Roman" w:eastAsia="Times New Roman" w:hAnsi="Times New Roman"/>
          <w:sz w:val="22"/>
          <w:szCs w:val="22"/>
          <w:color w:val="auto"/>
        </w:rPr>
        <w:t>. Borrower shall not sell, lease, transfer or otherwise dispose of any of its assets or property, whether now owned or hereafter acquired, except in the ordinary course of its business and except as otherwise contemplated by the Credit Documents. Notwithstanding the foregoing, in the event Borrower elects to transfer to any Seller any Purchased Receivables acquired from such parties pursuant to any reconveyance rights that it may have under the terms of any agreement with such Seller, it shall be permitted to do so free and clear of any Lien granted hereunder upon payment of any amount due from the original transferor thereof as set forth in the agreement governing the original purchase by Borrower of such Purchased Receivables.</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495"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Etc</w:t>
      </w:r>
      <w:r>
        <w:rPr>
          <w:rFonts w:ascii="Times New Roman" w:cs="Times New Roman" w:eastAsia="Times New Roman" w:hAnsi="Times New Roman"/>
          <w:sz w:val="22"/>
          <w:szCs w:val="22"/>
          <w:color w:val="auto"/>
        </w:rPr>
        <w:t xml:space="preserve">. Borrower shall not consolidate with or merge into any other Person or permit any other Person to merge into it, or acquire all or substantially all of the assets of any other Person, except, with respect to TCC, pursuant to the initial Receivable Purchase Agreement described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6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Etc</w:t>
      </w:r>
      <w:r>
        <w:rPr>
          <w:rFonts w:ascii="Times New Roman" w:cs="Times New Roman" w:eastAsia="Times New Roman" w:hAnsi="Times New Roman"/>
          <w:sz w:val="22"/>
          <w:szCs w:val="22"/>
          <w:color w:val="auto"/>
        </w:rPr>
        <w:t>. Except for Permitted Distributions, Borrower shall not (i) make any distributions of any kind whatsoever to its Members; (ii) purchase, redeem, retire, defease or otherwise acquire for value any of its Membership Interests held by any Person; (iii) return any capital to any of its Members; or (iv) set apart any sum for any such purpose.</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445"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Borrower shall not pay or incur Capital Expenditures which exceed in the aggregate in any fiscal year $50,000.</w:t>
      </w:r>
    </w:p>
    <w:p>
      <w:pPr>
        <w:spacing w:after="0" w:line="150" w:lineRule="exact"/>
        <w:rPr>
          <w:rFonts w:ascii="Times New Roman" w:cs="Times New Roman" w:eastAsia="Times New Roman" w:hAnsi="Times New Roman"/>
          <w:sz w:val="22"/>
          <w:szCs w:val="22"/>
          <w:color w:val="auto"/>
        </w:rPr>
      </w:pPr>
    </w:p>
    <w:p>
      <w:pPr>
        <w:ind w:right="20" w:firstLine="8"/>
        <w:spacing w:after="0" w:line="236" w:lineRule="auto"/>
        <w:tabs>
          <w:tab w:leader="none" w:pos="57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Borrower shall not make any Investments other than loans, advances or purchases of Indebtedness in the ordinary course of Borrower’s business.</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67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Business</w:t>
      </w:r>
      <w:r>
        <w:rPr>
          <w:rFonts w:ascii="Times New Roman" w:cs="Times New Roman" w:eastAsia="Times New Roman" w:hAnsi="Times New Roman"/>
          <w:sz w:val="22"/>
          <w:szCs w:val="22"/>
          <w:color w:val="auto"/>
        </w:rPr>
        <w:t>. Borrower shall not engage, either directly or indirectly through Subsidiaries, in any business substantially different from its business as conducted on the date hereof or as expected to be conducted after the date hereof; provided, however, that Borrower shall be permitted to engage in the business of providing floorplan financing and open account inventory financing of any and all products manufactured or distributed from time to time after the date hereof by Toro, or any of its Affiliates, including parts, accessories, software and software updates to support equipment or services, advertising materials, advertising 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31" w:name="page232"/>
    <w:bookmarkEnd w:id="231"/>
    <w:p>
      <w:pPr>
        <w:spacing w:after="0" w:line="236" w:lineRule="auto"/>
        <w:rPr>
          <w:sz w:val="20"/>
          <w:szCs w:val="20"/>
          <w:color w:val="auto"/>
        </w:rPr>
      </w:pPr>
      <w:r>
        <w:rPr>
          <w:rFonts w:ascii="Times New Roman" w:cs="Times New Roman" w:eastAsia="Times New Roman" w:hAnsi="Times New Roman"/>
          <w:sz w:val="22"/>
          <w:szCs w:val="22"/>
          <w:color w:val="auto"/>
        </w:rPr>
        <w:t>training materials, point of sale or merchandising materials, extended service contracts, licenses for scheduling software and online services, to the extent permitted by the LLC Agreement.</w:t>
      </w:r>
    </w:p>
    <w:p>
      <w:pPr>
        <w:spacing w:after="0" w:line="150" w:lineRule="exact"/>
        <w:rPr>
          <w:sz w:val="20"/>
          <w:szCs w:val="20"/>
          <w:color w:val="auto"/>
        </w:rPr>
      </w:pPr>
    </w:p>
    <w:p>
      <w:pPr>
        <w:ind w:firstLine="8"/>
        <w:spacing w:after="0" w:line="236" w:lineRule="auto"/>
        <w:tabs>
          <w:tab w:leader="none" w:pos="43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Issuances</w:t>
      </w:r>
      <w:r>
        <w:rPr>
          <w:rFonts w:ascii="Times New Roman" w:cs="Times New Roman" w:eastAsia="Times New Roman" w:hAnsi="Times New Roman"/>
          <w:sz w:val="22"/>
          <w:szCs w:val="22"/>
          <w:color w:val="auto"/>
        </w:rPr>
        <w:t>. Borrower shall not issue, offer or sell any Equity Securities of it other than as contemplated by the Joint Venture Agreement or the LLC Agreement.</w:t>
      </w:r>
    </w:p>
    <w:p>
      <w:pPr>
        <w:spacing w:after="0" w:line="15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right="20" w:firstLine="8"/>
        <w:spacing w:after="0" w:line="236" w:lineRule="auto"/>
        <w:tabs>
          <w:tab w:leader="none" w:pos="48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Etc</w:t>
      </w:r>
      <w:r>
        <w:rPr>
          <w:rFonts w:ascii="Times New Roman" w:cs="Times New Roman" w:eastAsia="Times New Roman" w:hAnsi="Times New Roman"/>
          <w:sz w:val="22"/>
          <w:szCs w:val="22"/>
          <w:color w:val="auto"/>
        </w:rPr>
        <w:t>. Borrower shall not create or permit to exist any Subsidiaries, and Borrower shall not become a partner in any partnership or a joint venturer in any joint venture.</w:t>
      </w:r>
    </w:p>
    <w:p>
      <w:pPr>
        <w:spacing w:after="0" w:line="150" w:lineRule="exact"/>
        <w:rPr>
          <w:rFonts w:ascii="Times New Roman" w:cs="Times New Roman" w:eastAsia="Times New Roman" w:hAnsi="Times New Roman"/>
          <w:sz w:val="22"/>
          <w:szCs w:val="22"/>
          <w:color w:val="auto"/>
        </w:rPr>
      </w:pPr>
    </w:p>
    <w:p>
      <w:pPr>
        <w:jc w:val="both"/>
        <w:ind w:firstLine="8"/>
        <w:spacing w:after="0" w:line="220" w:lineRule="auto"/>
        <w:tabs>
          <w:tab w:leader="none" w:pos="47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Borrower shall not enter into any Contractual Obligation with any Affiliate or engage in any other transaction with any Affiliate except upon terms at least as favorable to Borrower as an arms-length transaction with unaffiliated Persons and except for Contractual Obligations and transactions expressly contemplated by the Joint Venture Agreement or the LLC Agreement.</w:t>
      </w:r>
    </w:p>
    <w:p>
      <w:pPr>
        <w:spacing w:after="0" w:line="152" w:lineRule="exact"/>
        <w:rPr>
          <w:rFonts w:ascii="Times New Roman" w:cs="Times New Roman" w:eastAsia="Times New Roman" w:hAnsi="Times New Roman"/>
          <w:sz w:val="22"/>
          <w:szCs w:val="22"/>
          <w:color w:val="auto"/>
        </w:rPr>
      </w:pPr>
    </w:p>
    <w:p>
      <w:pPr>
        <w:ind w:right="20" w:firstLine="8"/>
        <w:spacing w:after="0" w:line="236" w:lineRule="auto"/>
        <w:tabs>
          <w:tab w:leader="none" w:pos="59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Borrower shall not change (i) its fiscal year (currently January 1 through December 31) or (ii) its accounting practices except as required by GAAP.</w:t>
      </w:r>
    </w:p>
    <w:p>
      <w:pPr>
        <w:spacing w:after="0" w:line="150" w:lineRule="exact"/>
        <w:rPr>
          <w:rFonts w:ascii="Times New Roman" w:cs="Times New Roman" w:eastAsia="Times New Roman" w:hAnsi="Times New Roman"/>
          <w:sz w:val="22"/>
          <w:szCs w:val="22"/>
          <w:color w:val="auto"/>
        </w:rPr>
      </w:pPr>
    </w:p>
    <w:p>
      <w:pPr>
        <w:jc w:val="both"/>
        <w:ind w:firstLine="8"/>
        <w:spacing w:after="0" w:line="205" w:lineRule="auto"/>
        <w:tabs>
          <w:tab w:leader="none" w:pos="52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Tangible Net Worth Covenant</w:t>
      </w:r>
      <w:r>
        <w:rPr>
          <w:rFonts w:ascii="Times New Roman" w:cs="Times New Roman" w:eastAsia="Times New Roman" w:hAnsi="Times New Roman"/>
          <w:sz w:val="22"/>
          <w:szCs w:val="22"/>
          <w:color w:val="auto"/>
        </w:rPr>
        <w:t>. Borrower shall not permit its Tangible Net Worth as at the last day of any calendar month (after giving effect to any capital contributions made by the Members with respect to such calendar month in accordance with the terms of the LLC Agreement) to be less than its Required Equity Investment as of such date; provided that Borrower shall not be deemed to be in breach of this covenant so long as (i) the actual Tangible Net Worth is no more than $ [***] less than its Required Equity Investment as of such date, or (ii) if the actual Tangible Net Worth is more than $ [***] less than its Required Equity Investment as of such date, then each Member shall make a capital contribution on or before the twentieth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following month in the amount of such difference. Lender acknowledges that under the terms of Section 2.4 of the LLC Agreement, required capital contributions to Borrower at the end of each month will be based upon estimates. In the case of a deficit of less than $[***], Borrower shall take such deficiency into account when determining the required capital contributions to be made by the Members for the following month.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VI</w:t>
      </w:r>
    </w:p>
    <w:p>
      <w:pPr>
        <w:jc w:val="center"/>
        <w:spacing w:after="0"/>
        <w:rPr>
          <w:sz w:val="20"/>
          <w:szCs w:val="20"/>
          <w:color w:val="auto"/>
        </w:rPr>
      </w:pPr>
      <w:r>
        <w:rPr>
          <w:rFonts w:ascii="Times New Roman" w:cs="Times New Roman" w:eastAsia="Times New Roman" w:hAnsi="Times New Roman"/>
          <w:sz w:val="22"/>
          <w:szCs w:val="22"/>
          <w:b w:val="1"/>
          <w:bCs w:val="1"/>
          <w:color w:val="auto"/>
        </w:rPr>
        <w:t>DEFAULT</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The occurrence or existence of any one or more of the following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hereunder:</w:t>
      </w:r>
    </w:p>
    <w:p>
      <w:pPr>
        <w:spacing w:after="0" w:line="150" w:lineRule="exact"/>
        <w:rPr>
          <w:sz w:val="20"/>
          <w:szCs w:val="20"/>
          <w:color w:val="auto"/>
        </w:rPr>
      </w:pPr>
    </w:p>
    <w:p>
      <w:pPr>
        <w:ind w:firstLine="8"/>
        <w:spacing w:after="0" w:line="236" w:lineRule="auto"/>
        <w:tabs>
          <w:tab w:leader="none" w:pos="48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fail to pay when due any principal, interest or other payment required under the terms of this Agreement or any of the other Credit Documents; or</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49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fail to observe or perform in any material respect any covenant, obligation, condition or agreement set forth in </w:t>
      </w:r>
      <w:r>
        <w:rPr>
          <w:rFonts w:ascii="Times New Roman" w:cs="Times New Roman" w:eastAsia="Times New Roman" w:hAnsi="Times New Roman"/>
          <w:sz w:val="22"/>
          <w:szCs w:val="22"/>
          <w:u w:val="single" w:color="auto"/>
          <w:color w:val="auto"/>
        </w:rPr>
        <w:t>Sections 5.01(d)(iii), 5.02(c)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5.02(k)</w:t>
      </w:r>
      <w:r>
        <w:rPr>
          <w:rFonts w:ascii="Times New Roman" w:cs="Times New Roman" w:eastAsia="Times New Roman" w:hAnsi="Times New Roman"/>
          <w:sz w:val="22"/>
          <w:szCs w:val="22"/>
          <w:color w:val="auto"/>
        </w:rPr>
        <w:t>; or</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6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fail to observe or perform any other covenant, obligation, condition or agreement contained in this Agreement or the other Credit Documents and such failure shall continue for thirty (30) days after notice thereof is given by Lender to Borrower or such longer period of time as is reasonably necessary to allow Borrower to so observe or perform such covenant, obligation, condition or agreement but, in any event, not more than seventy-five (75) days after notice thereof is given by Lender to Borrower; provided, that with respect to a failure by Borrower to observe or perform the Tangible Net Worth covenant pursuant to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u w:val="single" w:color="auto"/>
          <w:color w:val="auto"/>
        </w:rPr>
        <w:t>5.02(n)</w:t>
      </w:r>
      <w:r>
        <w:rPr>
          <w:rFonts w:ascii="Times New Roman" w:cs="Times New Roman" w:eastAsia="Times New Roman" w:hAnsi="Times New Roman"/>
          <w:sz w:val="22"/>
          <w:szCs w:val="22"/>
          <w:color w:val="auto"/>
        </w:rPr>
        <w:t>, such failure shall have only continued for five (5) days after notice thereof is given by Lender to Borrower; or</w:t>
      </w:r>
    </w:p>
    <w:p>
      <w:pPr>
        <w:spacing w:after="0" w:line="179" w:lineRule="exact"/>
        <w:rPr>
          <w:sz w:val="20"/>
          <w:szCs w:val="20"/>
          <w:color w:val="auto"/>
        </w:rPr>
      </w:pPr>
    </w:p>
    <w:p>
      <w:pPr>
        <w:jc w:val="both"/>
        <w:ind w:firstLine="8"/>
        <w:spacing w:after="0" w:line="220" w:lineRule="auto"/>
        <w:tabs>
          <w:tab w:leader="none" w:pos="51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certificate, or other statement (financial or otherwise) made or furnished by or on behalf of Borrower to Lender in or in connection with this Agreement or any of the other Credit Documents, or as an inducement to Lender to enter into this Agreement, shall be false, incorrect, incomplete or misleading in any material respect when made or furnished; or</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51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(i) fail to make any payment when due under the terms of any bond, debenture, note or other evidence of Indebtedness to be paid by such Person (excluding this Agreement and the other Credit Documents but including any other evidence of Indebtedness of Borrower to Lender) and such failure shall continue beyond any period of grace provided with respect thereto, or (ii) default in the observance or performance of any other agreement, term or condition contained in any such bond, debenture, note or other evidence of Indebtedness, and the effect of such failure or default in either case is to cause, or permit the holder or holders thereof to cause Indebtedness in an aggregate amount of $100,000 or more to become due prior to its stated date of maturity; or</w:t>
      </w:r>
    </w:p>
    <w:p>
      <w:pPr>
        <w:spacing w:after="0" w:line="156" w:lineRule="exact"/>
        <w:rPr>
          <w:rFonts w:ascii="Times New Roman" w:cs="Times New Roman" w:eastAsia="Times New Roman" w:hAnsi="Times New Roman"/>
          <w:sz w:val="22"/>
          <w:szCs w:val="22"/>
          <w:color w:val="auto"/>
        </w:rPr>
      </w:pPr>
    </w:p>
    <w:p>
      <w:pPr>
        <w:jc w:val="both"/>
        <w:ind w:firstLine="8"/>
        <w:spacing w:after="0" w:line="224" w:lineRule="auto"/>
        <w:tabs>
          <w:tab w:leader="none" w:pos="44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(i) apply for or consent to the appointment of a receiver, trustee, liquidator or custodian of itself or of all or a substantial part of its property, (ii) be unable, or admit in writing its inability, to pay its debts generally as they mature, (iii) make a general assignment for the benefit of its or any of its creditors, (iv) become insolvent (as such term may be defined or interpreted under any applicable statute), (v)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spacing w:after="0" w:line="150" w:lineRule="exact"/>
        <w:rPr>
          <w:rFonts w:ascii="Times New Roman" w:cs="Times New Roman" w:eastAsia="Times New Roman" w:hAnsi="Times New Roman"/>
          <w:sz w:val="21"/>
          <w:szCs w:val="21"/>
          <w:color w:val="auto"/>
        </w:rPr>
      </w:pPr>
    </w:p>
    <w:p>
      <w:pPr>
        <w:jc w:val="both"/>
        <w:ind w:firstLine="8"/>
        <w:spacing w:after="0" w:line="220" w:lineRule="auto"/>
        <w:tabs>
          <w:tab w:leader="none" w:pos="50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Proceedings for the appointment of a receiver, trustee, liquidator or custodian of Borrower or of all or a substantial part of the property of Borrower, or an involuntary case or other proceedings seeking liquidation, reorganization or other relief with respect to Borrower or its debts under any bankruptcy, insolvency or other similar law now or hereafter in effect shall be commenced and not dismissed within sixty (60) days of commencement; or</w:t>
      </w:r>
    </w:p>
    <w:p>
      <w:pPr>
        <w:spacing w:after="0" w:line="152" w:lineRule="exact"/>
        <w:rPr>
          <w:rFonts w:ascii="Times New Roman" w:cs="Times New Roman" w:eastAsia="Times New Roman" w:hAnsi="Times New Roman"/>
          <w:sz w:val="22"/>
          <w:szCs w:val="22"/>
          <w:color w:val="auto"/>
        </w:rPr>
      </w:pPr>
    </w:p>
    <w:p>
      <w:pPr>
        <w:jc w:val="both"/>
        <w:ind w:firstLine="8"/>
        <w:spacing w:after="0" w:line="215" w:lineRule="auto"/>
        <w:tabs>
          <w:tab w:leader="none" w:pos="49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non-appealable judgment or order for the payment of money in excess of $100,000 (exclusive of amounts covered by insurance issued by an insurer not an Affiliate of Borrower) shall be rendered against Borrower and the same shall remain unsatisfied, unstayed or unvacated for a period of thirty (30) days after entry thereof, or any judgment, writ, assessment, warrant of attachment, or execution or similar process shall be issued or levied against a substantial part of the property of Borrower, and such judgment, writ, assessment, warrant of attachment, execution or similar process shall not be released, vacated or fully bonded within thirty (30) days after filing; or</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52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Document or any material term thereof shall cease to be a legal, valid and binding obligation of Borrower enforceable in accordance with its terms; or</w:t>
      </w:r>
    </w:p>
    <w:p>
      <w:pPr>
        <w:spacing w:after="0" w:line="150" w:lineRule="exact"/>
        <w:rPr>
          <w:rFonts w:ascii="Times New Roman" w:cs="Times New Roman" w:eastAsia="Times New Roman" w:hAnsi="Times New Roman"/>
          <w:sz w:val="22"/>
          <w:szCs w:val="22"/>
          <w:color w:val="auto"/>
        </w:rPr>
      </w:pPr>
    </w:p>
    <w:p>
      <w:pPr>
        <w:jc w:val="both"/>
        <w:ind w:firstLine="8"/>
        <w:spacing w:after="0" w:line="225" w:lineRule="auto"/>
        <w:tabs>
          <w:tab w:leader="none" w:pos="4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Sub and TCFIF Sub shall cease to be the sole members of Borrower or Toro Sub closes on its acquisition of the interest of TCFIF Sub in Borrower pursuant to the exercise of the Toro Sub Purchase Option under Section 9.03 of the LLC Agreement; or</w:t>
      </w:r>
    </w:p>
    <w:p>
      <w:pPr>
        <w:spacing w:after="0" w:line="152" w:lineRule="exact"/>
        <w:rPr>
          <w:rFonts w:ascii="Times New Roman" w:cs="Times New Roman" w:eastAsia="Times New Roman" w:hAnsi="Times New Roman"/>
          <w:sz w:val="22"/>
          <w:szCs w:val="22"/>
          <w:color w:val="auto"/>
        </w:rPr>
      </w:pPr>
    </w:p>
    <w:p>
      <w:pPr>
        <w:ind w:right="20" w:firstLine="8"/>
        <w:spacing w:after="0" w:line="236" w:lineRule="auto"/>
        <w:tabs>
          <w:tab w:leader="none" w:pos="54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been finally dissolved, wound up and liquidated, whether at scheduled maturity or otherwise or the business of Borrower shall have been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pursuant to an election made as described in the third sentence of Section 10.04 of the LLC Agreement;</w:t>
      </w:r>
    </w:p>
    <w:p>
      <w:pPr>
        <w:spacing w:after="0" w:line="179" w:lineRule="exact"/>
        <w:rPr>
          <w:sz w:val="20"/>
          <w:szCs w:val="20"/>
          <w:color w:val="auto"/>
        </w:rPr>
      </w:pPr>
    </w:p>
    <w:p>
      <w:pPr>
        <w:ind w:firstLine="8"/>
        <w:spacing w:after="0" w:line="236" w:lineRule="auto"/>
        <w:tabs>
          <w:tab w:leader="none" w:pos="47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Lender’s security interest in any material portion of the Collateral shall at any time cease to be a valid and perfected, first priority, security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8"/>
        <w:spacing w:after="0" w:line="219" w:lineRule="auto"/>
        <w:tabs>
          <w:tab w:leader="none" w:pos="458"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(i) the occurrence or existence of any Event of Default (other than an Event of Default referred to in </w:t>
      </w:r>
      <w:r>
        <w:rPr>
          <w:rFonts w:ascii="Times New Roman" w:cs="Times New Roman" w:eastAsia="Times New Roman" w:hAnsi="Times New Roman"/>
          <w:sz w:val="21"/>
          <w:szCs w:val="21"/>
          <w:u w:val="single" w:color="auto"/>
          <w:color w:val="auto"/>
        </w:rPr>
        <w:t>Section 6.01(f)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6.01(g</w:t>
      </w:r>
      <w:r>
        <w:rPr>
          <w:rFonts w:ascii="Times New Roman" w:cs="Times New Roman" w:eastAsia="Times New Roman" w:hAnsi="Times New Roman"/>
          <w:sz w:val="21"/>
          <w:szCs w:val="21"/>
          <w:color w:val="auto"/>
        </w:rPr>
        <w:t xml:space="preserve">) or an Event of Default caused solely by TCFIF or an Affiliate of TCFIF, including any failure by TCFIF to make a capital contribution to Borrower required pursuant to the terms of the LLC Agreement or any willful violation on the part of the general manager of Borrower while such general manager is TCFIF’s employee, which such failure or violation shall be deemed to have been caused solely by TCFIF) and at any time thereafter during the continuance of such Event of Default, (ii) the occurrence or existence of a Material Adverse Effect or (iii) the occurrence of an Acceleration Event, Lender may, by written notice to Borrower, (a) terminate the Commitment and the obligation of Lender to make Revolving Loans and/or (b) declare all outstanding Obligations payable by Borrower hereunder to be immediately due and payable without presentment, demand, protest or any other notice of any kind, all of which are hereby expressly waived, anything contained herein or in the Revolving Loan Note to the contrary notwithstanding. Notwithstanding the occurrence or existence of an Event of Default under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6.01(b) – (e)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6.01(l)</w:t>
      </w:r>
      <w:r>
        <w:rPr>
          <w:rFonts w:ascii="Times New Roman" w:cs="Times New Roman" w:eastAsia="Times New Roman" w:hAnsi="Times New Roman"/>
          <w:sz w:val="21"/>
          <w:szCs w:val="21"/>
          <w:color w:val="auto"/>
        </w:rPr>
        <w:t xml:space="preserve">, Lender shall not be permitted to terminate the Commitment or declare the Obligations due and payable and shall continue to make Revolving Loans hereunder so long as there shall not occur or exist a Material Adverse Effect or Acceleration Event or an Event of Default under any of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6.01(k)</w:t>
      </w:r>
      <w:r>
        <w:rPr>
          <w:rFonts w:ascii="Times New Roman" w:cs="Times New Roman" w:eastAsia="Times New Roman" w:hAnsi="Times New Roman"/>
          <w:sz w:val="21"/>
          <w:szCs w:val="21"/>
          <w:color w:val="auto"/>
        </w:rPr>
        <w:t>.</w:t>
      </w:r>
    </w:p>
    <w:p>
      <w:pPr>
        <w:spacing w:after="0" w:line="159" w:lineRule="exact"/>
        <w:rPr>
          <w:rFonts w:ascii="Times New Roman" w:cs="Times New Roman" w:eastAsia="Times New Roman" w:hAnsi="Times New Roman"/>
          <w:sz w:val="21"/>
          <w:szCs w:val="21"/>
          <w:color w:val="auto"/>
        </w:rPr>
      </w:pPr>
    </w:p>
    <w:p>
      <w:pPr>
        <w:jc w:val="both"/>
        <w:ind w:firstLine="8"/>
        <w:spacing w:after="0" w:line="217" w:lineRule="auto"/>
        <w:tabs>
          <w:tab w:leader="none" w:pos="49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or existence of any Event of Default described in </w:t>
      </w:r>
      <w:r>
        <w:rPr>
          <w:rFonts w:ascii="Times New Roman" w:cs="Times New Roman" w:eastAsia="Times New Roman" w:hAnsi="Times New Roman"/>
          <w:sz w:val="22"/>
          <w:szCs w:val="22"/>
          <w:u w:val="single" w:color="auto"/>
          <w:color w:val="auto"/>
        </w:rPr>
        <w:t>Section 6.01(f)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6.01(g)</w:t>
      </w:r>
      <w:r>
        <w:rPr>
          <w:rFonts w:ascii="Times New Roman" w:cs="Times New Roman" w:eastAsia="Times New Roman" w:hAnsi="Times New Roman"/>
          <w:sz w:val="22"/>
          <w:szCs w:val="22"/>
          <w:color w:val="auto"/>
        </w:rPr>
        <w:t>, immediately and without notice, (i) the Commitment and the obligations of Lender to make Revolving Loans shall automatically terminate and (ii) all outstanding Obligations payable by Borrower hereunder shall automatically become immediately due and payable, without presentment, demand, protest or any other notice of any kind, all of which are hereby expressly waived, anything contained herein or in the Revolving Loan Note to the contrary notwithstanding.</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56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foregoing remedies, upon the occurrence or existence of any Event of Default at any time Lender is permitted to terminate the Commitment, Lender may exercise any other right, power or remedy granted to it by the Credit Documents or otherwise permitted to it by law, either by suit in equity or by action at law, or both.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VII</w:t>
      </w: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SECURITY INTEREST AND PROVISIONS REGARDING COLLATERAL</w:t>
      </w:r>
    </w:p>
    <w:p>
      <w:pPr>
        <w:spacing w:after="0" w:line="15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As security for the payment of all Revolving Loans now or hereafter made by Lender to Borrower hereunder or under the Revolving Loan Note, and as security for the payment or other satisfaction of all other Obligations, Borrower hereby grants to the Lender a Lien and a security interest in and to the following property of Borrower, whether now or hereafter owned, existing, licensed, leased, consigned, acquired or arising, wherever now or hereafter located (all such property is herein referred to collectively as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(each capitalized term used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not otherwise defined in this Agreement shall have in this Agreement the meaning given to it by the UCC)):</w:t>
      </w:r>
    </w:p>
    <w:p>
      <w:pPr>
        <w:spacing w:after="0" w:line="152" w:lineRule="exact"/>
        <w:rPr>
          <w:sz w:val="20"/>
          <w:szCs w:val="20"/>
          <w:color w:val="auto"/>
        </w:rPr>
      </w:pPr>
    </w:p>
    <w:p>
      <w:pPr>
        <w:ind w:firstLine="8"/>
        <w:spacing w:after="0" w:line="236" w:lineRule="auto"/>
        <w:tabs>
          <w:tab w:leader="none" w:pos="67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Receivables, and any and all other Accounts, Goods, Health Care Insurance Receivables, General Intangibles, Payment Intangibles, Deposit Accounts, Chattel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34" w:name="page235"/>
    <w:bookmarkEnd w:id="234"/>
    <w:p>
      <w:pPr>
        <w:jc w:val="both"/>
        <w:spacing w:after="0" w:line="225" w:lineRule="auto"/>
        <w:rPr>
          <w:sz w:val="20"/>
          <w:szCs w:val="20"/>
          <w:color w:val="auto"/>
        </w:rPr>
      </w:pPr>
      <w:r>
        <w:rPr>
          <w:rFonts w:ascii="Times New Roman" w:cs="Times New Roman" w:eastAsia="Times New Roman" w:hAnsi="Times New Roman"/>
          <w:sz w:val="22"/>
          <w:szCs w:val="22"/>
          <w:color w:val="auto"/>
        </w:rPr>
        <w:t>Paper (including Electronic Chattel Paper), Documents, contracts, advices of credit, money, Commercial Tort Claims, Equipment, Inventory, Fixtures and Supporting Obligations, together with all products of and Accessions to any of the foregoing and all Proceeds of any of the foregoing (including all insurance policies and proceeds thereof);</w:t>
      </w:r>
    </w:p>
    <w:p>
      <w:pPr>
        <w:spacing w:after="0" w:line="153" w:lineRule="exact"/>
        <w:rPr>
          <w:sz w:val="20"/>
          <w:szCs w:val="20"/>
          <w:color w:val="auto"/>
        </w:rPr>
      </w:pPr>
    </w:p>
    <w:p>
      <w:pPr>
        <w:jc w:val="both"/>
        <w:ind w:firstLine="8"/>
        <w:spacing w:after="0" w:line="220" w:lineRule="auto"/>
        <w:tabs>
          <w:tab w:leader="none" w:pos="47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if any, not listed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each and every other item of personal property and fixtures, whether now existing or hereafter arising or acquired, including all licenses, contracts and agreements and all collateral for the payment or performance of any contract or agreement, together with all products and Proceeds (including all insurance policies and proceeds) or any Accessions to any of the foregoing;</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52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present and future business records and information, including computer tapes and other storage media containing the same, together with all Proceeds of any of the foregoing;</w:t>
      </w:r>
    </w:p>
    <w:p>
      <w:pPr>
        <w:spacing w:after="0" w:line="15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replacements, substitutions, additions or Accessions to or for any of the foregoing; and</w:t>
      </w:r>
    </w:p>
    <w:p>
      <w:pPr>
        <w:spacing w:after="0" w:line="179" w:lineRule="exact"/>
        <w:rPr>
          <w:rFonts w:ascii="Times New Roman" w:cs="Times New Roman" w:eastAsia="Times New Roman" w:hAnsi="Times New Roman"/>
          <w:sz w:val="22"/>
          <w:szCs w:val="22"/>
          <w:color w:val="auto"/>
        </w:rPr>
      </w:pPr>
    </w:p>
    <w:p>
      <w:pPr>
        <w:ind w:firstLine="8"/>
        <w:spacing w:after="0" w:line="236" w:lineRule="auto"/>
        <w:tabs>
          <w:tab w:leader="none" w:pos="56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Borrower in, to and under all policies of insurance, including claims of rights to payments thereunder and proceeds therefrom, including credit insurance and business interruption insurance.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In furtherance of the foregoing grant of security, upon the request of Lender, Borrower will make proper entries in its books and records, disclosing the above-described grant of a security interest in the Collateral, including the assignment of its accounts to Lender. To the extent any of the Collateral is evidenced by chattel paper, a promissory note, a trade acceptance or any other instrument for the payment of money, unless Lender shall otherwise agree, Borrower will deliver the original of same to Lender, appropriately endorsed to Lender’s order and, regardless of the form of such endorsement, Borrower hereby expressly waives presentment, demand, notice of dishonor, protest and notice of protest and all other notices with respect thereto.</w:t>
      </w:r>
    </w:p>
    <w:p>
      <w:pPr>
        <w:spacing w:after="0" w:line="15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Lock Box</w:t>
      </w:r>
      <w:r>
        <w:rPr>
          <w:rFonts w:ascii="Times New Roman" w:cs="Times New Roman" w:eastAsia="Times New Roman" w:hAnsi="Times New Roman"/>
          <w:sz w:val="22"/>
          <w:szCs w:val="22"/>
          <w:color w:val="auto"/>
        </w:rPr>
        <w:t>. On or before the date Borrower makes the initial purchase of Purchased Receivables pursuant to the terms of the initial Receivable Purchase Agreement to be entered into by and among Toro, and certain of its Affiliates and Borrower, Borrower shall either (a) establish one or more post office lock box arrangements with Lender on terms acceptable to the Lender (each, a “</w:t>
      </w:r>
      <w:r>
        <w:rPr>
          <w:rFonts w:ascii="Times New Roman" w:cs="Times New Roman" w:eastAsia="Times New Roman" w:hAnsi="Times New Roman"/>
          <w:sz w:val="22"/>
          <w:szCs w:val="22"/>
          <w:u w:val="single" w:color="auto"/>
          <w:color w:val="auto"/>
        </w:rPr>
        <w:t>Lock Box</w:t>
      </w:r>
      <w:r>
        <w:rPr>
          <w:rFonts w:ascii="Times New Roman" w:cs="Times New Roman" w:eastAsia="Times New Roman" w:hAnsi="Times New Roman"/>
          <w:sz w:val="22"/>
          <w:szCs w:val="22"/>
          <w:color w:val="auto"/>
        </w:rPr>
        <w:t>”) for the collection of payments from its respective account debtors or other amounts owing to it or (b) enter into agreements acceptable to Lender with each financial institution where Borrower deposits such collections on the date of this Agreement or will hereafter deposit such collections. In connection with any Lock Box, if required by Lender, Borrower shall direct its account debtors to send their payments directly to such Lock Box, and all invoices issued thereafter by Borrower shall direct its account debtors to send their payments directly to such Lock Box.</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Special Provisions Regarding Accounts</w:t>
      </w:r>
      <w:r>
        <w:rPr>
          <w:rFonts w:ascii="Times New Roman" w:cs="Times New Roman" w:eastAsia="Times New Roman" w:hAnsi="Times New Roman"/>
          <w:sz w:val="22"/>
          <w:szCs w:val="22"/>
          <w:color w:val="auto"/>
        </w:rPr>
        <w:t>. Lender is authorized and empowered (which authorization and power, being coupled with an interest, is irrevocable until the last to occur of (i) termination of this Agreement, the Commitment and any other obligations of Lender under this Agreement and (ii) indefeasible payment in full in cash, and performance in full, of all of the Obligations) at any time in its sole and absolute discretion:</w:t>
      </w:r>
    </w:p>
    <w:p>
      <w:pPr>
        <w:spacing w:after="0" w:line="152" w:lineRule="exact"/>
        <w:rPr>
          <w:sz w:val="20"/>
          <w:szCs w:val="20"/>
          <w:color w:val="auto"/>
        </w:rPr>
      </w:pPr>
    </w:p>
    <w:p>
      <w:pPr>
        <w:jc w:val="both"/>
        <w:ind w:firstLine="8"/>
        <w:spacing w:after="0" w:line="225" w:lineRule="auto"/>
        <w:tabs>
          <w:tab w:leader="none" w:pos="47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in the name of Lender, Borrower, or in the name of a third party, confirmation from any account debtor or party obligated under or with respect to any Collateral of the amount shown by the accounts or other Collateral to be payable, or any other matter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35" w:name="page236"/>
    <w:bookmarkEnd w:id="235"/>
    <w:p>
      <w:pPr>
        <w:ind w:firstLine="8"/>
        <w:spacing w:after="0" w:line="236" w:lineRule="auto"/>
        <w:tabs>
          <w:tab w:leader="none" w:pos="60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endorse in Borrower’s name and to collect, any chattel paper, checks, notes, drafts, instruments or other items of payment tendered to or received by Lender in payment of any account or other obligation owing to Borrower;</w:t>
      </w:r>
    </w:p>
    <w:p>
      <w:pPr>
        <w:spacing w:after="0" w:line="150" w:lineRule="exact"/>
        <w:rPr>
          <w:rFonts w:ascii="Times New Roman" w:cs="Times New Roman" w:eastAsia="Times New Roman" w:hAnsi="Times New Roman"/>
          <w:sz w:val="22"/>
          <w:szCs w:val="22"/>
          <w:color w:val="auto"/>
        </w:rPr>
      </w:pPr>
    </w:p>
    <w:p>
      <w:pPr>
        <w:jc w:val="both"/>
        <w:ind w:firstLine="8"/>
        <w:spacing w:after="0" w:line="220" w:lineRule="auto"/>
        <w:tabs>
          <w:tab w:leader="none" w:pos="46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Lender is entitled to terminate the Commitment after the occurrence and during the continuance of an Event of Default, to notify, either in Lender’s name or Borrower’s name, and/or to require Borrower to notify, any account debtor or other Person obligated under or in respect of any Collateral or of the fact of Lender’s Lien thereon and of the collateral assignment thereof to Lender;</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47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Lender is entitled to terminate the Commitment after the occurrence and during the continuance of an Event of Default, to direct, either in Lender’s name or Borrower’s name, and/or to require Borrower to direct, any account debtor or other Person obligated under or in respect of any Collateral to make payment directly to Lender of any amounts due or to become due thereunder or with respect thereto; and</w:t>
      </w:r>
    </w:p>
    <w:p>
      <w:pPr>
        <w:spacing w:after="0" w:line="152" w:lineRule="exact"/>
        <w:rPr>
          <w:rFonts w:ascii="Times New Roman" w:cs="Times New Roman" w:eastAsia="Times New Roman" w:hAnsi="Times New Roman"/>
          <w:sz w:val="22"/>
          <w:szCs w:val="22"/>
          <w:color w:val="auto"/>
        </w:rPr>
      </w:pPr>
    </w:p>
    <w:p>
      <w:pPr>
        <w:jc w:val="both"/>
        <w:ind w:firstLine="8"/>
        <w:spacing w:after="0" w:line="217" w:lineRule="auto"/>
        <w:tabs>
          <w:tab w:leader="none" w:pos="46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Lender is entitled to terminate the Commitment after the occurrence and during the continuance of an Event of Default, to demand, collect, surrender, release or exchange all or any part of any Collateral or any amounts due thereunder or with respect thereto, or compromise or extend or renew for any period (whether or not longer than the initial period) any and all sums which are now or may hereafter become due or owing upon or with respect to any of the Collateral, or enforce, by suit or otherwise, payment or performance of any of the Collateral, in Lender’s own name or Borrower’s name.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Under no circumstances shall Lender be under any duty to act in regard to any of the foregoing matters. The costs relating to any of the foregoing matters, including attorneys’ fees and out-of-pocket expenses, and the cost of any bank account or accounts which may be required hereunder, shall be borne solely by Borrower whether the same are incurred by Lender or Borrower.</w:t>
      </w:r>
    </w:p>
    <w:p>
      <w:pPr>
        <w:spacing w:after="0" w:line="15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7.04 </w:t>
      </w:r>
      <w:r>
        <w:rPr>
          <w:rFonts w:ascii="Times New Roman" w:cs="Times New Roman" w:eastAsia="Times New Roman" w:hAnsi="Times New Roman"/>
          <w:sz w:val="21"/>
          <w:szCs w:val="21"/>
          <w:u w:val="single" w:color="auto"/>
          <w:color w:val="auto"/>
        </w:rPr>
        <w:t>Lender’s Power of Attorney</w:t>
      </w:r>
      <w:r>
        <w:rPr>
          <w:rFonts w:ascii="Times New Roman" w:cs="Times New Roman" w:eastAsia="Times New Roman" w:hAnsi="Times New Roman"/>
          <w:sz w:val="21"/>
          <w:szCs w:val="21"/>
          <w:color w:val="auto"/>
        </w:rPr>
        <w:t>. Borrower appoints the Lender, or any Person whom the Lender may from time to time designate, as Borrower’s attorney and agent-in-fact with power: (a) at any time Lender is entitled to terminate the Commitment after the occurrence and during the continuance of an Event of Default, to notify the post office authorities to change the address for delivery of Borrower’s mail to an address designated by Lender; (b) at any time Lender is entitled to terminate the Commitment after the occurrence and during the continuance of an Event of Default, to receive, open and dispose of all mail addressed to Borrower; (c) to send requests for verification of Borrower’s accounts or other Collateral to its account debtors; (d) to open an escrow account under Lender’s sole control for the collection of Borrower’s accounts or other Collateral, if not required contemporaneously with the execution hereof; and (e) to do all other things which Lender is permitted to do under this Agreement or any other Credit Document or which are necessary to carry out this Agreement and the other Credit Documents. Neither Lender nor any of the directors, officers, employees or agents of Lender will be liable for any acts of commission or omission nor for any error in judgment or mistake of fact or law, unless the same shall have resulted from gross negligence or willful misconduct. The foregoing appointment and power, being coupled with an interest, is irrevocable until the last to occur of</w:t>
      </w:r>
    </w:p>
    <w:p>
      <w:pPr>
        <w:spacing w:after="0" w:line="8" w:lineRule="exact"/>
        <w:rPr>
          <w:sz w:val="20"/>
          <w:szCs w:val="20"/>
          <w:color w:val="auto"/>
        </w:rPr>
      </w:pPr>
    </w:p>
    <w:p>
      <w:pPr>
        <w:jc w:val="both"/>
        <w:ind w:firstLine="8"/>
        <w:spacing w:after="0" w:line="218" w:lineRule="auto"/>
        <w:tabs>
          <w:tab w:leader="none" w:pos="36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the Commitment and any other obligations of Lender under this Agreement and (y) indefeasible payment in full in cash, and performance in full, of all Obligations. Borrower expressly waives presentment, demand, notice of dishonor and protest of all instruments and any other notice to which it might otherwise be entitled.</w:t>
      </w:r>
    </w:p>
    <w:p>
      <w:pPr>
        <w:spacing w:after="0" w:line="15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No Liability for Safekeeping</w:t>
      </w:r>
      <w:r>
        <w:rPr>
          <w:rFonts w:ascii="Times New Roman" w:cs="Times New Roman" w:eastAsia="Times New Roman" w:hAnsi="Times New Roman"/>
          <w:sz w:val="22"/>
          <w:szCs w:val="22"/>
          <w:color w:val="auto"/>
        </w:rPr>
        <w:t>. Lender shall not be liable or responsible in any way for the safekeeping of any Collateral of Borrower delivered to it, to any bailee appointed by or for it, to any warehouseman, or under any other circumstances. Lender shall not be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36" w:name="page237"/>
    <w:bookmarkEnd w:id="236"/>
    <w:p>
      <w:pPr>
        <w:jc w:val="both"/>
        <w:spacing w:after="0" w:line="225" w:lineRule="auto"/>
        <w:rPr>
          <w:sz w:val="20"/>
          <w:szCs w:val="20"/>
          <w:color w:val="auto"/>
        </w:rPr>
      </w:pPr>
      <w:r>
        <w:rPr>
          <w:rFonts w:ascii="Times New Roman" w:cs="Times New Roman" w:eastAsia="Times New Roman" w:hAnsi="Times New Roman"/>
          <w:sz w:val="22"/>
          <w:szCs w:val="22"/>
          <w:color w:val="auto"/>
        </w:rPr>
        <w:t>collection of any proceeds or for losses in collected proceeds held by Borrower in trust for Lender. Any and all risk of loss for any or all of the foregoing shall be upon Borrower, except for such loss as shall result from Lender’s gross negligence or willful misconduct.</w:t>
      </w:r>
    </w:p>
    <w:p>
      <w:pPr>
        <w:spacing w:after="0" w:line="15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7.06 </w:t>
      </w:r>
      <w:r>
        <w:rPr>
          <w:rFonts w:ascii="Times New Roman" w:cs="Times New Roman" w:eastAsia="Times New Roman" w:hAnsi="Times New Roman"/>
          <w:sz w:val="22"/>
          <w:szCs w:val="22"/>
          <w:u w:val="single" w:color="auto"/>
          <w:color w:val="auto"/>
        </w:rPr>
        <w:t>Supplemental Documentation Relating to Collateral; Further Assurances</w:t>
      </w:r>
      <w:r>
        <w:rPr>
          <w:rFonts w:ascii="Times New Roman" w:cs="Times New Roman" w:eastAsia="Times New Roman" w:hAnsi="Times New Roman"/>
          <w:sz w:val="22"/>
          <w:szCs w:val="22"/>
          <w:color w:val="auto"/>
        </w:rPr>
        <w:t xml:space="preserve">. At Lender’s request, Borrower shall execute and/or deliver to Lender, at any time or times hereafter, such agreements, documents, financing statements, warehouse receipts, bills of lading, notices of assignment of accounts, schedules of accounts assigned, certificates of origin or title and other written matter necessary or reasonably requested by Lender to perfect and maintain perfected Lender’s security interest in the Collateral owned by it in form and substance acceptable to Lender, and pay or cause to be paid all taxes, fees and other costs and expenses associated with any recording or filing of any such documentation. Borrower hereby irrevocably makes, constitutes and appoints Lender (and all Persons designated by Lender for that purpose) as Borrower’s true and lawful attorney (and agent-in-fact) (which appointment and power, being coupled with an interest, is irrevocable until the last to occur of (a) termination of this Agreement, the Commitment and all other obligations of Lender under this Agreement and (b) indefeasible payment in full in cash, and performance in full, of all Obligations) to sign the name of Borrower on any of such documentation and to deliver any of such documentation to such Persons as Lender, in its sole and absolute discretion, may elect. Borrower agrees that a carbon, photographic, photostatic, or other reproduction of this Agreement or of a financing statement is sufficient as a financing statement. Borrower shall fully cooperate with Lender and perform all additional acts reasonably requested by Lender to effect the purposes of this </w:t>
      </w:r>
      <w:r>
        <w:rPr>
          <w:rFonts w:ascii="Times New Roman" w:cs="Times New Roman" w:eastAsia="Times New Roman" w:hAnsi="Times New Roman"/>
          <w:sz w:val="22"/>
          <w:szCs w:val="22"/>
          <w:u w:val="single" w:color="auto"/>
          <w:color w:val="auto"/>
        </w:rPr>
        <w:t>Section VII</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7.07 </w:t>
      </w:r>
      <w:r>
        <w:rPr>
          <w:rFonts w:ascii="Times New Roman" w:cs="Times New Roman" w:eastAsia="Times New Roman" w:hAnsi="Times New Roman"/>
          <w:sz w:val="21"/>
          <w:szCs w:val="21"/>
          <w:u w:val="single" w:color="auto"/>
          <w:color w:val="auto"/>
        </w:rPr>
        <w:t>Rights and Remedies</w:t>
      </w:r>
      <w:r>
        <w:rPr>
          <w:rFonts w:ascii="Times New Roman" w:cs="Times New Roman" w:eastAsia="Times New Roman" w:hAnsi="Times New Roman"/>
          <w:sz w:val="21"/>
          <w:szCs w:val="21"/>
          <w:color w:val="auto"/>
        </w:rPr>
        <w:t xml:space="preserve">. In addition to the rights and remedies of Lender set forth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at any time Lender is entitled to terminate the Commitment upon the occurrence of and during the continuance of an Event of Default, Lender (i) shall have all rights and remedies of a secured party under the UCC and other applicable law and all the rights and remedies set forth in this Agreement, and Borrower waives notice of intent to accelerate, and of acceleration of, the Obligations; (ii) Lender may enter any premises of Borrower, with or without process of law, without force, to search for, take possession of, and remove the Collateral, or any part thereof; (iii) if Lender requests, Borrower shall cease disposition of and shall assemble the Collateral and make it available to Lender, at Borrower’s expense, at a convenient place or places designated by Lender; (iv) Lender may take possession of the Collateral or any part thereof on Borrower’s premises and cause it to remain there at Borrower’s expense, pending sale or other disposition. Any notice of a disposition shall be deemed reasonably and properly given if given to Borrower at least ten (10) days before such disposition. If Borrower fails to perform any of its Obligations under this Agreement, Lender may perform the same in any form or manner Lender in its discretion deems necessary or desirable, and all monies paid by Lender in connection therewith shall be additional Obligations and shall be immediately due and payable without notice together with interest payable on demand at the rate set forth in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All of Lender’s rights and remedies shall be cumulative.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VIII</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as otherwise provided herein, all notices, requests, demands, consents, instructions or other communications to or upon Lender or Borrower under this Agreement or the other Credit Documents shall be in writing and faxed, mailed or delivered to each party at its facsimile number or address set forth below (or to such other facsimile number or address for any party as indicated in any notice given by that party to the other party). All such notices and communications shall be effective (a) when sent by an overnight service of recognized standing, on the Business Day following the deposit with such service; (b) 72 hours after being mailed, first class postage prepaid and addressed as aforesaid through the United States Postal Service; (c) when delivered by hand, upon delivery; (d) when faxed, upon confirmation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37" w:name="page238"/>
    <w:bookmarkEnd w:id="237"/>
    <w:p>
      <w:pPr>
        <w:spacing w:after="0" w:line="236" w:lineRule="auto"/>
        <w:rPr>
          <w:sz w:val="20"/>
          <w:szCs w:val="20"/>
          <w:color w:val="auto"/>
        </w:rPr>
      </w:pPr>
      <w:r>
        <w:rPr>
          <w:rFonts w:ascii="Times New Roman" w:cs="Times New Roman" w:eastAsia="Times New Roman" w:hAnsi="Times New Roman"/>
          <w:sz w:val="22"/>
          <w:szCs w:val="22"/>
          <w:color w:val="auto"/>
        </w:rPr>
        <w:t xml:space="preserve">provided, however, that any notice delivered to Lender under </w:t>
      </w:r>
      <w:r>
        <w:rPr>
          <w:rFonts w:ascii="Times New Roman" w:cs="Times New Roman" w:eastAsia="Times New Roman" w:hAnsi="Times New Roman"/>
          <w:sz w:val="22"/>
          <w:szCs w:val="22"/>
          <w:u w:val="single" w:color="auto"/>
          <w:color w:val="auto"/>
        </w:rPr>
        <w:t>Section II</w:t>
      </w:r>
      <w:r>
        <w:rPr>
          <w:rFonts w:ascii="Times New Roman" w:cs="Times New Roman" w:eastAsia="Times New Roman" w:hAnsi="Times New Roman"/>
          <w:sz w:val="22"/>
          <w:szCs w:val="22"/>
          <w:color w:val="auto"/>
        </w:rPr>
        <w:t xml:space="preserve"> shall not be effective until received by Lender; and (e) upon receipt of electronic mail (with a notice contemporaneously given by another method specified in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22"/>
          <w:szCs w:val="22"/>
          <w:color w:val="auto"/>
        </w:rPr>
        <w:t>Lender:</w:t>
        <w:tab/>
        <w:t>TCF Inventory Finance, Inc.</w:t>
      </w:r>
    </w:p>
    <w:p>
      <w:pPr>
        <w:ind w:left="3240"/>
        <w:spacing w:after="0" w:line="204" w:lineRule="auto"/>
        <w:rPr>
          <w:sz w:val="20"/>
          <w:szCs w:val="20"/>
          <w:color w:val="auto"/>
        </w:rPr>
      </w:pPr>
      <w:r>
        <w:rPr>
          <w:rFonts w:ascii="Times New Roman" w:cs="Times New Roman" w:eastAsia="Times New Roman" w:hAnsi="Times New Roman"/>
          <w:sz w:val="22"/>
          <w:szCs w:val="22"/>
          <w:color w:val="auto"/>
        </w:rPr>
        <w:t>2300 Barrington Road</w:t>
      </w:r>
    </w:p>
    <w:p>
      <w:pPr>
        <w:ind w:left="3240"/>
        <w:spacing w:after="0" w:line="205" w:lineRule="auto"/>
        <w:rPr>
          <w:sz w:val="20"/>
          <w:szCs w:val="20"/>
          <w:color w:val="auto"/>
        </w:rPr>
      </w:pPr>
      <w:r>
        <w:rPr>
          <w:rFonts w:ascii="Times New Roman" w:cs="Times New Roman" w:eastAsia="Times New Roman" w:hAnsi="Times New Roman"/>
          <w:sz w:val="22"/>
          <w:szCs w:val="22"/>
          <w:color w:val="auto"/>
        </w:rPr>
        <w:t>Suite 600</w:t>
      </w:r>
    </w:p>
    <w:p>
      <w:pPr>
        <w:ind w:left="3240"/>
        <w:spacing w:after="0" w:line="205" w:lineRule="auto"/>
        <w:rPr>
          <w:sz w:val="20"/>
          <w:szCs w:val="20"/>
          <w:color w:val="auto"/>
        </w:rPr>
      </w:pPr>
      <w:r>
        <w:rPr>
          <w:rFonts w:ascii="Times New Roman" w:cs="Times New Roman" w:eastAsia="Times New Roman" w:hAnsi="Times New Roman"/>
          <w:sz w:val="22"/>
          <w:szCs w:val="22"/>
          <w:color w:val="auto"/>
        </w:rPr>
        <w:t>Hoffman Estates, Illinois 60169</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Vincent E. Hillery, General Counsel</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(847) 252-6616</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(847) 295-6012</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vhillery@tcfif.com</w:t>
      </w:r>
    </w:p>
    <w:p>
      <w:pPr>
        <w:spacing w:after="0" w:line="142"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TCF National Bank</w:t>
      </w:r>
    </w:p>
    <w:p>
      <w:pPr>
        <w:ind w:left="3240"/>
        <w:spacing w:after="0" w:line="204" w:lineRule="auto"/>
        <w:rPr>
          <w:sz w:val="20"/>
          <w:szCs w:val="20"/>
          <w:color w:val="auto"/>
        </w:rPr>
      </w:pPr>
      <w:r>
        <w:rPr>
          <w:rFonts w:ascii="Times New Roman" w:cs="Times New Roman" w:eastAsia="Times New Roman" w:hAnsi="Times New Roman"/>
          <w:sz w:val="22"/>
          <w:szCs w:val="22"/>
          <w:color w:val="auto"/>
        </w:rPr>
        <w:t>200 E. Lake Street</w:t>
      </w:r>
    </w:p>
    <w:p>
      <w:pPr>
        <w:ind w:left="3240"/>
        <w:spacing w:after="0" w:line="205" w:lineRule="auto"/>
        <w:rPr>
          <w:sz w:val="20"/>
          <w:szCs w:val="20"/>
          <w:color w:val="auto"/>
        </w:rPr>
      </w:pPr>
      <w:r>
        <w:rPr>
          <w:rFonts w:ascii="Times New Roman" w:cs="Times New Roman" w:eastAsia="Times New Roman" w:hAnsi="Times New Roman"/>
          <w:sz w:val="22"/>
          <w:szCs w:val="22"/>
          <w:color w:val="auto"/>
        </w:rPr>
        <w:t>Wayzata, MN 55391</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(952) 475-6498</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(952) 475-7975</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jgreen@tcfbank.com</w:t>
      </w:r>
    </w:p>
    <w:p>
      <w:pPr>
        <w:spacing w:after="0" w:line="1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Kaplan, Strangis and Kaplan, P.A.</w:t>
      </w:r>
    </w:p>
    <w:p>
      <w:pPr>
        <w:ind w:left="3240"/>
        <w:spacing w:after="0" w:line="204" w:lineRule="auto"/>
        <w:rPr>
          <w:sz w:val="20"/>
          <w:szCs w:val="20"/>
          <w:color w:val="auto"/>
        </w:rPr>
      </w:pPr>
      <w:r>
        <w:rPr>
          <w:rFonts w:ascii="Times New Roman" w:cs="Times New Roman" w:eastAsia="Times New Roman" w:hAnsi="Times New Roman"/>
          <w:sz w:val="22"/>
          <w:szCs w:val="22"/>
          <w:color w:val="auto"/>
        </w:rPr>
        <w:t>5500 Wells Fargo Center</w:t>
      </w:r>
    </w:p>
    <w:p>
      <w:pPr>
        <w:ind w:left="3240"/>
        <w:spacing w:after="0" w:line="205" w:lineRule="auto"/>
        <w:rPr>
          <w:sz w:val="20"/>
          <w:szCs w:val="20"/>
          <w:color w:val="auto"/>
        </w:rPr>
      </w:pPr>
      <w:r>
        <w:rPr>
          <w:rFonts w:ascii="Times New Roman" w:cs="Times New Roman" w:eastAsia="Times New Roman" w:hAnsi="Times New Roman"/>
          <w:sz w:val="22"/>
          <w:szCs w:val="22"/>
          <w:color w:val="auto"/>
        </w:rPr>
        <w:t>90 South Seventh Street</w:t>
      </w:r>
    </w:p>
    <w:p>
      <w:pPr>
        <w:ind w:left="3240"/>
        <w:spacing w:after="0" w:line="205" w:lineRule="auto"/>
        <w:rPr>
          <w:sz w:val="20"/>
          <w:szCs w:val="20"/>
          <w:color w:val="auto"/>
        </w:rPr>
      </w:pPr>
      <w:r>
        <w:rPr>
          <w:rFonts w:ascii="Times New Roman" w:cs="Times New Roman" w:eastAsia="Times New Roman" w:hAnsi="Times New Roman"/>
          <w:sz w:val="22"/>
          <w:szCs w:val="22"/>
          <w:color w:val="auto"/>
        </w:rPr>
        <w:t>Minneapolis, MN 55402</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Harvey F. Kaplan, Esq.</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(612) 375-1138</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(612) 375-1143</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hfk@kskpa.com</w:t>
      </w:r>
    </w:p>
    <w:p>
      <w:pPr>
        <w:spacing w:after="0" w:line="142"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Borrower:</w:t>
        <w:tab/>
        <w:t>Red Iron Acceptance, LLC</w:t>
      </w:r>
    </w:p>
    <w:p>
      <w:pPr>
        <w:ind w:left="324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ind w:left="324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General Manager</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952-888-8801</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952-887-8258</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w:t>
      </w:r>
    </w:p>
    <w:p>
      <w:pPr>
        <w:spacing w:after="0" w:line="142"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The Toro Company</w:t>
      </w:r>
    </w:p>
    <w:p>
      <w:pPr>
        <w:ind w:left="324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ind w:left="3240"/>
        <w:spacing w:after="0" w:line="205" w:lineRule="auto"/>
        <w:rPr>
          <w:sz w:val="20"/>
          <w:szCs w:val="20"/>
          <w:color w:val="auto"/>
        </w:rPr>
      </w:pPr>
      <w:r>
        <w:rPr>
          <w:rFonts w:ascii="Times New Roman" w:cs="Times New Roman" w:eastAsia="Times New Roman" w:hAnsi="Times New Roman"/>
          <w:sz w:val="22"/>
          <w:szCs w:val="22"/>
          <w:color w:val="auto"/>
        </w:rPr>
        <w:t>Bloomington, MN 55420</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Treasurer</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952-887-8449</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952-887-8920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Tom.Larson@toro.com</w:t>
      </w:r>
    </w:p>
    <w:p>
      <w:pPr>
        <w:spacing w:after="0" w:line="15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The Toro Company</w:t>
      </w:r>
    </w:p>
    <w:p>
      <w:pPr>
        <w:ind w:left="3240"/>
        <w:spacing w:after="0" w:line="204" w:lineRule="auto"/>
        <w:rPr>
          <w:sz w:val="20"/>
          <w:szCs w:val="20"/>
          <w:color w:val="auto"/>
        </w:rPr>
      </w:pPr>
      <w:r>
        <w:rPr>
          <w:rFonts w:ascii="Times New Roman" w:cs="Times New Roman" w:eastAsia="Times New Roman" w:hAnsi="Times New Roman"/>
          <w:sz w:val="22"/>
          <w:szCs w:val="22"/>
          <w:color w:val="auto"/>
        </w:rPr>
        <w:t>8111 Lyndale Avenue South</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Bloomington, MN 55420</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type w:val="continuous"/>
        </w:sectPr>
      </w:pPr>
    </w:p>
    <w:bookmarkStart w:id="238" w:name="page239"/>
    <w:bookmarkEnd w:id="238"/>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General Counsel</w:t>
      </w:r>
    </w:p>
    <w:p>
      <w:pPr>
        <w:ind w:left="3240"/>
        <w:spacing w:after="0" w:line="204" w:lineRule="auto"/>
        <w:rPr>
          <w:sz w:val="20"/>
          <w:szCs w:val="20"/>
          <w:color w:val="auto"/>
        </w:rPr>
      </w:pPr>
      <w:r>
        <w:rPr>
          <w:rFonts w:ascii="Times New Roman" w:cs="Times New Roman" w:eastAsia="Times New Roman" w:hAnsi="Times New Roman"/>
          <w:sz w:val="22"/>
          <w:szCs w:val="22"/>
          <w:color w:val="auto"/>
        </w:rPr>
        <w:t>Telephone: 952-887-8178</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952-887-8920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Tim.Dordell@toro.com</w:t>
      </w:r>
    </w:p>
    <w:p>
      <w:pPr>
        <w:spacing w:after="0" w:line="15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Oppenheimer Wolff &amp; Donnelly LLP</w:t>
      </w:r>
    </w:p>
    <w:p>
      <w:pPr>
        <w:ind w:left="3240"/>
        <w:spacing w:after="0" w:line="204" w:lineRule="auto"/>
        <w:rPr>
          <w:sz w:val="20"/>
          <w:szCs w:val="20"/>
          <w:color w:val="auto"/>
        </w:rPr>
      </w:pPr>
      <w:r>
        <w:rPr>
          <w:rFonts w:ascii="Times New Roman" w:cs="Times New Roman" w:eastAsia="Times New Roman" w:hAnsi="Times New Roman"/>
          <w:sz w:val="22"/>
          <w:szCs w:val="22"/>
          <w:color w:val="auto"/>
        </w:rPr>
        <w:t>3300 Plaza VII Building</w:t>
      </w:r>
    </w:p>
    <w:p>
      <w:pPr>
        <w:ind w:left="3240"/>
        <w:spacing w:after="0" w:line="205" w:lineRule="auto"/>
        <w:rPr>
          <w:sz w:val="20"/>
          <w:szCs w:val="20"/>
          <w:color w:val="auto"/>
        </w:rPr>
      </w:pPr>
      <w:r>
        <w:rPr>
          <w:rFonts w:ascii="Times New Roman" w:cs="Times New Roman" w:eastAsia="Times New Roman" w:hAnsi="Times New Roman"/>
          <w:sz w:val="22"/>
          <w:szCs w:val="22"/>
          <w:color w:val="auto"/>
        </w:rPr>
        <w:t>45 South Seventh Street</w:t>
      </w:r>
    </w:p>
    <w:p>
      <w:pPr>
        <w:ind w:left="3240"/>
        <w:spacing w:after="0" w:line="205" w:lineRule="auto"/>
        <w:rPr>
          <w:sz w:val="20"/>
          <w:szCs w:val="20"/>
          <w:color w:val="auto"/>
        </w:rPr>
      </w:pPr>
      <w:r>
        <w:rPr>
          <w:rFonts w:ascii="Times New Roman" w:cs="Times New Roman" w:eastAsia="Times New Roman" w:hAnsi="Times New Roman"/>
          <w:sz w:val="22"/>
          <w:szCs w:val="22"/>
          <w:color w:val="auto"/>
        </w:rPr>
        <w:t>Attention: C. Robert Beattie, Esq.</w:t>
      </w:r>
    </w:p>
    <w:p>
      <w:pPr>
        <w:ind w:left="3240"/>
        <w:spacing w:after="0" w:line="205" w:lineRule="auto"/>
        <w:rPr>
          <w:sz w:val="20"/>
          <w:szCs w:val="20"/>
          <w:color w:val="auto"/>
        </w:rPr>
      </w:pPr>
      <w:r>
        <w:rPr>
          <w:rFonts w:ascii="Times New Roman" w:cs="Times New Roman" w:eastAsia="Times New Roman" w:hAnsi="Times New Roman"/>
          <w:sz w:val="22"/>
          <w:szCs w:val="22"/>
          <w:color w:val="auto"/>
        </w:rPr>
        <w:t>Telephone: 612-607-7395</w:t>
      </w:r>
    </w:p>
    <w:p>
      <w:pPr>
        <w:ind w:left="3240"/>
        <w:spacing w:after="0" w:line="205" w:lineRule="auto"/>
        <w:rPr>
          <w:sz w:val="20"/>
          <w:szCs w:val="20"/>
          <w:color w:val="auto"/>
        </w:rPr>
      </w:pPr>
      <w:r>
        <w:rPr>
          <w:rFonts w:ascii="Times New Roman" w:cs="Times New Roman" w:eastAsia="Times New Roman" w:hAnsi="Times New Roman"/>
          <w:sz w:val="22"/>
          <w:szCs w:val="22"/>
          <w:color w:val="auto"/>
        </w:rPr>
        <w:t>Facsimile: 612-607-7100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RBeattie@Oppenheimer.com</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Each Revolving Loan Borrowing Request shall be made to Lender’s telephone number referred to above (or by such other means as Lender and Borrower shall agree) during Lender’s normal business hours. In any case where this Agreement authorizes notices, requests, demands or other communications by Borrower to Lender to be made by telephone, facsimile or electronic mail, Lender may conclusively presume that anyone purporting to be a Person designated in any incumbency certificate or other similar document delivered by Borrower to Lender is such a Person.</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Borrower shall pay on demand all reasonable fees and expenses, including reasonable attorneys’ fees and expenses, incurred by Lender in the enforcement or attempted enforcement of any of the Obligations or in preserving any of Lender’s rights and remedies, including all such fees and expenses incurred in connection with any “workout” or restructuring affecting the Credit Documents or the Obligations or any bankruptcy or similar proceeding involving Borrower.</w:t>
      </w:r>
    </w:p>
    <w:p>
      <w:pPr>
        <w:spacing w:after="0" w:line="15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fullest extent permitted by law, Borrower agrees to protect, indemnify, defend and hold harmless Lender and its directors, officers, employees, agents and any Affiliates thereof (“</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from and against any and all liabilities, losses, damages or expenses of any kind or nature and from any and all suits, claims or demands (including in respect of or for reasonable attorney’s fees and other expenses) arising on account of or in connection with any matter or thing or action or failure to act by Indemnitees, or any of them, arising out of or relating to the Credit Documents, including any use by Borrower of any proceeds of the Revolving Loans, except to the extent such liability arises from the willful misconduct or gross negligence of the Indemnitees. Upon receiving knowledge of any suit, claim or demand asserted by a third party that Lender believes is covered by this indemnity, Lender shall give Borrower notice of the matter and an opportunity to defend it, at Borrower’s sole cost and expense, with legal counsel reasonably satisfactory to Lender. Any failure or delay of Lender to notify Borrower of any such suit, claim or demand shall not relieve Borrower of its obligations under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but shall reduce such obligations to the extent of any increase in those obligations caused solely by an unreasonable failure or delay. The obligations of Borrower under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shall survive the payment and performance of the Obligations, the termination of the Commitment and the termination of this Agreement.</w:t>
      </w:r>
    </w:p>
    <w:p>
      <w:pPr>
        <w:spacing w:after="0" w:line="16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Any term, covenant, agreement or condition of this Agreement or any other Credit Document may be amended or waived if such amendment or waiver is in writing and is signed by Borrower and Lender. No failure or delay by Lender in exercising any right hereunder shall operate as a waiver thereof or of any other right nor shall any single or partial exercise of any such right preclude any other further exercise thereof or of any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36" w:lineRule="auto"/>
        <w:rPr>
          <w:sz w:val="20"/>
          <w:szCs w:val="20"/>
          <w:color w:val="auto"/>
        </w:rPr>
      </w:pPr>
      <w:r>
        <w:rPr>
          <w:rFonts w:ascii="Times New Roman" w:cs="Times New Roman" w:eastAsia="Times New Roman" w:hAnsi="Times New Roman"/>
          <w:sz w:val="22"/>
          <w:szCs w:val="22"/>
          <w:color w:val="auto"/>
        </w:rPr>
        <w:t>Unless otherwise specified in such waiver or consent, a waiver or consent given hereunder shall be effective only in the specific instance and for the specific purpose for which given.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8.05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8"/>
        <w:spacing w:after="0" w:line="220" w:lineRule="auto"/>
        <w:tabs>
          <w:tab w:leader="none" w:pos="45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xml:space="preserve">. This Agreement and the other Credit Documents shall be binding upon and inure to the benefit of Borrower, Lender, all future holders of the Revolving Loan Note and their respective successors and, solely in the case of Lender, its assigns permitted pursuant to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 All references in this Agreement to any Person shall be deemed to include all successors and permitted assigns of such Person.</w:t>
      </w:r>
    </w:p>
    <w:p>
      <w:pPr>
        <w:spacing w:after="0" w:line="152" w:lineRule="exact"/>
        <w:rPr>
          <w:rFonts w:ascii="Times New Roman" w:cs="Times New Roman" w:eastAsia="Times New Roman" w:hAnsi="Times New Roman"/>
          <w:sz w:val="22"/>
          <w:szCs w:val="22"/>
          <w:color w:val="auto"/>
        </w:rPr>
      </w:pPr>
    </w:p>
    <w:p>
      <w:pPr>
        <w:jc w:val="both"/>
        <w:ind w:firstLine="8"/>
        <w:spacing w:after="0" w:line="209" w:lineRule="auto"/>
        <w:tabs>
          <w:tab w:leader="none" w:pos="5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w:t>
      </w:r>
      <w:r>
        <w:rPr>
          <w:rFonts w:ascii="Times New Roman" w:cs="Times New Roman" w:eastAsia="Times New Roman" w:hAnsi="Times New Roman"/>
          <w:sz w:val="22"/>
          <w:szCs w:val="22"/>
          <w:color w:val="auto"/>
        </w:rPr>
        <w:t>. Borrower may not assign or transfer any of its rights or obligations under any Credit Document without the prior written consent of Lender. Lender may at any time, without the consent of Borrower, assign to one or more Affiliates (each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all, or a proportionate part of all, of its rights and obligations under this Agreement and the other Credit Documents, and such Assignee shall assume such rights and obligations, pursuant to an assignment and assumption agreement executed by such Assignee and Lender; provided, however, that any Assignee of Lender shall be required to have at the time of assignment (i) a creditworthiness not less than the creditworthiness of Lender at such time and (ii) a credit facility, with TCF Bank as lender and Assignee as borrower, no less favorable than Lender’s credit facility with TCF Bank and supported by the same Performance Assurance Agreement from TCF Bank furnished in connection with Lender’s credit facility with TCF Bank, and such Assignee shall be able to perform the obligations of Lender hereunder. Upon execution and delivery of such instrument, such Assignee shall be a Lender party to this Agreement and shall have all the rights and obligations of a Lender with a commitment as set forth in such instrument of assumption, and Lender shall be released from its obligations hereunder to a corresponding extent, and no further consent or action by any party shall be required. Upon the consummation of any assignment pursuant to this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 Lender and Borrower shall make appropriate arrangements so that, if required, a new Revolving Loan Note is issued to the Assignee and the existing Revolving Loan Note is returned to Borrower.</w:t>
      </w:r>
    </w:p>
    <w:p>
      <w:pPr>
        <w:spacing w:after="0" w:line="155" w:lineRule="exact"/>
        <w:rPr>
          <w:rFonts w:ascii="Times New Roman" w:cs="Times New Roman" w:eastAsia="Times New Roman" w:hAnsi="Times New Roman"/>
          <w:sz w:val="22"/>
          <w:szCs w:val="22"/>
          <w:color w:val="auto"/>
        </w:rPr>
      </w:pPr>
    </w:p>
    <w:p>
      <w:pPr>
        <w:jc w:val="both"/>
        <w:ind w:right="20" w:firstLine="8"/>
        <w:spacing w:after="0" w:line="225" w:lineRule="auto"/>
        <w:tabs>
          <w:tab w:leader="none" w:pos="48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Lender may disclose the Credit Documents and any financial or other information relating to Borrower to any Assignee or potential Assignee, subject to the terms of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and subject to Lender obtaining the agreement of such Assignee or potential Assignee to be bound by the terms of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8.06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In addition to any rights and remedies of Lender provided by law, Lender shall have the right, without prior notice to Borrower, any such notice being expressly waived by Borrower to the extent permitted by applicable law, at any time Lender is entitled to terminate the Commitment following the occurrence and during the continuance of a Default or an Event of Default, to set-off and apply against any Indebtedness, whether matured or unmatured, of Borrower to Lender (including the Obligations), any amount owing from Lender to Borrower. The aforesaid right of set-off may be exercised by Lender against Borrower or against any trustee in bankruptcy, debtor-in-possession, assignee for the benefit of creditors, receiver or execution, judgment or attachment creditor of Borrower or against anyone else claiming through or against Borrower or such trustee in bankruptcy, debtor-in-possession, assignee for the benefit of creditors, receiver, or execution, judgment or attachment creditor, notwithstanding the fact that such right of set-off shall not have been exercised by Lender prior to the occurrence of a Default or an Event of Default. Lender agrees promptly to notify Borrower after any such set-off and application made by Lender, provided that the failure to give such notice shall not affect the validity of such set-off and application.</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8.07 </w:t>
      </w:r>
      <w:r>
        <w:rPr>
          <w:rFonts w:ascii="Times New Roman" w:cs="Times New Roman" w:eastAsia="Times New Roman" w:hAnsi="Times New Roman"/>
          <w:sz w:val="22"/>
          <w:szCs w:val="22"/>
          <w:u w:val="single" w:color="auto"/>
          <w:color w:val="auto"/>
        </w:rPr>
        <w:t>No Third Party Rights</w:t>
      </w:r>
      <w:r>
        <w:rPr>
          <w:rFonts w:ascii="Times New Roman" w:cs="Times New Roman" w:eastAsia="Times New Roman" w:hAnsi="Times New Roman"/>
          <w:sz w:val="22"/>
          <w:szCs w:val="22"/>
          <w:color w:val="auto"/>
        </w:rPr>
        <w:t>. Subject to the terms of the Joint Venture Agreement, nothing expressed in or to be implied from this Agreement or any other Credit Document is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40" w:name="page241"/>
    <w:bookmarkEnd w:id="240"/>
    <w:p>
      <w:pPr>
        <w:jc w:val="both"/>
        <w:spacing w:after="0" w:line="225" w:lineRule="auto"/>
        <w:rPr>
          <w:sz w:val="20"/>
          <w:szCs w:val="20"/>
          <w:color w:val="auto"/>
        </w:rPr>
      </w:pPr>
      <w:r>
        <w:rPr>
          <w:rFonts w:ascii="Times New Roman" w:cs="Times New Roman" w:eastAsia="Times New Roman" w:hAnsi="Times New Roman"/>
          <w:sz w:val="22"/>
          <w:szCs w:val="22"/>
          <w:color w:val="auto"/>
        </w:rPr>
        <w:t>give, or shall be construed to give, any Person, other than the parties hereto and thereto and their permitted successors and assigns, any benefit or legal or equitable right, remedy or claim under or by virtue of this Agreement or any other Credit Document.</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8.08 </w:t>
      </w:r>
      <w:r>
        <w:rPr>
          <w:rFonts w:ascii="Times New Roman" w:cs="Times New Roman" w:eastAsia="Times New Roman" w:hAnsi="Times New Roman"/>
          <w:sz w:val="22"/>
          <w:szCs w:val="22"/>
          <w:u w:val="single" w:color="auto"/>
          <w:color w:val="auto"/>
        </w:rPr>
        <w:t>Partial Invalidity</w:t>
      </w:r>
      <w:r>
        <w:rPr>
          <w:rFonts w:ascii="Times New Roman" w:cs="Times New Roman" w:eastAsia="Times New Roman" w:hAnsi="Times New Roman"/>
          <w:sz w:val="22"/>
          <w:szCs w:val="22"/>
          <w:color w:val="auto"/>
        </w:rPr>
        <w:t>. If at any time any provision of this Agreement is or becomes illegal, invalid or unenforceable in any respect under the law of any jurisdiction, neither the legality, validity or enforceability of the remaining provisions of this Agreement nor the legality, validity or enforceability of such provision under the law of any other jurisdiction shall in any way be affected or impaired thereby.</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8.09 </w:t>
      </w:r>
      <w:r>
        <w:rPr>
          <w:rFonts w:ascii="Times New Roman" w:cs="Times New Roman" w:eastAsia="Times New Roman" w:hAnsi="Times New Roman"/>
          <w:sz w:val="22"/>
          <w:szCs w:val="22"/>
          <w:u w:val="single" w:color="auto"/>
          <w:color w:val="auto"/>
        </w:rPr>
        <w:t>Jury Trial</w:t>
      </w:r>
      <w:r>
        <w:rPr>
          <w:rFonts w:ascii="Times New Roman" w:cs="Times New Roman" w:eastAsia="Times New Roman" w:hAnsi="Times New Roman"/>
          <w:sz w:val="22"/>
          <w:szCs w:val="22"/>
          <w:color w:val="auto"/>
        </w:rPr>
        <w:t>. EACH OF BORROWER AND LENDER, TO THE FULLEST EXTENT PERMITTED BY APPLICABLE LAW, HEREBY KNOWINGLY, VOLUNTARILY AND IRREVOCABLY WAIVES ALL RIGHT TO TRIAL BY JURY AS TO ANY ISSUE RELATING TO ANY CREDIT DOCUMENT IN ANY ACTION, PROCEEDING, OR COUNTERCLAIM ARISING OUT OF OR RELATING TO ANY CREDIT DOCUMENT OR THE TRANSACTIONS CONTEMPLATED THEREBY. THIS WAIVER IS A MATERIAL INDUCEMENT FOR OUR ENTERING INTO THIS AGREEMENT.</w:t>
      </w:r>
    </w:p>
    <w:p>
      <w:pPr>
        <w:spacing w:after="0" w:line="1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8.10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Borrower and Lender hereby irrevocably submits to the non-exclusive jurisdiction of the Federal courts sitting in Minneapolis or St. Paul, Minnesota and any state court located in Hennepin County, Minnesota, and by execution and delivery of this Agreement, each of Borrower and Lender accepts for itself and in connection with its properties, generally and unconditionally, the non-exclusive jurisdiction of such courts with respect to any litigation concerning the Credit Documents or the transactions contemplated thereby or any matters related thereto. Each of Borrower and Lender irrevocably waives any objection (including any objection to the laying of venue or any objection on the grounds of forum non conveniens) which it may now or hereafter have to the bringing of any proceeding with respect to this Agreement to the courts set forth above. Borrower agrees to the personal jurisdiction of such courts and that service of process may be made on it at the address indicated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above. Nothing herein shall affect the right to serve process in any other manner permitted by law.</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identical counterparts, any set of which signed by all the parties hereto shall be deemed to constitute a complete, executed original for all purposes.</w:t>
      </w:r>
    </w:p>
    <w:p>
      <w:pPr>
        <w:spacing w:after="0" w:line="15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u w:val="single" w:color="auto"/>
          <w:color w:val="auto"/>
        </w:rPr>
        <w:t>Disclosure of Information about Borrower</w:t>
      </w:r>
      <w:r>
        <w:rPr>
          <w:rFonts w:ascii="Times New Roman" w:cs="Times New Roman" w:eastAsia="Times New Roman" w:hAnsi="Times New Roman"/>
          <w:sz w:val="22"/>
          <w:szCs w:val="22"/>
          <w:color w:val="auto"/>
        </w:rPr>
        <w:t xml:space="preserve">. Lender agrees that it will not provide any information to any Person regarding the business and operations of Borrower without the prior written consent of Borrower, except for (i) disclosures to any Person to the extent necessary to permit an assignment permitted under the terms of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(ii) disclosures to Lender’s accountants to the extent necessary in connection with such accountants’ auditing responsibilities, (iii) disclosures to any Person of information which is or becomes generally available to the public other than as a result of a disclosure in violation of the terms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8.12</w:t>
      </w:r>
      <w:r>
        <w:rPr>
          <w:rFonts w:ascii="Times New Roman" w:cs="Times New Roman" w:eastAsia="Times New Roman" w:hAnsi="Times New Roman"/>
          <w:sz w:val="22"/>
          <w:szCs w:val="22"/>
          <w:color w:val="auto"/>
        </w:rPr>
        <w:t>, (iv) disclosures to any Person of information which Lender is legally compelled to disclose, provided that Lender agrees to use all reasonable efforts to notify Borrower of any such legal requirement to disclose sufficiently in advance of the disclosure to permit Borrower to challenge the legal requirement, and (v) disclosure to any Person to the extent otherwise permitted by the Joint Venture Agreement or the LLC Agreement.</w:t>
      </w:r>
    </w:p>
    <w:p>
      <w:pPr>
        <w:spacing w:after="0" w:line="1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8.13 </w:t>
      </w:r>
      <w:r>
        <w:rPr>
          <w:rFonts w:ascii="Times New Roman" w:cs="Times New Roman" w:eastAsia="Times New Roman" w:hAnsi="Times New Roman"/>
          <w:sz w:val="22"/>
          <w:szCs w:val="22"/>
          <w:u w:val="single" w:color="auto"/>
          <w:color w:val="auto"/>
        </w:rPr>
        <w:t>No Recourse to Members of Borrower</w:t>
      </w:r>
      <w:r>
        <w:rPr>
          <w:rFonts w:ascii="Times New Roman" w:cs="Times New Roman" w:eastAsia="Times New Roman" w:hAnsi="Times New Roman"/>
          <w:sz w:val="22"/>
          <w:szCs w:val="22"/>
          <w:color w:val="auto"/>
        </w:rPr>
        <w:t>. Notwithstanding any provision of this Agreement to the contrary, recourse for the payment of the Obligations and any other liabilities and obligations of Borrower arising under any Credit Document shall be had only against the assets, property and rights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41" w:name="page242"/>
    <w:bookmarkEnd w:id="241"/>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u w:val="single" w:color="auto"/>
          <w:color w:val="auto"/>
        </w:rPr>
        <w:t>No Indirect or Consequential Damages</w:t>
      </w:r>
      <w:r>
        <w:rPr>
          <w:rFonts w:ascii="Times New Roman" w:cs="Times New Roman" w:eastAsia="Times New Roman" w:hAnsi="Times New Roman"/>
          <w:sz w:val="22"/>
          <w:szCs w:val="22"/>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42" w:name="page243"/>
    <w:bookmarkEnd w:id="242"/>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Borrower and Lender have caused this Agreement to be executed as of the day and year first above written.</w:t>
      </w:r>
    </w:p>
    <w:p>
      <w:pPr>
        <w:spacing w:after="0" w:line="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RED IRON ACCEPTANCE, LLC</w:t>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0344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4380"/>
        <w:spacing w:after="0" w:line="204" w:lineRule="auto"/>
        <w:rPr>
          <w:sz w:val="20"/>
          <w:szCs w:val="20"/>
          <w:color w:val="auto"/>
        </w:rPr>
      </w:pPr>
      <w:r>
        <w:rPr>
          <w:rFonts w:ascii="Times New Roman" w:cs="Times New Roman" w:eastAsia="Times New Roman" w:hAnsi="Times New Roman"/>
          <w:sz w:val="22"/>
          <w:szCs w:val="22"/>
          <w:color w:val="auto"/>
        </w:rPr>
        <w:t>Name: Mark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-5080</wp:posOffset>
            </wp:positionV>
            <wp:extent cx="8362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836295"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-29210</wp:posOffset>
            </wp:positionV>
            <wp:extent cx="6248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35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TCF INVENTORY FINANCE, INC.</w:t>
      </w:r>
    </w:p>
    <w:p>
      <w:pPr>
        <w:spacing w:after="0" w:line="3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By:/s/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33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438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-5080</wp:posOffset>
            </wp:positionV>
            <wp:extent cx="1169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-29210</wp:posOffset>
            </wp:positionV>
            <wp:extent cx="11887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395" w:right="35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Acceleration Event</w:t>
      </w:r>
      <w:r>
        <w:rPr>
          <w:rFonts w:ascii="Times New Roman" w:cs="Times New Roman" w:eastAsia="Times New Roman" w:hAnsi="Times New Roman"/>
          <w:sz w:val="22"/>
          <w:szCs w:val="22"/>
          <w:color w:val="auto"/>
        </w:rPr>
        <w:t xml:space="preserve">” shall mean Toro, on a consolidated basis, permits its consolidated ratio of (x) Indebtedness to (y)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stockholders’ equity to exceed (i) 0.60 to 1.0 as at the end of the first fiscal quarter of Toro’s fiscal year, (ii) 0.65 to 1.00 as at the end of the second fiscal quarter of Toro’s fiscal year, (iii) 0.60 to 1.0 as at the end of the third fiscal quarter of Toro’s fiscal year or (iv) 0.55 to 1.00 as at the end of Toro’s fiscal year.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Credit and Security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of the preamble to this Agreement.</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shall mean, with respect to Borrower at any time, the remainder of Tangible Assets less the sum of (i) all liabilities of Borrower at such time (other than the aggregate principal amount of Revolving Loans borrowed by Borrower at such time) and (ii) the Required Equity Investment. The Borrowing Base for Borrower shall be determined by Lender as at the last day of each calendar month (after giving effect to any capital contributions made by the Members of Borrower with respect to such calendar month in accordance with the terms of the LLC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on which commercial banks are not authorized or required to close in Minneapolis, Minnesota or Chicago, Illinois.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Asset</w:t>
      </w:r>
      <w:r>
        <w:rPr>
          <w:rFonts w:ascii="Times New Roman" w:cs="Times New Roman" w:eastAsia="Times New Roman" w:hAnsi="Times New Roman"/>
          <w:sz w:val="22"/>
          <w:szCs w:val="22"/>
          <w:color w:val="auto"/>
        </w:rPr>
        <w:t>” shall mean, with respect to any Person, tangible property owned or leased (in the case of a Capital Lease) by such Person, or any expense incurred by any Person that is required by GAAP to be reported as an asset on such Person’s balance sheet.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shall mean, with respect to any Person and any period, all amounts expended and Indebtedness incurred or assumed by such Person during such period for the acquisition of real property and other Capital Assets (including amounts expended and Indebtedness incurred or assumed in connection with Capital Leases).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Leases</w:t>
      </w:r>
      <w:r>
        <w:rPr>
          <w:rFonts w:ascii="Times New Roman" w:cs="Times New Roman" w:eastAsia="Times New Roman" w:hAnsi="Times New Roman"/>
          <w:sz w:val="22"/>
          <w:szCs w:val="22"/>
          <w:color w:val="auto"/>
        </w:rPr>
        <w:t>” shall mean any and all lease obligations that, in accordance with GAAP, are required to be capitalized on the books of a lessee.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mean August 12, 2009.</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1" w:right="339" w:bottom="1440" w:gutter="0" w:footer="0" w:header="0"/>
        </w:sectPr>
      </w:pPr>
    </w:p>
    <w:bookmarkStart w:id="244" w:name="page245"/>
    <w:bookmarkEnd w:id="244"/>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of any Person shall mean, any indenture, note, security, deed of trust, mortgage, security agreement, lease, guaranty, instrument, contract, agreement or other form of obligation or undertaking to which such Person is a party or by which such Person or any of its property is bound.</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shall mean and include this Agreement, the Revolving Loan Note and each Security Document delivered to Lender in connection with this Agreement, as each of the foregoing may be amended from time to time.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shall mean any event or circumstance not yet constituting an Event of Default but which, with the giving of any notice or the lapse of any period of time or both, would become an Event of Default.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the lawful currency of the United States of America and, in relation to any payment under this Agreement, same day or immediately available funds.</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shall mean any employee benefit plan within the meaning of section 3(3) of ERISA maintained or contributed to by Borrower, other than a Multiemployer Plan.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of any Person shall mean (a) all common stock, preferred stock, limited liability company interests, participations, shares, partnership interests or other equity interests in and of such Person (regardless of how designated and whether or not voting or non-voting) and (b) all warrants, options and other rights to acquire any of the foregoing.</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the same may from time to time be amended or supplemented, including any rules or regulations issued in connection therewith.</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Exmark</w:t>
      </w:r>
      <w:r>
        <w:rPr>
          <w:rFonts w:ascii="Times New Roman" w:cs="Times New Roman" w:eastAsia="Times New Roman" w:hAnsi="Times New Roman"/>
          <w:sz w:val="22"/>
          <w:szCs w:val="22"/>
          <w:color w:val="auto"/>
        </w:rPr>
        <w:t>” shall mean Exmark Manufacturing Company Incorporated, a Nebraska corporation, a wholly owned subsidiary of Toro.</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shall mean, with respect to any accounting period for any Person, statements of income of such Person for such period and balance sheets of such Person as of the end of such period and, with respect to any annual accounting period for any Person, statements of cash flows of such Person for such annual period, setting forth in each case in comparative form figures for the corresponding period in the preceding fiscal year if such period is less than a full fiscal year or, if such period is a full fiscal year, corresponding figures from the preceding fiscal year, all prepared in reasonable detail and in accordance with GAAP.</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generally accepted accounting principles and practices as in effect in the United States of America from time to time, consistently applied.</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shall mean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Charges</w:t>
      </w:r>
      <w:r>
        <w:rPr>
          <w:rFonts w:ascii="Times New Roman" w:cs="Times New Roman" w:eastAsia="Times New Roman" w:hAnsi="Times New Roman"/>
          <w:sz w:val="22"/>
          <w:szCs w:val="22"/>
          <w:color w:val="auto"/>
        </w:rPr>
        <w:t>” shall mean all levies, assessments, fees, claims or other charges imposed by any Governmental Authority upon or relating to (i) Borrower, (ii) the Revolving Loans, (iii) income or gross receipts of Borrower, (iv) the ownership or use of any of its assets by Borrower or (v) any other aspect of the business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45" w:name="page246"/>
    <w:bookmarkEnd w:id="245"/>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Rule</w:t>
      </w:r>
      <w:r>
        <w:rPr>
          <w:rFonts w:ascii="Times New Roman" w:cs="Times New Roman" w:eastAsia="Times New Roman" w:hAnsi="Times New Roman"/>
          <w:sz w:val="22"/>
          <w:szCs w:val="22"/>
          <w:color w:val="auto"/>
        </w:rPr>
        <w:t>” shall mean any law, rule, regulation, ordinance, order, code interpretation, judgment, decree, directive, guidelines, policy or similar form of decision of any Governmental Authority.</w:t>
      </w:r>
    </w:p>
    <w:p>
      <w:pPr>
        <w:spacing w:after="0" w:line="15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shall mean and include (a) all items of indebtedness and liabilities which, in accordance with GAAP, would be included in determining liabilities that are shown on the liability side of the balance sheet of such Person,</w:t>
      </w:r>
    </w:p>
    <w:p>
      <w:pPr>
        <w:spacing w:after="0" w:line="1" w:lineRule="exact"/>
        <w:rPr>
          <w:sz w:val="20"/>
          <w:szCs w:val="20"/>
          <w:color w:val="auto"/>
        </w:rPr>
      </w:pPr>
    </w:p>
    <w:p>
      <w:pPr>
        <w:jc w:val="both"/>
        <w:ind w:firstLine="8"/>
        <w:spacing w:after="0" w:line="214" w:lineRule="auto"/>
        <w:tabs>
          <w:tab w:leader="none" w:pos="31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and liabilities of other Persons assumed or guaranteed by such Person or in respect to which such Person is secondarily or contingently liable whether by any agreement to acquire indebtedness and liabilities or to supply or advance funds or otherwise, and (c) all indebtedness and liabilities of other Persons secured by any Lien in any property of such Person (including Capital Leases).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Account</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of any Person shall mean any loan or advance of funds by such Person to any other Person (other than advances to employees of such Person for moving and travel expense, drawing accounts and similar expenditures in the ordinary course of business), any purchase or other acquisition of any Equity Securities or Indebtedness of any other Person, and any capital contribution by such Person to or any other investment by such Person in any other Person (including any Indebtedness incurred by such Person of the type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definition of “Indebtedness” on behalf of any other Person).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Venture Agreement</w:t>
      </w:r>
      <w:r>
        <w:rPr>
          <w:rFonts w:ascii="Times New Roman" w:cs="Times New Roman" w:eastAsia="Times New Roman" w:hAnsi="Times New Roman"/>
          <w:sz w:val="22"/>
          <w:szCs w:val="22"/>
          <w:color w:val="auto"/>
        </w:rPr>
        <w:t>” shall mean that certain Agreement to Form Joint Venture, dated as of the date hereof, between TCFIF and Toro, as it may be amended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of the preamble of this Agreement.</w:t>
      </w:r>
    </w:p>
    <w:p>
      <w:pPr>
        <w:spacing w:after="0" w:line="179"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shall mean the most recent 15 Business Day moving average of one-month interbank offered rates for dollar deposits in the London market, as reported to Lender by “The Bloomberg Financial Markets, Commodities and News,” a publicly available financial reporting service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If Bloomberg no longer publishes such rates, the Lender may, in its discretion, choose a similar successor publicly available financial reporting service. LIBOR for any month will be based on the reported one-month LIBOR rate for the most recent 15 Business Days preceding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immediately preceding month.</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with respect to any property, any security interest, mortgage, pledge, lien, claim, charge or other encumbrance in, of, or on such property or the income therefrom, including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shall mean that certain Limited Liability Company Agreement of Borrower, dated as of the date hereof, by and between Toro Sub and TCFIF Sub, as it may be amended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Term</w:t>
      </w:r>
      <w:r>
        <w:rPr>
          <w:rFonts w:ascii="Times New Roman" w:cs="Times New Roman" w:eastAsia="Times New Roman" w:hAnsi="Times New Roman"/>
          <w:sz w:val="22"/>
          <w:szCs w:val="22"/>
          <w:color w:val="auto"/>
        </w:rPr>
        <w:t>” shall mean, at any time, the term of Borrower in effect at such time pursuant to the LLC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 Box</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46" w:name="page247"/>
    <w:bookmarkEnd w:id="246"/>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 material adverse effect on (a) the business, assets, operations or financial or other condition of Borrower if the same could reasonably be expected to affect the ability of Borrower to pay or perform the Obligations in accordance with the terms of this Agreement and the other Credit Documents; (b) the ability of Borrower to pay or perform the Obligations in accordance with the terms of this Agreement and the other Credit Documents; (c) the rights and remedies of Lender under this Agreement or the other Credit Documents; or (d) the value of a material portion of the Collateral, the Lender’s security interest in a material portion of the Collateral or the general perfection or priority of a material portion such security interests.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shall mean, with respect to any Revolving Loan, interest or other amount payable by Borrower under this Agreement or the other Credit Documents, the date such Revolving Loan, interest or other amount becomes due, whether upon the stated maturity or due date, upon acceleration or otherwise.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shall mean either Toro Sub or TCFIF Sub, in their respective capacities as members of Borrower.</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Membership Interests</w:t>
      </w:r>
      <w:r>
        <w:rPr>
          <w:rFonts w:ascii="Times New Roman" w:cs="Times New Roman" w:eastAsia="Times New Roman" w:hAnsi="Times New Roman"/>
          <w:sz w:val="22"/>
          <w:szCs w:val="22"/>
          <w:color w:val="auto"/>
        </w:rPr>
        <w:t>” shall mean all membership interests, units, securities and interests assigned to members of a limited liability company, together with all voting rights associated therewith.</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mean any multiemployer plan within the meaning of section 3(37) of ERISA maintained or contributed to by Borrower.</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shall mean and include all loans, advances, debts, liabilities, and obligations, howsoever arising, owed by Borrower to Lender of every kind and description (whether or not evidenced by any note or instrument and whether or not for the payment of money), direct or indirect, absolute or contingent, due or to become due, now existing or hereafter arising pursuant to the terms of this Agreement or any of the other Credit Documents, including all interest, fees (if any), charges, expenses, attorneys’ fees and accountants’ fees chargeable to Borrower or payable by Borrower hereunder or thereunder.</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Distributions</w:t>
      </w:r>
      <w:r>
        <w:rPr>
          <w:rFonts w:ascii="Times New Roman" w:cs="Times New Roman" w:eastAsia="Times New Roman" w:hAnsi="Times New Roman"/>
          <w:sz w:val="22"/>
          <w:szCs w:val="22"/>
          <w:color w:val="auto"/>
        </w:rPr>
        <w:t>” shall mean any distributions expressly contemplated or permitted by the Joint Venture Agreement or the LLC Agreement, provided, however, that any distribution otherwise permitted by the foregoing which would result in a Default or Event of Default shall not be deemed to be a Permitted Distribution.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shall mean and include:</w:t>
      </w:r>
    </w:p>
    <w:p>
      <w:pPr>
        <w:spacing w:after="0" w:line="179" w:lineRule="exact"/>
        <w:rPr>
          <w:sz w:val="20"/>
          <w:szCs w:val="20"/>
          <w:color w:val="auto"/>
        </w:rPr>
      </w:pPr>
    </w:p>
    <w:p>
      <w:pPr>
        <w:ind w:left="460" w:hanging="452"/>
        <w:spacing w:after="0"/>
        <w:tabs>
          <w:tab w:leader="none" w:pos="46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other than indebtedness for borrowed money or Capital Leases;</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to Lender or an Affiliate of Lender; and</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endorsement of instruments in the ordinary course of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mean and include:</w:t>
      </w:r>
    </w:p>
    <w:p>
      <w:pPr>
        <w:spacing w:after="0" w:line="71" w:lineRule="exact"/>
        <w:rPr>
          <w:sz w:val="20"/>
          <w:szCs w:val="20"/>
          <w:color w:val="auto"/>
        </w:rPr>
      </w:pPr>
    </w:p>
    <w:p>
      <w:pPr>
        <w:jc w:val="both"/>
        <w:ind w:firstLine="8"/>
        <w:spacing w:after="0" w:line="225" w:lineRule="auto"/>
        <w:tabs>
          <w:tab w:leader="none" w:pos="56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or other governmental charges not at the time delinquent or thereafter payable without penalty or being contested in good faith, provided provision is made to the reasonable satisfaction of Lender for the eventual payment thereof if subsequently found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47" w:name="page248"/>
    <w:bookmarkEnd w:id="247"/>
    <w:p>
      <w:pPr>
        <w:jc w:val="both"/>
        <w:ind w:firstLine="8"/>
        <w:spacing w:after="0" w:line="225" w:lineRule="auto"/>
        <w:tabs>
          <w:tab w:leader="none" w:pos="61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carriers, warehousemen, mechanics, materialmen, vendors, and landlords incurred in the ordinary course of business for sums not overdue or being contested in good faith, provided provision is made to the reasonable satisfaction of Lender for the eventual payment thereof if subsequently found payable;</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6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tenders, contracts (other than for the repayment of borrowed money) or leases, or to secure statutory obligations of surety or appeal bonds or to secure indemnity, performance or other similar bonds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47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a judgment or award not exceeding $100,000 (exclusive of any amounts covered by insurance issued by a Person not an Affiliate of Borrower) with respect to which an appeal is being prosecuted, a stay of execution pending appeal having been secured; and</w:t>
      </w:r>
    </w:p>
    <w:p>
      <w:pPr>
        <w:spacing w:after="0" w:line="152"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Lender.</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and include an individual, a partnership, a corporation (including a business trust), a limited liability company, a joint stock company, an unincorporated association, a joint venture, a trust or other entity or a Governmental Authority.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Receivables</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Equity Investment</w:t>
      </w:r>
      <w:r>
        <w:rPr>
          <w:rFonts w:ascii="Times New Roman" w:cs="Times New Roman" w:eastAsia="Times New Roman" w:hAnsi="Times New Roman"/>
          <w:sz w:val="22"/>
          <w:szCs w:val="22"/>
          <w:color w:val="auto"/>
        </w:rPr>
        <w:t>” shall mean the minimum amount of Investment in Borrower by the Members pursuant to the LLC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applicable to any Person shall mean (a) the articles or certificate of incorporation or organization, bylaws, operating agreement, limited liability company agreement, partnership agreement or other organizational or governing documents of such Person, (b) any Governmental Rule applicable to such Person, (c) any license, permit, approval or other authorization granted by any Governmental Authority to or for the benefit of such Person and (d) any judgment, decision or determination of any Governmental Authority or arbitrator, in each case applicable to or binding upon such Person or any of its property or to which such Person or any of its property is subject.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Borrowing Request</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Maturity Date</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Note</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shall mean and include all instruments, agreements, certificates, opinions and documents (including Uniform Commercial Code financing statements) delivered to Lender in connection with any Collateral or to secure the Obligations.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shall mean each of Toro, TCC, Toro International, Exmark and their respective Affiliates from whom Borrower purchases receivables.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Credits</w:t>
      </w:r>
      <w:r>
        <w:rPr>
          <w:rFonts w:ascii="Times New Roman" w:cs="Times New Roman" w:eastAsia="Times New Roman" w:hAnsi="Times New Roman"/>
          <w:sz w:val="22"/>
          <w:szCs w:val="22"/>
          <w:color w:val="auto"/>
        </w:rPr>
        <w:t>” shall mean all of the rights of Borrower to any price protection payments, rebates, discounts, credits, factory holdbacks, incentive payments, warranty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48" w:name="page249"/>
    <w:bookmarkEnd w:id="248"/>
    <w:p>
      <w:pPr>
        <w:jc w:val="both"/>
        <w:spacing w:after="0" w:line="236" w:lineRule="auto"/>
        <w:rPr>
          <w:sz w:val="20"/>
          <w:szCs w:val="20"/>
          <w:color w:val="auto"/>
        </w:rPr>
      </w:pPr>
      <w:r>
        <w:rPr>
          <w:rFonts w:ascii="Times New Roman" w:cs="Times New Roman" w:eastAsia="Times New Roman" w:hAnsi="Times New Roman"/>
          <w:sz w:val="22"/>
          <w:szCs w:val="22"/>
          <w:color w:val="auto"/>
        </w:rPr>
        <w:t>commissions and other amounts that at any time are due to Borrower from a Seller that may arise with respect to, or in connection with, Purchased Receivables.</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any Person shall mean (a) any corporation of which more than 50% of the issued and outstanding Equity Securities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or controlled by such Person, by such Person and one or more of its other Subsidiaries or by one or more of such Person’s other Subsidiaries, (b) any partnership, joint venture, or other association of which more than 50% of the equity interest having the power to vote, direct or control the management of such partnership, joint venture or other association is at the time owned and controlled by such Person, by such Person and one or more of the other Subsidiaries or by one or more of such Person’s other subsidiaries and (c) any other Person included in the Financial Statements of such Person on a consolidated basis.</w:t>
      </w:r>
    </w:p>
    <w:p>
      <w:pPr>
        <w:spacing w:after="0" w:line="15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Assets</w:t>
      </w:r>
      <w:r>
        <w:rPr>
          <w:rFonts w:ascii="Times New Roman" w:cs="Times New Roman" w:eastAsia="Times New Roman" w:hAnsi="Times New Roman"/>
          <w:sz w:val="22"/>
          <w:szCs w:val="22"/>
          <w:color w:val="auto"/>
        </w:rPr>
        <w:t xml:space="preserve">” shall mean, with respect to any Person at any time, the remainder at such time, determined in accordance with GAAP, of (a) the total assets of such Person minus (b) all intangible assets of such Person (to the extent included in calculating total assets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including goodwill (including any amounts, however designated on the balance sheet, representing the cost of acquisition of businesses and Investments in excess of underlying tangible assets), trademarks, trademark rights, trade name rights, copyrights, patents, patent rights, licenses, unamortized debt discount, marketing expenses, organizational expenses, non-compete agreements and deferred research and development expenses).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shall mean, with respect to any Person at any time, the remainder at such time, determined in accordance with GAAP, of (a) the Tangible Assets of such Person minus (b) the total liabilities of such Person.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present or future income, stamp or other taxes, levies, imposts, duties, charges, fees, deductions or withholdings, now or hereafter imposed, levied, collected, withheld or assessed by any Governmental Authority (except net income taxes and franchise taxes imposed on Lender).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TCC</w:t>
      </w:r>
      <w:r>
        <w:rPr>
          <w:rFonts w:ascii="Times New Roman" w:cs="Times New Roman" w:eastAsia="Times New Roman" w:hAnsi="Times New Roman"/>
          <w:sz w:val="22"/>
          <w:szCs w:val="22"/>
          <w:color w:val="auto"/>
        </w:rPr>
        <w:t>” means Toro Credit Company, a Minnesota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w:t>
      </w:r>
      <w:r>
        <w:rPr>
          <w:rFonts w:ascii="Times New Roman" w:cs="Times New Roman" w:eastAsia="Times New Roman" w:hAnsi="Times New Roman"/>
          <w:sz w:val="22"/>
          <w:szCs w:val="22"/>
          <w:color w:val="auto"/>
        </w:rPr>
        <w:t xml:space="preserve">” shall have the meaning given to that term in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of the preamble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 Rate</w:t>
      </w:r>
      <w:r>
        <w:rPr>
          <w:rFonts w:ascii="Times New Roman" w:cs="Times New Roman" w:eastAsia="Times New Roman" w:hAnsi="Times New Roman"/>
          <w:sz w:val="22"/>
          <w:szCs w:val="22"/>
          <w:color w:val="auto"/>
        </w:rPr>
        <w:t>” shall mean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TCFIF Sub</w:t>
      </w:r>
      <w:r>
        <w:rPr>
          <w:rFonts w:ascii="Times New Roman" w:cs="Times New Roman" w:eastAsia="Times New Roman" w:hAnsi="Times New Roman"/>
          <w:sz w:val="22"/>
          <w:szCs w:val="22"/>
          <w:color w:val="auto"/>
        </w:rPr>
        <w:t>” shall mean TCFIF Joint Venture I, LLC, a Minnesota limited liability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w:t>
      </w:r>
      <w:r>
        <w:rPr>
          <w:rFonts w:ascii="Times New Roman" w:cs="Times New Roman" w:eastAsia="Times New Roman" w:hAnsi="Times New Roman"/>
          <w:sz w:val="22"/>
          <w:szCs w:val="22"/>
          <w:color w:val="auto"/>
        </w:rPr>
        <w:t>” shall mean The Toro Company, a Delaware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International</w:t>
      </w:r>
      <w:r>
        <w:rPr>
          <w:rFonts w:ascii="Times New Roman" w:cs="Times New Roman" w:eastAsia="Times New Roman" w:hAnsi="Times New Roman"/>
          <w:sz w:val="22"/>
          <w:szCs w:val="22"/>
          <w:color w:val="auto"/>
        </w:rPr>
        <w:t>” shall mean Toro International Company, a Minnesota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Toro Sub</w:t>
      </w:r>
      <w:r>
        <w:rPr>
          <w:rFonts w:ascii="Times New Roman" w:cs="Times New Roman" w:eastAsia="Times New Roman" w:hAnsi="Times New Roman"/>
          <w:sz w:val="22"/>
          <w:szCs w:val="22"/>
          <w:color w:val="auto"/>
        </w:rPr>
        <w:t>” shall mean Red Iron Holding Corporation, a Delaware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shall mean the Uniform Commercial Code as in effect in the state of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REVOLVING LOAN NOTE</w:t>
      </w:r>
    </w:p>
    <w:p>
      <w:pPr>
        <w:spacing w:after="0" w:line="166"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$450,000,000</w:t>
      </w:r>
      <w:r>
        <w:rPr>
          <w:sz w:val="20"/>
          <w:szCs w:val="20"/>
          <w:color w:val="auto"/>
        </w:rPr>
        <w:tab/>
      </w:r>
      <w:r>
        <w:rPr>
          <w:rFonts w:ascii="Times New Roman" w:cs="Times New Roman" w:eastAsia="Times New Roman" w:hAnsi="Times New Roman"/>
          <w:sz w:val="21"/>
          <w:szCs w:val="21"/>
          <w:b w:val="1"/>
          <w:bCs w:val="1"/>
          <w:color w:val="auto"/>
        </w:rPr>
        <w:t>[_______________, 20__]</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Hoffman Estates, Illinois</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FOR VALUE RECEIVED, Red Iron Acceptance, LLC, a limited liability company organized under the laws of the state of Delaware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hereby promises to pay to the order of TCF INVENTORY FINANCE, INC., a Minnesota corporation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the principal sum of FOUR HUNDRED FIFTY MILLION DOLLARS ($450,000,000) or such lesser amount as shall equal the aggregate outstanding principal balance of the Revolving Loans made by Lender to Borrower pursuant to the Credit and Security Agreement referred to below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on or before the Revolving Loan Maturity Date specified in the Credit Agreement; and to pay interest on said sum, or such lesser amount, at the rates and on the dates provided in the Credit Agreement.</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Borrower shall make all payments hereunder to Lender as indicated in the Credit Agreement, in lawful money of the United States and in same day or immediately available funds.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Lender shall record on its general ledger the date and amount of each Revolving Loan and of each payment or prepayment of principal and each payment of interest or other amounts made by Borrower and Borrower agrees that all such notations shall constitute prima facie evidence absent manifest error of the matters noted; provided, however, that the failure of Lender to make any such notation shall not affect Borrower’s Obligations.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Note is the Revolving Loan Note referred to in the Credit and Security Agreement, dated as of August 12, 2009, between Borrower and Lender.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This Note is subject to the terms of the Credit Agreement, including the rights of prepayment and the rights of acceleration of Maturity. Without limiting the foregoing, the obligations of Borrower under this Note are secured as described in </w:t>
      </w:r>
      <w:r>
        <w:rPr>
          <w:rFonts w:ascii="Times New Roman" w:cs="Times New Roman" w:eastAsia="Times New Roman" w:hAnsi="Times New Roman"/>
          <w:sz w:val="22"/>
          <w:szCs w:val="22"/>
          <w:u w:val="single" w:color="auto"/>
          <w:color w:val="auto"/>
        </w:rPr>
        <w:t>Section VII</w:t>
      </w:r>
      <w:r>
        <w:rPr>
          <w:rFonts w:ascii="Times New Roman" w:cs="Times New Roman" w:eastAsia="Times New Roman" w:hAnsi="Times New Roman"/>
          <w:sz w:val="22"/>
          <w:szCs w:val="22"/>
          <w:color w:val="auto"/>
        </w:rPr>
        <w:t xml:space="preserve"> of the Credit Agreement.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Borrower shall pay fees and expenses of Lender as provided in the Credit Agreement. Borrower hereby waives notice of presentment, demand, protest or notice of any other kind. This Note shall be governed by and construed in accordance with the laws of the state of Minnesota without regard to conflict of law principles.</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Red Iron Acceptance, LLC</w:t>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AND SECURITY AGREEMENT</w:t>
      </w:r>
    </w:p>
    <w:p>
      <w:pPr>
        <w:spacing w:after="0" w:line="178" w:lineRule="exact"/>
        <w:rPr>
          <w:sz w:val="20"/>
          <w:szCs w:val="20"/>
          <w:color w:val="auto"/>
        </w:rPr>
      </w:pPr>
    </w:p>
    <w:p>
      <w:pPr>
        <w:jc w:val="both"/>
        <w:ind w:firstLine="486"/>
        <w:spacing w:after="0" w:line="221" w:lineRule="auto"/>
        <w:rPr>
          <w:sz w:val="20"/>
          <w:szCs w:val="20"/>
          <w:color w:val="auto"/>
        </w:rPr>
      </w:pPr>
      <w:r>
        <w:rPr>
          <w:rFonts w:ascii="Times New Roman" w:cs="Times New Roman" w:eastAsia="Times New Roman" w:hAnsi="Times New Roman"/>
          <w:sz w:val="22"/>
          <w:szCs w:val="22"/>
          <w:b w:val="1"/>
          <w:bCs w:val="1"/>
          <w:color w:val="auto"/>
        </w:rPr>
        <w:t>THIS FIRST AMENDMENT TO CREDIT AND SECURITY AGREEMENT</w:t>
      </w:r>
      <w:r>
        <w:rPr>
          <w:rFonts w:ascii="Times New Roman" w:cs="Times New Roman" w:eastAsia="Times New Roman" w:hAnsi="Times New Roman"/>
          <w:sz w:val="22"/>
          <w:szCs w:val="22"/>
          <w:color w:val="auto"/>
        </w:rPr>
        <w:t>, dated as of June 6, 2012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RED IRON ACCEPTANCE, LLC, a Delaware limited liability company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TCF INVENTORY FINANCE, INC.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Capitalized terms used herein and not otherwise defined shall have the meanings ascribed thereto in the Credit Agreement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right="440" w:firstLine="656"/>
        <w:spacing w:after="0" w:line="236" w:lineRule="auto"/>
        <w:tabs>
          <w:tab w:leader="none" w:pos="107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Lender are parties to that certain Credit and Security Agreement, dated as of August 12, 2009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Credit Agreement as provided herein.</w:t>
      </w:r>
    </w:p>
    <w:p>
      <w:pPr>
        <w:spacing w:after="0" w:line="20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040" w:hanging="384"/>
        <w:spacing w:after="0"/>
        <w:tabs>
          <w:tab w:leader="none" w:pos="10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60" w:right="300" w:firstLine="644"/>
        <w:spacing w:after="0" w:line="236" w:lineRule="auto"/>
        <w:tabs>
          <w:tab w:leader="none" w:pos="1764"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Maturity Date</w:t>
      </w:r>
      <w:r>
        <w:rPr>
          <w:rFonts w:ascii="Times New Roman" w:cs="Times New Roman" w:eastAsia="Times New Roman" w:hAnsi="Times New Roman"/>
          <w:sz w:val="22"/>
          <w:szCs w:val="22"/>
          <w:color w:val="auto"/>
        </w:rPr>
        <w:t>. The first sentence of Section 2.01(a) of the Credit Agreement is amended and restated in its entirety to read as follows:</w:t>
      </w:r>
    </w:p>
    <w:p>
      <w:pPr>
        <w:spacing w:after="0" w:line="173" w:lineRule="exact"/>
        <w:rPr>
          <w:sz w:val="20"/>
          <w:szCs w:val="20"/>
          <w:color w:val="auto"/>
        </w:rPr>
      </w:pPr>
    </w:p>
    <w:p>
      <w:pPr>
        <w:jc w:val="both"/>
        <w:ind w:left="1960"/>
        <w:spacing w:after="0" w:line="216" w:lineRule="auto"/>
        <w:rPr>
          <w:sz w:val="20"/>
          <w:szCs w:val="20"/>
          <w:color w:val="auto"/>
        </w:rPr>
      </w:pPr>
      <w:r>
        <w:rPr>
          <w:rFonts w:ascii="Times New Roman" w:cs="Times New Roman" w:eastAsia="Times New Roman" w:hAnsi="Times New Roman"/>
          <w:sz w:val="22"/>
          <w:szCs w:val="22"/>
          <w:i w:val="1"/>
          <w:iCs w:val="1"/>
          <w:color w:val="auto"/>
        </w:rPr>
        <w:t xml:space="preserve">“(a) </w:t>
      </w:r>
      <w:r>
        <w:rPr>
          <w:rFonts w:ascii="Times New Roman" w:cs="Times New Roman" w:eastAsia="Times New Roman" w:hAnsi="Times New Roman"/>
          <w:sz w:val="22"/>
          <w:szCs w:val="22"/>
          <w:i w:val="1"/>
          <w:iCs w:val="1"/>
          <w:u w:val="single" w:color="auto"/>
          <w:color w:val="auto"/>
        </w:rPr>
        <w:t>Revolving Loan Availability</w:t>
      </w:r>
      <w:r>
        <w:rPr>
          <w:rFonts w:ascii="Times New Roman" w:cs="Times New Roman" w:eastAsia="Times New Roman" w:hAnsi="Times New Roman"/>
          <w:sz w:val="22"/>
          <w:szCs w:val="22"/>
          <w:i w:val="1"/>
          <w:iCs w:val="1"/>
          <w:color w:val="auto"/>
        </w:rPr>
        <w:t>. Subject to the terms and conditions of this Agreement, Lender agrees to advance to Borrower from time to time during the period beginning on the Closing Date and ending on October 31, 2017, or such earlier date on which the LLC Term shall end (such date or such earlier date, if applicable, the “</w:t>
      </w:r>
      <w:r>
        <w:rPr>
          <w:rFonts w:ascii="Times New Roman" w:cs="Times New Roman" w:eastAsia="Times New Roman" w:hAnsi="Times New Roman"/>
          <w:sz w:val="22"/>
          <w:szCs w:val="22"/>
          <w:i w:val="1"/>
          <w:iCs w:val="1"/>
          <w:u w:val="single" w:color="auto"/>
          <w:color w:val="auto"/>
        </w:rPr>
        <w:t>Revolving Loan Maturity Date</w:t>
      </w:r>
      <w:r>
        <w:rPr>
          <w:rFonts w:ascii="Times New Roman" w:cs="Times New Roman" w:eastAsia="Times New Roman" w:hAnsi="Times New Roman"/>
          <w:sz w:val="22"/>
          <w:szCs w:val="22"/>
          <w:i w:val="1"/>
          <w:iCs w:val="1"/>
          <w:color w:val="auto"/>
        </w:rPr>
        <w:t xml:space="preserve">”), such loans as Borrower may request under this </w:t>
      </w:r>
      <w:r>
        <w:rPr>
          <w:rFonts w:ascii="Times New Roman" w:cs="Times New Roman" w:eastAsia="Times New Roman" w:hAnsi="Times New Roman"/>
          <w:sz w:val="22"/>
          <w:szCs w:val="22"/>
          <w:i w:val="1"/>
          <w:iCs w:val="1"/>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2.01</w:t>
      </w:r>
      <w:r>
        <w:rPr>
          <w:rFonts w:ascii="Times New Roman" w:cs="Times New Roman" w:eastAsia="Times New Roman" w:hAnsi="Times New Roman"/>
          <w:sz w:val="22"/>
          <w:szCs w:val="22"/>
          <w:i w:val="1"/>
          <w:iCs w:val="1"/>
          <w:color w:val="auto"/>
        </w:rPr>
        <w:t xml:space="preserve"> (individually, a “</w:t>
      </w:r>
      <w:r>
        <w:rPr>
          <w:rFonts w:ascii="Times New Roman" w:cs="Times New Roman" w:eastAsia="Times New Roman" w:hAnsi="Times New Roman"/>
          <w:sz w:val="22"/>
          <w:szCs w:val="22"/>
          <w:i w:val="1"/>
          <w:iCs w:val="1"/>
          <w:u w:val="single" w:color="auto"/>
          <w:color w:val="auto"/>
        </w:rPr>
        <w:t>Revolving Loan</w:t>
      </w:r>
      <w:r>
        <w:rPr>
          <w:rFonts w:ascii="Times New Roman" w:cs="Times New Roman" w:eastAsia="Times New Roman" w:hAnsi="Times New Roman"/>
          <w:sz w:val="22"/>
          <w:szCs w:val="22"/>
          <w:i w:val="1"/>
          <w:iCs w:val="1"/>
          <w:color w:val="auto"/>
        </w:rPr>
        <w:t>”); provided, however, that the aggregate principal amount of all Revolving Loans outstanding at any time shall not exceed the Commitment at such time.”</w:t>
      </w:r>
    </w:p>
    <w:p>
      <w:pPr>
        <w:spacing w:after="0" w:line="177" w:lineRule="exact"/>
        <w:rPr>
          <w:sz w:val="20"/>
          <w:szCs w:val="20"/>
          <w:color w:val="auto"/>
        </w:rPr>
      </w:pPr>
    </w:p>
    <w:p>
      <w:pPr>
        <w:ind w:left="1780" w:hanging="476"/>
        <w:spacing w:after="0"/>
        <w:tabs>
          <w:tab w:leader="none" w:pos="17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Most Favored Customer Pricing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880"/>
        <w:spacing w:after="0"/>
        <w:tabs>
          <w:tab w:leader="none" w:pos="22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The following sentence is added to the end of Section 2.01(c) of the Credit Agreement:</w:t>
      </w:r>
    </w:p>
    <w:p>
      <w:pPr>
        <w:spacing w:after="0" w:line="175" w:lineRule="exact"/>
        <w:rPr>
          <w:sz w:val="20"/>
          <w:szCs w:val="20"/>
          <w:color w:val="auto"/>
        </w:rPr>
      </w:pPr>
    </w:p>
    <w:p>
      <w:pPr>
        <w:ind w:left="1880"/>
        <w:spacing w:after="0" w:line="259" w:lineRule="auto"/>
        <w:rPr>
          <w:sz w:val="20"/>
          <w:szCs w:val="20"/>
          <w:color w:val="auto"/>
        </w:rPr>
      </w:pPr>
      <w:r>
        <w:rPr>
          <w:rFonts w:ascii="Times New Roman" w:cs="Times New Roman" w:eastAsia="Times New Roman" w:hAnsi="Times New Roman"/>
          <w:sz w:val="21"/>
          <w:szCs w:val="21"/>
          <w:i w:val="1"/>
          <w:iCs w:val="1"/>
          <w:color w:val="auto"/>
        </w:rPr>
        <w:t>“If Lender desires to decrease the TCFIF Rate in order to comply with the requirements of Section 2.8(b) of the Joint Venture Agreement, such decrease shall be effective as of the date TCFIF or an Affiliate of TCFIF</w:t>
      </w:r>
    </w:p>
    <w:p>
      <w:pPr>
        <w:sectPr>
          <w:pgSz w:w="11900" w:h="16838" w:orient="portrait"/>
          <w:cols w:equalWidth="0" w:num="1">
            <w:col w:w="11240"/>
          </w:cols>
          <w:pgMar w:left="320" w:top="98" w:right="339" w:bottom="1440" w:gutter="0" w:footer="0" w:header="0"/>
        </w:sectPr>
      </w:pPr>
    </w:p>
    <w:bookmarkStart w:id="251" w:name="page252"/>
    <w:bookmarkEnd w:id="251"/>
    <w:p>
      <w:pPr>
        <w:ind w:left="1880" w:right="20"/>
        <w:spacing w:after="0" w:line="238" w:lineRule="auto"/>
        <w:rPr>
          <w:sz w:val="20"/>
          <w:szCs w:val="20"/>
          <w:color w:val="auto"/>
        </w:rPr>
      </w:pPr>
      <w:r>
        <w:rPr>
          <w:rFonts w:ascii="Times New Roman" w:cs="Times New Roman" w:eastAsia="Times New Roman" w:hAnsi="Times New Roman"/>
          <w:sz w:val="22"/>
          <w:szCs w:val="22"/>
          <w:i w:val="1"/>
          <w:iCs w:val="1"/>
          <w:color w:val="auto"/>
        </w:rPr>
        <w:t>provides financing of the nature described in such Section 2.8(b) at a non-default interest rate lower than the TCFIF Rate then in effect.”</w:t>
      </w:r>
    </w:p>
    <w:p>
      <w:pPr>
        <w:spacing w:after="0" w:line="150" w:lineRule="exact"/>
        <w:rPr>
          <w:sz w:val="20"/>
          <w:szCs w:val="20"/>
          <w:color w:val="auto"/>
        </w:rPr>
      </w:pPr>
    </w:p>
    <w:p>
      <w:pPr>
        <w:ind w:left="1300" w:right="180" w:firstLine="733"/>
        <w:spacing w:after="0" w:line="236" w:lineRule="auto"/>
        <w:tabs>
          <w:tab w:leader="none" w:pos="250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w:t>
      </w:r>
      <w:r>
        <w:rPr>
          <w:rFonts w:ascii="Times New Roman" w:cs="Times New Roman" w:eastAsia="Times New Roman" w:hAnsi="Times New Roman"/>
          <w:sz w:val="22"/>
          <w:szCs w:val="22"/>
          <w:u w:val="single" w:color="auto"/>
          <w:color w:val="auto"/>
        </w:rPr>
        <w:t>TCFIF Rate</w:t>
      </w:r>
      <w:r>
        <w:rPr>
          <w:rFonts w:ascii="Times New Roman" w:cs="Times New Roman" w:eastAsia="Times New Roman" w:hAnsi="Times New Roman"/>
          <w:sz w:val="22"/>
          <w:szCs w:val="22"/>
          <w:color w:val="auto"/>
        </w:rPr>
        <w:t>” in Schedule 1.01 of the Credit Agreement is amended and restated in its entirety to read as follows:</w:t>
      </w:r>
    </w:p>
    <w:p>
      <w:pPr>
        <w:spacing w:after="0" w:line="1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TCFIF Rate</w:t>
      </w:r>
      <w:r>
        <w:rPr>
          <w:rFonts w:ascii="Times New Roman" w:cs="Times New Roman" w:eastAsia="Times New Roman" w:hAnsi="Times New Roman"/>
          <w:sz w:val="22"/>
          <w:szCs w:val="22"/>
          <w:i w:val="1"/>
          <w:iCs w:val="1"/>
          <w:color w:val="auto"/>
        </w:rPr>
        <w:t xml:space="preserve">” shall mean [***], as such rate may be reduced pursuant to </w:t>
      </w:r>
      <w:r>
        <w:rPr>
          <w:rFonts w:ascii="Times New Roman" w:cs="Times New Roman" w:eastAsia="Times New Roman" w:hAnsi="Times New Roman"/>
          <w:sz w:val="22"/>
          <w:szCs w:val="22"/>
          <w:i w:val="1"/>
          <w:iCs w:val="1"/>
          <w:u w:val="single" w:color="auto"/>
          <w:color w:val="auto"/>
        </w:rPr>
        <w:t>Section 2.01(c)</w:t>
      </w:r>
      <w:r>
        <w:rPr>
          <w:rFonts w:ascii="Times New Roman" w:cs="Times New Roman" w:eastAsia="Times New Roman" w:hAnsi="Times New Roman"/>
          <w:sz w:val="22"/>
          <w:szCs w:val="22"/>
          <w:i w:val="1"/>
          <w:iCs w:val="1"/>
          <w:color w:val="auto"/>
        </w:rPr>
        <w:t>.”</w:t>
      </w:r>
    </w:p>
    <w:p>
      <w:pPr>
        <w:spacing w:after="0" w:line="183" w:lineRule="exact"/>
        <w:rPr>
          <w:sz w:val="20"/>
          <w:szCs w:val="20"/>
          <w:color w:val="auto"/>
        </w:rPr>
      </w:pPr>
    </w:p>
    <w:p>
      <w:pPr>
        <w:ind w:left="1760" w:hanging="456"/>
        <w:spacing w:after="0"/>
        <w:tabs>
          <w:tab w:leader="none" w:pos="176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Illinois Office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4.01(q) of the Credit Agreement is amended and restated in its entirety to read as follows:</w:t>
      </w:r>
    </w:p>
    <w:p>
      <w:pPr>
        <w:spacing w:after="0" w:line="202" w:lineRule="exact"/>
        <w:rPr>
          <w:sz w:val="20"/>
          <w:szCs w:val="20"/>
          <w:color w:val="auto"/>
        </w:rPr>
      </w:pPr>
    </w:p>
    <w:p>
      <w:pPr>
        <w:jc w:val="both"/>
        <w:ind w:left="1960"/>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“(q) </w:t>
      </w:r>
      <w:r>
        <w:rPr>
          <w:rFonts w:ascii="Times New Roman" w:cs="Times New Roman" w:eastAsia="Times New Roman" w:hAnsi="Times New Roman"/>
          <w:sz w:val="22"/>
          <w:szCs w:val="22"/>
          <w:i w:val="1"/>
          <w:iCs w:val="1"/>
          <w:u w:val="single" w:color="auto"/>
          <w:color w:val="auto"/>
        </w:rPr>
        <w:t>Records Regarding Collateral</w:t>
      </w:r>
      <w:r>
        <w:rPr>
          <w:rFonts w:ascii="Times New Roman" w:cs="Times New Roman" w:eastAsia="Times New Roman" w:hAnsi="Times New Roman"/>
          <w:sz w:val="22"/>
          <w:szCs w:val="22"/>
          <w:i w:val="1"/>
          <w:iCs w:val="1"/>
          <w:color w:val="auto"/>
        </w:rPr>
        <w:t>. Borrower keeps and maintains its books and records regarding its accounts and chattel paper at its chief executive office in Schaumburg, Illinois or at its office in Bloomington, Minnesota. The only locations at which any Collateral is located are at its offices in Bloomington, Minnesota and Schaumburg, Illinois.”</w:t>
      </w:r>
    </w:p>
    <w:p>
      <w:pPr>
        <w:spacing w:after="0" w:line="179" w:lineRule="exact"/>
        <w:rPr>
          <w:sz w:val="20"/>
          <w:szCs w:val="20"/>
          <w:color w:val="auto"/>
        </w:rPr>
      </w:pPr>
    </w:p>
    <w:p>
      <w:pPr>
        <w:ind w:left="2440" w:hanging="488"/>
        <w:spacing w:after="0"/>
        <w:tabs>
          <w:tab w:leader="none" w:pos="244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5.01(f)(iv) of the Credit Agreement is amended and restated in its entirety to read as follows:</w:t>
      </w:r>
    </w:p>
    <w:p>
      <w:pPr>
        <w:spacing w:after="0" w:line="2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“(iv) maintain its chief executive office and principal place of business in Schaumburg, Illinois.”</w:t>
      </w:r>
    </w:p>
    <w:p>
      <w:pPr>
        <w:spacing w:after="0" w:line="210" w:lineRule="exact"/>
        <w:rPr>
          <w:sz w:val="20"/>
          <w:szCs w:val="20"/>
          <w:color w:val="auto"/>
        </w:rPr>
      </w:pPr>
    </w:p>
    <w:p>
      <w:pPr>
        <w:jc w:val="both"/>
        <w:ind w:firstLine="656"/>
        <w:spacing w:after="0" w:line="217" w:lineRule="auto"/>
        <w:tabs>
          <w:tab w:leader="none" w:pos="102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Credit Agreement; Further References</w:t>
      </w:r>
      <w:r>
        <w:rPr>
          <w:rFonts w:ascii="Times New Roman" w:cs="Times New Roman" w:eastAsia="Times New Roman" w:hAnsi="Times New Roman"/>
          <w:sz w:val="22"/>
          <w:szCs w:val="22"/>
          <w:color w:val="auto"/>
        </w:rPr>
        <w:t>. The parties hereto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by this Amendment.</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20" w:lineRule="auto"/>
        <w:tabs>
          <w:tab w:leader="none" w:pos="105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252" w:name="page253"/>
    <w:bookmarkEnd w:id="252"/>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RED IRON ACCEPTANCE, LLC</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By: /s/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-5715</wp:posOffset>
            </wp:positionV>
            <wp:extent cx="13963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ind w:left="1960"/>
        <w:spacing w:after="0" w:line="204" w:lineRule="auto"/>
        <w:rPr>
          <w:sz w:val="20"/>
          <w:szCs w:val="20"/>
          <w:color w:val="auto"/>
        </w:rPr>
      </w:pPr>
      <w:r>
        <w:rPr>
          <w:rFonts w:ascii="Times New Roman" w:cs="Times New Roman" w:eastAsia="Times New Roman" w:hAnsi="Times New Roman"/>
          <w:sz w:val="22"/>
          <w:szCs w:val="22"/>
          <w:color w:val="auto"/>
        </w:rPr>
        <w:t>Name: Mark J. Wrend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Its: Manager</w:t>
      </w:r>
    </w:p>
    <w:p>
      <w:pPr>
        <w:spacing w:after="0" w:line="200" w:lineRule="exact"/>
        <w:rPr>
          <w:sz w:val="20"/>
          <w:szCs w:val="20"/>
          <w:color w:val="auto"/>
        </w:rPr>
      </w:pP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TCF INVENTORY FINANCE, INC.</w:t>
      </w:r>
    </w:p>
    <w:p>
      <w:pPr>
        <w:spacing w:after="0" w:line="200" w:lineRule="exact"/>
        <w:rPr>
          <w:sz w:val="20"/>
          <w:szCs w:val="20"/>
          <w:color w:val="auto"/>
        </w:rPr>
      </w:pPr>
    </w:p>
    <w:p>
      <w:pPr>
        <w:spacing w:after="0" w:line="236" w:lineRule="exact"/>
        <w:rPr>
          <w:sz w:val="20"/>
          <w:szCs w:val="20"/>
          <w:color w:val="auto"/>
        </w:rPr>
      </w:pPr>
    </w:p>
    <w:p>
      <w:pPr>
        <w:ind w:left="1960"/>
        <w:spacing w:after="0"/>
        <w:tabs>
          <w:tab w:leader="none" w:pos="2780" w:val="left"/>
        </w:tabs>
        <w:rPr>
          <w:sz w:val="20"/>
          <w:szCs w:val="20"/>
          <w:color w:val="auto"/>
        </w:rPr>
      </w:pPr>
      <w:r>
        <w:rPr>
          <w:rFonts w:ascii="Times New Roman" w:cs="Times New Roman" w:eastAsia="Times New Roman" w:hAnsi="Times New Roman"/>
          <w:sz w:val="22"/>
          <w:szCs w:val="22"/>
          <w:color w:val="auto"/>
        </w:rPr>
        <w:t>By: /s/</w:t>
      </w:r>
      <w:r>
        <w:rPr>
          <w:sz w:val="20"/>
          <w:szCs w:val="20"/>
          <w:color w:val="auto"/>
        </w:rPr>
        <w:tab/>
      </w:r>
      <w:r>
        <w:rPr>
          <w:rFonts w:ascii="Times New Roman" w:cs="Times New Roman" w:eastAsia="Times New Roman" w:hAnsi="Times New Roman"/>
          <w:sz w:val="21"/>
          <w:szCs w:val="21"/>
          <w:color w:val="auto"/>
        </w:rPr>
        <w:t>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-5715</wp:posOffset>
            </wp:positionV>
            <wp:extent cx="16078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1607820" cy="8255"/>
                    </a:xfrm>
                    <a:prstGeom prst="rect">
                      <a:avLst/>
                    </a:prstGeom>
                    <a:noFill/>
                  </pic:spPr>
                </pic:pic>
              </a:graphicData>
            </a:graphic>
          </wp:anchor>
        </w:drawing>
      </w:r>
    </w:p>
    <w:p>
      <w:pPr>
        <w:ind w:left="1960"/>
        <w:spacing w:after="0" w:line="204" w:lineRule="auto"/>
        <w:rPr>
          <w:sz w:val="20"/>
          <w:szCs w:val="20"/>
          <w:color w:val="auto"/>
        </w:rPr>
      </w:pPr>
      <w:r>
        <w:rPr>
          <w:rFonts w:ascii="Times New Roman" w:cs="Times New Roman" w:eastAsia="Times New Roman" w:hAnsi="Times New Roman"/>
          <w:sz w:val="22"/>
          <w:szCs w:val="22"/>
          <w:color w:val="auto"/>
        </w:rPr>
        <w:t>Name: Rosario A. Perrelli</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 to Credit and Security Agreement</w:t>
      </w:r>
    </w:p>
    <w:p>
      <w:pPr>
        <w:sectPr>
          <w:pgSz w:w="11900" w:h="16838" w:orient="portrait"/>
          <w:cols w:equalWidth="0" w:num="1">
            <w:col w:w="10680"/>
          </w:cols>
          <w:pgMar w:left="320" w:top="1395" w:right="8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7"/>
          <w:szCs w:val="17"/>
          <w:u w:val="single" w:color="auto"/>
          <w:color w:val="auto"/>
        </w:rPr>
        <w:t>Exhibit 10.39</w:t>
      </w:r>
    </w:p>
    <w:p>
      <w:pPr>
        <w:spacing w:after="0" w:line="3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SIXTH AMENDMENT</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CREDIT AND SECURITY AGREEMENT</w:t>
      </w:r>
    </w:p>
    <w:p>
      <w:pPr>
        <w:spacing w:after="0" w:line="200" w:lineRule="exact"/>
        <w:rPr>
          <w:sz w:val="20"/>
          <w:szCs w:val="20"/>
          <w:color w:val="auto"/>
        </w:rPr>
      </w:pPr>
    </w:p>
    <w:p>
      <w:pPr>
        <w:spacing w:after="0" w:line="300" w:lineRule="exact"/>
        <w:rPr>
          <w:sz w:val="20"/>
          <w:szCs w:val="20"/>
          <w:color w:val="auto"/>
        </w:rPr>
      </w:pPr>
    </w:p>
    <w:p>
      <w:pPr>
        <w:jc w:val="both"/>
        <w:ind w:left="100" w:right="160" w:firstLine="600"/>
        <w:spacing w:after="0" w:line="306" w:lineRule="auto"/>
        <w:rPr>
          <w:sz w:val="20"/>
          <w:szCs w:val="20"/>
          <w:color w:val="auto"/>
        </w:rPr>
      </w:pPr>
      <w:r>
        <w:rPr>
          <w:rFonts w:ascii="Times New Roman" w:cs="Times New Roman" w:eastAsia="Times New Roman" w:hAnsi="Times New Roman"/>
          <w:sz w:val="17"/>
          <w:szCs w:val="17"/>
          <w:color w:val="auto"/>
        </w:rPr>
        <w:t xml:space="preserve">This Amendment, entered into as of August 31, 2023, and effective as of August 31, 2023, is by and between RED IRON ACCEPTANCE, LLC, a Delaware limited liability company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xml:space="preserve"> and HUNTINGTON DISTRIBUTION FINANCE, INC. ("Lender"). Capitalized terms used herein and not otherwise defined shall have the meanings ascribed thereto in the Credit Agreement (as hereinafter defined).</w:t>
      </w:r>
    </w:p>
    <w:p>
      <w:pPr>
        <w:spacing w:after="0" w:line="2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196" w:lineRule="exact"/>
        <w:rPr>
          <w:sz w:val="20"/>
          <w:szCs w:val="20"/>
          <w:color w:val="auto"/>
        </w:rPr>
      </w:pPr>
    </w:p>
    <w:p>
      <w:pPr>
        <w:jc w:val="both"/>
        <w:ind w:right="80" w:firstLine="703"/>
        <w:spacing w:after="0" w:line="290" w:lineRule="auto"/>
        <w:tabs>
          <w:tab w:leader="none" w:pos="1092"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Lender are parties to a Credit and Security Agreement, dated as of August 12, 2009, as amended by a First Amendment to Credit and Security Agreement dated as of June 6, 2012, a Second Amendment to Credit and Security Agreement dated as of November 29, 2016, a Third</w:t>
      </w:r>
    </w:p>
    <w:p>
      <w:pPr>
        <w:ind w:right="80"/>
        <w:spacing w:after="0" w:line="31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to Credit and Security Agreement dated as of December 20, 2019, a Fourth Amendment to Credit and Security Agreement dated August 23, 2021, and a Fifth Amendment to Credit and Security Agreement dated October 25, 2022 (as so amended, the </w:t>
      </w:r>
      <w:r>
        <w:rPr>
          <w:rFonts w:ascii="Times New Roman" w:cs="Times New Roman" w:eastAsia="Times New Roman" w:hAnsi="Times New Roman"/>
          <w:sz w:val="17"/>
          <w:szCs w:val="17"/>
          <w:u w:val="single" w:color="auto"/>
          <w:color w:val="auto"/>
        </w:rPr>
        <w:t>"Credit Agreement").</w:t>
      </w:r>
    </w:p>
    <w:p>
      <w:pPr>
        <w:spacing w:after="0" w:line="122" w:lineRule="exact"/>
        <w:rPr>
          <w:rFonts w:ascii="Times New Roman" w:cs="Times New Roman" w:eastAsia="Times New Roman" w:hAnsi="Times New Roman"/>
          <w:sz w:val="17"/>
          <w:szCs w:val="17"/>
          <w:color w:val="auto"/>
        </w:rPr>
      </w:pPr>
    </w:p>
    <w:p>
      <w:pPr>
        <w:ind w:left="1060" w:hanging="357"/>
        <w:spacing w:after="0"/>
        <w:tabs>
          <w:tab w:leader="none" w:pos="10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have agreed to amend the Credit Agreement as provided herein.</w:t>
      </w:r>
    </w:p>
    <w:p>
      <w:pPr>
        <w:spacing w:after="0" w:line="264" w:lineRule="exact"/>
        <w:rPr>
          <w:sz w:val="20"/>
          <w:szCs w:val="20"/>
          <w:color w:val="auto"/>
        </w:rPr>
      </w:pPr>
    </w:p>
    <w:p>
      <w:pPr>
        <w:ind w:right="100" w:firstLine="704"/>
        <w:spacing w:after="0" w:line="298" w:lineRule="auto"/>
        <w:rPr>
          <w:sz w:val="20"/>
          <w:szCs w:val="20"/>
          <w:color w:val="auto"/>
        </w:rPr>
      </w:pPr>
      <w:r>
        <w:rPr>
          <w:rFonts w:ascii="Times New Roman" w:cs="Times New Roman" w:eastAsia="Times New Roman" w:hAnsi="Times New Roman"/>
          <w:sz w:val="17"/>
          <w:szCs w:val="17"/>
          <w:color w:val="auto"/>
        </w:rPr>
        <w:t>NOW, THEREFORE, in consideration of the agreements hereinafter set forth, and for other good and valuable consideration, the receipt and adequacy of which are hereby acknowledged, the parties hereto agree as follows:</w:t>
      </w:r>
    </w:p>
    <w:p>
      <w:pPr>
        <w:spacing w:after="0" w:line="1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u w:val="single" w:color="auto"/>
          <w:color w:val="auto"/>
        </w:rPr>
        <w:t>AGREEMENT</w:t>
      </w:r>
    </w:p>
    <w:p>
      <w:pPr>
        <w:spacing w:after="0" w:line="291" w:lineRule="exact"/>
        <w:rPr>
          <w:sz w:val="20"/>
          <w:szCs w:val="20"/>
          <w:color w:val="auto"/>
        </w:rPr>
      </w:pPr>
    </w:p>
    <w:p>
      <w:pPr>
        <w:ind w:left="800" w:hanging="162"/>
        <w:spacing w:after="0"/>
        <w:tabs>
          <w:tab w:leader="none" w:pos="80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p>
    <w:p>
      <w:pPr>
        <w:spacing w:after="0" w:line="264" w:lineRule="exact"/>
        <w:rPr>
          <w:sz w:val="20"/>
          <w:szCs w:val="20"/>
          <w:color w:val="auto"/>
        </w:rPr>
      </w:pPr>
    </w:p>
    <w:p>
      <w:pPr>
        <w:ind w:left="1020" w:hanging="395"/>
        <w:spacing w:after="0"/>
        <w:tabs>
          <w:tab w:leader="none" w:pos="10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Commitment.</w:t>
      </w:r>
      <w:r>
        <w:rPr>
          <w:rFonts w:ascii="Times New Roman" w:cs="Times New Roman" w:eastAsia="Times New Roman" w:hAnsi="Times New Roman"/>
          <w:sz w:val="17"/>
          <w:szCs w:val="17"/>
          <w:color w:val="auto"/>
        </w:rPr>
        <w:t xml:space="preserve"> Section 2.02(a) of the Credit Agreement shall be deleted and replaced with the following:</w:t>
      </w:r>
    </w:p>
    <w:p>
      <w:pPr>
        <w:spacing w:after="0" w:line="286" w:lineRule="exact"/>
        <w:rPr>
          <w:rFonts w:ascii="Times New Roman" w:cs="Times New Roman" w:eastAsia="Times New Roman" w:hAnsi="Times New Roman"/>
          <w:sz w:val="17"/>
          <w:szCs w:val="17"/>
          <w:color w:val="auto"/>
        </w:rPr>
      </w:pPr>
    </w:p>
    <w:p>
      <w:pPr>
        <w:jc w:val="both"/>
        <w:ind w:left="620" w:right="40" w:firstLine="631"/>
        <w:spacing w:after="0" w:line="300" w:lineRule="auto"/>
        <w:tabs>
          <w:tab w:leader="none" w:pos="1766" w:val="left"/>
        </w:tabs>
        <w:numPr>
          <w:ilvl w:val="2"/>
          <w:numId w:val="2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u w:val="single" w:color="auto"/>
          <w:color w:val="auto"/>
        </w:rPr>
        <w:t>Commitment.</w:t>
      </w:r>
      <w:r>
        <w:rPr>
          <w:rFonts w:ascii="Times New Roman" w:cs="Times New Roman" w:eastAsia="Times New Roman" w:hAnsi="Times New Roman"/>
          <w:sz w:val="17"/>
          <w:szCs w:val="17"/>
          <w:i w:val="1"/>
          <w:iCs w:val="1"/>
          <w:color w:val="auto"/>
        </w:rPr>
        <w:t xml:space="preserve"> The aggregate principal amount of all Revolving Loans outstanding at a time shall not exceed the lesser of (x) the Borrowing Base and ( y) $1,350,000,000 (or, if reduced pursuant to Section 2.02(b) or otherwise; the lesser amount to which reduced) (such lesser amount, as so reduced from time to time, to be referred to herein as the </w:t>
      </w:r>
      <w:r>
        <w:rPr>
          <w:rFonts w:ascii="Times New Roman" w:cs="Times New Roman" w:eastAsia="Times New Roman" w:hAnsi="Times New Roman"/>
          <w:sz w:val="17"/>
          <w:szCs w:val="17"/>
          <w:i w:val="1"/>
          <w:iCs w:val="1"/>
          <w:u w:val="single" w:color="auto"/>
          <w:color w:val="auto"/>
        </w:rPr>
        <w:t>"Commitment").</w:t>
      </w:r>
    </w:p>
    <w:p>
      <w:pPr>
        <w:spacing w:after="0" w:line="121" w:lineRule="exact"/>
        <w:rPr>
          <w:rFonts w:ascii="Times New Roman" w:cs="Times New Roman" w:eastAsia="Times New Roman" w:hAnsi="Times New Roman"/>
          <w:sz w:val="17"/>
          <w:szCs w:val="17"/>
          <w:i w:val="1"/>
          <w:iCs w:val="1"/>
          <w:color w:val="auto"/>
        </w:rPr>
      </w:pPr>
    </w:p>
    <w:p>
      <w:pPr>
        <w:jc w:val="both"/>
        <w:ind w:left="100" w:right="160" w:firstLine="616"/>
        <w:spacing w:after="0" w:line="292" w:lineRule="auto"/>
        <w:tabs>
          <w:tab w:leader="none" w:pos="1123"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Fourth Amended and Restated Revolving Loan Note.</w:t>
      </w:r>
      <w:r>
        <w:rPr>
          <w:rFonts w:ascii="Times New Roman" w:cs="Times New Roman" w:eastAsia="Times New Roman" w:hAnsi="Times New Roman"/>
          <w:sz w:val="17"/>
          <w:szCs w:val="17"/>
          <w:color w:val="auto"/>
        </w:rPr>
        <w:t xml:space="preserve"> As of the date of this Amendment, Borrower will enter into a Fourth Amended and Restated Revolving Loan Note in the form of Exhibit A to this Amendment (the </w:t>
      </w:r>
      <w:r>
        <w:rPr>
          <w:rFonts w:ascii="Times New Roman" w:cs="Times New Roman" w:eastAsia="Times New Roman" w:hAnsi="Times New Roman"/>
          <w:sz w:val="17"/>
          <w:szCs w:val="17"/>
          <w:u w:val="single" w:color="auto"/>
          <w:color w:val="auto"/>
        </w:rPr>
        <w:t>"Fourth Amended and Restated Revolving Loan Note").</w:t>
      </w:r>
      <w:r>
        <w:rPr>
          <w:rFonts w:ascii="Times New Roman" w:cs="Times New Roman" w:eastAsia="Times New Roman" w:hAnsi="Times New Roman"/>
          <w:sz w:val="17"/>
          <w:szCs w:val="17"/>
          <w:color w:val="auto"/>
        </w:rPr>
        <w:t xml:space="preserve"> All references in any document or instrument to the Revolving Loan Note (other than the reference in Section 3.01(b) of the Credit Agreement, which will continue to refer to the promissory note issued on August 12, 2009) are hereby amended to refer to the Fourth Amended and Restated Revolving Loan Note.</w:t>
      </w:r>
    </w:p>
    <w:p>
      <w:pPr>
        <w:spacing w:after="0" w:line="142" w:lineRule="exact"/>
        <w:rPr>
          <w:rFonts w:ascii="Times New Roman" w:cs="Times New Roman" w:eastAsia="Times New Roman" w:hAnsi="Times New Roman"/>
          <w:sz w:val="17"/>
          <w:szCs w:val="17"/>
          <w:color w:val="auto"/>
        </w:rPr>
      </w:pPr>
    </w:p>
    <w:p>
      <w:pPr>
        <w:ind w:left="100" w:right="200" w:firstLine="620"/>
        <w:spacing w:after="0" w:line="314" w:lineRule="auto"/>
        <w:tabs>
          <w:tab w:leader="none" w:pos="1069"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Borrower certifies to Lender that the representations and warranties of Borrower in Section IV of the Credit Agreement are true and correct in all respects as of the date of this Amendment.</w:t>
      </w:r>
    </w:p>
    <w:p>
      <w:pPr>
        <w:sectPr>
          <w:pgSz w:w="11900" w:h="16838" w:orient="portrait"/>
          <w:cols w:equalWidth="0" w:num="1">
            <w:col w:w="10980"/>
          </w:cols>
          <w:pgMar w:left="580" w:top="901"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6"/>
          <w:szCs w:val="16"/>
          <w:color w:val="auto"/>
        </w:rPr>
        <w:t>Intercompany Loan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Red Iron Acceptance, LLC and Huntington Distribution Finance,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80" w:firstLine="604"/>
        <w:spacing w:after="0" w:line="274" w:lineRule="auto"/>
        <w:tabs>
          <w:tab w:leader="none" w:pos="987"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Affirmation of Credit Agreement; Further References.</w:t>
      </w:r>
      <w:r>
        <w:rPr>
          <w:rFonts w:ascii="Times New Roman" w:cs="Times New Roman" w:eastAsia="Times New Roman" w:hAnsi="Times New Roman"/>
          <w:sz w:val="18"/>
          <w:szCs w:val="18"/>
          <w:color w:val="auto"/>
        </w:rPr>
        <w:t xml:space="preserve"> The parties hereto each acknowledge and affirm that the Credit Agreement, as hereby amended,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through this Amendment.</w:t>
      </w:r>
    </w:p>
    <w:p>
      <w:pPr>
        <w:spacing w:after="0" w:line="141" w:lineRule="exact"/>
        <w:rPr>
          <w:rFonts w:ascii="Times New Roman" w:cs="Times New Roman" w:eastAsia="Times New Roman" w:hAnsi="Times New Roman"/>
          <w:sz w:val="18"/>
          <w:szCs w:val="18"/>
          <w:b w:val="1"/>
          <w:bCs w:val="1"/>
          <w:color w:val="auto"/>
        </w:rPr>
      </w:pPr>
    </w:p>
    <w:p>
      <w:pPr>
        <w:jc w:val="both"/>
        <w:ind w:right="180" w:firstLine="600"/>
        <w:spacing w:after="0" w:line="281" w:lineRule="auto"/>
        <w:tabs>
          <w:tab w:leader="none" w:pos="101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110" w:lineRule="exact"/>
        <w:rPr>
          <w:rFonts w:ascii="Times New Roman" w:cs="Times New Roman" w:eastAsia="Times New Roman" w:hAnsi="Times New Roman"/>
          <w:sz w:val="18"/>
          <w:szCs w:val="18"/>
          <w:color w:val="auto"/>
        </w:rPr>
      </w:pPr>
    </w:p>
    <w:p>
      <w:pPr>
        <w:jc w:val="both"/>
        <w:ind w:right="160" w:firstLine="595"/>
        <w:spacing w:after="0" w:line="281" w:lineRule="auto"/>
        <w:tabs>
          <w:tab w:leader="none" w:pos="101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w:t>
      </w:r>
      <w:r>
        <w:rPr>
          <w:rFonts w:ascii="Times New Roman" w:cs="Times New Roman" w:eastAsia="Times New Roman" w:hAnsi="Times New Roman"/>
          <w:sz w:val="18"/>
          <w:szCs w:val="18"/>
          <w:b w:val="1"/>
          <w:bCs w:val="1"/>
          <w:color w:val="auto"/>
        </w:rPr>
        <w:t>be</w:t>
      </w:r>
      <w:r>
        <w:rPr>
          <w:rFonts w:ascii="Times New Roman" w:cs="Times New Roman" w:eastAsia="Times New Roman" w:hAnsi="Times New Roman"/>
          <w:sz w:val="18"/>
          <w:szCs w:val="18"/>
          <w:color w:val="auto"/>
        </w:rPr>
        <w:t xml:space="preserve"> as effective as delivery of a manually executed counterpart hereof.</w:t>
      </w:r>
    </w:p>
    <w:p>
      <w:pPr>
        <w:spacing w:after="0" w:line="200" w:lineRule="exact"/>
        <w:rPr>
          <w:sz w:val="20"/>
          <w:szCs w:val="20"/>
          <w:color w:val="auto"/>
        </w:rPr>
      </w:pPr>
    </w:p>
    <w:p>
      <w:pPr>
        <w:spacing w:after="0" w:line="3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700" w:top="1179"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color w:val="auto"/>
        </w:rPr>
        <w:t>Intercompany Loan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Red Iron Acceptance, LLC and Huntington Distribution Finance,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RED IRON ACCEPTANCE, LLC</w:t>
      </w:r>
    </w:p>
    <w:p>
      <w:pPr>
        <w:spacing w:after="0" w:line="200" w:lineRule="exact"/>
        <w:rPr>
          <w:sz w:val="20"/>
          <w:szCs w:val="20"/>
          <w:color w:val="auto"/>
        </w:rPr>
      </w:pPr>
    </w:p>
    <w:p>
      <w:pPr>
        <w:spacing w:after="0" w:line="20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Jay R. Deverell</w:t>
      </w:r>
    </w:p>
    <w:p>
      <w:pPr>
        <w:spacing w:after="0" w:line="1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Jay R. Deverell</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HUNTINGTON DISTRIBUTION FINANCE, INC.</w:t>
      </w:r>
    </w:p>
    <w:p>
      <w:pPr>
        <w:spacing w:after="0" w:line="200" w:lineRule="exact"/>
        <w:rPr>
          <w:sz w:val="20"/>
          <w:szCs w:val="20"/>
          <w:color w:val="auto"/>
        </w:rPr>
      </w:pPr>
    </w:p>
    <w:p>
      <w:pPr>
        <w:spacing w:after="0" w:line="20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Jay R. Deverell</w:t>
      </w:r>
    </w:p>
    <w:p>
      <w:pPr>
        <w:spacing w:after="0" w:line="1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Jay R. Deverell</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Sixth Amendment to Credit and Security Agreement]</w:t>
      </w:r>
    </w:p>
    <w:p>
      <w:pPr>
        <w:sectPr>
          <w:pgSz w:w="11900" w:h="16838" w:orient="portrait"/>
          <w:cols w:equalWidth="0" w:num="1">
            <w:col w:w="10240"/>
          </w:cols>
          <w:pgMar w:left="1320" w:top="918" w:right="339" w:bottom="1440" w:gutter="0" w:footer="0" w:header="0"/>
        </w:sectPr>
      </w:pPr>
    </w:p>
    <w:p>
      <w:pPr>
        <w:spacing w:after="0" w:line="2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240"/>
          </w:cols>
          <w:pgMar w:left="1320" w:top="918" w:right="339" w:bottom="1440" w:gutter="0" w:footer="0" w:header="0"/>
          <w:type w:val="continuous"/>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color w:val="auto"/>
        </w:rPr>
        <w:t>Intercompany Loan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Red Iron Acceptance, LLC and Huntington Distribution Finance,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EXHIBIT A</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FOURTH AMENDED AND RESTATED REVOLVING LOAN NOTE</w:t>
      </w:r>
    </w:p>
    <w:p>
      <w:pPr>
        <w:spacing w:after="0" w:line="34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$1,350,000,000</w:t>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Schaumburg, Illinois</w:t>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August 31, 2023</w:t>
      </w:r>
    </w:p>
    <w:p>
      <w:pPr>
        <w:spacing w:after="0" w:line="200" w:lineRule="exact"/>
        <w:rPr>
          <w:sz w:val="20"/>
          <w:szCs w:val="20"/>
          <w:color w:val="auto"/>
        </w:rPr>
      </w:pPr>
    </w:p>
    <w:p>
      <w:pPr>
        <w:spacing w:after="0" w:line="300" w:lineRule="exact"/>
        <w:rPr>
          <w:sz w:val="20"/>
          <w:szCs w:val="20"/>
          <w:color w:val="auto"/>
        </w:rPr>
      </w:pPr>
    </w:p>
    <w:p>
      <w:pPr>
        <w:jc w:val="both"/>
        <w:ind w:right="40" w:firstLine="626"/>
        <w:spacing w:after="0" w:line="260" w:lineRule="auto"/>
        <w:rPr>
          <w:sz w:val="20"/>
          <w:szCs w:val="20"/>
          <w:color w:val="auto"/>
        </w:rPr>
      </w:pPr>
      <w:r>
        <w:rPr>
          <w:rFonts w:ascii="Times New Roman" w:cs="Times New Roman" w:eastAsia="Times New Roman" w:hAnsi="Times New Roman"/>
          <w:sz w:val="18"/>
          <w:szCs w:val="18"/>
          <w:color w:val="auto"/>
        </w:rPr>
        <w:t xml:space="preserve">THIS FOURTH AMENDED AND RESTATED REVOLVING LOAN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completely amends and restates that certain Third Amended and Restated Revolving Note Loan dated as of October 25, 2022, executed by RED IRON ACCEPTANCE, LLC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and made payable to the order of HUNTINGTON DISTRIBUTION FINANCE, INC.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and is issued in substitution and replacement thereof. This Note is the Revolving Loan Note referred to in the Credit and Security Agreement, dated as of' August 12, 2009, between Borrower and Lender, as amended by the First Amendment to Credit and Security Agreement, dated as of June 6,2012, the Second Amendment to Credit and Security Agreement, dated as of November 29, 2016, the Third Amendment to Credit and Security Agreement, dated as of December 20, 2019, the Fourth Amendment to Credit Agreement, dated August 23, 2021, the Fifth Amendment to Credit and Security Agreement, dated October 25, 2022 and the Sixth Amendment to Credit and Security Agreement, dated as of the date hereof (as amended, the </w:t>
      </w:r>
      <w:r>
        <w:rPr>
          <w:rFonts w:ascii="Times New Roman" w:cs="Times New Roman" w:eastAsia="Times New Roman" w:hAnsi="Times New Roman"/>
          <w:sz w:val="18"/>
          <w:szCs w:val="18"/>
          <w:b w:val="1"/>
          <w:bCs w:val="1"/>
          <w:color w:val="auto"/>
        </w:rPr>
        <w:t>"Credit Agreement").</w:t>
      </w:r>
    </w:p>
    <w:p>
      <w:pPr>
        <w:spacing w:after="0" w:line="231" w:lineRule="exact"/>
        <w:rPr>
          <w:sz w:val="20"/>
          <w:szCs w:val="20"/>
          <w:color w:val="auto"/>
        </w:rPr>
      </w:pPr>
    </w:p>
    <w:p>
      <w:pPr>
        <w:jc w:val="both"/>
        <w:ind w:right="40" w:firstLine="31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Borrower hereby promises to pay to the order of Lender, the principal sum of ONE BILLION THREE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FIFTY MILLION DOLLARS ($1,350,000,000) or such lesser amount as shall equal the aggregate outstanding principal balance of the Revolving Loans made by Lender to Borrower pursuant to the Credit Agreement, on or before the Revolving Loan Maturity Date specified in the Credit Agreement; and to pay interest on said sum, or such lesser amount, at the rates and on the dates provided in the Credit Agreement.</w:t>
      </w:r>
    </w:p>
    <w:p>
      <w:pPr>
        <w:spacing w:after="0" w:line="221" w:lineRule="exact"/>
        <w:rPr>
          <w:sz w:val="20"/>
          <w:szCs w:val="20"/>
          <w:color w:val="auto"/>
        </w:rPr>
      </w:pPr>
    </w:p>
    <w:p>
      <w:pPr>
        <w:jc w:val="both"/>
        <w:ind w:right="60" w:firstLine="315"/>
        <w:spacing w:after="0" w:line="282" w:lineRule="auto"/>
        <w:rPr>
          <w:sz w:val="20"/>
          <w:szCs w:val="20"/>
          <w:color w:val="auto"/>
        </w:rPr>
      </w:pPr>
      <w:r>
        <w:rPr>
          <w:rFonts w:ascii="Times New Roman" w:cs="Times New Roman" w:eastAsia="Times New Roman" w:hAnsi="Times New Roman"/>
          <w:sz w:val="18"/>
          <w:szCs w:val="18"/>
          <w:color w:val="auto"/>
        </w:rPr>
        <w:t xml:space="preserve">This Note is subject to the terms of the Credit Agreement, including the rights of prepayment and the rights of acceleration of Maturity. Without limiting the foregoing, the obligations of Borrower under this Note are secured as described in </w:t>
      </w:r>
      <w:r>
        <w:rPr>
          <w:rFonts w:ascii="Times New Roman" w:cs="Times New Roman" w:eastAsia="Times New Roman" w:hAnsi="Times New Roman"/>
          <w:sz w:val="18"/>
          <w:szCs w:val="18"/>
          <w:u w:val="single" w:color="auto"/>
          <w:color w:val="auto"/>
        </w:rPr>
        <w:t>Section VII</w:t>
      </w:r>
      <w:r>
        <w:rPr>
          <w:rFonts w:ascii="Times New Roman" w:cs="Times New Roman" w:eastAsia="Times New Roman" w:hAnsi="Times New Roman"/>
          <w:sz w:val="18"/>
          <w:szCs w:val="18"/>
          <w:color w:val="auto"/>
        </w:rPr>
        <w:t xml:space="preserve"> of the Credit Agreement.</w:t>
      </w:r>
    </w:p>
    <w:p>
      <w:pPr>
        <w:spacing w:after="0" w:line="216" w:lineRule="exact"/>
        <w:rPr>
          <w:sz w:val="20"/>
          <w:szCs w:val="20"/>
          <w:color w:val="auto"/>
        </w:rPr>
      </w:pPr>
    </w:p>
    <w:p>
      <w:pPr>
        <w:jc w:val="both"/>
        <w:ind w:right="40" w:firstLine="311"/>
        <w:spacing w:after="0" w:line="266" w:lineRule="auto"/>
        <w:rPr>
          <w:sz w:val="20"/>
          <w:szCs w:val="20"/>
          <w:color w:val="auto"/>
        </w:rPr>
      </w:pPr>
      <w:r>
        <w:rPr>
          <w:rFonts w:ascii="Times New Roman" w:cs="Times New Roman" w:eastAsia="Times New Roman" w:hAnsi="Times New Roman"/>
          <w:sz w:val="18"/>
          <w:szCs w:val="18"/>
          <w:color w:val="auto"/>
        </w:rPr>
        <w:t>Borrower shall pay fees and expenses of Lender as provided in the Credit Agreement. Borrower hereby waives notice of presentment, demand, protest or notice of any other kind. This Note shall be governed by and construed in accordance with the laws of the state of Minnesota without regard to conflict of law principles.</w:t>
      </w:r>
    </w:p>
    <w:p>
      <w:pPr>
        <w:spacing w:after="0" w:line="216" w:lineRule="exact"/>
        <w:rPr>
          <w:sz w:val="20"/>
          <w:szCs w:val="20"/>
          <w:color w:val="auto"/>
        </w:rPr>
      </w:pPr>
    </w:p>
    <w:p>
      <w:pPr>
        <w:jc w:val="both"/>
        <w:ind w:right="40" w:firstLine="311"/>
        <w:spacing w:after="0" w:line="261" w:lineRule="auto"/>
        <w:rPr>
          <w:sz w:val="20"/>
          <w:szCs w:val="20"/>
          <w:color w:val="auto"/>
        </w:rPr>
      </w:pPr>
      <w:r>
        <w:rPr>
          <w:rFonts w:ascii="Times New Roman" w:cs="Times New Roman" w:eastAsia="Times New Roman" w:hAnsi="Times New Roman"/>
          <w:sz w:val="18"/>
          <w:szCs w:val="18"/>
          <w:color w:val="auto"/>
        </w:rPr>
        <w:t>This Note may be executed in any number of counterparts, each of which when so executed shall be deemed to be an original and all of which when taken together shall constitute but one and the same agreement. Delivery of an executed signature page counterpart to this Note via facsimile or other similar method of electronic transmission (including via email with attached .pdf) shall be effective as if it were delivery of a manually delivered, original, executed counterpart thereof.</w:t>
      </w:r>
    </w:p>
    <w:p>
      <w:pPr>
        <w:spacing w:after="0" w:line="2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580" w:top="918"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color w:val="auto"/>
        </w:rPr>
        <w:t>Intercompany Loan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Red Iron Acceptance, LLC and Huntington Distribution Finance, Inc.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Note as of the date first above written.</w:t>
      </w:r>
    </w:p>
    <w:p>
      <w:pPr>
        <w:spacing w:after="0" w:line="30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RED IRON ACCEPTANCE, LLC</w:t>
      </w:r>
    </w:p>
    <w:p>
      <w:pPr>
        <w:spacing w:after="0" w:line="29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By: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-6985</wp:posOffset>
            </wp:positionV>
            <wp:extent cx="9137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Name: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-6985</wp:posOffset>
            </wp:positionV>
            <wp:extent cx="913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Its: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-6985</wp:posOffset>
            </wp:positionV>
            <wp:extent cx="9137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ACCEPTED BY: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HUNTINGTON DISTRIBUTION FINANCE, </w:t>
      </w:r>
      <w:r>
        <w:rPr>
          <w:rFonts w:ascii="Times New Roman" w:cs="Times New Roman" w:eastAsia="Times New Roman" w:hAnsi="Times New Roman"/>
          <w:sz w:val="17"/>
          <w:szCs w:val="17"/>
          <w:color w:val="auto"/>
        </w:rPr>
        <w:t>INC.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-6985</wp:posOffset>
            </wp:positionV>
            <wp:extent cx="9137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-6985</wp:posOffset>
            </wp:positionV>
            <wp:extent cx="91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EXHIBIT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-6985</wp:posOffset>
            </wp:positionV>
            <wp:extent cx="9137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ectPr>
          <w:pgSz w:w="11900" w:h="16838" w:orient="portrait"/>
          <w:cols w:equalWidth="0" w:num="1">
            <w:col w:w="10980"/>
          </w:cols>
          <w:pgMar w:left="580" w:top="918" w:right="339" w:bottom="5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80"/>
          </w:cols>
          <w:pgMar w:left="580" w:top="918" w:right="339" w:bottom="568" w:gutter="0" w:footer="0" w:header="0"/>
          <w:type w:val="continuous"/>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October 31, 2023:</w:t>
      </w:r>
    </w:p>
    <w:p>
      <w:pPr>
        <w:sectPr>
          <w:pgSz w:w="11900" w:h="16838" w:orient="portrait"/>
          <w:cols w:equalWidth="0" w:num="1">
            <w:col w:w="11240"/>
          </w:cols>
          <w:pgMar w:left="320" w:top="769" w:right="339" w:bottom="1440" w:gutter="0" w:footer="0" w:header="0"/>
        </w:sectPr>
      </w:pPr>
    </w:p>
    <w:bookmarkStart w:id="259" w:name="page260"/>
    <w:bookmarkEnd w:id="259"/>
    <w:p>
      <w:pPr>
        <w:spacing w:after="0"/>
        <w:tabs>
          <w:tab w:leader="none" w:pos="4720" w:val="left"/>
          <w:tab w:leader="none" w:pos="86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4"/>
          <w:szCs w:val="14"/>
          <w:b w:val="1"/>
          <w:bCs w:val="1"/>
          <w:color w:val="auto"/>
        </w:rPr>
        <w:t>State or Other Jurisdiction of Incorporation</w:t>
      </w:r>
      <w:r>
        <w:rPr>
          <w:sz w:val="20"/>
          <w:szCs w:val="20"/>
          <w:color w:val="auto"/>
        </w:rPr>
        <w:tab/>
      </w:r>
      <w:r>
        <w:rPr>
          <w:rFonts w:ascii="Times New Roman" w:cs="Times New Roman" w:eastAsia="Times New Roman" w:hAnsi="Times New Roman"/>
          <w:sz w:val="14"/>
          <w:szCs w:val="14"/>
          <w:b w:val="1"/>
          <w:bCs w:val="1"/>
          <w:color w:val="auto"/>
        </w:rPr>
        <w:t>Percentage of Voting Securities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33655</wp:posOffset>
            </wp:positionV>
            <wp:extent cx="7132320" cy="231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ectPr>
          <w:pgSz w:w="11900" w:h="16838" w:orient="portrait"/>
          <w:cols w:equalWidth="0" w:num="1">
            <w:col w:w="11040"/>
          </w:cols>
          <w:pgMar w:left="420" w:top="911" w:right="439" w:bottom="0" w:gutter="0" w:footer="0" w:header="0"/>
        </w:sectPr>
      </w:pPr>
    </w:p>
    <w:p>
      <w:pPr>
        <w:spacing w:after="0" w:line="152"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Anvil Land and Properties, Inc.</w:t>
      </w:r>
      <w:r>
        <w:rPr>
          <w:sz w:val="20"/>
          <w:szCs w:val="20"/>
          <w:color w:val="auto"/>
        </w:rPr>
        <w:tab/>
      </w:r>
      <w:r>
        <w:rPr>
          <w:rFonts w:ascii="Times New Roman" w:cs="Times New Roman" w:eastAsia="Times New Roman" w:hAnsi="Times New Roman"/>
          <w:sz w:val="14"/>
          <w:szCs w:val="14"/>
          <w:color w:val="auto"/>
        </w:rPr>
        <w:t>Oklahoma</w:t>
      </w:r>
    </w:p>
    <w:p>
      <w:pPr>
        <w:spacing w:after="0" w:line="10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Bad Dawg Accessories,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wp:posOffset>
            </wp:positionV>
            <wp:extent cx="7132320"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Bureau Commercial Marketing SAS</w:t>
      </w:r>
      <w:r>
        <w:rPr>
          <w:sz w:val="20"/>
          <w:szCs w:val="20"/>
          <w:color w:val="auto"/>
        </w:rPr>
        <w:tab/>
      </w:r>
      <w:r>
        <w:rPr>
          <w:rFonts w:ascii="Times New Roman" w:cs="Times New Roman" w:eastAsia="Times New Roman" w:hAnsi="Times New Roman"/>
          <w:sz w:val="14"/>
          <w:szCs w:val="14"/>
          <w:color w:val="auto"/>
        </w:rPr>
        <w:t>France</w:t>
      </w:r>
    </w:p>
    <w:p>
      <w:pPr>
        <w:spacing w:after="0" w:line="10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Envy Neighborhood Vehicle,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wp:posOffset>
            </wp:positionV>
            <wp:extent cx="713232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Exmark Manufacturing Company Incorporated</w:t>
      </w:r>
      <w:r>
        <w:rPr>
          <w:sz w:val="20"/>
          <w:szCs w:val="20"/>
          <w:color w:val="auto"/>
        </w:rPr>
        <w:tab/>
      </w:r>
      <w:r>
        <w:rPr>
          <w:rFonts w:ascii="Times New Roman" w:cs="Times New Roman" w:eastAsia="Times New Roman" w:hAnsi="Times New Roman"/>
          <w:sz w:val="14"/>
          <w:szCs w:val="14"/>
          <w:color w:val="auto"/>
        </w:rPr>
        <w:t>Nebraska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Georgia Equipment Specialists, LLC</w:t>
      </w:r>
      <w:r>
        <w:rPr>
          <w:sz w:val="20"/>
          <w:szCs w:val="20"/>
          <w:color w:val="auto"/>
        </w:rPr>
        <w:tab/>
      </w:r>
      <w:r>
        <w:rPr>
          <w:rFonts w:ascii="Times New Roman" w:cs="Times New Roman" w:eastAsia="Times New Roman" w:hAnsi="Times New Roman"/>
          <w:sz w:val="14"/>
          <w:szCs w:val="14"/>
          <w:color w:val="auto"/>
        </w:rPr>
        <w:t>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Gourmet Guru Grill, LLC</w:t>
      </w:r>
      <w:r>
        <w:rPr>
          <w:sz w:val="20"/>
          <w:szCs w:val="20"/>
          <w:color w:val="auto"/>
        </w:rPr>
        <w:tab/>
      </w:r>
      <w:r>
        <w:rPr>
          <w:rFonts w:ascii="Times New Roman" w:cs="Times New Roman" w:eastAsia="Times New Roman" w:hAnsi="Times New Roman"/>
          <w:sz w:val="14"/>
          <w:szCs w:val="14"/>
          <w:color w:val="auto"/>
        </w:rPr>
        <w:t>Arkansas</w:t>
      </w:r>
    </w:p>
    <w:p>
      <w:pPr>
        <w:spacing w:after="0" w:line="13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Hayter Holdings Limited</w:t>
      </w:r>
      <w:r>
        <w:rPr>
          <w:sz w:val="20"/>
          <w:szCs w:val="20"/>
          <w:color w:val="auto"/>
        </w:rPr>
        <w:tab/>
      </w:r>
      <w:r>
        <w:rPr>
          <w:rFonts w:ascii="Times New Roman" w:cs="Times New Roman" w:eastAsia="Times New Roman" w:hAnsi="Times New Roman"/>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International Underground Systems, SL</w:t>
      </w:r>
      <w:r>
        <w:rPr>
          <w:sz w:val="20"/>
          <w:szCs w:val="20"/>
          <w:color w:val="auto"/>
        </w:rPr>
        <w:tab/>
      </w: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Intimidator,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wp:posOffset>
            </wp:positionV>
            <wp:extent cx="7132320"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Irritrol Systems Europe Productions S.r.l.</w:t>
      </w:r>
      <w:r>
        <w:rPr>
          <w:sz w:val="20"/>
          <w:szCs w:val="20"/>
          <w:color w:val="auto"/>
        </w:rPr>
        <w:tab/>
      </w:r>
      <w:r>
        <w:rPr>
          <w:rFonts w:ascii="Times New Roman" w:cs="Times New Roman" w:eastAsia="Times New Roman" w:hAnsi="Times New Roman"/>
          <w:sz w:val="14"/>
          <w:szCs w:val="14"/>
          <w:color w:val="auto"/>
        </w:rPr>
        <w:t>Italy</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Irritrol Systems Europe S.r.l.</w:t>
      </w:r>
      <w:r>
        <w:rPr>
          <w:sz w:val="20"/>
          <w:szCs w:val="20"/>
          <w:color w:val="auto"/>
        </w:rPr>
        <w:tab/>
      </w:r>
      <w:r>
        <w:rPr>
          <w:rFonts w:ascii="Times New Roman" w:cs="Times New Roman" w:eastAsia="Times New Roman" w:hAnsi="Times New Roman"/>
          <w:sz w:val="14"/>
          <w:szCs w:val="14"/>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Michigan Underground Specialists, LLC</w:t>
      </w:r>
      <w:r>
        <w:rPr>
          <w:sz w:val="20"/>
          <w:szCs w:val="20"/>
          <w:color w:val="auto"/>
        </w:rPr>
        <w:tab/>
      </w:r>
      <w:r>
        <w:rPr>
          <w:rFonts w:ascii="Times New Roman" w:cs="Times New Roman" w:eastAsia="Times New Roman" w:hAnsi="Times New Roman"/>
          <w:sz w:val="14"/>
          <w:szCs w:val="14"/>
          <w:color w:val="auto"/>
        </w:rPr>
        <w:t>Michigan</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MTI Distributing, Inc.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Perrot-Polska s.p. zoo</w:t>
      </w:r>
      <w:r>
        <w:rPr>
          <w:sz w:val="20"/>
          <w:szCs w:val="20"/>
          <w:color w:val="auto"/>
        </w:rPr>
        <w:tab/>
      </w:r>
      <w:r>
        <w:rPr>
          <w:rFonts w:ascii="Times New Roman" w:cs="Times New Roman" w:eastAsia="Times New Roman" w:hAnsi="Times New Roman"/>
          <w:sz w:val="14"/>
          <w:szCs w:val="14"/>
          <w:color w:val="auto"/>
        </w:rPr>
        <w:t>Poland</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Radius HDD Direct LLC</w:t>
      </w:r>
      <w:r>
        <w:rPr>
          <w:sz w:val="20"/>
          <w:szCs w:val="20"/>
          <w:color w:val="auto"/>
        </w:rPr>
        <w:tab/>
      </w:r>
      <w:r>
        <w:rPr>
          <w:rFonts w:ascii="Times New Roman" w:cs="Times New Roman" w:eastAsia="Times New Roman" w:hAnsi="Times New Roman"/>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Rain Master Irrigation Systems, Inc.</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Red Iron Acceptance,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Red Iron Holding Corporation</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Regnerbau Calw GmbH</w:t>
      </w:r>
      <w:r>
        <w:rPr>
          <w:sz w:val="20"/>
          <w:szCs w:val="20"/>
          <w:color w:val="auto"/>
        </w:rPr>
        <w:tab/>
      </w:r>
      <w:r>
        <w:rPr>
          <w:rFonts w:ascii="Times New Roman" w:cs="Times New Roman" w:eastAsia="Times New Roman" w:hAnsi="Times New Roman"/>
          <w:sz w:val="14"/>
          <w:szCs w:val="14"/>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RF Products, LLC</w:t>
      </w:r>
      <w:r>
        <w:rPr>
          <w:sz w:val="20"/>
          <w:szCs w:val="20"/>
          <w:color w:val="auto"/>
        </w:rPr>
        <w:tab/>
      </w:r>
      <w:r>
        <w:rPr>
          <w:rFonts w:ascii="Times New Roman" w:cs="Times New Roman" w:eastAsia="Times New Roman" w:hAnsi="Times New Roman"/>
          <w:sz w:val="14"/>
          <w:szCs w:val="14"/>
          <w:color w:val="auto"/>
        </w:rPr>
        <w:t>Arkansas</w:t>
      </w:r>
    </w:p>
    <w:p>
      <w:pPr>
        <w:spacing w:after="0" w:line="5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Spartan Mowers,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wp:posOffset>
            </wp:positionV>
            <wp:extent cx="7132320"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Texas Underground Xperts, Inc.</w:t>
      </w:r>
      <w:r>
        <w:rPr>
          <w:sz w:val="20"/>
          <w:szCs w:val="20"/>
          <w:color w:val="auto"/>
        </w:rPr>
        <w:tab/>
      </w:r>
      <w:r>
        <w:rPr>
          <w:rFonts w:ascii="Times New Roman" w:cs="Times New Roman" w:eastAsia="Times New Roman" w:hAnsi="Times New Roman"/>
          <w:sz w:val="14"/>
          <w:szCs w:val="14"/>
          <w:color w:val="auto"/>
        </w:rPr>
        <w:t>Texas</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The Charles Machine Works, Inc.</w:t>
      </w:r>
      <w:r>
        <w:rPr>
          <w:sz w:val="20"/>
          <w:szCs w:val="20"/>
          <w:color w:val="auto"/>
        </w:rPr>
        <w:tab/>
      </w:r>
      <w:r>
        <w:rPr>
          <w:rFonts w:ascii="Times New Roman" w:cs="Times New Roman" w:eastAsia="Times New Roman" w:hAnsi="Times New Roman"/>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The Holiman Co. Inc.</w:t>
      </w:r>
      <w:r>
        <w:rPr>
          <w:sz w:val="20"/>
          <w:szCs w:val="20"/>
          <w:color w:val="auto"/>
        </w:rPr>
        <w:tab/>
      </w:r>
      <w:r>
        <w:rPr>
          <w:rFonts w:ascii="Times New Roman" w:cs="Times New Roman" w:eastAsia="Times New Roman" w:hAnsi="Times New Roman"/>
          <w:sz w:val="14"/>
          <w:szCs w:val="14"/>
          <w:color w:val="auto"/>
        </w:rPr>
        <w:t>Pennsylvania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The ShopToro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The Toro Company (Asia) Pte. Limited</w:t>
      </w:r>
      <w:r>
        <w:rPr>
          <w:sz w:val="20"/>
          <w:szCs w:val="20"/>
          <w:color w:val="auto"/>
        </w:rPr>
        <w:tab/>
      </w:r>
      <w:r>
        <w:rPr>
          <w:rFonts w:ascii="Times New Roman" w:cs="Times New Roman" w:eastAsia="Times New Roman" w:hAnsi="Times New Roman"/>
          <w:sz w:val="14"/>
          <w:szCs w:val="14"/>
          <w:color w:val="auto"/>
        </w:rPr>
        <w:t>Singapore</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The Toro Company (Canada), Inc.</w:t>
      </w:r>
      <w:r>
        <w:rPr>
          <w:sz w:val="20"/>
          <w:szCs w:val="20"/>
          <w:color w:val="auto"/>
        </w:rPr>
        <w:tab/>
      </w:r>
      <w:r>
        <w:rPr>
          <w:rFonts w:ascii="Times New Roman" w:cs="Times New Roman" w:eastAsia="Times New Roman" w:hAnsi="Times New Roman"/>
          <w:sz w:val="14"/>
          <w:szCs w:val="14"/>
          <w:color w:val="auto"/>
        </w:rPr>
        <w:t>New Brunswick,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(China) Irrigation Equipment Co., Ltd.</w:t>
      </w:r>
      <w:r>
        <w:rPr>
          <w:sz w:val="20"/>
          <w:szCs w:val="20"/>
          <w:color w:val="auto"/>
        </w:rPr>
        <w:tab/>
      </w:r>
      <w:r>
        <w:rPr>
          <w:rFonts w:ascii="Times New Roman" w:cs="Times New Roman" w:eastAsia="Times New Roman" w:hAnsi="Times New Roman"/>
          <w:sz w:val="14"/>
          <w:szCs w:val="14"/>
          <w:color w:val="auto"/>
        </w:rPr>
        <w:t>People’s Republic of China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Australia Group Sales Pty. Ltd.</w:t>
      </w:r>
      <w:r>
        <w:rPr>
          <w:sz w:val="20"/>
          <w:szCs w:val="20"/>
          <w:color w:val="auto"/>
        </w:rPr>
        <w:tab/>
      </w:r>
      <w:r>
        <w:rPr>
          <w:rFonts w:ascii="Times New Roman" w:cs="Times New Roman" w:eastAsia="Times New Roman" w:hAnsi="Times New Roman"/>
          <w:sz w:val="14"/>
          <w:szCs w:val="14"/>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Australia Pty. Limited</w:t>
      </w:r>
      <w:r>
        <w:rPr>
          <w:sz w:val="20"/>
          <w:szCs w:val="20"/>
          <w:color w:val="auto"/>
        </w:rPr>
        <w:tab/>
      </w:r>
      <w:r>
        <w:rPr>
          <w:rFonts w:ascii="Times New Roman" w:cs="Times New Roman" w:eastAsia="Times New Roman" w:hAnsi="Times New Roman"/>
          <w:sz w:val="14"/>
          <w:szCs w:val="14"/>
          <w:color w:val="auto"/>
        </w:rPr>
        <w:t>Australia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Company de Mexico, S. de R.L. de C.V.</w:t>
      </w:r>
      <w:r>
        <w:rPr>
          <w:sz w:val="20"/>
          <w:szCs w:val="20"/>
          <w:color w:val="auto"/>
        </w:rPr>
        <w:tab/>
      </w:r>
      <w:r>
        <w:rPr>
          <w:rFonts w:ascii="Times New Roman" w:cs="Times New Roman" w:eastAsia="Times New Roman" w:hAnsi="Times New Roman"/>
          <w:sz w:val="14"/>
          <w:szCs w:val="14"/>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Credit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Europe N.V.</w:t>
      </w:r>
      <w:r>
        <w:rPr>
          <w:sz w:val="20"/>
          <w:szCs w:val="20"/>
          <w:color w:val="auto"/>
        </w:rPr>
        <w:tab/>
      </w:r>
      <w:r>
        <w:rPr>
          <w:rFonts w:ascii="Times New Roman" w:cs="Times New Roman" w:eastAsia="Times New Roman" w:hAnsi="Times New Roman"/>
          <w:sz w:val="14"/>
          <w:szCs w:val="14"/>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Finance Company</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Finance Ltd.</w:t>
      </w:r>
      <w:r>
        <w:rPr>
          <w:sz w:val="20"/>
          <w:szCs w:val="20"/>
          <w:color w:val="auto"/>
        </w:rPr>
        <w:tab/>
      </w:r>
      <w:r>
        <w:rPr>
          <w:rFonts w:ascii="Times New Roman" w:cs="Times New Roman" w:eastAsia="Times New Roman" w:hAnsi="Times New Roman"/>
          <w:sz w:val="14"/>
          <w:szCs w:val="14"/>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Germany I GmbH</w:t>
      </w:r>
      <w:r>
        <w:rPr>
          <w:sz w:val="20"/>
          <w:szCs w:val="20"/>
          <w:color w:val="auto"/>
        </w:rPr>
        <w:tab/>
      </w:r>
      <w:r>
        <w:rPr>
          <w:rFonts w:ascii="Times New Roman" w:cs="Times New Roman" w:eastAsia="Times New Roman" w:hAnsi="Times New Roman"/>
          <w:sz w:val="14"/>
          <w:szCs w:val="14"/>
          <w:color w:val="auto"/>
        </w:rPr>
        <w:t>Germany</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Global Services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International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Luxembourg S.à.r.l.</w:t>
      </w:r>
      <w:r>
        <w:rPr>
          <w:sz w:val="20"/>
          <w:szCs w:val="20"/>
          <w:color w:val="auto"/>
        </w:rPr>
        <w:tab/>
      </w:r>
      <w:r>
        <w:rPr>
          <w:rFonts w:ascii="Times New Roman" w:cs="Times New Roman" w:eastAsia="Times New Roman" w:hAnsi="Times New Roman"/>
          <w:sz w:val="14"/>
          <w:szCs w:val="14"/>
          <w:color w:val="auto"/>
        </w:rPr>
        <w:t>Luxembourg</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Manufacturing and Sales, S.R.L.</w:t>
      </w:r>
      <w:r>
        <w:rPr>
          <w:sz w:val="20"/>
          <w:szCs w:val="20"/>
          <w:color w:val="auto"/>
        </w:rPr>
        <w:tab/>
      </w:r>
      <w:r>
        <w:rPr>
          <w:rFonts w:ascii="Times New Roman" w:cs="Times New Roman" w:eastAsia="Times New Roman" w:hAnsi="Times New Roman"/>
          <w:sz w:val="14"/>
          <w:szCs w:val="14"/>
          <w:color w:val="auto"/>
        </w:rPr>
        <w:t>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Manufacturing LLC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Mexico Holdings LLC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Mexico Sales S de R.L. de C.V.</w:t>
      </w:r>
      <w:r>
        <w:rPr>
          <w:sz w:val="20"/>
          <w:szCs w:val="20"/>
          <w:color w:val="auto"/>
        </w:rPr>
        <w:tab/>
      </w:r>
      <w:r>
        <w:rPr>
          <w:rFonts w:ascii="Times New Roman" w:cs="Times New Roman" w:eastAsia="Times New Roman" w:hAnsi="Times New Roman"/>
          <w:sz w:val="14"/>
          <w:szCs w:val="14"/>
          <w:color w:val="auto"/>
        </w:rPr>
        <w:t>Mexico</w:t>
      </w:r>
    </w:p>
    <w:p>
      <w:pPr>
        <w:spacing w:after="0" w:line="5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Principal Manufacturing (Singapore)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wp:posOffset>
            </wp:positionV>
            <wp:extent cx="713232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4"/>
          <w:szCs w:val="14"/>
          <w:color w:val="auto"/>
        </w:rPr>
        <w:t>Toro Purchasing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90%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2">
            <w:col w:w="9940" w:space="720"/>
            <w:col w:w="380"/>
          </w:cols>
          <w:pgMar w:left="420" w:top="911" w:right="439" w:bottom="0" w:gutter="0" w:footer="0" w:header="0"/>
          <w:type w:val="continuous"/>
        </w:sectPr>
      </w:pPr>
    </w:p>
    <w:bookmarkStart w:id="260" w:name="page261"/>
    <w:bookmarkEnd w:id="260"/>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R&amp;D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66040</wp:posOffset>
            </wp:positionV>
            <wp:extent cx="7132320"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6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Sales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Technology Center India LLP</w:t>
      </w:r>
      <w:r>
        <w:rPr>
          <w:sz w:val="20"/>
          <w:szCs w:val="20"/>
          <w:color w:val="auto"/>
        </w:rPr>
        <w:tab/>
      </w:r>
      <w:r>
        <w:rPr>
          <w:rFonts w:ascii="Times New Roman" w:cs="Times New Roman" w:eastAsia="Times New Roman" w:hAnsi="Times New Roman"/>
          <w:sz w:val="14"/>
          <w:szCs w:val="14"/>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222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U.K. Limited</w:t>
      </w:r>
      <w:r>
        <w:rPr>
          <w:sz w:val="20"/>
          <w:szCs w:val="20"/>
          <w:color w:val="auto"/>
        </w:rPr>
        <w:tab/>
      </w:r>
      <w:r>
        <w:rPr>
          <w:rFonts w:ascii="Times New Roman" w:cs="Times New Roman" w:eastAsia="Times New Roman" w:hAnsi="Times New Roman"/>
          <w:sz w:val="14"/>
          <w:szCs w:val="14"/>
          <w:color w:val="auto"/>
        </w:rPr>
        <w:t>United Kingdom</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Warranty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Tover Overseas B.V.</w:t>
      </w:r>
      <w:r>
        <w:rPr>
          <w:sz w:val="20"/>
          <w:szCs w:val="20"/>
          <w:color w:val="auto"/>
        </w:rPr>
        <w:tab/>
      </w:r>
      <w:r>
        <w:rPr>
          <w:rFonts w:ascii="Times New Roman" w:cs="Times New Roman" w:eastAsia="Times New Roman" w:hAnsi="Times New Roman"/>
          <w:sz w:val="14"/>
          <w:szCs w:val="14"/>
          <w:color w:val="auto"/>
        </w:rPr>
        <w:t>Netherlands</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Tover Overseas I C.V.</w:t>
      </w:r>
      <w:r>
        <w:rPr>
          <w:sz w:val="20"/>
          <w:szCs w:val="20"/>
          <w:color w:val="auto"/>
        </w:rPr>
        <w:tab/>
      </w:r>
      <w:r>
        <w:rPr>
          <w:rFonts w:ascii="Times New Roman" w:cs="Times New Roman" w:eastAsia="Times New Roman" w:hAnsi="Times New Roman"/>
          <w:sz w:val="14"/>
          <w:szCs w:val="14"/>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Turflynx, Unipessoal Lda</w:t>
      </w:r>
      <w:r>
        <w:rPr>
          <w:sz w:val="20"/>
          <w:szCs w:val="20"/>
          <w:color w:val="auto"/>
        </w:rPr>
        <w:tab/>
      </w:r>
      <w:r>
        <w:rPr>
          <w:rFonts w:ascii="Times New Roman" w:cs="Times New Roman" w:eastAsia="Times New Roman" w:hAnsi="Times New Roman"/>
          <w:sz w:val="14"/>
          <w:szCs w:val="14"/>
          <w:color w:val="auto"/>
        </w:rPr>
        <w:t>Portugal</w:t>
      </w:r>
    </w:p>
    <w:p>
      <w:pPr>
        <w:spacing w:after="0" w:line="55"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Venture Products, Inc.</w:t>
      </w:r>
      <w:r>
        <w:rPr>
          <w:sz w:val="20"/>
          <w:szCs w:val="20"/>
          <w:color w:val="auto"/>
        </w:rPr>
        <w:tab/>
      </w:r>
      <w:r>
        <w:rPr>
          <w:rFonts w:ascii="Times New Roman" w:cs="Times New Roman" w:eastAsia="Times New Roman" w:hAnsi="Times New Roman"/>
          <w:sz w:val="14"/>
          <w:szCs w:val="14"/>
          <w:color w:val="auto"/>
        </w:rPr>
        <w:t>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2">
            <w:col w:w="9900" w:space="720"/>
            <w:col w:w="340"/>
          </w:cols>
          <w:pgMar w:left="460" w:top="64" w:right="47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333-263792, 333-47260, 333-89260, 333-119504, 033-59563, 333-11860, 333-100004, 333-87461, 333-165582, 333-204336, and 333-215251) on Form S-8 of our report dated December 20, 2023, with respect to the consolidated financial statements of The Toro Company and the effectiveness of internal control over financial reporting.</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20, 2023</w:t>
      </w:r>
    </w:p>
    <w:p>
      <w:pPr>
        <w:sectPr>
          <w:pgSz w:w="11900" w:h="16838" w:orient="portrait"/>
          <w:cols w:equalWidth="0" w:num="1">
            <w:col w:w="11240"/>
          </w:cols>
          <w:pgMar w:left="320" w:top="891"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2023</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C. Drake, certify that:</w:t>
      </w:r>
    </w:p>
    <w:p>
      <w:pPr>
        <w:spacing w:after="0" w:line="225"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2023</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The Toro Company (the “Company”) for the fiscal year ended October 31, 2023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40" w:hanging="308"/>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20, 2023</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20, 2023</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u w:val="single" w:color="auto"/>
          <w:color w:val="auto"/>
        </w:rPr>
        <w:t>Exhibit 97</w:t>
      </w:r>
    </w:p>
    <w:p>
      <w:pPr>
        <w:spacing w:after="0" w:line="12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Policy Name:</w:t>
      </w:r>
      <w:r>
        <w:rPr>
          <w:sz w:val="20"/>
          <w:szCs w:val="20"/>
          <w:color w:val="auto"/>
        </w:rPr>
        <w:tab/>
      </w:r>
      <w:r>
        <w:rPr>
          <w:rFonts w:ascii="Arial" w:cs="Arial" w:eastAsia="Arial" w:hAnsi="Arial"/>
          <w:sz w:val="21"/>
          <w:szCs w:val="21"/>
          <w:b w:val="1"/>
          <w:bCs w:val="1"/>
          <w:color w:val="auto"/>
        </w:rPr>
        <w:t>Clawback Policy</w:t>
      </w:r>
    </w:p>
    <w:p>
      <w:pPr>
        <w:spacing w:after="0" w:line="14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Applies To:</w:t>
      </w:r>
      <w:r>
        <w:rPr>
          <w:sz w:val="20"/>
          <w:szCs w:val="20"/>
          <w:color w:val="auto"/>
        </w:rPr>
        <w:tab/>
      </w:r>
      <w:r>
        <w:rPr>
          <w:rFonts w:ascii="Arial" w:cs="Arial" w:eastAsia="Arial" w:hAnsi="Arial"/>
          <w:sz w:val="21"/>
          <w:szCs w:val="21"/>
          <w:color w:val="auto"/>
        </w:rPr>
        <w:t>All Employees that Receive Performance Share Awards and Former 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Purpose</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Toro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is committed to conducting business with integrity in accordance with high ethical standards and in compliance with all applicable laws, rules and regulations, including those applicable to the presentation of the Company’s financial information to the public. As a result,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has adopted this Clawback Policy (this “</w:t>
      </w:r>
      <w:r>
        <w:rPr>
          <w:rFonts w:ascii="Arial" w:cs="Arial" w:eastAsia="Arial" w:hAnsi="Arial"/>
          <w:sz w:val="20"/>
          <w:szCs w:val="20"/>
          <w:u w:val="single" w:color="auto"/>
          <w:color w:val="auto"/>
        </w:rPr>
        <w:t>Policy</w:t>
      </w:r>
      <w:r>
        <w:rPr>
          <w:rFonts w:ascii="Arial" w:cs="Arial" w:eastAsia="Arial" w:hAnsi="Arial"/>
          <w:sz w:val="20"/>
          <w:szCs w:val="20"/>
          <w:color w:val="auto"/>
        </w:rPr>
        <w:t>”), which provides for the recovery of certain employee incentive compensation in the event of financial errors, including an accounting restatement, or other employee egregious misconduct that has a substantial detrimental effect on the Company or its subsidiaries or its results of operations.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Policy is adopted pursuant to and intended to comply with Section 303A.14 of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Listed Company Manual with respect to the recovery of erroneously awarded compensation from the Company’s current and former Executive Officers (as defined below) so long as the Company’s securities are listed on the NYSE.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Policy Administration</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Policy will be administered by the Compensation &amp; Human Resources Committee of the Board of Directors, or in the absence of such a committee, a majority of the “independent directors” (within the meaning of Section 303A.02 of the NYSE Listed Company Manual) serving on the Board (the “</w:t>
      </w:r>
      <w:r>
        <w:rPr>
          <w:rFonts w:ascii="Arial" w:cs="Arial" w:eastAsia="Arial" w:hAnsi="Arial"/>
          <w:sz w:val="20"/>
          <w:szCs w:val="20"/>
          <w:u w:val="single" w:color="auto"/>
          <w:color w:val="auto"/>
        </w:rPr>
        <w:t>Committee</w:t>
      </w:r>
      <w:r>
        <w:rPr>
          <w:rFonts w:ascii="Arial" w:cs="Arial" w:eastAsia="Arial" w:hAnsi="Arial"/>
          <w:sz w:val="20"/>
          <w:szCs w:val="20"/>
          <w:color w:val="auto"/>
        </w:rPr>
        <w:t>”). Except as limited by law, the Committee will have full power, authority, and sole and exclusive discretion to construe, interpret and administer this Policy. The Committee will interpret this Policy consistent with Section 303A.14 of the NYSE Listed Company Manual and any NYSE guidance issued thereunder, the rules and regulations of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and any other applicable laws, rules or regulations governing the mandatory recovery of compensation, as such laws, rules or regulations may change, be interpreted or evolve from time to time. Any determinations made by the Committee will be made in its sole discretion and will be final, conclusive and binding on all affected individuals.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the event of any change in any federal or state law, rule or regulation, or rule, regulation, policy or listing standard of the SEC or any securities exchange on which the Company’s securities are listed, which requires the Company to recover certain compensation from a Covered Employee (as defined below), the Committee will be required to seek recovery under this Policy to the fullest extent required by such laws, rules, regulations or listing standards.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Covered Employees</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Policy will cover the Company’s current and former Executive Officers (as defined below) and all individuals that received or receive the grant of performance share awards as part of their annual compensation (collectively, the “</w:t>
      </w:r>
      <w:r>
        <w:rPr>
          <w:rFonts w:ascii="Arial" w:cs="Arial" w:eastAsia="Arial" w:hAnsi="Arial"/>
          <w:sz w:val="19"/>
          <w:szCs w:val="19"/>
          <w:u w:val="single" w:color="auto"/>
          <w:color w:val="auto"/>
        </w:rPr>
        <w:t>Covered Employees</w:t>
      </w:r>
      <w:r>
        <w:rPr>
          <w:rFonts w:ascii="Arial" w:cs="Arial" w:eastAsia="Arial" w:hAnsi="Arial"/>
          <w:sz w:val="19"/>
          <w:szCs w:val="19"/>
          <w:color w:val="auto"/>
        </w:rPr>
        <w:t>”).</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Notwithstanding the generality of the foregoing and for the avoidance of doubt, this Policy will cover the Company’s current and former Executive Officers who Received Erroneously Awarded Compensation (in each case, as such terms are defined below) regardless of whether the Executive Officer committed misconduct or contributed to the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1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225" w:right="339" w:bottom="1440" w:gutter="0" w:footer="0" w:header="0"/>
        </w:sectPr>
      </w:pPr>
    </w:p>
    <w:bookmarkStart w:id="266" w:name="page267"/>
    <w:bookmarkEnd w:id="266"/>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Executive Officer</w:t>
      </w:r>
      <w:r>
        <w:rPr>
          <w:rFonts w:ascii="Arial" w:cs="Arial" w:eastAsia="Arial" w:hAnsi="Arial"/>
          <w:sz w:val="20"/>
          <w:szCs w:val="20"/>
          <w:color w:val="auto"/>
        </w:rPr>
        <w:t>” as used in this Policy means the Company’s:</w:t>
      </w:r>
    </w:p>
    <w:p>
      <w:pPr>
        <w:spacing w:after="0" w:line="135" w:lineRule="exact"/>
        <w:rPr>
          <w:sz w:val="20"/>
          <w:szCs w:val="20"/>
          <w:color w:val="auto"/>
        </w:rPr>
      </w:pPr>
    </w:p>
    <w:p>
      <w:pPr>
        <w:ind w:left="640" w:hanging="308"/>
        <w:spacing w:after="0"/>
        <w:tabs>
          <w:tab w:leader="none" w:pos="6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President;</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Principal financial officer;</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Principal accounting officer (or if there is no such accounting officer, the controller);</w:t>
      </w:r>
    </w:p>
    <w:p>
      <w:pPr>
        <w:spacing w:after="0" w:line="26" w:lineRule="exact"/>
        <w:rPr>
          <w:rFonts w:ascii="Arial" w:cs="Arial" w:eastAsia="Arial" w:hAnsi="Arial"/>
          <w:sz w:val="20"/>
          <w:szCs w:val="20"/>
          <w:color w:val="auto"/>
        </w:rPr>
      </w:pPr>
    </w:p>
    <w:p>
      <w:pPr>
        <w:ind w:left="660" w:hanging="328"/>
        <w:spacing w:after="0" w:line="232" w:lineRule="auto"/>
        <w:tabs>
          <w:tab w:leader="none" w:pos="64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vice-president of the Company in charge of a principal business unit, division or function (such as sales, administration or finance);</w:t>
      </w:r>
    </w:p>
    <w:p>
      <w:pPr>
        <w:ind w:left="640" w:hanging="308"/>
        <w:spacing w:after="0"/>
        <w:tabs>
          <w:tab w:leader="none" w:pos="6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other officer who performs a policy-making function; or</w:t>
      </w:r>
    </w:p>
    <w:p>
      <w:pPr>
        <w:spacing w:after="0" w:line="13"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other person who performs similar policy-making functions for the Company and executive officers of the Company’s parents or subsidiaries if such individuals perform such policy-making functions for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Policy-making function is not intended to include policy-making functions that are not significant.</w:t>
      </w:r>
    </w:p>
    <w:p>
      <w:pPr>
        <w:spacing w:after="0" w:line="16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Identification of an Executive Officer for purposes of this Policy would include at a minimum executive officers identified by the Company pursuant to Item 401(b) of SEC Regulation S-K.</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Compensation Covered</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This Policy will apply to all incentive compensation paid, granted, earned, vested or otherwise awarded to a Covered Employee, including annual cash incentives and other short and long-term cash incentive awards, stock options, restricted stock units, performance share awards, and any other equity-based awards (“</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Notwithstanding the generality of and in addition to the foregoing, as required under Section 303A.14 of the NYSE Listed Company Manual, this Policy will apply to all Incentive-Based Compensation Received by a person (in each case, as such terms are defined below):</w:t>
      </w:r>
    </w:p>
    <w:p>
      <w:pPr>
        <w:spacing w:after="0" w:line="77" w:lineRule="exact"/>
        <w:rPr>
          <w:sz w:val="20"/>
          <w:szCs w:val="20"/>
          <w:color w:val="auto"/>
        </w:rPr>
      </w:pPr>
    </w:p>
    <w:p>
      <w:pPr>
        <w:ind w:left="660" w:right="20" w:hanging="328"/>
        <w:spacing w:after="0" w:line="243" w:lineRule="auto"/>
        <w:tabs>
          <w:tab w:leader="none" w:pos="64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After beginning service as an Executive Officer of the Company and who served as an Executive Officer at any time during the performance period for that Incentive-Based Compensation;</w:t>
      </w:r>
    </w:p>
    <w:p>
      <w:pPr>
        <w:spacing w:after="0" w:line="155"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While the Company has a class of securities listed on the NYSE or another national securities exchange or a national securities association; and</w:t>
      </w:r>
    </w:p>
    <w:p>
      <w:pPr>
        <w:spacing w:after="0" w:line="159" w:lineRule="exact"/>
        <w:rPr>
          <w:rFonts w:ascii="Arial" w:cs="Arial" w:eastAsia="Arial" w:hAnsi="Arial"/>
          <w:sz w:val="20"/>
          <w:szCs w:val="20"/>
          <w:color w:val="auto"/>
        </w:rPr>
      </w:pPr>
    </w:p>
    <w:p>
      <w:pPr>
        <w:jc w:val="both"/>
        <w:ind w:left="660" w:hanging="328"/>
        <w:spacing w:after="0" w:line="216" w:lineRule="auto"/>
        <w:tabs>
          <w:tab w:leader="none" w:pos="64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During the three completed fiscal years immediately preceding the date that the Company is required to prepare a Restatement (as defined below), plus any transition period (that results from a change in the Company’s fiscal year) within or immediately following those three completed fiscal years; provided, however, that a transition period between the last day of the Company’s previous fiscal year end and the first day of its new fiscal year that comprises a period of nine to 12 months would be deemed a completed fiscal year; and provided, further, that the Company’s obligation to recover erroneously awarded compensation is not dependent on if or when the restated financial statements are filed.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purposes of this Policy, a “</w:t>
      </w:r>
      <w:r>
        <w:rPr>
          <w:rFonts w:ascii="Arial" w:cs="Arial" w:eastAsia="Arial" w:hAnsi="Arial"/>
          <w:sz w:val="20"/>
          <w:szCs w:val="20"/>
          <w:u w:val="single" w:color="auto"/>
          <w:color w:val="auto"/>
        </w:rPr>
        <w:t>Restatement</w:t>
      </w:r>
      <w:r>
        <w:rPr>
          <w:rFonts w:ascii="Arial" w:cs="Arial" w:eastAsia="Arial" w:hAnsi="Arial"/>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2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440" w:right="339" w:bottom="1440" w:gutter="0" w:footer="0" w:header="0"/>
        </w:sectPr>
      </w:pPr>
    </w:p>
    <w:bookmarkStart w:id="267" w:name="page268"/>
    <w:bookmarkEnd w:id="267"/>
    <w:p>
      <w:pPr>
        <w:jc w:val="both"/>
        <w:spacing w:after="0" w:line="265" w:lineRule="auto"/>
        <w:rPr>
          <w:sz w:val="20"/>
          <w:szCs w:val="20"/>
          <w:color w:val="auto"/>
        </w:rPr>
      </w:pPr>
      <w:r>
        <w:rPr>
          <w:rFonts w:ascii="Arial" w:cs="Arial" w:eastAsia="Arial" w:hAnsi="Arial"/>
          <w:sz w:val="20"/>
          <w:szCs w:val="20"/>
          <w:color w:val="auto"/>
        </w:rPr>
        <w:t>For purpose of determining the relevant recovery period, the date that the Company is required to prepare a Restatement is the earlier to occur of: (i) the date the Company’s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Discretionary Authority to Recover Incentive Compensation From Covered Employees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the event the Committee determines that a financial metric used to determine the vesting or payment of Incentive Compensation to a Covered Employee was calculated incorrectly, whether or not the Company is required to restate its financial statements, and without regard to whether such miscalculation was due to fraud or intentional misconduct, then the Committee may require (but is not obligated to require) reimbursement of certain Incentive Compensation received by such Covered Employee during the three-year period preceding the date on which the Company discovers the error or is required to prepare an accounting restatement, and/or authorize the cancellation of unpaid or unvested Incentive Compensation, as determined by the Committee pursuant to this Policy.</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if the Committee determines that the Covered Employee has engaged in egregious conduct that is substantially detrimental to the Company, the Committee may require (but is not obligated to require) the Covered Employee to reimburse the Company for all or a portion of Incentive Compensation previously vested or paid to such Covered Employee during the one-year period preceding the date on which the Company discovers such conduct and/or authorize the cancellation of unpaid or unvested Incentive Compensation, as determined by the Committee pursuant to this Policy. “Egregious conduct substantially detrimental to the Company” will mean any one of the following:</w:t>
      </w:r>
    </w:p>
    <w:p>
      <w:pPr>
        <w:spacing w:after="0" w:line="83" w:lineRule="exact"/>
        <w:rPr>
          <w:sz w:val="20"/>
          <w:szCs w:val="20"/>
          <w:color w:val="auto"/>
        </w:rPr>
      </w:pPr>
    </w:p>
    <w:p>
      <w:pPr>
        <w:ind w:left="660" w:hanging="328"/>
        <w:spacing w:after="0" w:line="243" w:lineRule="auto"/>
        <w:tabs>
          <w:tab w:leader="none" w:pos="6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any act or omission which would constitute “Cause” for termination under the terms of the Covered Employee’s employment agreement, if any;</w:t>
      </w:r>
    </w:p>
    <w:p>
      <w:pPr>
        <w:spacing w:after="0" w:line="141" w:lineRule="exact"/>
        <w:rPr>
          <w:rFonts w:ascii="Arial" w:cs="Arial" w:eastAsia="Arial" w:hAnsi="Arial"/>
          <w:sz w:val="20"/>
          <w:szCs w:val="20"/>
          <w:color w:val="auto"/>
        </w:rPr>
      </w:pPr>
    </w:p>
    <w:p>
      <w:pPr>
        <w:ind w:left="660" w:right="20" w:hanging="328"/>
        <w:spacing w:after="0" w:line="243" w:lineRule="auto"/>
        <w:tabs>
          <w:tab w:leader="none" w:pos="6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material breach of a written policy applicable to the Covered Employee, including, but not limited to, the Code of Conduct;</w:t>
      </w:r>
    </w:p>
    <w:p>
      <w:pPr>
        <w:spacing w:after="0" w:line="155" w:lineRule="exact"/>
        <w:rPr>
          <w:rFonts w:ascii="Arial" w:cs="Arial" w:eastAsia="Arial" w:hAnsi="Arial"/>
          <w:sz w:val="20"/>
          <w:szCs w:val="20"/>
          <w:color w:val="auto"/>
        </w:rPr>
      </w:pPr>
    </w:p>
    <w:p>
      <w:pPr>
        <w:ind w:left="660" w:right="20" w:hanging="328"/>
        <w:spacing w:after="0" w:line="234" w:lineRule="auto"/>
        <w:tabs>
          <w:tab w:leader="none" w:pos="6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material breach of any non-competition, non-solicitation or confidentiality agreement or agreement governing the ownership or assignment of intellectual property rights with the Company that is applicable to the Covered Employee;</w:t>
      </w:r>
    </w:p>
    <w:p>
      <w:pPr>
        <w:spacing w:after="0" w:line="159" w:lineRule="exact"/>
        <w:rPr>
          <w:rFonts w:ascii="Arial" w:cs="Arial" w:eastAsia="Arial" w:hAnsi="Arial"/>
          <w:sz w:val="20"/>
          <w:szCs w:val="20"/>
          <w:color w:val="auto"/>
        </w:rPr>
      </w:pPr>
    </w:p>
    <w:p>
      <w:pPr>
        <w:jc w:val="both"/>
        <w:ind w:left="660" w:hanging="328"/>
        <w:spacing w:after="0" w:line="223" w:lineRule="auto"/>
        <w:tabs>
          <w:tab w:leader="none" w:pos="6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egregious misconduct by the Covered Employee including, but not limited to, fraud, criminal activities, falsification of Company records, theft, violent acts or threats of violence, or a violation of law, unethical conduct or inappropriate behavior that causes substantial reputational harm to the Company or exposes the Company to substantial legal liability; or</w:t>
      </w:r>
    </w:p>
    <w:p>
      <w:pPr>
        <w:spacing w:after="0" w:line="157"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commission of an act or omission which causes the Covered Employee or the Company to be in violation of federal or state securities laws, rules or regulations.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the event a recovery under this section of this Policy is triggered by an incorrect financial metric used to determine the vesting or payment of Incentive Compensation to a Covered Employee, then the recovery amount will be up to the amount of Incentive Compensation received by the Covered Employee that exceeds the amount of Incentive Compensation that otherwise would have been received based on the correct financial metric or restated results, as determined by the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3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252" w:right="339" w:bottom="1440" w:gutter="0" w:footer="0" w:header="0"/>
        </w:sectPr>
      </w:pPr>
    </w:p>
    <w:bookmarkStart w:id="268" w:name="page269"/>
    <w:bookmarkEnd w:id="268"/>
    <w:p>
      <w:pPr>
        <w:jc w:val="both"/>
        <w:spacing w:after="0" w:line="269" w:lineRule="auto"/>
        <w:rPr>
          <w:sz w:val="20"/>
          <w:szCs w:val="20"/>
          <w:color w:val="auto"/>
        </w:rPr>
      </w:pPr>
      <w:r>
        <w:rPr>
          <w:rFonts w:ascii="Arial" w:cs="Arial" w:eastAsia="Arial" w:hAnsi="Arial"/>
          <w:sz w:val="20"/>
          <w:szCs w:val="20"/>
          <w:color w:val="auto"/>
        </w:rPr>
        <w:t>In the event a recovery under this section of this Policy is triggered by egregious conduct substantially detrimental to the Company by the Covered Employee, then the Committee will determine the amount of Incentive Compensation to recover from such Covered Employee based on the following factors:</w:t>
      </w:r>
    </w:p>
    <w:p>
      <w:pPr>
        <w:spacing w:after="0" w:line="77" w:lineRule="exact"/>
        <w:rPr>
          <w:sz w:val="20"/>
          <w:szCs w:val="20"/>
          <w:color w:val="auto"/>
        </w:rPr>
      </w:pPr>
    </w:p>
    <w:p>
      <w:pPr>
        <w:jc w:val="both"/>
        <w:ind w:left="660" w:hanging="328"/>
        <w:spacing w:after="0" w:line="231" w:lineRule="auto"/>
        <w:tabs>
          <w:tab w:leader="none" w:pos="648"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amount of Incentive Compensation received by the Covered Employee that exceeds the amount of Incentive Compensation that otherwise would have been received or granted had the Covered Employee’s egregious conduct substantially detrimental to the Company been known;</w:t>
      </w:r>
    </w:p>
    <w:p>
      <w:pPr>
        <w:spacing w:after="0" w:line="145" w:lineRule="exact"/>
        <w:rPr>
          <w:rFonts w:ascii="Arial" w:cs="Arial" w:eastAsia="Arial" w:hAnsi="Arial"/>
          <w:sz w:val="20"/>
          <w:szCs w:val="20"/>
          <w:color w:val="auto"/>
        </w:rPr>
      </w:pPr>
    </w:p>
    <w:p>
      <w:pPr>
        <w:ind w:left="640" w:hanging="308"/>
        <w:spacing w:after="0"/>
        <w:tabs>
          <w:tab w:leader="none" w:pos="6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relative fault or degree of involvement by the Covered Employee;</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overall work performance of the Covered Employee;</w:t>
      </w:r>
    </w:p>
    <w:p>
      <w:pPr>
        <w:spacing w:after="0" w:line="175" w:lineRule="exact"/>
        <w:rPr>
          <w:rFonts w:ascii="Arial" w:cs="Arial" w:eastAsia="Arial" w:hAnsi="Arial"/>
          <w:sz w:val="20"/>
          <w:szCs w:val="20"/>
          <w:color w:val="auto"/>
        </w:rPr>
      </w:pPr>
    </w:p>
    <w:p>
      <w:pPr>
        <w:ind w:left="660" w:right="20" w:hanging="328"/>
        <w:spacing w:after="0" w:line="243" w:lineRule="auto"/>
        <w:tabs>
          <w:tab w:leader="none" w:pos="648"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relative impact of the Covered Employee’s conduct on the Company and the magnitude of any restatement, loss or variance from budget or plan;</w:t>
      </w:r>
    </w:p>
    <w:p>
      <w:pPr>
        <w:spacing w:after="0" w:line="155"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cost or difficulty of obtaining recovery, including but not limited to whether the Covered Employee has any outstanding equity-based awards that may be cancelled, whether the Covered Employee continues to be employed by the Company or its subsidiaries, and the language of this Policy in effect on the relevant date; and/or</w:t>
      </w:r>
    </w:p>
    <w:p>
      <w:pPr>
        <w:spacing w:after="0" w:line="157" w:lineRule="exact"/>
        <w:rPr>
          <w:rFonts w:ascii="Arial" w:cs="Arial" w:eastAsia="Arial" w:hAnsi="Arial"/>
          <w:sz w:val="20"/>
          <w:szCs w:val="20"/>
          <w:color w:val="auto"/>
        </w:rPr>
      </w:pPr>
    </w:p>
    <w:p>
      <w:pPr>
        <w:ind w:left="640" w:hanging="308"/>
        <w:spacing w:after="0"/>
        <w:tabs>
          <w:tab w:leader="none" w:pos="6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any other facts and circumstances determined relevant by the Committee, in its sole discretion.</w:t>
      </w:r>
    </w:p>
    <w:p>
      <w:pPr>
        <w:spacing w:after="0" w:line="195" w:lineRule="exact"/>
        <w:rPr>
          <w:sz w:val="20"/>
          <w:szCs w:val="20"/>
          <w:color w:val="auto"/>
        </w:rPr>
      </w:pPr>
    </w:p>
    <w:p>
      <w:pPr>
        <w:ind w:right="860"/>
        <w:spacing w:after="0" w:line="298" w:lineRule="auto"/>
        <w:rPr>
          <w:sz w:val="20"/>
          <w:szCs w:val="20"/>
          <w:color w:val="auto"/>
        </w:rPr>
      </w:pPr>
      <w:r>
        <w:rPr>
          <w:rFonts w:ascii="Arial" w:cs="Arial" w:eastAsia="Arial" w:hAnsi="Arial"/>
          <w:sz w:val="22"/>
          <w:szCs w:val="22"/>
          <w:b w:val="1"/>
          <w:bCs w:val="1"/>
          <w:color w:val="4B4F54"/>
        </w:rPr>
        <w:t>Mandatory Authority and Obligation to Recover Erroneously Awarded Compensation From Executive Officers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the event of a Restatement and if required under Section 303A.14 of the NYSE Listed Company Manual, the Company must reasonably promptly recover any Erroneously Awarded Compensation (as defined below) in compliance with this Policy and Section 303A.14 of the NYSE Listed Company Manual, except to the extent one of the three conditions below is met and the Committee has made a determination that recovery would be impracticable.</w:t>
      </w:r>
    </w:p>
    <w:p>
      <w:pPr>
        <w:spacing w:after="0" w:line="76" w:lineRule="exact"/>
        <w:rPr>
          <w:sz w:val="20"/>
          <w:szCs w:val="20"/>
          <w:color w:val="auto"/>
        </w:rPr>
      </w:pPr>
    </w:p>
    <w:p>
      <w:pPr>
        <w:jc w:val="both"/>
        <w:ind w:left="660" w:hanging="328"/>
        <w:spacing w:after="0" w:line="227" w:lineRule="auto"/>
        <w:tabs>
          <w:tab w:leader="none" w:pos="64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direct expense paid to a third party to assist in enforcing this Policy would exceed the amount to be recovered and the Company has made a reasonable attempt to recover any amount of erroneously awarded compensation, has documented such reasonable attempt(s) to recover and provided that documentation to the NYSE.</w:t>
      </w:r>
    </w:p>
    <w:p>
      <w:pPr>
        <w:spacing w:after="0" w:line="157"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Recovery would violate home country law where that law was adopted prior to November 28, 2022 and the Company has obtained an opinion of home country counsel, acceptable to the NYSE, that recovery would result in such a violation and has provided such opinion to the NYSE.</w:t>
      </w:r>
    </w:p>
    <w:p>
      <w:pPr>
        <w:spacing w:after="0" w:line="157"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Recovery would likely cause an otherwise tax-qualified retirement plan, under which benefits are broadly available to employees of the Company, to fail to meet the requirements of Section 401(a)(13) or 411(a) of the U.S. Internal Revenue Code and regulations thereunder.</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Erroneously Awarded Compensation</w:t>
      </w:r>
      <w:r>
        <w:rPr>
          <w:rFonts w:ascii="Arial" w:cs="Arial" w:eastAsia="Arial" w:hAnsi="Arial"/>
          <w:sz w:val="20"/>
          <w:szCs w:val="20"/>
          <w:color w:val="auto"/>
        </w:rPr>
        <w:t>” as used in this Policy means that amount of Incentive-Based Compensation Received (as such terms are defined below) that exceeds the amount of Incentive-Based Compensation that otherwise would have been Received had it been determined based on the restated amounts, and must be computed without regard to any taxes paid.</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For Incentive-Based Compensation based on stock price or total shareholder return, where the amount of Erroneously Awarded Compensation is not subject to mathematical recalculation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4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252" w:right="339" w:bottom="1440" w:gutter="0" w:footer="0" w:header="0"/>
        </w:sectPr>
      </w:pPr>
    </w:p>
    <w:bookmarkStart w:id="269" w:name="page270"/>
    <w:bookmarkEnd w:id="269"/>
    <w:p>
      <w:pPr>
        <w:jc w:val="both"/>
        <w:spacing w:after="0" w:line="269" w:lineRule="auto"/>
        <w:rPr>
          <w:sz w:val="20"/>
          <w:szCs w:val="20"/>
          <w:color w:val="auto"/>
        </w:rPr>
      </w:pPr>
      <w:r>
        <w:rPr>
          <w:rFonts w:ascii="Arial" w:cs="Arial" w:eastAsia="Arial" w:hAnsi="Arial"/>
          <w:sz w:val="20"/>
          <w:szCs w:val="20"/>
          <w:color w:val="auto"/>
        </w:rPr>
        <w:t>directly from the information in a Restatement the amount must be based on a reasonable estimate of the effect of the Restatement on the stock price or total shareholder return upon which the Incentive-based Compensation was Received. The Company must maintain documentation of the determination of that reasonable estimate and provide such documentation to the NYSE.</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Incentive-Based Compensation</w:t>
      </w:r>
      <w:r>
        <w:rPr>
          <w:rFonts w:ascii="Arial" w:cs="Arial" w:eastAsia="Arial" w:hAnsi="Arial"/>
          <w:sz w:val="20"/>
          <w:szCs w:val="20"/>
          <w:color w:val="auto"/>
        </w:rPr>
        <w:t>” as used in this Policy means any compensation that is granted, earned or vested based wholly or in part upon the attainment of a financial reporting measure.</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Financial Reporting Measures</w:t>
      </w:r>
      <w:r>
        <w:rPr>
          <w:rFonts w:ascii="Arial" w:cs="Arial" w:eastAsia="Arial" w:hAnsi="Arial"/>
          <w:sz w:val="19"/>
          <w:szCs w:val="19"/>
          <w:color w:val="auto"/>
        </w:rPr>
        <w:t>” as used in this Policy means measures that are determined and presented in accordance with the accounting principles used in preparing the Company’s financial statements, and any measures that are derived wholly or in part from such measures. Financial reporting measures include, without limitation, stock price and total shareholder return, and may include non-GAAP financial measures. A financial reporting measure need not be presented within the Company’s financial statements or included in an SEC filing to constitute a financial reporting measure for this purpose.</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Incentive-Based Compensation is deemed “</w:t>
      </w:r>
      <w:r>
        <w:rPr>
          <w:rFonts w:ascii="Arial" w:cs="Arial" w:eastAsia="Arial" w:hAnsi="Arial"/>
          <w:sz w:val="20"/>
          <w:szCs w:val="20"/>
          <w:u w:val="single" w:color="auto"/>
          <w:color w:val="auto"/>
        </w:rPr>
        <w:t>Received</w:t>
      </w:r>
      <w:r>
        <w:rPr>
          <w:rFonts w:ascii="Arial" w:cs="Arial" w:eastAsia="Arial" w:hAnsi="Arial"/>
          <w:sz w:val="20"/>
          <w:szCs w:val="20"/>
          <w:color w:val="auto"/>
        </w:rPr>
        <w:t>” as such term is used in this Policy by an Executive Officer in the Company’s fiscal period during which the financial reporting measure specified in the Incentive-Based Compensation award is attained, even if the payment or grant of the Incentive-Based Compensation occurs after the end of that period.</w:t>
      </w:r>
    </w:p>
    <w:p>
      <w:pPr>
        <w:spacing w:after="0" w:line="9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Notwithstanding the generality of the foregoing, “Incentive-Based Compensation” is intended to be interpreted and construed broadly and includes with respect to any plan that takes into account incentive-based compensation (other than a tax-qualified plan) any amount contributed to a notional account based on erroneously awarded compensation and any earnings accrued to date on that notional account. Such plans include without limitation long-term disability plans, life insurance plans, supplemental executive retirement plans and other compensation, if it is based on incentive-based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Method of Recovery</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Committee will determine, in its sole discretion, the method for recovering Incentive Compensation or Erroneously Awarded Compensation hereunder, which may include, without limitation, any one or more of the following:</w:t>
      </w:r>
    </w:p>
    <w:p>
      <w:pPr>
        <w:spacing w:after="0" w:line="59" w:lineRule="exact"/>
        <w:rPr>
          <w:sz w:val="20"/>
          <w:szCs w:val="20"/>
          <w:color w:val="auto"/>
        </w:rPr>
      </w:pPr>
    </w:p>
    <w:p>
      <w:pPr>
        <w:ind w:left="640" w:hanging="308"/>
        <w:spacing w:after="0"/>
        <w:tabs>
          <w:tab w:leader="none" w:pos="6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requiring reimbursement of cash Incentive Compensation previously paid;</w:t>
      </w:r>
    </w:p>
    <w:p>
      <w:pPr>
        <w:spacing w:after="0" w:line="188"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238"/>
        </w:numPr>
        <w:rPr>
          <w:rFonts w:ascii="Arial" w:cs="Arial" w:eastAsia="Arial" w:hAnsi="Arial"/>
          <w:sz w:val="20"/>
          <w:szCs w:val="20"/>
          <w:color w:val="auto"/>
        </w:rPr>
      </w:pPr>
      <w:r>
        <w:rPr>
          <w:rFonts w:ascii="Arial" w:cs="Arial" w:eastAsia="Arial" w:hAnsi="Arial"/>
          <w:sz w:val="20"/>
          <w:szCs w:val="20"/>
          <w:color w:val="auto"/>
        </w:rPr>
        <w:t>seeking recovery of any gain realized on the vesting, exercise, settlement, sale, transfer or other disposition of any equity-based awards;</w:t>
      </w:r>
    </w:p>
    <w:p>
      <w:pPr>
        <w:spacing w:after="0" w:line="159" w:lineRule="exact"/>
        <w:rPr>
          <w:rFonts w:ascii="Arial" w:cs="Arial" w:eastAsia="Arial" w:hAnsi="Arial"/>
          <w:sz w:val="20"/>
          <w:szCs w:val="20"/>
          <w:color w:val="auto"/>
        </w:rPr>
      </w:pPr>
    </w:p>
    <w:p>
      <w:pPr>
        <w:ind w:left="640" w:hanging="308"/>
        <w:spacing w:after="0"/>
        <w:tabs>
          <w:tab w:leader="none" w:pos="6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cancelling or rescinding some or all outstanding vested or unvested equity-based awards;</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adjusting or withholding from unpaid compensation or other set-off;</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cancelling or setting-off against planned future grants of equity-based awards; and/or</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any other method authorized by applicable law or contract.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Enforceability</w:t>
      </w:r>
    </w:p>
    <w:p>
      <w:pPr>
        <w:spacing w:after="0" w:line="159"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color w:val="auto"/>
        </w:rPr>
        <w:t>In addition to the adoption of this Policy, the Company will take steps to implement an agreement to this Policy by all Covered Employees. In furtherance of the foregoing,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5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252" w:right="339" w:bottom="1440" w:gutter="0" w:footer="0" w:header="0"/>
        </w:sectPr>
      </w:pPr>
    </w:p>
    <w:bookmarkStart w:id="270" w:name="page271"/>
    <w:bookmarkEnd w:id="270"/>
    <w:p>
      <w:pPr>
        <w:jc w:val="both"/>
        <w:spacing w:after="0" w:line="286" w:lineRule="auto"/>
        <w:rPr>
          <w:sz w:val="20"/>
          <w:szCs w:val="20"/>
          <w:color w:val="auto"/>
        </w:rPr>
      </w:pPr>
      <w:r>
        <w:rPr>
          <w:rFonts w:ascii="Arial" w:cs="Arial" w:eastAsia="Arial" w:hAnsi="Arial"/>
          <w:sz w:val="20"/>
          <w:szCs w:val="20"/>
          <w:color w:val="auto"/>
        </w:rPr>
        <w:t xml:space="preserve">Covered Employee subject to this Policy is required to sign and return to the Company the Acknowledgement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pursuant to which such Covered Employee will agree to be bound by the terms and comply with this Policy.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Policy Not Exclusive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recovery under this Policy is in addition to, and not in lieu of, any other remedies or rights of recovery that may be available to the Company pursuant to the terms of any similar policy in any employment agreement, incentive or equity compensation plan or award or other agreement and any other legal rights or remedies available to the Company. Notwithstanding the generality of the foregoing, to the extent that the requirements under the provisions of Section 304 of the Sarbanes-Oxley Act of 2002 or other applicable law are broader than the provisions in this Policy, the provisions of such law will apply.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No Indemnification</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will not indemnify or agree to indemnify any Covered Employee against the loss of Erroneously Awarded Compensation or Incentive Compensation that is subject to this Policy nor will the Company pay or agree to pay any insurance premium to cover the loss of Erroneously Awarded Compensation or Incentive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Effective Date and Relationship to Prior Policy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effective date of this Policy is October 2, 2023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will apply to all:</w:t>
      </w:r>
    </w:p>
    <w:p>
      <w:pPr>
        <w:spacing w:after="0" w:line="135" w:lineRule="exact"/>
        <w:rPr>
          <w:sz w:val="20"/>
          <w:szCs w:val="20"/>
          <w:color w:val="auto"/>
        </w:rPr>
      </w:pPr>
    </w:p>
    <w:p>
      <w:pPr>
        <w:jc w:val="both"/>
        <w:ind w:left="660" w:hanging="328"/>
        <w:spacing w:after="0" w:line="231" w:lineRule="auto"/>
        <w:tabs>
          <w:tab w:leader="none" w:pos="648"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Incentive Compensation that is approved, awarded or granted to Covered Employees on or after the Effective Date, except as otherwise agreed by any Covered Employee or pursuant to the terms of any Company plan regarding Incentive Compensation; and</w:t>
      </w:r>
    </w:p>
    <w:p>
      <w:pPr>
        <w:spacing w:after="0" w:line="145"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Incentive-Based Compensation Received by the Company’s current or former Executive Officers on or after the Effective Date.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Policy supersedes and replaces The Toro Company Clawback Policy, as adopted by the Board on January 19, 2022, with respect to all Incentive Compensation received by any Covered Employee on or after the Effective Date and all Incentive-Based Compensation Received by the Company’s current and former Executive Officers on or after the Effective Date.</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Required Disclosures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will file all disclosures with respect to this Policy in accordance with the requirements of the federal securities laws, including the disclosure required by the applicable SEC filings and will provide all required SEC and other disclosures regarding this Policy and in the event of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6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p>
      <w:pPr>
        <w:sectPr>
          <w:pgSz w:w="11900" w:h="16838" w:orient="portrait"/>
          <w:cols w:equalWidth="0" w:num="1">
            <w:col w:w="11240"/>
          </w:cols>
          <w:pgMar w:left="320" w:top="1252" w:right="3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b w:val="1"/>
          <w:bCs w:val="1"/>
          <w:color w:val="4B4F54"/>
        </w:rPr>
        <w:t>Amendment and Termination</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Committee may amend, modify or terminate this Policy in whole or in part at any time in its sole discretion and may adopt such rules and procedures that it deems necessary or appropriate to implement this Policy or to comply with applicable laws, rules and regulations, including without limitation Section 303A.14 of the NYSE Listed Company Manual.</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Successors</w:t>
      </w:r>
    </w:p>
    <w:p>
      <w:pPr>
        <w:spacing w:after="0" w:line="17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This Policy shall be binding and enforceable against all Covered Employees and their respective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6"/>
          <w:szCs w:val="16"/>
          <w:color w:val="auto"/>
        </w:rPr>
        <w:t>Page 7 of 7</w:t>
        <w:tab/>
        <w:t xml:space="preserve">Effective Date: 10/02/23 </w:t>
      </w:r>
      <w:r>
        <w:rPr>
          <w:rFonts w:ascii="Arial" w:cs="Arial" w:eastAsia="Arial" w:hAnsi="Arial"/>
          <w:sz w:val="16"/>
          <w:szCs w:val="16"/>
          <w:b w:val="1"/>
          <w:bCs w:val="1"/>
          <w:color w:val="CD2021"/>
        </w:rPr>
        <w:t>|</w:t>
      </w:r>
      <w:r>
        <w:rPr>
          <w:rFonts w:ascii="Arial" w:cs="Arial" w:eastAsia="Arial" w:hAnsi="Arial"/>
          <w:sz w:val="16"/>
          <w:szCs w:val="16"/>
          <w:color w:val="auto"/>
        </w:rPr>
        <w:t xml:space="preserve"> Replaces Policy Dated: 01/19/22 </w:t>
      </w:r>
      <w:r>
        <w:rPr>
          <w:rFonts w:ascii="Arial" w:cs="Arial" w:eastAsia="Arial" w:hAnsi="Arial"/>
          <w:sz w:val="16"/>
          <w:szCs w:val="16"/>
          <w:b w:val="1"/>
          <w:bCs w:val="1"/>
          <w:color w:val="CD2021"/>
        </w:rPr>
        <w:t>|</w:t>
      </w:r>
      <w:r>
        <w:rPr>
          <w:rFonts w:ascii="Arial" w:cs="Arial" w:eastAsia="Arial" w:hAnsi="Arial"/>
          <w:sz w:val="16"/>
          <w:szCs w:val="16"/>
          <w:color w:val="auto"/>
        </w:rPr>
        <w:t xml:space="preserve"> Last Review Date: 09/19/23</w:t>
      </w:r>
    </w:p>
    <w:sectPr>
      <w:pgSz w:w="11900" w:h="16838" w:orient="portrait"/>
      <w:cols w:equalWidth="0" w:num="1">
        <w:col w:w="11240"/>
      </w:cols>
      <w:pgMar w:left="320" w:top="12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1)"/>
      <w:numFmt w:val="lowerRoman"/>
      <w:start w:val="3"/>
    </w:lvl>
  </w:abstractNum>
  <w:abstractNum w:abstractNumId="15">
    <w:nsid w:val="4DF72E4E"/>
    <w:multiLevelType w:val="hybridMultilevel"/>
    <w:lvl w:ilvl="0">
      <w:lvlJc w:val="left"/>
      <w:lvlText w:val="1"/>
      <w:numFmt w:val="bullet"/>
      <w:start w:val="1"/>
    </w:lvl>
  </w:abstractNum>
  <w:abstractNum w:abstractNumId="16">
    <w:nsid w:val="5046B5A9"/>
    <w:multiLevelType w:val="hybridMultilevel"/>
    <w:lvl w:ilvl="0">
      <w:lvlJc w:val="left"/>
      <w:lvlText w:val="2"/>
      <w:numFmt w:val="bullet"/>
      <w:start w:val="1"/>
    </w:lvl>
  </w:abstractNum>
  <w:abstractNum w:abstractNumId="17">
    <w:nsid w:val="5D888A08"/>
    <w:multiLevelType w:val="hybridMultilevel"/>
    <w:lvl w:ilvl="0">
      <w:lvlJc w:val="left"/>
      <w:lvlText w:val="3"/>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1"/>
      <w:numFmt w:val="bullet"/>
      <w:start w:val="1"/>
    </w:lvl>
  </w:abstractNum>
  <w:abstractNum w:abstractNumId="23">
    <w:nsid w:val="5399C654"/>
    <w:multiLevelType w:val="hybridMultilevel"/>
    <w:lvl w:ilvl="0">
      <w:lvlJc w:val="left"/>
      <w:lvlText w:val="2"/>
      <w:numFmt w:val="bullet"/>
      <w:start w:val="1"/>
    </w:lvl>
  </w:abstractNum>
  <w:abstractNum w:abstractNumId="24">
    <w:nsid w:val="20EE1348"/>
    <w:multiLevelType w:val="hybridMultilevel"/>
    <w:lvl w:ilvl="0">
      <w:lvlJc w:val="left"/>
      <w:lvlText w:val="3"/>
      <w:numFmt w:val="bullet"/>
      <w:start w:val="1"/>
    </w:lvl>
  </w:abstractNum>
  <w:abstractNum w:abstractNumId="25">
    <w:nsid w:val="4427069A"/>
    <w:multiLevelType w:val="hybridMultilevel"/>
    <w:lvl w:ilvl="0">
      <w:lvlJc w:val="left"/>
      <w:lvlText w:val="4"/>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1"/>
      <w:numFmt w:val="bullet"/>
      <w:start w:val="1"/>
    </w:lvl>
  </w:abstractNum>
  <w:abstractNum w:abstractNumId="30">
    <w:nsid w:val="BFFAE18"/>
    <w:multiLevelType w:val="hybridMultilevel"/>
    <w:lvl w:ilvl="0">
      <w:lvlJc w:val="left"/>
      <w:lvlText w:val="1"/>
      <w:numFmt w:val="bullet"/>
      <w:start w:val="1"/>
    </w:lvl>
  </w:abstractNum>
  <w:abstractNum w:abstractNumId="31">
    <w:nsid w:val="E3E47A8"/>
    <w:multiLevelType w:val="hybridMultilevel"/>
    <w:lvl w:ilvl="0">
      <w:lvlJc w:val="left"/>
      <w:lvlText w:val="1"/>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2"/>
      <w:numFmt w:val="bullet"/>
      <w:start w:val="1"/>
    </w:lvl>
  </w:abstractNum>
  <w:abstractNum w:abstractNumId="35">
    <w:nsid w:val="5551B9F3"/>
    <w:multiLevelType w:val="hybridMultilevel"/>
    <w:lvl w:ilvl="0">
      <w:lvlJc w:val="left"/>
      <w:lvlText w:val="3"/>
      <w:numFmt w:val="bullet"/>
      <w:start w:val="1"/>
    </w:lvl>
  </w:abstractNum>
  <w:abstractNum w:abstractNumId="36">
    <w:nsid w:val="24F6AB8E"/>
    <w:multiLevelType w:val="hybridMultilevel"/>
    <w:lvl w:ilvl="0">
      <w:lvlJc w:val="left"/>
      <w:lvlText w:val="1"/>
      <w:numFmt w:val="bullet"/>
      <w:start w:val="1"/>
    </w:lvl>
  </w:abstractNum>
  <w:abstractNum w:abstractNumId="37">
    <w:nsid w:val="634C574C"/>
    <w:multiLevelType w:val="hybridMultilevel"/>
    <w:lvl w:ilvl="0">
      <w:lvlJc w:val="left"/>
      <w:lvlText w:val="4"/>
      <w:numFmt w:val="bullet"/>
      <w:start w:val="1"/>
    </w:lvl>
  </w:abstractNum>
  <w:abstractNum w:abstractNumId="38">
    <w:nsid w:val="24E99DD7"/>
    <w:multiLevelType w:val="hybridMultilevel"/>
    <w:lvl w:ilvl="0">
      <w:lvlJc w:val="left"/>
      <w:lvlText w:val="5"/>
      <w:numFmt w:val="bullet"/>
      <w:start w:val="1"/>
    </w:lvl>
  </w:abstractNum>
  <w:abstractNum w:abstractNumId="39">
    <w:nsid w:val="2A31B62D"/>
    <w:multiLevelType w:val="hybridMultilevel"/>
    <w:lvl w:ilvl="0">
      <w:lvlJc w:val="left"/>
      <w:lvlText w:val="7"/>
      <w:numFmt w:val="bullet"/>
      <w:start w:val="1"/>
    </w:lvl>
  </w:abstractNum>
  <w:abstractNum w:abstractNumId="40">
    <w:nsid w:val="1849C29B"/>
    <w:multiLevelType w:val="hybridMultilevel"/>
    <w:lvl w:ilvl="0">
      <w:lvlJc w:val="left"/>
      <w:lvlText w:val="8"/>
      <w:numFmt w:val="bullet"/>
      <w:start w:val="1"/>
    </w:lvl>
  </w:abstractNum>
  <w:abstractNum w:abstractNumId="41">
    <w:nsid w:val="7DFF9D09"/>
    <w:multiLevelType w:val="hybridMultilevel"/>
    <w:lvl w:ilvl="0">
      <w:lvlJc w:val="left"/>
      <w:lvlText w:val="9"/>
      <w:numFmt w:val="bullet"/>
      <w:start w:val="1"/>
    </w:lvl>
  </w:abstractNum>
  <w:abstractNum w:abstractNumId="42">
    <w:nsid w:val="754342"/>
    <w:multiLevelType w:val="hybridMultilevel"/>
    <w:lvl w:ilvl="0">
      <w:lvlJc w:val="left"/>
      <w:lvlText w:val="1"/>
      <w:numFmt w:val="bullet"/>
      <w:start w:val="1"/>
    </w:lvl>
  </w:abstractNum>
  <w:abstractNum w:abstractNumId="43">
    <w:nsid w:val="69E7F3E5"/>
    <w:multiLevelType w:val="hybridMultilevel"/>
    <w:lvl w:ilvl="0">
      <w:lvlJc w:val="left"/>
      <w:lvlText w:val="(%1)"/>
      <w:numFmt w:val="lowerRoman"/>
      <w:start w:val="3"/>
    </w:lvl>
  </w:abstractNum>
  <w:abstractNum w:abstractNumId="44">
    <w:nsid w:val="2A6DE806"/>
    <w:multiLevelType w:val="hybridMultilevel"/>
    <w:lvl w:ilvl="0">
      <w:lvlJc w:val="left"/>
      <w:lvlText w:val="(%1)"/>
      <w:numFmt w:val="lowerLetter"/>
      <w:start w:val="1"/>
    </w:lvl>
    <w:lvl w:ilvl="1">
      <w:lvlJc w:val="left"/>
      <w:lvlText w:val="%2."/>
      <w:numFmt w:val="decimal"/>
      <w:start w:val="1"/>
    </w:lvl>
  </w:abstractNum>
  <w:abstractNum w:abstractNumId="45">
    <w:nsid w:val="1816F8C4"/>
    <w:multiLevelType w:val="hybridMultilevel"/>
    <w:lvl w:ilvl="0">
      <w:lvlJc w:val="left"/>
      <w:lvlText w:val="%1."/>
      <w:numFmt w:val="decimal"/>
      <w:start w:val="2"/>
    </w:lvl>
  </w:abstractNum>
  <w:abstractNum w:abstractNumId="46">
    <w:nsid w:val="37DF2233"/>
    <w:multiLevelType w:val="hybridMultilevel"/>
    <w:lvl w:ilvl="0">
      <w:lvlJc w:val="left"/>
      <w:lvlText w:val="%1"/>
      <w:numFmt w:val="decimal"/>
      <w:start w:val="21"/>
    </w:lvl>
  </w:abstractNum>
  <w:abstractNum w:abstractNumId="47">
    <w:nsid w:val="7AB49DAF"/>
    <w:multiLevelType w:val="hybridMultilevel"/>
    <w:lvl w:ilvl="0">
      <w:lvlJc w:val="left"/>
      <w:lvlText w:val="%1"/>
      <w:numFmt w:val="decimal"/>
      <w:start w:val="32"/>
    </w:lvl>
  </w:abstractNum>
  <w:abstractNum w:abstractNumId="48">
    <w:nsid w:val="759F82CD"/>
    <w:multiLevelType w:val="hybridMultilevel"/>
    <w:lvl w:ilvl="0">
      <w:lvlJc w:val="left"/>
      <w:lvlText w:val="%1"/>
      <w:numFmt w:val="decimal"/>
      <w:start w:val="97"/>
    </w:lvl>
  </w:abstractNum>
  <w:abstractNum w:abstractNumId="49">
    <w:nsid w:val="61E74EA3"/>
    <w:multiLevelType w:val="hybridMultilevel"/>
    <w:lvl w:ilvl="0">
      <w:lvlJc w:val="left"/>
      <w:lvlText w:val="%1"/>
      <w:numFmt w:val="decimal"/>
      <w:start w:val="101"/>
    </w:lvl>
  </w:abstractNum>
  <w:abstractNum w:abstractNumId="50">
    <w:nsid w:val="597B4D84"/>
    <w:multiLevelType w:val="hybridMultilevel"/>
    <w:lvl w:ilvl="0">
      <w:lvlJc w:val="left"/>
      <w:lvlText w:val="%1"/>
      <w:numFmt w:val="decimal"/>
      <w:start w:val="1"/>
    </w:lvl>
    <w:lvl w:ilvl="1">
      <w:lvlJc w:val="left"/>
      <w:lvlText w:val="%2"/>
      <w:numFmt w:val="decimal"/>
      <w:start w:val="104"/>
    </w:lvl>
  </w:abstractNum>
  <w:abstractNum w:abstractNumId="51">
    <w:nsid w:val="F819E7F"/>
    <w:multiLevelType w:val="hybridMultilevel"/>
    <w:lvl w:ilvl="0">
      <w:lvlJc w:val="left"/>
      <w:lvlText w:val="(%1)"/>
      <w:numFmt w:val="decimal"/>
      <w:start w:val="1"/>
    </w:lvl>
    <w:lvl w:ilvl="1">
      <w:lvlJc w:val="left"/>
      <w:lvlText w:val="%2"/>
      <w:numFmt w:val="decimal"/>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1)"/>
      <w:numFmt w:val="lowerLetter"/>
      <w:start w:val="3"/>
    </w:lvl>
  </w:abstractNum>
  <w:abstractNum w:abstractNumId="55">
    <w:nsid w:val="78B5E776"/>
    <w:multiLevelType w:val="hybridMultilevel"/>
    <w:lvl w:ilvl="0">
      <w:lvlJc w:val="left"/>
      <w:lvlText w:val="(%1)"/>
      <w:numFmt w:val="lowerLetter"/>
      <w:start w:val="1"/>
    </w:lvl>
  </w:abstractNum>
  <w:abstractNum w:abstractNumId="56">
    <w:nsid w:val="75486E47"/>
    <w:multiLevelType w:val="hybridMultilevel"/>
    <w:lvl w:ilvl="0">
      <w:lvlJc w:val="left"/>
      <w:lvlText w:val="(%1)"/>
      <w:numFmt w:val="lowerLetter"/>
      <w:start w:val="1"/>
    </w:lvl>
  </w:abstractNum>
  <w:abstractNum w:abstractNumId="57">
    <w:nsid w:val="6E534CDE"/>
    <w:multiLevelType w:val="hybridMultilevel"/>
    <w:lvl w:ilvl="0">
      <w:lvlJc w:val="left"/>
      <w:lvlText w:val="(%1)"/>
      <w:numFmt w:val="lowerLetter"/>
      <w:start w:val="35"/>
    </w:lvl>
    <w:lvl w:ilvl="1">
      <w:lvlJc w:val="left"/>
      <w:lvlText w:val="(%2)"/>
      <w:numFmt w:val="lowerLetter"/>
      <w:start w:val="3"/>
    </w:lvl>
  </w:abstractNum>
  <w:abstractNum w:abstractNumId="58">
    <w:nsid w:val="1A0DDE32"/>
    <w:multiLevelType w:val="hybridMultilevel"/>
    <w:lvl w:ilvl="0">
      <w:lvlJc w:val="left"/>
      <w:lvlText w:val="(%1)"/>
      <w:numFmt w:val="lowerLetter"/>
      <w:start w:val="1"/>
    </w:lvl>
  </w:abstractNum>
  <w:abstractNum w:abstractNumId="59">
    <w:nsid w:val="65968C1C"/>
    <w:multiLevelType w:val="hybridMultilevel"/>
    <w:lvl w:ilvl="0">
      <w:lvlJc w:val="left"/>
      <w:lvlText w:val="(%1)"/>
      <w:numFmt w:val="lowerLetter"/>
      <w:start w:val="4"/>
    </w:lvl>
  </w:abstractNum>
  <w:abstractNum w:abstractNumId="60">
    <w:nsid w:val="46263DEC"/>
    <w:multiLevelType w:val="hybridMultilevel"/>
    <w:lvl w:ilvl="0">
      <w:lvlJc w:val="left"/>
      <w:lvlText w:val="(%1)"/>
      <w:numFmt w:val="lowerLetter"/>
      <w:start w:val="1"/>
    </w:lvl>
  </w:abstractNum>
  <w:abstractNum w:abstractNumId="61">
    <w:nsid w:val="260D8C4A"/>
    <w:multiLevelType w:val="hybridMultilevel"/>
    <w:lvl w:ilvl="0">
      <w:lvlJc w:val="left"/>
      <w:lvlText w:val="(%1)"/>
      <w:numFmt w:val="lowerLetter"/>
      <w:start w:val="1"/>
    </w:lvl>
  </w:abstractNum>
  <w:abstractNum w:abstractNumId="62">
    <w:nsid w:val="73D4D3C4"/>
    <w:multiLevelType w:val="hybridMultilevel"/>
    <w:lvl w:ilvl="0">
      <w:lvlJc w:val="left"/>
      <w:lvlText w:val="%1"/>
      <w:numFmt w:val="decimal"/>
      <w:start w:val="1"/>
    </w:lvl>
    <w:lvl w:ilvl="1">
      <w:lvlJc w:val="left"/>
      <w:lvlText w:val="(%2)"/>
      <w:numFmt w:val="lowerLetter"/>
      <w:start w:val="2"/>
    </w:lvl>
  </w:abstractNum>
  <w:abstractNum w:abstractNumId="63">
    <w:nsid w:val="746F2E30"/>
    <w:multiLevelType w:val="hybridMultilevel"/>
    <w:lvl w:ilvl="0">
      <w:lvlJc w:val="left"/>
      <w:lvlText w:val="(%1)"/>
      <w:numFmt w:val="decimal"/>
      <w:start w:val="90"/>
    </w:lvl>
    <w:lvl w:ilvl="1">
      <w:lvlJc w:val="left"/>
      <w:lvlText w:val="%2"/>
      <w:numFmt w:val="lowerLetter"/>
      <w:start w:val="1"/>
    </w:lvl>
  </w:abstractNum>
  <w:abstractNum w:abstractNumId="64">
    <w:nsid w:val="6FDE8AF6"/>
    <w:multiLevelType w:val="hybridMultilevel"/>
    <w:lvl w:ilvl="0">
      <w:lvlJc w:val="left"/>
      <w:lvlText w:val="(%1)"/>
      <w:numFmt w:val="lowerLetter"/>
      <w:start w:val="1"/>
    </w:lvl>
  </w:abstractNum>
  <w:abstractNum w:abstractNumId="65">
    <w:nsid w:val="3FC32E20"/>
    <w:multiLevelType w:val="hybridMultilevel"/>
    <w:lvl w:ilvl="0">
      <w:lvlJc w:val="left"/>
      <w:lvlText w:val="(%1)"/>
      <w:numFmt w:val="lowerLetter"/>
      <w:start w:val="2"/>
    </w:lvl>
  </w:abstractNum>
  <w:abstractNum w:abstractNumId="66">
    <w:nsid w:val="49C0E823"/>
    <w:multiLevelType w:val="hybridMultilevel"/>
    <w:lvl w:ilvl="0">
      <w:lvlJc w:val="left"/>
      <w:lvlText w:val="(%1)"/>
      <w:numFmt w:val="lowerRoman"/>
      <w:start w:val="2"/>
    </w:lvl>
  </w:abstractNum>
  <w:abstractNum w:abstractNumId="67">
    <w:nsid w:val="14D53685"/>
    <w:multiLevelType w:val="hybridMultilevel"/>
    <w:lvl w:ilvl="0">
      <w:lvlJc w:val="left"/>
      <w:lvlText w:val="(%1)"/>
      <w:numFmt w:val="lowerLetter"/>
      <w:start w:val="3"/>
    </w:lvl>
  </w:abstractNum>
  <w:abstractNum w:abstractNumId="68">
    <w:nsid w:val="230F856C"/>
    <w:multiLevelType w:val="hybridMultilevel"/>
    <w:lvl w:ilvl="0">
      <w:lvlJc w:val="left"/>
      <w:lvlText w:val="(%1)"/>
      <w:numFmt w:val="decimal"/>
      <w:start w:val="5"/>
    </w:lvl>
  </w:abstractNum>
  <w:abstractNum w:abstractNumId="69">
    <w:nsid w:val="6EAA85FB"/>
    <w:multiLevelType w:val="hybridMultilevel"/>
    <w:lvl w:ilvl="0">
      <w:lvlJc w:val="left"/>
      <w:lvlText w:val="(%1)"/>
      <w:numFmt w:val="lowerLetter"/>
      <w:start w:val="1"/>
    </w:lvl>
  </w:abstractNum>
  <w:abstractNum w:abstractNumId="70">
    <w:nsid w:val="3F06ECB2"/>
    <w:multiLevelType w:val="hybridMultilevel"/>
    <w:lvl w:ilvl="0">
      <w:lvlJc w:val="left"/>
      <w:lvlText w:val="%1."/>
      <w:numFmt w:val="upperLetter"/>
      <w:start w:val="1"/>
    </w:lvl>
  </w:abstractNum>
  <w:abstractNum w:abstractNumId="71">
    <w:nsid w:val="3B594807"/>
    <w:multiLevelType w:val="hybridMultilevel"/>
    <w:lvl w:ilvl="0">
      <w:lvlJc w:val="left"/>
      <w:lvlText w:val="%1."/>
      <w:numFmt w:val="decimal"/>
      <w:start w:val="1"/>
    </w:lvl>
    <w:lvl w:ilvl="1">
      <w:lvlJc w:val="left"/>
      <w:lvlText w:val="(%2)"/>
      <w:numFmt w:val="lowerLetter"/>
      <w:start w:val="1"/>
    </w:lvl>
  </w:abstractNum>
  <w:abstractNum w:abstractNumId="72">
    <w:nsid w:val="6CAA2304"/>
    <w:multiLevelType w:val="hybridMultilevel"/>
    <w:lvl w:ilvl="0">
      <w:lvlJc w:val="left"/>
      <w:lvlText w:val="(%1)"/>
      <w:numFmt w:val="lowerRoman"/>
      <w:start w:val="1"/>
    </w:lvl>
  </w:abstractNum>
  <w:abstractNum w:abstractNumId="73">
    <w:nsid w:val="3F7C2FF4"/>
    <w:multiLevelType w:val="hybridMultilevel"/>
    <w:lvl w:ilvl="0">
      <w:lvlJc w:val="left"/>
      <w:lvlText w:val="%1"/>
      <w:numFmt w:val="lowerLetter"/>
      <w:start w:val="1"/>
    </w:lvl>
    <w:lvl w:ilvl="1">
      <w:lvlJc w:val="left"/>
      <w:lvlText w:val="(%2)"/>
      <w:numFmt w:val="lowerLetter"/>
      <w:start w:val="35"/>
    </w:lvl>
  </w:abstractNum>
  <w:abstractNum w:abstractNumId="74">
    <w:nsid w:val="25413BEC"/>
    <w:multiLevelType w:val="hybridMultilevel"/>
    <w:lvl w:ilvl="0">
      <w:lvlJc w:val="left"/>
      <w:lvlText w:val="(%1)"/>
      <w:numFmt w:val="lowerLetter"/>
      <w:start w:val="2"/>
    </w:lvl>
    <w:lvl w:ilvl="1">
      <w:lvlJc w:val="left"/>
      <w:lvlText w:val="%2"/>
      <w:numFmt w:val="lowerLetter"/>
      <w:start w:val="1"/>
    </w:lvl>
  </w:abstractNum>
  <w:abstractNum w:abstractNumId="75">
    <w:nsid w:val="17180B0B"/>
    <w:multiLevelType w:val="hybridMultilevel"/>
    <w:lvl w:ilvl="0">
      <w:lvlJc w:val="left"/>
      <w:lvlText w:val="(%1)"/>
      <w:numFmt w:val="lowerLetter"/>
      <w:start w:val="4"/>
    </w:lvl>
    <w:lvl w:ilvl="1">
      <w:lvlJc w:val="left"/>
      <w:lvlText w:val="(%2)"/>
      <w:numFmt w:val="lowerLetter"/>
      <w:start w:val="9"/>
    </w:lvl>
  </w:abstractNum>
  <w:abstractNum w:abstractNumId="76">
    <w:nsid w:val="579328B9"/>
    <w:multiLevelType w:val="hybridMultilevel"/>
    <w:lvl w:ilvl="0">
      <w:lvlJc w:val="left"/>
      <w:lvlText w:val="(%1)"/>
      <w:numFmt w:val="lowerRoman"/>
      <w:start w:val="2"/>
    </w:lvl>
  </w:abstractNum>
  <w:abstractNum w:abstractNumId="77">
    <w:nsid w:val="5D205E20"/>
    <w:multiLevelType w:val="hybridMultilevel"/>
    <w:lvl w:ilvl="0">
      <w:lvlJc w:val="left"/>
      <w:lvlText w:val="%1."/>
      <w:numFmt w:val="decimal"/>
      <w:start w:val="2"/>
    </w:lvl>
  </w:abstractNum>
  <w:abstractNum w:abstractNumId="78">
    <w:nsid w:val="11CCA8BA"/>
    <w:multiLevelType w:val="hybridMultilevel"/>
    <w:lvl w:ilvl="0">
      <w:lvlJc w:val="left"/>
      <w:lvlText w:val="%1."/>
      <w:numFmt w:val="upperLetter"/>
      <w:start w:val="1"/>
    </w:lvl>
  </w:abstractNum>
  <w:abstractNum w:abstractNumId="79">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
    <w:nsid w:val="3F07ACC3"/>
    <w:multiLevelType w:val="hybridMultilevel"/>
    <w:lvl w:ilvl="0">
      <w:lvlJc w:val="left"/>
      <w:lvlText w:val="%1"/>
      <w:numFmt w:val="lowerLetter"/>
      <w:start w:val="1"/>
    </w:lvl>
    <w:lvl w:ilvl="1">
      <w:lvlJc w:val="left"/>
      <w:lvlText w:val="(%2)"/>
      <w:numFmt w:val="lowerLetter"/>
      <w:start w:val="35"/>
    </w:lvl>
  </w:abstractNum>
  <w:abstractNum w:abstractNumId="81">
    <w:nsid w:val="6B47F63E"/>
    <w:multiLevelType w:val="hybridMultilevel"/>
    <w:lvl w:ilvl="0">
      <w:lvlJc w:val="left"/>
      <w:lvlText w:val="(%1)"/>
      <w:numFmt w:val="lowerLetter"/>
      <w:start w:val="2"/>
    </w:lvl>
    <w:lvl w:ilvl="1">
      <w:lvlJc w:val="left"/>
      <w:lvlText w:val="%2"/>
      <w:numFmt w:val="lowerLetter"/>
      <w:start w:val="1"/>
    </w:lvl>
  </w:abstractNum>
  <w:abstractNum w:abstractNumId="82">
    <w:nsid w:val="5CB44A05"/>
    <w:multiLevelType w:val="hybridMultilevel"/>
    <w:lvl w:ilvl="0">
      <w:lvlJc w:val="left"/>
      <w:lvlText w:val="(%1)"/>
      <w:numFmt w:val="lowerLetter"/>
      <w:start w:val="3"/>
    </w:lvl>
  </w:abstractNum>
  <w:abstractNum w:abstractNumId="83">
    <w:nsid w:val="16CF80F1"/>
    <w:multiLevelType w:val="hybridMultilevel"/>
    <w:lvl w:ilvl="0">
      <w:lvlJc w:val="left"/>
      <w:lvlText w:val="(%1)"/>
      <w:numFmt w:val="lowerLetter"/>
      <w:start w:val="4"/>
    </w:lvl>
  </w:abstractNum>
  <w:abstractNum w:abstractNumId="84">
    <w:nsid w:val="1C695DEC"/>
    <w:multiLevelType w:val="hybridMultilevel"/>
    <w:lvl w:ilvl="0">
      <w:lvlJc w:val="left"/>
      <w:lvlText w:val="(%1)"/>
      <w:numFmt w:val="lowerLetter"/>
      <w:start w:val="5"/>
    </w:lvl>
  </w:abstractNum>
  <w:abstractNum w:abstractNumId="85">
    <w:nsid w:val="3FCFAED9"/>
    <w:multiLevelType w:val="hybridMultilevel"/>
    <w:lvl w:ilvl="0">
      <w:lvlJc w:val="left"/>
      <w:lvlText w:val="%1."/>
      <w:numFmt w:val="decimal"/>
      <w:start w:val="2"/>
    </w:lvl>
  </w:abstractNum>
  <w:abstractNum w:abstractNumId="86">
    <w:nsid w:val="F856867"/>
    <w:multiLevelType w:val="hybridMultilevel"/>
    <w:lvl w:ilvl="0">
      <w:lvlJc w:val="left"/>
      <w:lvlText w:val="%1."/>
      <w:numFmt w:val="decimal"/>
      <w:start w:val="3"/>
    </w:lvl>
  </w:abstractNum>
  <w:abstractNum w:abstractNumId="87">
    <w:nsid w:val="11B1CC33"/>
    <w:multiLevelType w:val="hybridMultilevel"/>
    <w:lvl w:ilvl="0">
      <w:lvlJc w:val="left"/>
      <w:lvlText w:val="(%1)"/>
      <w:numFmt w:val="lowerLetter"/>
      <w:start w:val="1"/>
    </w:lvl>
  </w:abstractNum>
  <w:abstractNum w:abstractNumId="88">
    <w:nsid w:val="2E22FBB7"/>
    <w:multiLevelType w:val="hybridMultilevel"/>
    <w:lvl w:ilvl="0">
      <w:lvlJc w:val="left"/>
      <w:lvlText w:val="(%1)"/>
      <w:numFmt w:val="lowerLetter"/>
      <w:start w:val="7"/>
    </w:lvl>
  </w:abstractNum>
  <w:abstractNum w:abstractNumId="89">
    <w:nsid w:val="29934699"/>
    <w:multiLevelType w:val="hybridMultilevel"/>
    <w:lvl w:ilvl="0">
      <w:lvlJc w:val="left"/>
      <w:lvlText w:val="(%1)"/>
      <w:numFmt w:val="lowerLetter"/>
      <w:start w:val="1"/>
    </w:lvl>
  </w:abstractNum>
  <w:abstractNum w:abstractNumId="90">
    <w:nsid w:val="77485850"/>
    <w:multiLevelType w:val="hybridMultilevel"/>
    <w:lvl w:ilvl="0">
      <w:lvlJc w:val="left"/>
      <w:lvlText w:val="(%1)"/>
      <w:numFmt w:val="lowerLetter"/>
      <w:start w:val="3"/>
    </w:lvl>
  </w:abstractNum>
  <w:abstractNum w:abstractNumId="91">
    <w:nsid w:val="744939A3"/>
    <w:multiLevelType w:val="hybridMultilevel"/>
    <w:lvl w:ilvl="0">
      <w:lvlJc w:val="left"/>
      <w:lvlText w:val="(%1)"/>
      <w:numFmt w:val="lowerLetter"/>
      <w:start w:val="1"/>
    </w:lvl>
  </w:abstractNum>
  <w:abstractNum w:abstractNumId="92">
    <w:nsid w:val="4FA0D2E3"/>
    <w:multiLevelType w:val="hybridMultilevel"/>
    <w:lvl w:ilvl="0">
      <w:lvlJc w:val="left"/>
      <w:lvlText w:val="%1"/>
      <w:numFmt w:val="lowerLetter"/>
      <w:start w:val="1"/>
    </w:lvl>
    <w:lvl w:ilvl="1">
      <w:lvlJc w:val="left"/>
      <w:lvlText w:val="(%2)"/>
      <w:numFmt w:val="lowerLetter"/>
      <w:start w:val="1"/>
    </w:lvl>
  </w:abstractNum>
  <w:abstractNum w:abstractNumId="93">
    <w:nsid w:val="6B1D2C14"/>
    <w:multiLevelType w:val="hybridMultilevel"/>
    <w:lvl w:ilvl="0">
      <w:lvlJc w:val="left"/>
      <w:lvlText w:val="(%1)"/>
      <w:numFmt w:val="lowerLetter"/>
      <w:start w:val="9"/>
    </w:lvl>
    <w:lvl w:ilvl="1">
      <w:lvlJc w:val="left"/>
      <w:lvlText w:val="%2"/>
      <w:numFmt w:val="lowerLetter"/>
      <w:start w:val="1"/>
    </w:lvl>
  </w:abstractNum>
  <w:abstractNum w:abstractNumId="94">
    <w:nsid w:val="68B867D3"/>
    <w:multiLevelType w:val="hybridMultilevel"/>
    <w:lvl w:ilvl="0">
      <w:lvlJc w:val="left"/>
      <w:lvlText w:val="(%1)"/>
      <w:numFmt w:val="lowerLetter"/>
      <w:start w:val="1"/>
    </w:lvl>
  </w:abstractNum>
  <w:abstractNum w:abstractNumId="95">
    <w:nsid w:val="3F7F5DD9"/>
    <w:multiLevelType w:val="hybridMultilevel"/>
    <w:lvl w:ilvl="0">
      <w:lvlJc w:val="left"/>
      <w:lvlText w:val="(%1)"/>
      <w:numFmt w:val="lowerLetter"/>
      <w:start w:val="1"/>
    </w:lvl>
  </w:abstractNum>
  <w:abstractNum w:abstractNumId="96">
    <w:nsid w:val="2AE05A34"/>
    <w:multiLevelType w:val="hybridMultilevel"/>
    <w:lvl w:ilvl="0">
      <w:lvlJc w:val="left"/>
      <w:lvlText w:val="(%1)"/>
      <w:numFmt w:val="lowerLetter"/>
      <w:start w:val="1"/>
    </w:lvl>
  </w:abstractNum>
  <w:abstractNum w:abstractNumId="97">
    <w:nsid w:val="32794FF7"/>
    <w:multiLevelType w:val="hybridMultilevel"/>
    <w:lvl w:ilvl="0">
      <w:lvlJc w:val="left"/>
      <w:lvlText w:val="(%1)"/>
      <w:numFmt w:val="lowerLetter"/>
      <w:start w:val="2"/>
    </w:lvl>
  </w:abstractNum>
  <w:abstractNum w:abstractNumId="98">
    <w:nsid w:val="5454945E"/>
    <w:multiLevelType w:val="hybridMultilevel"/>
    <w:lvl w:ilvl="0">
      <w:lvlJc w:val="left"/>
      <w:lvlText w:val="(%1)"/>
      <w:numFmt w:val="lowerLetter"/>
      <w:start w:val="1"/>
    </w:lvl>
  </w:abstractNum>
  <w:abstractNum w:abstractNumId="99">
    <w:nsid w:val="4DEFDFA0"/>
    <w:multiLevelType w:val="hybridMultilevel"/>
    <w:lvl w:ilvl="0">
      <w:lvlJc w:val="left"/>
      <w:lvlText w:val="(%1)"/>
      <w:numFmt w:val="lowerLetter"/>
      <w:start w:val="3"/>
    </w:lvl>
  </w:abstractNum>
  <w:abstractNum w:abstractNumId="100">
    <w:nsid w:val="2123D5F2"/>
    <w:multiLevelType w:val="hybridMultilevel"/>
    <w:lvl w:ilvl="0">
      <w:lvlJc w:val="left"/>
      <w:lvlText w:val="(%1)"/>
      <w:numFmt w:val="lowerLetter"/>
      <w:start w:val="1"/>
    </w:lvl>
  </w:abstractNum>
  <w:abstractNum w:abstractNumId="101">
    <w:nsid w:val="135B8110"/>
    <w:multiLevelType w:val="hybridMultilevel"/>
    <w:lvl w:ilvl="0">
      <w:lvlJc w:val="left"/>
      <w:lvlText w:val="(%1)"/>
      <w:numFmt w:val="lowerRoman"/>
      <w:start w:val="1"/>
    </w:lvl>
  </w:abstractNum>
  <w:abstractNum w:abstractNumId="102">
    <w:nsid w:val="94927A8"/>
    <w:multiLevelType w:val="hybridMultilevel"/>
    <w:lvl w:ilvl="0">
      <w:lvlJc w:val="left"/>
      <w:lvlText w:val="(%1)"/>
      <w:numFmt w:val="lowerLetter"/>
      <w:start w:val="1"/>
    </w:lvl>
  </w:abstractNum>
  <w:abstractNum w:abstractNumId="103">
    <w:nsid w:val="DCDF8F6"/>
    <w:multiLevelType w:val="hybridMultilevel"/>
    <w:lvl w:ilvl="0">
      <w:lvlJc w:val="left"/>
      <w:lvlText w:val="(%1)"/>
      <w:numFmt w:val="lowerLetter"/>
      <w:start w:val="1"/>
    </w:lvl>
  </w:abstractNum>
  <w:abstractNum w:abstractNumId="104">
    <w:nsid w:val="52D7B105"/>
    <w:multiLevelType w:val="hybridMultilevel"/>
    <w:lvl w:ilvl="0">
      <w:lvlJc w:val="left"/>
      <w:lvlText w:val="(%1)"/>
      <w:numFmt w:val="lowerLetter"/>
      <w:start w:val="2"/>
    </w:lvl>
  </w:abstractNum>
  <w:abstractNum w:abstractNumId="105">
    <w:nsid w:val="2E8A6394"/>
    <w:multiLevelType w:val="hybridMultilevel"/>
    <w:lvl w:ilvl="0">
      <w:lvlJc w:val="left"/>
      <w:lvlText w:val="(%1)"/>
      <w:numFmt w:val="lowerLetter"/>
      <w:start w:val="6"/>
    </w:lvl>
  </w:abstractNum>
  <w:abstractNum w:abstractNumId="106">
    <w:nsid w:val="24E60401"/>
    <w:multiLevelType w:val="hybridMultilevel"/>
    <w:lvl w:ilvl="0">
      <w:lvlJc w:val="left"/>
      <w:lvlText w:val="(%1)"/>
      <w:numFmt w:val="lowerLetter"/>
      <w:start w:val="1"/>
    </w:lvl>
  </w:abstractNum>
  <w:abstractNum w:abstractNumId="107">
    <w:nsid w:val="2A6AD9BE"/>
    <w:multiLevelType w:val="hybridMultilevel"/>
    <w:lvl w:ilvl="0">
      <w:lvlJc w:val="left"/>
      <w:lvlText w:val="(%1)"/>
      <w:numFmt w:val="lowerLetter"/>
      <w:start w:val="2"/>
    </w:lvl>
  </w:abstractNum>
  <w:abstractNum w:abstractNumId="108">
    <w:nsid w:val="BAAC1B4"/>
    <w:multiLevelType w:val="hybridMultilevel"/>
    <w:lvl w:ilvl="0">
      <w:lvlJc w:val="left"/>
      <w:lvlText w:val="(%1)"/>
      <w:numFmt w:val="lowerLetter"/>
      <w:start w:val="4"/>
    </w:lvl>
    <w:lvl w:ilvl="1">
      <w:lvlJc w:val="left"/>
      <w:lvlText w:val="(%2)"/>
      <w:numFmt w:val="lowerRoman"/>
      <w:start w:val="1"/>
    </w:lvl>
  </w:abstractNum>
  <w:abstractNum w:abstractNumId="109">
    <w:nsid w:val="36B2ACBC"/>
    <w:multiLevelType w:val="hybridMultilevel"/>
    <w:lvl w:ilvl="0">
      <w:lvlJc w:val="left"/>
      <w:lvlText w:val="(%1)"/>
      <w:numFmt w:val="lowerLetter"/>
      <w:start w:val="1"/>
    </w:lvl>
  </w:abstractNum>
  <w:abstractNum w:abstractNumId="110">
    <w:nsid w:val="779D8544"/>
    <w:multiLevelType w:val="hybridMultilevel"/>
    <w:lvl w:ilvl="0">
      <w:lvlJc w:val="left"/>
      <w:lvlText w:val="(%1)"/>
      <w:numFmt w:val="lowerLetter"/>
      <w:start w:val="11"/>
    </w:lvl>
  </w:abstractNum>
  <w:abstractNum w:abstractNumId="111">
    <w:nsid w:val="4AB26E78"/>
    <w:multiLevelType w:val="hybridMultilevel"/>
    <w:lvl w:ilvl="0">
      <w:lvlJc w:val="left"/>
      <w:lvlText w:val="(%1)"/>
      <w:numFmt w:val="lowerLetter"/>
      <w:start w:val="12"/>
    </w:lvl>
  </w:abstractNum>
  <w:abstractNum w:abstractNumId="112">
    <w:nsid w:val="21FAA2FA"/>
    <w:multiLevelType w:val="hybridMultilevel"/>
    <w:lvl w:ilvl="0">
      <w:lvlJc w:val="left"/>
      <w:lvlText w:val="(%1)"/>
      <w:numFmt w:val="lowerLetter"/>
      <w:start w:val="27"/>
    </w:lvl>
  </w:abstractNum>
  <w:abstractNum w:abstractNumId="113">
    <w:nsid w:val="5451CF49"/>
    <w:multiLevelType w:val="hybridMultilevel"/>
    <w:lvl w:ilvl="0">
      <w:lvlJc w:val="left"/>
      <w:lvlText w:val="(%1)"/>
      <w:numFmt w:val="lowerLetter"/>
      <w:start w:val="1"/>
    </w:lvl>
  </w:abstractNum>
  <w:abstractNum w:abstractNumId="114">
    <w:nsid w:val="6181EF69"/>
    <w:multiLevelType w:val="hybridMultilevel"/>
    <w:lvl w:ilvl="0">
      <w:lvlJc w:val="left"/>
      <w:lvlText w:val="(%1)"/>
      <w:numFmt w:val="lowerLetter"/>
      <w:start w:val="2"/>
    </w:lvl>
  </w:abstractNum>
  <w:abstractNum w:abstractNumId="115">
    <w:nsid w:val="3E6400E6"/>
    <w:multiLevelType w:val="hybridMultilevel"/>
    <w:lvl w:ilvl="0">
      <w:lvlJc w:val="left"/>
      <w:lvlText w:val="(%1)"/>
      <w:numFmt w:val="lowerLetter"/>
      <w:start w:val="7"/>
    </w:lvl>
  </w:abstractNum>
  <w:abstractNum w:abstractNumId="116">
    <w:nsid w:val="14217E23"/>
    <w:multiLevelType w:val="hybridMultilevel"/>
    <w:lvl w:ilvl="0">
      <w:lvlJc w:val="left"/>
      <w:lvlText w:val="(%1)"/>
      <w:numFmt w:val="lowerRoman"/>
      <w:start w:val="1"/>
    </w:lvl>
  </w:abstractNum>
  <w:abstractNum w:abstractNumId="117">
    <w:nsid w:val="710757D0"/>
    <w:multiLevelType w:val="hybridMultilevel"/>
    <w:lvl w:ilvl="0">
      <w:lvlJc w:val="left"/>
      <w:lvlText w:val="(%1)"/>
      <w:numFmt w:val="lowerLetter"/>
      <w:start w:val="2"/>
    </w:lvl>
  </w:abstractNum>
  <w:abstractNum w:abstractNumId="118">
    <w:nsid w:val="5015CD1A"/>
    <w:multiLevelType w:val="hybridMultilevel"/>
    <w:lvl w:ilvl="0">
      <w:lvlJc w:val="left"/>
      <w:lvlText w:val="(%1)"/>
      <w:numFmt w:val="lowerLetter"/>
      <w:start w:val="1"/>
    </w:lvl>
    <w:lvl w:ilvl="1">
      <w:lvlJc w:val="left"/>
      <w:lvlText w:val="(%2)"/>
      <w:numFmt w:val="lowerRoman"/>
      <w:start w:val="1"/>
    </w:lvl>
  </w:abstractNum>
  <w:abstractNum w:abstractNumId="119">
    <w:nsid w:val="424479DA"/>
    <w:multiLevelType w:val="hybridMultilevel"/>
    <w:lvl w:ilvl="0">
      <w:lvlJc w:val="left"/>
      <w:lvlText w:val="(%1)"/>
      <w:numFmt w:val="upperLetter"/>
      <w:start w:val="3"/>
    </w:lvl>
  </w:abstractNum>
  <w:abstractNum w:abstractNumId="120">
    <w:nsid w:val="1A9A9E69"/>
    <w:multiLevelType w:val="hybridMultilevel"/>
    <w:lvl w:ilvl="0">
      <w:lvlJc w:val="left"/>
      <w:lvlText w:val="(%1)"/>
      <w:numFmt w:val="lowerLetter"/>
      <w:start w:val="2"/>
    </w:lvl>
  </w:abstractNum>
  <w:abstractNum w:abstractNumId="121">
    <w:nsid w:val="475E256A"/>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22">
    <w:nsid w:val="368DB37E"/>
    <w:multiLevelType w:val="hybridMultilevel"/>
    <w:lvl w:ilvl="0">
      <w:lvlJc w:val="left"/>
      <w:lvlText w:val="%1"/>
      <w:numFmt w:val="lowerLetter"/>
      <w:start w:val="1"/>
    </w:lvl>
    <w:lvl w:ilvl="1">
      <w:lvlJc w:val="left"/>
      <w:lvlText w:val="(%2)"/>
      <w:numFmt w:val="lowerLetter"/>
      <w:start w:val="26"/>
    </w:lvl>
    <w:lvl w:ilvl="2">
      <w:lvlJc w:val="left"/>
      <w:lvlText w:val="(%3)"/>
      <w:numFmt w:val="upperLetter"/>
      <w:start w:val="2"/>
    </w:lvl>
  </w:abstractNum>
  <w:abstractNum w:abstractNumId="123">
    <w:nsid w:val="6A3B714C"/>
    <w:multiLevelType w:val="hybridMultilevel"/>
    <w:lvl w:ilvl="0">
      <w:lvlJc w:val="left"/>
      <w:lvlText w:val="%1"/>
      <w:numFmt w:val="lowerRoman"/>
      <w:start w:val="1"/>
    </w:lvl>
    <w:lvl w:ilvl="1">
      <w:lvlJc w:val="left"/>
      <w:lvlText w:val="(%2)"/>
      <w:numFmt w:val="lowerRoman"/>
      <w:start w:val="2"/>
    </w:lvl>
  </w:abstractNum>
  <w:abstractNum w:abstractNumId="124">
    <w:nsid w:val="327B517E"/>
    <w:multiLevelType w:val="hybridMultilevel"/>
    <w:lvl w:ilvl="0">
      <w:lvlJc w:val="left"/>
      <w:lvlText w:val="(%1)"/>
      <w:numFmt w:val="lowerRoman"/>
      <w:start w:val="1"/>
    </w:lvl>
    <w:lvl w:ilvl="1">
      <w:lvlJc w:val="left"/>
      <w:lvlText w:val="(%2)"/>
      <w:numFmt w:val="lowerRoman"/>
      <w:start w:val="3"/>
    </w:lvl>
  </w:abstractNum>
  <w:abstractNum w:abstractNumId="125">
    <w:nsid w:val="1F461B51"/>
    <w:multiLevelType w:val="hybridMultilevel"/>
    <w:lvl w:ilvl="0">
      <w:lvlJc w:val="left"/>
      <w:lvlText w:val="(%1)"/>
      <w:numFmt w:val="lowerLetter"/>
      <w:start w:val="2"/>
    </w:lvl>
    <w:lvl w:ilvl="1">
      <w:lvlJc w:val="left"/>
      <w:lvlText w:val="(%2)"/>
      <w:numFmt w:val="lowerRoman"/>
      <w:start w:val="1"/>
    </w:lvl>
  </w:abstractNum>
  <w:abstractNum w:abstractNumId="126">
    <w:nsid w:val="29BACF25"/>
    <w:multiLevelType w:val="hybridMultilevel"/>
    <w:lvl w:ilvl="0">
      <w:lvlJc w:val="left"/>
      <w:lvlText w:val="(%1)"/>
      <w:numFmt w:val="lowerLetter"/>
      <w:start w:val="1"/>
    </w:lvl>
  </w:abstractNum>
  <w:abstractNum w:abstractNumId="127">
    <w:nsid w:val="5D5BABB3"/>
    <w:multiLevelType w:val="hybridMultilevel"/>
    <w:lvl w:ilvl="0">
      <w:lvlJc w:val="left"/>
      <w:lvlText w:val="(%1)"/>
      <w:numFmt w:val="lowerLetter"/>
      <w:start w:val="6"/>
    </w:lvl>
  </w:abstractNum>
  <w:abstractNum w:abstractNumId="128">
    <w:nsid w:val="51BF6B48"/>
    <w:multiLevelType w:val="hybridMultilevel"/>
    <w:lvl w:ilvl="0">
      <w:lvlJc w:val="left"/>
      <w:lvlText w:val="%1"/>
      <w:numFmt w:val="lowerLetter"/>
      <w:start w:val="1"/>
    </w:lvl>
    <w:lvl w:ilvl="1">
      <w:lvlJc w:val="left"/>
      <w:lvlText w:val="(%2)"/>
      <w:numFmt w:val="lowerLetter"/>
      <w:start w:val="1"/>
    </w:lvl>
  </w:abstractNum>
  <w:abstractNum w:abstractNumId="129">
    <w:nsid w:val="7E0F6384"/>
    <w:multiLevelType w:val="hybridMultilevel"/>
    <w:lvl w:ilvl="0">
      <w:lvlJc w:val="left"/>
      <w:lvlText w:val="(%1)"/>
      <w:numFmt w:val="lowerLetter"/>
      <w:start w:val="24"/>
    </w:lvl>
    <w:lvl w:ilvl="1">
      <w:lvlJc w:val="left"/>
      <w:lvlText w:val="(%2)"/>
      <w:numFmt w:val="lowerLetter"/>
      <w:start w:val="2"/>
    </w:lvl>
  </w:abstractNum>
  <w:abstractNum w:abstractNumId="130">
    <w:nsid w:val="2B4B8B53"/>
    <w:multiLevelType w:val="hybridMultilevel"/>
    <w:lvl w:ilvl="0">
      <w:lvlJc w:val="left"/>
      <w:lvlText w:val="(%1)"/>
      <w:numFmt w:val="lowerLetter"/>
      <w:start w:val="1"/>
    </w:lvl>
  </w:abstractNum>
  <w:abstractNum w:abstractNumId="131">
    <w:nsid w:val="72E3413A"/>
    <w:multiLevelType w:val="hybridMultilevel"/>
    <w:lvl w:ilvl="0">
      <w:lvlJc w:val="left"/>
      <w:lvlText w:val="(%1)"/>
      <w:numFmt w:val="lowerLetter"/>
      <w:start w:val="6"/>
    </w:lvl>
  </w:abstractNum>
  <w:abstractNum w:abstractNumId="132">
    <w:nsid w:val="116AE494"/>
    <w:multiLevelType w:val="hybridMultilevel"/>
    <w:lvl w:ilvl="0">
      <w:lvlJc w:val="left"/>
      <w:lvlText w:val="(%1)"/>
      <w:numFmt w:val="lowerLetter"/>
      <w:start w:val="1"/>
    </w:lvl>
  </w:abstractNum>
  <w:abstractNum w:abstractNumId="133">
    <w:nsid w:val="3494B2FB"/>
    <w:multiLevelType w:val="hybridMultilevel"/>
    <w:lvl w:ilvl="0">
      <w:lvlJc w:val="left"/>
      <w:lvlText w:val="(%1)"/>
      <w:numFmt w:val="lowerLetter"/>
      <w:start w:val="3"/>
    </w:lvl>
  </w:abstractNum>
  <w:abstractNum w:abstractNumId="134">
    <w:nsid w:val="B13A31"/>
    <w:multiLevelType w:val="hybridMultilevel"/>
    <w:lvl w:ilvl="0">
      <w:lvlJc w:val="left"/>
      <w:lvlText w:val="(%1)"/>
      <w:numFmt w:val="lowerLetter"/>
      <w:start w:val="8"/>
    </w:lvl>
  </w:abstractNum>
  <w:abstractNum w:abstractNumId="135">
    <w:nsid w:val="64429599"/>
    <w:multiLevelType w:val="hybridMultilevel"/>
    <w:lvl w:ilvl="0">
      <w:lvlJc w:val="left"/>
      <w:lvlText w:val="%1."/>
      <w:numFmt w:val="upperLetter"/>
      <w:start w:val="1"/>
    </w:lvl>
  </w:abstractNum>
  <w:abstractNum w:abstractNumId="136">
    <w:nsid w:val="631F1690"/>
    <w:multiLevelType w:val="hybridMultilevel"/>
    <w:lvl w:ilvl="0">
      <w:lvlJc w:val="left"/>
      <w:lvlText w:val="%1."/>
      <w:numFmt w:val="decimal"/>
      <w:start w:val="1"/>
    </w:lvl>
    <w:lvl w:ilvl="1">
      <w:lvlJc w:val="left"/>
      <w:lvlText w:val="(%2)"/>
      <w:numFmt w:val="lowerLetter"/>
      <w:start w:val="1"/>
    </w:lvl>
  </w:abstractNum>
  <w:abstractNum w:abstractNumId="137">
    <w:nsid w:val="25973E32"/>
    <w:multiLevelType w:val="hybridMultilevel"/>
    <w:lvl w:ilvl="0">
      <w:lvlJc w:val="left"/>
      <w:lvlText w:val="(%1)"/>
      <w:numFmt w:val="lowerLetter"/>
      <w:start w:val="2"/>
    </w:lvl>
  </w:abstractNum>
  <w:abstractNum w:abstractNumId="138">
    <w:nsid w:val="EAD6F57"/>
    <w:multiLevelType w:val="hybridMultilevel"/>
    <w:lvl w:ilvl="0">
      <w:lvlJc w:val="left"/>
      <w:lvlText w:val="(%1)"/>
      <w:numFmt w:val="lowerLetter"/>
      <w:start w:val="3"/>
    </w:lvl>
    <w:lvl w:ilvl="1">
      <w:lvlJc w:val="left"/>
      <w:lvlText w:val="(%2)"/>
      <w:numFmt w:val="lowerLetter"/>
      <w:start w:val="9"/>
    </w:lvl>
  </w:abstractNum>
  <w:abstractNum w:abstractNumId="139">
    <w:nsid w:val="6EC9D844"/>
    <w:multiLevelType w:val="hybridMultilevel"/>
    <w:lvl w:ilvl="0">
      <w:lvlJc w:val="left"/>
      <w:lvlText w:val="(%1)"/>
      <w:numFmt w:val="lowerRoman"/>
      <w:start w:val="2"/>
    </w:lvl>
  </w:abstractNum>
  <w:abstractNum w:abstractNumId="140">
    <w:nsid w:val="5C49EAEE"/>
    <w:multiLevelType w:val="hybridMultilevel"/>
    <w:lvl w:ilvl="0">
      <w:lvlJc w:val="left"/>
      <w:lvlText w:val="(%1)"/>
      <w:numFmt w:val="lowerLetter"/>
      <w:start w:val="4"/>
    </w:lvl>
    <w:lvl w:ilvl="1">
      <w:lvlJc w:val="left"/>
      <w:lvlText w:val="(%2)"/>
      <w:numFmt w:val="lowerLetter"/>
      <w:start w:val="9"/>
    </w:lvl>
  </w:abstractNum>
  <w:abstractNum w:abstractNumId="141">
    <w:nsid w:val="64AF49B"/>
    <w:multiLevelType w:val="hybridMultilevel"/>
    <w:lvl w:ilvl="0">
      <w:lvlJc w:val="left"/>
      <w:lvlText w:val="(%1)"/>
      <w:numFmt w:val="lowerRoman"/>
      <w:start w:val="2"/>
    </w:lvl>
  </w:abstractNum>
  <w:abstractNum w:abstractNumId="142">
    <w:nsid w:val="397C46BC"/>
    <w:multiLevelType w:val="hybridMultilevel"/>
    <w:lvl w:ilvl="0">
      <w:lvlJc w:val="left"/>
      <w:lvlText w:val="(%1)"/>
      <w:numFmt w:val="lowerLetter"/>
      <w:start w:val="5"/>
    </w:lvl>
    <w:lvl w:ilvl="1">
      <w:lvlJc w:val="left"/>
      <w:lvlText w:val="(%2)"/>
      <w:numFmt w:val="lowerLetter"/>
      <w:start w:val="9"/>
    </w:lvl>
  </w:abstractNum>
  <w:abstractNum w:abstractNumId="143">
    <w:nsid w:val="7E448DE9"/>
    <w:multiLevelType w:val="hybridMultilevel"/>
    <w:lvl w:ilvl="0">
      <w:lvlJc w:val="left"/>
      <w:lvlText w:val="(%1)"/>
      <w:numFmt w:val="upperLetter"/>
      <w:start w:val="2"/>
    </w:lvl>
  </w:abstractNum>
  <w:abstractNum w:abstractNumId="144">
    <w:nsid w:val="5A9CC3E5"/>
    <w:multiLevelType w:val="hybridMultilevel"/>
    <w:lvl w:ilvl="0">
      <w:lvlJc w:val="left"/>
      <w:lvlText w:val="(%1)"/>
      <w:numFmt w:val="lowerRoman"/>
      <w:start w:val="2"/>
    </w:lvl>
  </w:abstractNum>
  <w:abstractNum w:abstractNumId="145">
    <w:nsid w:val="1AFE3625"/>
    <w:multiLevelType w:val="hybridMultilevel"/>
    <w:lvl w:ilvl="0">
      <w:lvlJc w:val="left"/>
      <w:lvlText w:val="(%1)"/>
      <w:numFmt w:val="lowerLetter"/>
      <w:start w:val="6"/>
    </w:lvl>
  </w:abstractNum>
  <w:abstractNum w:abstractNumId="146">
    <w:nsid w:val="3CA88ECF"/>
    <w:multiLevelType w:val="hybridMultilevel"/>
    <w:lvl w:ilvl="0">
      <w:lvlJc w:val="left"/>
      <w:lvlText w:val="(%1)"/>
      <w:numFmt w:val="lowerLetter"/>
      <w:start w:val="7"/>
    </w:lvl>
  </w:abstractNum>
  <w:abstractNum w:abstractNumId="147">
    <w:nsid w:val="6EBE4208"/>
    <w:multiLevelType w:val="hybridMultilevel"/>
    <w:lvl w:ilvl="0">
      <w:lvlJc w:val="left"/>
      <w:lvlText w:val="(%1)"/>
      <w:numFmt w:val="lowerLetter"/>
      <w:start w:val="8"/>
    </w:lvl>
    <w:lvl w:ilvl="1">
      <w:lvlJc w:val="left"/>
      <w:lvlText w:val="(%2)"/>
      <w:numFmt w:val="lowerLetter"/>
      <w:start w:val="9"/>
    </w:lvl>
  </w:abstractNum>
  <w:abstractNum w:abstractNumId="148">
    <w:nsid w:val="C058DF5"/>
    <w:multiLevelType w:val="hybridMultilevel"/>
    <w:lvl w:ilvl="0">
      <w:lvlJc w:val="left"/>
      <w:lvlText w:val="%1"/>
      <w:numFmt w:val="decimal"/>
      <w:start w:val="1"/>
    </w:lvl>
    <w:lvl w:ilvl="1">
      <w:lvlJc w:val="left"/>
      <w:lvlText w:val="(%2)"/>
      <w:numFmt w:val="lowerRoman"/>
      <w:start w:val="2"/>
    </w:lvl>
  </w:abstractNum>
  <w:abstractNum w:abstractNumId="149">
    <w:nsid w:val="CBE5BE9"/>
    <w:multiLevelType w:val="hybridMultilevel"/>
    <w:lvl w:ilvl="0">
      <w:lvlJc w:val="left"/>
      <w:lvlText w:val="%1."/>
      <w:numFmt w:val="decimal"/>
      <w:start w:val="2"/>
    </w:lvl>
    <w:lvl w:ilvl="1">
      <w:lvlJc w:val="left"/>
      <w:lvlText w:val="%2"/>
      <w:numFmt w:val="lowerRoman"/>
      <w:start w:val="1"/>
    </w:lvl>
  </w:abstractNum>
  <w:abstractNum w:abstractNumId="150">
    <w:nsid w:val="3102BBE2"/>
    <w:multiLevelType w:val="hybridMultilevel"/>
    <w:lvl w:ilvl="0">
      <w:lvlJc w:val="left"/>
      <w:lvlText w:val="%1."/>
      <w:numFmt w:val="decimal"/>
      <w:start w:val="4"/>
    </w:lvl>
  </w:abstractNum>
  <w:abstractNum w:abstractNumId="151">
    <w:nsid w:val="26A02C5E"/>
    <w:multiLevelType w:val="hybridMultilevel"/>
    <w:lvl w:ilvl="0">
      <w:lvlJc w:val="left"/>
      <w:lvlText w:val="%1."/>
      <w:numFmt w:val="upperLetter"/>
      <w:start w:val="1"/>
    </w:lvl>
  </w:abstractNum>
  <w:abstractNum w:abstractNumId="152">
    <w:nsid w:val="541C8153"/>
    <w:multiLevelType w:val="hybridMultilevel"/>
    <w:lvl w:ilvl="0">
      <w:lvlJc w:val="left"/>
      <w:lvlText w:val="%1."/>
      <w:numFmt w:val="decimal"/>
      <w:start w:val="1"/>
    </w:lvl>
    <w:lvl w:ilvl="1">
      <w:lvlJc w:val="left"/>
      <w:lvlText w:val="(%2)"/>
      <w:numFmt w:val="lowerLetter"/>
      <w:start w:val="1"/>
    </w:lvl>
  </w:abstractNum>
  <w:abstractNum w:abstractNumId="153">
    <w:nsid w:val="67906F60"/>
    <w:multiLevelType w:val="hybridMultilevel"/>
    <w:lvl w:ilvl="0">
      <w:lvlJc w:val="left"/>
      <w:lvlText w:val="(%1)"/>
      <w:numFmt w:val="lowerLetter"/>
      <w:start w:val="2"/>
    </w:lvl>
  </w:abstractNum>
  <w:abstractNum w:abstractNumId="154">
    <w:nsid w:val="10DB9DAA"/>
    <w:multiLevelType w:val="hybridMultilevel"/>
    <w:lvl w:ilvl="0">
      <w:lvlJc w:val="left"/>
      <w:lvlText w:val="(%1)"/>
      <w:numFmt w:val="lowerLetter"/>
      <w:start w:val="3"/>
    </w:lvl>
  </w:abstractNum>
  <w:abstractNum w:abstractNumId="155">
    <w:nsid w:val="697D2D2"/>
    <w:multiLevelType w:val="hybridMultilevel"/>
    <w:lvl w:ilvl="0">
      <w:lvlJc w:val="left"/>
      <w:lvlText w:val="(%1)"/>
      <w:numFmt w:val="lowerRoman"/>
      <w:start w:val="1"/>
    </w:lvl>
  </w:abstractNum>
  <w:abstractNum w:abstractNumId="156">
    <w:nsid w:val="6D68AB2"/>
    <w:multiLevelType w:val="hybridMultilevel"/>
    <w:lvl w:ilvl="0">
      <w:lvlJc w:val="left"/>
      <w:lvlText w:val="(%1)"/>
      <w:numFmt w:val="upperLetter"/>
      <w:start w:val="2"/>
    </w:lvl>
  </w:abstractNum>
  <w:abstractNum w:abstractNumId="157">
    <w:nsid w:val="3A966CD0"/>
    <w:multiLevelType w:val="hybridMultilevel"/>
    <w:lvl w:ilvl="0">
      <w:lvlJc w:val="left"/>
      <w:lvlText w:val="(%1)"/>
      <w:numFmt w:val="lowerRoman"/>
      <w:start w:val="2"/>
    </w:lvl>
  </w:abstractNum>
  <w:abstractNum w:abstractNumId="158">
    <w:nsid w:val="63F37E85"/>
    <w:multiLevelType w:val="hybridMultilevel"/>
    <w:lvl w:ilvl="0">
      <w:lvlJc w:val="left"/>
      <w:lvlText w:val="(%1)"/>
      <w:numFmt w:val="lowerLetter"/>
      <w:start w:val="4"/>
    </w:lvl>
  </w:abstractNum>
  <w:abstractNum w:abstractNumId="159">
    <w:nsid w:val="5895F5FA"/>
    <w:multiLevelType w:val="hybridMultilevel"/>
    <w:lvl w:ilvl="0">
      <w:lvlJc w:val="left"/>
      <w:lvlText w:val="(%1)"/>
      <w:numFmt w:val="lowerLetter"/>
      <w:start w:val="5"/>
    </w:lvl>
  </w:abstractNum>
  <w:abstractNum w:abstractNumId="160">
    <w:nsid w:val="38A5D054"/>
    <w:multiLevelType w:val="hybridMultilevel"/>
    <w:lvl w:ilvl="0">
      <w:lvlJc w:val="left"/>
      <w:lvlText w:val="%1."/>
      <w:numFmt w:val="decimal"/>
      <w:start w:val="2"/>
    </w:lvl>
  </w:abstractNum>
  <w:abstractNum w:abstractNumId="161">
    <w:nsid w:val="F3F09D8"/>
    <w:multiLevelType w:val="hybridMultilevel"/>
    <w:lvl w:ilvl="0">
      <w:lvlJc w:val="left"/>
      <w:lvlText w:val="%1."/>
      <w:numFmt w:val="decimal"/>
      <w:start w:val="5"/>
    </w:lvl>
  </w:abstractNum>
  <w:abstractNum w:abstractNumId="162">
    <w:nsid w:val="4B793735"/>
    <w:multiLevelType w:val="hybridMultilevel"/>
    <w:lvl w:ilvl="0">
      <w:lvlJc w:val="left"/>
      <w:lvlText w:val="%1."/>
      <w:numFmt w:val="upperLetter"/>
      <w:start w:val="1"/>
    </w:lvl>
    <w:lvl w:ilvl="1">
      <w:lvlJc w:val="left"/>
      <w:lvlText w:val="%2."/>
      <w:numFmt w:val="decimal"/>
      <w:start w:val="13"/>
    </w:lvl>
  </w:abstractNum>
  <w:abstractNum w:abstractNumId="163">
    <w:nsid w:val="4A10B4E8"/>
    <w:multiLevelType w:val="hybridMultilevel"/>
    <w:lvl w:ilvl="0">
      <w:lvlJc w:val="left"/>
      <w:lvlText w:val="%1."/>
      <w:numFmt w:val="upperLetter"/>
      <w:start w:val="9"/>
    </w:lvl>
    <w:lvl w:ilvl="1">
      <w:lvlJc w:val="left"/>
      <w:lvlText w:val="(%2)"/>
      <w:numFmt w:val="lowerLetter"/>
      <w:start w:val="1"/>
    </w:lvl>
  </w:abstractNum>
  <w:abstractNum w:abstractNumId="164">
    <w:nsid w:val="43D3BCD4"/>
    <w:multiLevelType w:val="hybridMultilevel"/>
    <w:lvl w:ilvl="0">
      <w:lvlJc w:val="left"/>
      <w:lvlText w:val="%1."/>
      <w:numFmt w:val="decimal"/>
      <w:start w:val="2"/>
    </w:lvl>
    <w:lvl w:ilvl="1">
      <w:lvlJc w:val="left"/>
      <w:lvlText w:val="%2."/>
      <w:numFmt w:val="decimal"/>
      <w:start w:val="3"/>
    </w:lvl>
  </w:abstractNum>
  <w:abstractNum w:abstractNumId="165">
    <w:nsid w:val="4C2A7166"/>
    <w:multiLevelType w:val="hybridMultilevel"/>
    <w:lvl w:ilvl="0">
      <w:lvlJc w:val="left"/>
      <w:lvlText w:val="•"/>
      <w:numFmt w:val="bullet"/>
      <w:start w:val="1"/>
    </w:lvl>
  </w:abstractNum>
  <w:abstractNum w:abstractNumId="166">
    <w:nsid w:val="2E534A82"/>
    <w:multiLevelType w:val="hybridMultilevel"/>
    <w:lvl w:ilvl="0">
      <w:lvlJc w:val="left"/>
      <w:lvlText w:val="•"/>
      <w:numFmt w:val="bullet"/>
      <w:start w:val="1"/>
    </w:lvl>
  </w:abstractNum>
  <w:abstractNum w:abstractNumId="167">
    <w:nsid w:val="26F2D364"/>
    <w:multiLevelType w:val="hybridMultilevel"/>
    <w:lvl w:ilvl="0">
      <w:lvlJc w:val="left"/>
      <w:lvlText w:val="•"/>
      <w:numFmt w:val="bullet"/>
      <w:start w:val="1"/>
    </w:lvl>
  </w:abstractNum>
  <w:abstractNum w:abstractNumId="168">
    <w:nsid w:val="71C1AF98"/>
    <w:multiLevelType w:val="hybridMultilevel"/>
    <w:lvl w:ilvl="0">
      <w:lvlJc w:val="left"/>
      <w:lvlText w:val="%1."/>
      <w:numFmt w:val="decimal"/>
      <w:start w:val="1"/>
    </w:lvl>
    <w:lvl w:ilvl="1">
      <w:lvlJc w:val="left"/>
      <w:lvlText w:val="(%2)"/>
      <w:numFmt w:val="lowerLetter"/>
      <w:start w:val="1"/>
    </w:lvl>
  </w:abstractNum>
  <w:abstractNum w:abstractNumId="169">
    <w:nsid w:val="3D00B9D9"/>
    <w:multiLevelType w:val="hybridMultilevel"/>
    <w:lvl w:ilvl="0">
      <w:lvlJc w:val="left"/>
      <w:lvlText w:val="(%1)"/>
      <w:numFmt w:val="lowerLetter"/>
      <w:start w:val="2"/>
    </w:lvl>
  </w:abstractNum>
  <w:abstractNum w:abstractNumId="170">
    <w:nsid w:val="15BCABA8"/>
    <w:multiLevelType w:val="hybridMultilevel"/>
    <w:lvl w:ilvl="0">
      <w:lvlJc w:val="left"/>
      <w:lvlText w:val="%1."/>
      <w:numFmt w:val="decimal"/>
      <w:start w:val="2"/>
    </w:lvl>
    <w:lvl w:ilvl="1">
      <w:lvlJc w:val="left"/>
      <w:lvlText w:val="(%2)"/>
      <w:numFmt w:val="lowerLetter"/>
      <w:start w:val="1"/>
    </w:lvl>
  </w:abstractNum>
  <w:abstractNum w:abstractNumId="171">
    <w:nsid w:val="4E0B9A87"/>
    <w:multiLevelType w:val="hybridMultilevel"/>
    <w:lvl w:ilvl="0">
      <w:lvlJc w:val="left"/>
      <w:lvlText w:val="%1."/>
      <w:numFmt w:val="decimal"/>
      <w:start w:val="5"/>
    </w:lvl>
  </w:abstractNum>
  <w:abstractNum w:abstractNumId="172">
    <w:nsid w:val="434BAE75"/>
    <w:multiLevelType w:val="hybridMultilevel"/>
    <w:lvl w:ilvl="0">
      <w:lvlJc w:val="left"/>
      <w:lvlText w:val="%1."/>
      <w:numFmt w:val="decimal"/>
      <w:start w:val="1"/>
    </w:lvl>
    <w:lvl w:ilvl="1">
      <w:lvlJc w:val="left"/>
      <w:lvlText w:val="(%2)"/>
      <w:numFmt w:val="lowerLetter"/>
      <w:start w:val="1"/>
    </w:lvl>
  </w:abstractNum>
  <w:abstractNum w:abstractNumId="173">
    <w:nsid w:val="4F38F265"/>
    <w:multiLevelType w:val="hybridMultilevel"/>
    <w:lvl w:ilvl="0">
      <w:lvlJc w:val="left"/>
      <w:lvlText w:val="(%1)"/>
      <w:numFmt w:val="lowerLetter"/>
      <w:start w:val="2"/>
    </w:lvl>
  </w:abstractNum>
  <w:abstractNum w:abstractNumId="174">
    <w:nsid w:val="4C502870"/>
    <w:multiLevelType w:val="hybridMultilevel"/>
    <w:lvl w:ilvl="0">
      <w:lvlJc w:val="left"/>
      <w:lvlText w:val="%1."/>
      <w:numFmt w:val="decimal"/>
      <w:start w:val="2"/>
    </w:lvl>
  </w:abstractNum>
  <w:abstractNum w:abstractNumId="175">
    <w:nsid w:val="1DE8725A"/>
    <w:multiLevelType w:val="hybridMultilevel"/>
    <w:lvl w:ilvl="0">
      <w:lvlJc w:val="left"/>
      <w:lvlText w:val="%1"/>
      <w:numFmt w:val="decimal"/>
      <w:start w:val="1"/>
    </w:lvl>
    <w:lvl w:ilvl="1">
      <w:lvlJc w:val="left"/>
      <w:lvlText w:val="(%2)"/>
      <w:numFmt w:val="lowerLetter"/>
      <w:start w:val="1"/>
    </w:lvl>
  </w:abstractNum>
  <w:abstractNum w:abstractNumId="176">
    <w:nsid w:val="6A37288A"/>
    <w:multiLevelType w:val="hybridMultilevel"/>
    <w:lvl w:ilvl="0">
      <w:lvlJc w:val="left"/>
      <w:lvlText w:val="%1."/>
      <w:numFmt w:val="decimal"/>
      <w:start w:val="3"/>
    </w:lvl>
    <w:lvl w:ilvl="1">
      <w:lvlJc w:val="left"/>
      <w:lvlText w:val="(%2)"/>
      <w:numFmt w:val="lowerLetter"/>
      <w:start w:val="1"/>
    </w:lvl>
  </w:abstractNum>
  <w:abstractNum w:abstractNumId="177">
    <w:nsid w:val="8F8B73F"/>
    <w:multiLevelType w:val="hybridMultilevel"/>
    <w:lvl w:ilvl="0">
      <w:lvlJc w:val="left"/>
      <w:lvlText w:val="%1."/>
      <w:numFmt w:val="decimal"/>
      <w:start w:val="5"/>
    </w:lvl>
  </w:abstractNum>
  <w:abstractNum w:abstractNumId="178">
    <w:nsid w:val="CA6B462"/>
    <w:multiLevelType w:val="hybridMultilevel"/>
    <w:lvl w:ilvl="0">
      <w:lvlJc w:val="left"/>
      <w:lvlText w:val="%1."/>
      <w:numFmt w:val="upp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1)"/>
      <w:numFmt w:val="lowerLetter"/>
      <w:start w:val="3"/>
    </w:lvl>
  </w:abstractNum>
  <w:abstractNum w:abstractNumId="181">
    <w:nsid w:val="3DA97044"/>
    <w:multiLevelType w:val="hybridMultilevel"/>
    <w:lvl w:ilvl="0">
      <w:lvlJc w:val="left"/>
      <w:lvlText w:val="(%1)"/>
      <w:numFmt w:val="lowerLetter"/>
      <w:start w:val="9"/>
    </w:lvl>
  </w:abstractNum>
  <w:abstractNum w:abstractNumId="182">
    <w:nsid w:val="1CDCE2DE"/>
    <w:multiLevelType w:val="hybridMultilevel"/>
    <w:lvl w:ilvl="0">
      <w:lvlJc w:val="left"/>
      <w:lvlText w:val="(%1)"/>
      <w:numFmt w:val="lowerLetter"/>
      <w:start w:val="6"/>
    </w:lvl>
  </w:abstractNum>
  <w:abstractNum w:abstractNumId="183">
    <w:nsid w:val="69D3947C"/>
    <w:multiLevelType w:val="hybridMultilevel"/>
    <w:lvl w:ilvl="0">
      <w:lvlJc w:val="left"/>
      <w:lvlText w:val="(%1)"/>
      <w:numFmt w:val="lowerLetter"/>
      <w:start w:val="1"/>
    </w:lvl>
  </w:abstractNum>
  <w:abstractNum w:abstractNumId="184">
    <w:nsid w:val="2539DFA5"/>
    <w:multiLevelType w:val="hybridMultilevel"/>
    <w:lvl w:ilvl="0">
      <w:lvlJc w:val="left"/>
      <w:lvlText w:val="(%1)"/>
      <w:numFmt w:val="lowerLetter"/>
      <w:start w:val="1"/>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1"/>
    </w:lvl>
  </w:abstractNum>
  <w:abstractNum w:abstractNumId="187">
    <w:nsid w:val="2C106A57"/>
    <w:multiLevelType w:val="hybridMultilevel"/>
    <w:lvl w:ilvl="0">
      <w:lvlJc w:val="left"/>
      <w:lvlText w:val="(%1)"/>
      <w:numFmt w:val="lowerLetter"/>
      <w:start w:val="1"/>
    </w:lvl>
  </w:abstractNum>
  <w:abstractNum w:abstractNumId="188">
    <w:nsid w:val="684EED59"/>
    <w:multiLevelType w:val="hybridMultilevel"/>
    <w:lvl w:ilvl="0">
      <w:lvlJc w:val="left"/>
      <w:lvlText w:val="(%1)"/>
      <w:numFmt w:val="lowerLetter"/>
      <w:start w:val="1"/>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1)"/>
      <w:numFmt w:val="lowerLetter"/>
      <w:start w:val="3"/>
    </w:lvl>
  </w:abstractNum>
  <w:abstractNum w:abstractNumId="191">
    <w:nsid w:val="20F4BDAD"/>
    <w:multiLevelType w:val="hybridMultilevel"/>
    <w:lvl w:ilvl="0">
      <w:lvlJc w:val="left"/>
      <w:lvlText w:val="(%1)"/>
      <w:numFmt w:val="lowerLetter"/>
      <w:start w:val="1"/>
    </w:lvl>
  </w:abstractNum>
  <w:abstractNum w:abstractNumId="192">
    <w:nsid w:val="639DEFAC"/>
    <w:multiLevelType w:val="hybridMultilevel"/>
    <w:lvl w:ilvl="0">
      <w:lvlJc w:val="left"/>
      <w:lvlText w:val="(%1)"/>
      <w:numFmt w:val="lowerLetter"/>
      <w:start w:val="35"/>
    </w:lvl>
  </w:abstractNum>
  <w:abstractNum w:abstractNumId="193">
    <w:nsid w:val="501F9786"/>
    <w:multiLevelType w:val="hybridMultilevel"/>
    <w:lvl w:ilvl="0">
      <w:lvlJc w:val="left"/>
      <w:lvlText w:val="(%1)"/>
      <w:numFmt w:val="lowerLetter"/>
      <w:start w:val="3"/>
    </w:lvl>
  </w:abstractNum>
  <w:abstractNum w:abstractNumId="194">
    <w:nsid w:val="6B057295"/>
    <w:multiLevelType w:val="hybridMultilevel"/>
    <w:lvl w:ilvl="0">
      <w:lvlJc w:val="left"/>
      <w:lvlText w:val="(%1)"/>
      <w:numFmt w:val="lowerLetter"/>
      <w:start w:val="7"/>
    </w:lvl>
  </w:abstractNum>
  <w:abstractNum w:abstractNumId="195">
    <w:nsid w:val="2771AC80"/>
    <w:multiLevelType w:val="hybridMultilevel"/>
    <w:lvl w:ilvl="0">
      <w:lvlJc w:val="left"/>
      <w:lvlText w:val="(%1)"/>
      <w:numFmt w:val="lowerLetter"/>
      <w:start w:val="11"/>
    </w:lvl>
  </w:abstractNum>
  <w:abstractNum w:abstractNumId="196">
    <w:nsid w:val="1C4A08EC"/>
    <w:multiLevelType w:val="hybridMultilevel"/>
    <w:lvl w:ilvl="0">
      <w:lvlJc w:val="left"/>
      <w:lvlText w:val="(%1)"/>
      <w:numFmt w:val="lowerLetter"/>
      <w:start w:val="13"/>
    </w:lvl>
  </w:abstractNum>
  <w:abstractNum w:abstractNumId="197">
    <w:nsid w:val="1958BD17"/>
    <w:multiLevelType w:val="hybridMultilevel"/>
    <w:lvl w:ilvl="0">
      <w:lvlJc w:val="left"/>
      <w:lvlText w:val="(%1)"/>
      <w:numFmt w:val="lowerLetter"/>
      <w:start w:val="1"/>
    </w:lvl>
  </w:abstractNum>
  <w:abstractNum w:abstractNumId="198">
    <w:nsid w:val="4E647FE4"/>
    <w:multiLevelType w:val="hybridMultilevel"/>
    <w:lvl w:ilvl="0">
      <w:lvlJc w:val="left"/>
      <w:lvlText w:val="(%1)"/>
      <w:numFmt w:val="lowerRoman"/>
      <w:start w:val="1"/>
    </w:lvl>
  </w:abstractNum>
  <w:abstractNum w:abstractNumId="199">
    <w:nsid w:val="E0BB885"/>
    <w:multiLevelType w:val="hybridMultilevel"/>
    <w:lvl w:ilvl="0">
      <w:lvlJc w:val="left"/>
      <w:lvlText w:val="(%1)"/>
      <w:numFmt w:val="lowerRoman"/>
      <w:start w:val="2"/>
    </w:lvl>
  </w:abstractNum>
  <w:abstractNum w:abstractNumId="200">
    <w:nsid w:val="565976F1"/>
    <w:multiLevelType w:val="hybridMultilevel"/>
    <w:lvl w:ilvl="0">
      <w:lvlJc w:val="left"/>
      <w:lvlText w:val="(%1)"/>
      <w:numFmt w:val="lowerLetter"/>
      <w:start w:val="2"/>
    </w:lvl>
  </w:abstractNum>
  <w:abstractNum w:abstractNumId="201">
    <w:nsid w:val="64212B8C"/>
    <w:multiLevelType w:val="hybridMultilevel"/>
    <w:lvl w:ilvl="0">
      <w:lvlJc w:val="left"/>
      <w:lvlText w:val="(%1)"/>
      <w:numFmt w:val="lowerLetter"/>
      <w:start w:val="8"/>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lowerLetter"/>
      <w:start w:val="9"/>
    </w:lvl>
  </w:abstractNum>
  <w:abstractNum w:abstractNumId="204">
    <w:nsid w:val="335A1DF1"/>
    <w:multiLevelType w:val="hybridMultilevel"/>
    <w:lvl w:ilvl="0">
      <w:lvlJc w:val="left"/>
      <w:lvlText w:val="(%1)"/>
      <w:numFmt w:val="lowerLetter"/>
      <w:start w:val="1"/>
    </w:lvl>
  </w:abstractNum>
  <w:abstractNum w:abstractNumId="205">
    <w:nsid w:val="28677B7C"/>
    <w:multiLevelType w:val="hybridMultilevel"/>
    <w:lvl w:ilvl="0">
      <w:lvlJc w:val="left"/>
      <w:lvlText w:val="(%1)"/>
      <w:numFmt w:val="lowerLetter"/>
      <w:start w:val="4"/>
    </w:lvl>
  </w:abstractNum>
  <w:abstractNum w:abstractNumId="206">
    <w:nsid w:val="378D97C0"/>
    <w:multiLevelType w:val="hybridMultilevel"/>
    <w:lvl w:ilvl="0">
      <w:lvlJc w:val="left"/>
      <w:lvlText w:val="(%1)"/>
      <w:numFmt w:val="lowerLetter"/>
      <w:start w:val="12"/>
    </w:lvl>
  </w:abstractNum>
  <w:abstractNum w:abstractNumId="207">
    <w:nsid w:val="1D91467C"/>
    <w:multiLevelType w:val="hybridMultilevel"/>
    <w:lvl w:ilvl="0">
      <w:lvlJc w:val="left"/>
      <w:lvlText w:val="(%1)"/>
      <w:numFmt w:val="lowerLetter"/>
      <w:start w:val="1"/>
    </w:lvl>
  </w:abstractNum>
  <w:abstractNum w:abstractNumId="208">
    <w:nsid w:val="316032BB"/>
    <w:multiLevelType w:val="hybridMultilevel"/>
    <w:lvl w:ilvl="0">
      <w:lvlJc w:val="left"/>
      <w:lvlText w:val="(%1)"/>
      <w:numFmt w:val="lowerLetter"/>
      <w:start w:val="1"/>
    </w:lvl>
  </w:abstractNum>
  <w:abstractNum w:abstractNumId="209">
    <w:nsid w:val="44344C22"/>
    <w:multiLevelType w:val="hybridMultilevel"/>
    <w:lvl w:ilvl="0">
      <w:lvlJc w:val="left"/>
      <w:lvlText w:val="(%1)"/>
      <w:numFmt w:val="lowerLetter"/>
      <w:start w:val="2"/>
    </w:lvl>
  </w:abstractNum>
  <w:abstractNum w:abstractNumId="210">
    <w:nsid w:val="13CDFCFC"/>
    <w:multiLevelType w:val="hybridMultilevel"/>
    <w:lvl w:ilvl="0">
      <w:lvlJc w:val="left"/>
      <w:lvlText w:val="(%1)"/>
      <w:numFmt w:val="lowerLetter"/>
      <w:start w:val="1"/>
    </w:lvl>
  </w:abstractNum>
  <w:abstractNum w:abstractNumId="211">
    <w:nsid w:val="471745E4"/>
    <w:multiLevelType w:val="hybridMultilevel"/>
    <w:lvl w:ilvl="0">
      <w:lvlJc w:val="left"/>
      <w:lvlText w:val="(%1)"/>
      <w:numFmt w:val="lowerLetter"/>
      <w:start w:val="2"/>
    </w:lvl>
  </w:abstractNum>
  <w:abstractNum w:abstractNumId="212">
    <w:nsid w:val="1DDBC66"/>
    <w:multiLevelType w:val="hybridMultilevel"/>
    <w:lvl w:ilvl="0">
      <w:lvlJc w:val="left"/>
      <w:lvlText w:val="(%1)"/>
      <w:numFmt w:val="lowerRoman"/>
      <w:start w:val="10"/>
    </w:lvl>
  </w:abstractNum>
  <w:abstractNum w:abstractNumId="213">
    <w:nsid w:val="30AADFDA"/>
    <w:multiLevelType w:val="hybridMultilevel"/>
    <w:lvl w:ilvl="0">
      <w:lvlJc w:val="left"/>
      <w:lvlText w:val="(%1)"/>
      <w:numFmt w:val="lowerLetter"/>
      <w:start w:val="1"/>
    </w:lvl>
  </w:abstractNum>
  <w:abstractNum w:abstractNumId="214">
    <w:nsid w:val="30EADA61"/>
    <w:multiLevelType w:val="hybridMultilevel"/>
    <w:lvl w:ilvl="0">
      <w:lvlJc w:val="left"/>
      <w:lvlText w:val="(%1)"/>
      <w:numFmt w:val="lowerLetter"/>
      <w:start w:val="2"/>
    </w:lvl>
  </w:abstractNum>
  <w:abstractNum w:abstractNumId="215">
    <w:nsid w:val="27179C0B"/>
    <w:multiLevelType w:val="hybridMultilevel"/>
    <w:lvl w:ilvl="0">
      <w:lvlJc w:val="left"/>
      <w:lvlText w:val="(%1)"/>
      <w:numFmt w:val="lowerLetter"/>
      <w:start w:val="1"/>
    </w:lvl>
  </w:abstractNum>
  <w:abstractNum w:abstractNumId="216">
    <w:nsid w:val="5E636063"/>
    <w:multiLevelType w:val="hybridMultilevel"/>
    <w:lvl w:ilvl="0">
      <w:lvlJc w:val="left"/>
      <w:lvlText w:val="(%1)"/>
      <w:numFmt w:val="lowerLetter"/>
      <w:start w:val="4"/>
    </w:lvl>
  </w:abstractNum>
  <w:abstractNum w:abstractNumId="217">
    <w:nsid w:val="215641AF"/>
    <w:multiLevelType w:val="hybridMultilevel"/>
    <w:lvl w:ilvl="0">
      <w:lvlJc w:val="left"/>
      <w:lvlText w:val="(%1)"/>
      <w:numFmt w:val="lowerLetter"/>
      <w:start w:val="5"/>
    </w:lvl>
  </w:abstractNum>
  <w:abstractNum w:abstractNumId="218">
    <w:nsid w:val="53280662"/>
    <w:multiLevelType w:val="hybridMultilevel"/>
    <w:lvl w:ilvl="0">
      <w:lvlJc w:val="left"/>
      <w:lvlText w:val="%1."/>
      <w:numFmt w:val="upperLetter"/>
      <w:start w:val="1"/>
    </w:lvl>
  </w:abstractNum>
  <w:abstractNum w:abstractNumId="219">
    <w:nsid w:val="46B24DBC"/>
    <w:multiLevelType w:val="hybridMultilevel"/>
    <w:lvl w:ilvl="0">
      <w:lvlJc w:val="left"/>
      <w:lvlText w:val="%1."/>
      <w:numFmt w:val="decimal"/>
      <w:start w:val="1"/>
    </w:lvl>
    <w:lvl w:ilvl="1">
      <w:lvlJc w:val="left"/>
      <w:lvlText w:val="(%2)"/>
      <w:numFmt w:val="lowerLetter"/>
      <w:start w:val="1"/>
    </w:lvl>
  </w:abstractNum>
  <w:abstractNum w:abstractNumId="220">
    <w:nsid w:val="75B52783"/>
    <w:multiLevelType w:val="hybridMultilevel"/>
    <w:lvl w:ilvl="0">
      <w:lvlJc w:val="left"/>
      <w:lvlText w:val="(%1)"/>
      <w:numFmt w:val="lowerLetter"/>
      <w:start w:val="2"/>
    </w:lvl>
  </w:abstractNum>
  <w:abstractNum w:abstractNumId="221">
    <w:nsid w:val="57CE66B4"/>
    <w:multiLevelType w:val="hybridMultilevel"/>
    <w:lvl w:ilvl="0">
      <w:lvlJc w:val="left"/>
      <w:lvlText w:val="(%1)"/>
      <w:numFmt w:val="lowerRoman"/>
      <w:start w:val="2"/>
    </w:lvl>
  </w:abstractNum>
  <w:abstractNum w:abstractNumId="222">
    <w:nsid w:val="67A70B69"/>
    <w:multiLevelType w:val="hybridMultilevel"/>
    <w:lvl w:ilvl="0">
      <w:lvlJc w:val="left"/>
      <w:lvlText w:val="(%1)"/>
      <w:numFmt w:val="lowerLetter"/>
      <w:start w:val="3"/>
    </w:lvl>
    <w:lvl w:ilvl="1">
      <w:lvlJc w:val="left"/>
      <w:lvlText w:val="(%2)"/>
      <w:numFmt w:val="lowerLetter"/>
      <w:start w:val="9"/>
    </w:lvl>
  </w:abstractNum>
  <w:abstractNum w:abstractNumId="223">
    <w:nsid w:val="5953172F"/>
    <w:multiLevelType w:val="hybridMultilevel"/>
    <w:lvl w:ilvl="0">
      <w:lvlJc w:val="left"/>
      <w:lvlText w:val="(%1)"/>
      <w:numFmt w:val="lowerRoman"/>
      <w:start w:val="2"/>
    </w:lvl>
  </w:abstractNum>
  <w:abstractNum w:abstractNumId="224">
    <w:nsid w:val="27EDFE3A"/>
    <w:multiLevelType w:val="hybridMultilevel"/>
    <w:lvl w:ilvl="0">
      <w:lvlJc w:val="left"/>
      <w:lvlText w:val="%1."/>
      <w:numFmt w:val="decimal"/>
      <w:start w:val="2"/>
    </w:lvl>
  </w:abstractNum>
  <w:abstractNum w:abstractNumId="225">
    <w:nsid w:val="52AC7DFF"/>
    <w:multiLevelType w:val="hybridMultilevel"/>
    <w:lvl w:ilvl="0">
      <w:lvlJc w:val="left"/>
      <w:lvlText w:val="%1."/>
      <w:numFmt w:val="upperLetter"/>
      <w:start w:val="1"/>
    </w:lvl>
  </w:abstractNum>
  <w:abstractNum w:abstractNumId="226">
    <w:nsid w:val="C4C3AF"/>
    <w:multiLevelType w:val="hybridMultilevel"/>
    <w:lvl w:ilvl="0">
      <w:lvlJc w:val="left"/>
      <w:lvlText w:val="%1."/>
      <w:numFmt w:val="decimal"/>
      <w:start w:val="1"/>
    </w:lvl>
  </w:abstractNum>
  <w:abstractNum w:abstractNumId="227">
    <w:nsid w:val="443807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8">
    <w:nsid w:val="6C053B16"/>
    <w:multiLevelType w:val="hybridMultilevel"/>
    <w:lvl w:ilvl="0">
      <w:lvlJc w:val="left"/>
      <w:lvlText w:val="%1."/>
      <w:numFmt w:val="decimal"/>
      <w:start w:val="4"/>
    </w:lvl>
  </w:abstractNum>
  <w:abstractNum w:abstractNumId="229">
    <w:nsid w:val="4F294393"/>
    <w:multiLevelType w:val="hybridMultilevel"/>
    <w:lvl w:ilvl="0">
      <w:lvlJc w:val="left"/>
      <w:lvlText w:val="%1."/>
      <w:numFmt w:val="decimal"/>
      <w:start w:val="1"/>
    </w:lvl>
    <w:lvl w:ilvl="1">
      <w:lvlJc w:val="left"/>
      <w:lvlText w:val="%2)"/>
      <w:numFmt w:val="lowerLetter"/>
      <w:start w:val="1"/>
    </w:lvl>
  </w:abstractNum>
  <w:abstractNum w:abstractNumId="230">
    <w:nsid w:val="5243BFAC"/>
    <w:multiLevelType w:val="hybridMultilevel"/>
    <w:lvl w:ilvl="0">
      <w:lvlJc w:val="left"/>
      <w:lvlText w:val="%1."/>
      <w:numFmt w:val="decimal"/>
      <w:start w:val="1"/>
    </w:lvl>
    <w:lvl w:ilvl="1">
      <w:lvlJc w:val="left"/>
      <w:lvlText w:val="%2)"/>
      <w:numFmt w:val="lowerLetter"/>
      <w:start w:val="1"/>
    </w:lvl>
  </w:abstractNum>
  <w:abstractNum w:abstractNumId="231">
    <w:nsid w:val="425EB207"/>
    <w:multiLevelType w:val="hybridMultilevel"/>
    <w:lvl w:ilvl="0">
      <w:lvlJc w:val="left"/>
      <w:lvlText w:val="(%1)"/>
      <w:numFmt w:val="decimal"/>
      <w:start w:val="1"/>
    </w:lvl>
  </w:abstractNum>
  <w:abstractNum w:abstractNumId="232">
    <w:nsid w:val="334A6F1F"/>
    <w:multiLevelType w:val="hybridMultilevel"/>
    <w:lvl w:ilvl="0">
      <w:lvlJc w:val="left"/>
      <w:lvlText w:val="•"/>
      <w:numFmt w:val="bullet"/>
      <w:start w:val="1"/>
    </w:lvl>
  </w:abstractNum>
  <w:abstractNum w:abstractNumId="233">
    <w:nsid w:val="2E5B12B8"/>
    <w:multiLevelType w:val="hybridMultilevel"/>
    <w:lvl w:ilvl="0">
      <w:lvlJc w:val="left"/>
      <w:lvlText w:val="•"/>
      <w:numFmt w:val="bullet"/>
      <w:start w:val="1"/>
    </w:lvl>
  </w:abstractNum>
  <w:abstractNum w:abstractNumId="234">
    <w:nsid w:val="5C03D76D"/>
    <w:multiLevelType w:val="hybridMultilevel"/>
    <w:lvl w:ilvl="0">
      <w:lvlJc w:val="left"/>
      <w:lvlText w:val="•"/>
      <w:numFmt w:val="bullet"/>
      <w:start w:val="1"/>
    </w:lvl>
  </w:abstractNum>
  <w:abstractNum w:abstractNumId="235">
    <w:nsid w:val="66A48D11"/>
    <w:multiLevelType w:val="hybridMultilevel"/>
    <w:lvl w:ilvl="0">
      <w:lvlJc w:val="left"/>
      <w:lvlText w:val="•"/>
      <w:numFmt w:val="bullet"/>
      <w:start w:val="1"/>
    </w:lvl>
  </w:abstractNum>
  <w:abstractNum w:abstractNumId="236">
    <w:nsid w:val="56C28E34"/>
    <w:multiLevelType w:val="hybridMultilevel"/>
    <w:lvl w:ilvl="0">
      <w:lvlJc w:val="left"/>
      <w:lvlText w:val="•"/>
      <w:numFmt w:val="bullet"/>
      <w:start w:val="1"/>
    </w:lvl>
  </w:abstractNum>
  <w:abstractNum w:abstractNumId="237">
    <w:nsid w:val="13916F2D"/>
    <w:multiLevelType w:val="hybridMultilevel"/>
    <w:lvl w:ilvl="0">
      <w:lvlJc w:val="left"/>
      <w:lvlText w:val="•"/>
      <w:numFmt w:val="bullet"/>
      <w:start w:val="1"/>
    </w:lvl>
  </w:abstractNum>
  <w:abstractNum w:abstractNumId="238">
    <w:nsid w:val="435D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2" Type="http://schemas.openxmlformats.org/officeDocument/2006/relationships/image" Target="media/image110.png"/><Relationship Id="rId141" Type="http://schemas.openxmlformats.org/officeDocument/2006/relationships/image" Target="media/image111.png"/><Relationship Id="rId158" Type="http://schemas.openxmlformats.org/officeDocument/2006/relationships/image" Target="media/image112.png"/><Relationship Id="rId160"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117" Type="http://schemas.openxmlformats.org/officeDocument/2006/relationships/hyperlink" Target="http://www.sec.gov/Archives/edgar/data/737758/000073775820000007/ttc1312020exhibit22.htm" TargetMode="External"/><Relationship Id="rId118" Type="http://schemas.openxmlformats.org/officeDocument/2006/relationships/hyperlink" Target="http://www.sec.gov/Archives/edgar/data/0000737758/000073775821000012/ttc04302021exhibit22.htm" TargetMode="External"/><Relationship Id="rId119" Type="http://schemas.openxmlformats.org/officeDocument/2006/relationships/hyperlink" Target="https://www.sec.gov/Archives/edgar/data/737758/000073775822000039/ttc-10312022xex26.htm" TargetMode="External"/><Relationship Id="rId120" Type="http://schemas.openxmlformats.org/officeDocument/2006/relationships/hyperlink" Target="http://www.sec.gov/Archives/edgar/data/737758/000104746912011370/a2212200zex-2_4.htm" TargetMode="External"/><Relationship Id="rId121" Type="http://schemas.openxmlformats.org/officeDocument/2006/relationships/hyperlink" Target="http://www.sec.gov/Archives/edgar/data/737758/000073775820000029/ttc-10312020xex29.htm" TargetMode="External"/><Relationship Id="rId123" Type="http://schemas.openxmlformats.org/officeDocument/2006/relationships/hyperlink" Target="http://www.sec.gov/Archives/edgar/data/737758/000073775820000007/ttc1312020exhibit23.htm" TargetMode="External"/><Relationship Id="rId124" Type="http://schemas.openxmlformats.org/officeDocument/2006/relationships/hyperlink" Target="http://www.sec.gov/Archives/edgar/data/737758/000073775808000033/form8-k06172008exhibitcert.htm" TargetMode="External"/><Relationship Id="rId125" Type="http://schemas.openxmlformats.org/officeDocument/2006/relationships/hyperlink" Target="http://www.sec.gov/Archives/edgar/data/737758/000119312513105223/d501846dex31.htm" TargetMode="External"/><Relationship Id="rId126" Type="http://schemas.openxmlformats.org/officeDocument/2006/relationships/hyperlink" Target="https://www.sec.gov/Archives/edgar/data/737758/000114036123027141/brhc20053547_3-1.htm" TargetMode="External"/><Relationship Id="rId127" Type="http://schemas.openxmlformats.org/officeDocument/2006/relationships/hyperlink" Target="http://www.sec.gov/Archives/edgar/data/737758/000073775808000041/stock_certificate1.htm" TargetMode="External"/><Relationship Id="rId128" Type="http://schemas.openxmlformats.org/officeDocument/2006/relationships/hyperlink" Target="http://www.sec.gov/Archives/edgar/data/737758/000110465907030051/a07-10570_1ex4d3.htm" TargetMode="External"/><Relationship Id="rId129" Type="http://schemas.openxmlformats.org/officeDocument/2006/relationships/hyperlink" Target="http://www.sec.gov/Archives/edgar/data/737758/000110465907031757/a07-10570_5ex4d1.htm" TargetMode="External"/><Relationship Id="rId130" Type="http://schemas.openxmlformats.org/officeDocument/2006/relationships/hyperlink" Target="http://www.sec.gov/Archives/edgar/data/737758/000110465907031757/a07-10570_5ex4d2.htm" TargetMode="External"/><Relationship Id="rId131" Type="http://schemas.openxmlformats.org/officeDocument/2006/relationships/hyperlink" Target="https://www.sec.gov/Archives/edgar/data/737758/000156459022010675/ttc-ex101_15.htm" TargetMode="External"/><Relationship Id="rId132" Type="http://schemas.openxmlformats.org/officeDocument/2006/relationships/hyperlink" Target="http://www.sec.gov/Archives/edgar/data/737758/000104746916017295/a2230524zex-10_1.htm" TargetMode="External"/><Relationship Id="rId133" Type="http://schemas.openxmlformats.org/officeDocument/2006/relationships/hyperlink" Target="http://www.sec.gov/Archives/edgar/data/737758/000073775819000028/ttc-10312019xex102.htm" TargetMode="External"/><Relationship Id="rId134" Type="http://schemas.openxmlformats.org/officeDocument/2006/relationships/hyperlink" Target="http://www.sec.gov/Archives/edgar/data/737758/000073775817000012/ttc-2017q1xexhibit108.htm" TargetMode="External"/><Relationship Id="rId135" Type="http://schemas.openxmlformats.org/officeDocument/2006/relationships/hyperlink" Target="http://www.sec.gov/Archives/edgar/data/737758/000073775817000012/ttc-2017q1xexhibit109.htm" TargetMode="External"/><Relationship Id="rId136" Type="http://schemas.openxmlformats.org/officeDocument/2006/relationships/hyperlink" Target="http://www.sec.gov/Archives/edgar/data/737758/000073775817000012/ttc-2017q1xexhibit1010.htm" TargetMode="External"/><Relationship Id="rId137" Type="http://schemas.openxmlformats.org/officeDocument/2006/relationships/hyperlink" Target="http://www.sec.gov/Archives/edgar/data/737758/000073775817000012/ttc-2017q1xexhibit1011.htm" TargetMode="External"/><Relationship Id="rId138" Type="http://schemas.openxmlformats.org/officeDocument/2006/relationships/hyperlink" Target="https://www.sec.gov/Archives/edgar/data/737758/000156459022010675/ttc-ex102_16.htm" TargetMode="External"/><Relationship Id="rId139" Type="http://schemas.openxmlformats.org/officeDocument/2006/relationships/hyperlink" Target="https://www.sec.gov/Archives/edgar/data/737758/000156459022010675/ttc-ex103_17.htm" TargetMode="External"/><Relationship Id="rId140" Type="http://schemas.openxmlformats.org/officeDocument/2006/relationships/hyperlink" Target="https://www.sec.gov/Archives/edgar/data/737758/000156459022010675/ttc-ex104_18.htm" TargetMode="External"/><Relationship Id="rId142" Type="http://schemas.openxmlformats.org/officeDocument/2006/relationships/hyperlink" Target="https://www.sec.gov/Archives/edgar/data/737758/000156459022010675/ttc-ex105_19.htm" TargetMode="External"/><Relationship Id="rId143" Type="http://schemas.openxmlformats.org/officeDocument/2006/relationships/hyperlink" Target="https://www.sec.gov/Archives/edgar/data/737758/000156459022010675/ttc-ex106_20.htm" TargetMode="External"/><Relationship Id="rId144" Type="http://schemas.openxmlformats.org/officeDocument/2006/relationships/hyperlink" Target="http://www.sec.gov/Archives/edgar/data/737758/000104746916017295/a2230524zex-10_11.htm" TargetMode="External"/><Relationship Id="rId145" Type="http://schemas.openxmlformats.org/officeDocument/2006/relationships/hyperlink" Target="http://www.sec.gov/Archives/edgar/data/737758/000104746916017295/a2230524zex-10_14.htm" TargetMode="External"/><Relationship Id="rId146" Type="http://schemas.openxmlformats.org/officeDocument/2006/relationships/hyperlink" Target="http://www.sec.gov/Archives/edgar/data/737758/000104746916017295/a2230524zex-10_17.htm" TargetMode="External"/><Relationship Id="rId147" Type="http://schemas.openxmlformats.org/officeDocument/2006/relationships/hyperlink" Target="http://www.sec.gov/Archives/edgar/data/737758/000104746916017295/a2230524zex-10_18.htm" TargetMode="External"/><Relationship Id="rId148" Type="http://schemas.openxmlformats.org/officeDocument/2006/relationships/hyperlink" Target="https://www.sec.gov/Archives/edgar/data/737758/000104746916017295/a2230524zex-10_19.htm" TargetMode="External"/><Relationship Id="rId149" Type="http://schemas.openxmlformats.org/officeDocument/2006/relationships/hyperlink" Target="http://www.sec.gov/Archives/edgar/data/737758/000104746916017295/a2230524zex-10_21.htm" TargetMode="External"/><Relationship Id="rId150" Type="http://schemas.openxmlformats.org/officeDocument/2006/relationships/hyperlink" Target="http://www.sec.gov/Archives/edgar/data/737758/000110465906083580/a06-25975_3ex10du.htm" TargetMode="External"/><Relationship Id="rId151" Type="http://schemas.openxmlformats.org/officeDocument/2006/relationships/hyperlink" Target="http://www.sec.gov/Archives/edgar/data/737758/000095012311004529/c62420exv10w1.htm" TargetMode="External"/><Relationship Id="rId152" Type="http://schemas.openxmlformats.org/officeDocument/2006/relationships/hyperlink" Target="http://www.sec.gov/Archives/edgar/data/737758/000119312511201885/dex101.htm" TargetMode="External"/><Relationship Id="rId153" Type="http://schemas.openxmlformats.org/officeDocument/2006/relationships/hyperlink" Target="http://www.sec.gov/Archives/edgar/data/737758/000119312515295667/d37887dex101.htm" TargetMode="External"/><Relationship Id="rId154" Type="http://schemas.openxmlformats.org/officeDocument/2006/relationships/hyperlink" Target="http://www.sec.gov/Archives/edgar/data/737758/000110465916133324/a16-15127_1ex10d1.htm" TargetMode="External"/><Relationship Id="rId155" Type="http://schemas.openxmlformats.org/officeDocument/2006/relationships/hyperlink" Target="https://www.sec.gov/Archives/edgar/data/737758/000114036123007000/ny20007515x1_ex10-1.htm" TargetMode="External"/><Relationship Id="rId156" Type="http://schemas.openxmlformats.org/officeDocument/2006/relationships/hyperlink" Target="http://www.sec.gov/Archives/edgar/data/0000737758/000156459021050239/ttc-ex101_6.htm" TargetMode="External"/><Relationship Id="rId157" Type="http://schemas.openxmlformats.org/officeDocument/2006/relationships/hyperlink" Target="https://www.sec.gov/Archives/edgar/data/737758/000073775822000018/ttc04292022exhibit108.htm" TargetMode="External"/><Relationship Id="rId159" Type="http://schemas.openxmlformats.org/officeDocument/2006/relationships/hyperlink" Target="https://www.sec.gov/Archives/edgar/data/737758/000114036122016358/brhc10036785_ex10-1.htm" TargetMode="External"/><Relationship Id="rId161" Type="http://schemas.openxmlformats.org/officeDocument/2006/relationships/hyperlink" Target="http://www.sec.gov/Archives/edgar/data/737758/000156459019014346/ttc-ex101_6.htm" TargetMode="External"/><Relationship Id="rId162" Type="http://schemas.openxmlformats.org/officeDocument/2006/relationships/hyperlink" Target="https://www.sec.gov/Archives/edgar/data/737758/000114036122024615/brhc10039279_ex10-3.htm" TargetMode="External"/><Relationship Id="rId163" Type="http://schemas.openxmlformats.org/officeDocument/2006/relationships/hyperlink" Target="https://www.sec.gov/Archives/edgar/data/737758/000114036122024615/brhc10039279_ex10-1.htm" TargetMode="External"/><Relationship Id="rId164" Type="http://schemas.openxmlformats.org/officeDocument/2006/relationships/hyperlink" Target="http://www.sec.gov/Archives/edgar/data/737758/000110465916160429/a16-22419_1ex10d1.htm" TargetMode="External"/><Relationship Id="rId165" Type="http://schemas.openxmlformats.org/officeDocument/2006/relationships/hyperlink" Target="http://www.sec.gov/Archives/edgar/data/737758/000073775820000007/ttc1312020exhibit101.htm" TargetMode="External"/><Relationship Id="rId166" Type="http://schemas.openxmlformats.org/officeDocument/2006/relationships/hyperlink" Target="https://www.sec.gov/Archives/edgar/data/737758/000073775821000030/ttc-10312021xex1024.htm" TargetMode="External"/><Relationship Id="rId167" Type="http://schemas.openxmlformats.org/officeDocument/2006/relationships/hyperlink" Target="https://www.sec.gov/Archives/edgar/data/737758/000073775822000039/ttc-10312022xex10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2023-12-20T12:07:16Z</dcterms:created>
  <dcterms:modified xsi:type="dcterms:W3CDTF">2023-12-20T12:07:16Z</dcterms:modified>
</cp:coreProperties>
</file>