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Irrigation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42,609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22,390.146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71.637 shares acquired under the dividend reinvestment feature of The Toro Company Investment, Savings &amp; ESOP (IS&amp;ESOP); and 58.142 shares acquired through issuer annual investment fund contributions to the IS&amp;ESOP.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2019-12-17T00:54:09Z</dcterms:created>
  <dcterms:modified xsi:type="dcterms:W3CDTF">2019-12-17T00:54:09Z</dcterms:modified>
</cp:coreProperties>
</file>