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46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469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Young Grant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240" w:type="dxa"/>
            <w:vAlign w:val="bottom"/>
            <w:tcBorders>
              <w:top w:val="single" w:sz="8" w:color="0000EE"/>
              <w:bottom w:val="single" w:sz="8" w:color="9A9A9A"/>
            </w:tcBorders>
          </w:tcPr>
          <w:p>
            <w:pPr>
              <w:spacing w:after="0"/>
              <w:rPr>
                <w:sz w:val="16"/>
                <w:szCs w:val="16"/>
                <w:color w:val="auto"/>
              </w:rPr>
            </w:pPr>
          </w:p>
        </w:tc>
        <w:tc>
          <w:tcPr>
            <w:tcW w:w="18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09/29/2025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TORO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TTC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00" w:type="dxa"/>
            <w:vAlign w:val="bottom"/>
          </w:tcPr>
          <w:p>
            <w:pPr>
              <w:ind w:left="280"/>
              <w:spacing w:after="0"/>
              <w:rPr>
                <w:sz w:val="20"/>
                <w:szCs w:val="20"/>
                <w:color w:val="auto"/>
              </w:rPr>
            </w:pPr>
            <w:r>
              <w:rPr>
                <w:rFonts w:ascii="Arial" w:cs="Arial" w:eastAsia="Arial" w:hAnsi="Arial"/>
                <w:sz w:val="15"/>
                <w:szCs w:val="15"/>
                <w:color w:val="auto"/>
              </w:rPr>
              <w:t>(First)</w:t>
            </w:r>
          </w:p>
        </w:tc>
        <w:tc>
          <w:tcPr>
            <w:tcW w:w="112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8111 LYNDALE AVENUE SOUTH</w:t>
            </w:r>
          </w:p>
        </w:tc>
      </w:tr>
      <w:tr>
        <w:trPr>
          <w:trHeight w:val="237"/>
        </w:trPr>
        <w:tc>
          <w:tcPr>
            <w:tcW w:w="78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5"/>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BLOOMINGTON MN</w:t>
            </w:r>
          </w:p>
        </w:tc>
        <w:tc>
          <w:tcPr>
            <w:tcW w:w="1120" w:type="dxa"/>
            <w:vAlign w:val="bottom"/>
          </w:tcPr>
          <w:p>
            <w:pPr>
              <w:jc w:val="right"/>
              <w:ind w:right="237"/>
              <w:spacing w:after="0"/>
              <w:rPr>
                <w:sz w:val="20"/>
                <w:szCs w:val="20"/>
                <w:color w:val="auto"/>
              </w:rPr>
            </w:pPr>
            <w:r>
              <w:rPr>
                <w:rFonts w:ascii="Times New Roman" w:cs="Times New Roman" w:eastAsia="Times New Roman" w:hAnsi="Times New Roman"/>
                <w:sz w:val="20"/>
                <w:szCs w:val="20"/>
                <w:color w:val="0000FF"/>
              </w:rPr>
              <w:t>55420</w:t>
            </w:r>
          </w:p>
        </w:tc>
      </w:tr>
      <w:tr>
        <w:trPr>
          <w:trHeight w:val="177"/>
        </w:trPr>
        <w:tc>
          <w:tcPr>
            <w:tcW w:w="7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00" w:type="dxa"/>
            <w:vAlign w:val="bottom"/>
          </w:tcPr>
          <w:p>
            <w:pPr>
              <w:ind w:left="280"/>
              <w:spacing w:after="0"/>
              <w:rPr>
                <w:sz w:val="20"/>
                <w:szCs w:val="20"/>
                <w:color w:val="auto"/>
              </w:rPr>
            </w:pPr>
            <w:r>
              <w:rPr>
                <w:rFonts w:ascii="Arial" w:cs="Arial" w:eastAsia="Arial" w:hAnsi="Arial"/>
                <w:sz w:val="15"/>
                <w:szCs w:val="15"/>
                <w:color w:val="auto"/>
              </w:rPr>
              <w:t>(State)</w:t>
            </w:r>
          </w:p>
        </w:tc>
        <w:tc>
          <w:tcPr>
            <w:tcW w:w="1120" w:type="dxa"/>
            <w:vAlign w:val="bottom"/>
          </w:tcPr>
          <w:p>
            <w:pPr>
              <w:ind w:left="1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43"/>
        <w:spacing w:after="0"/>
        <w:rPr>
          <w:sz w:val="20"/>
          <w:szCs w:val="20"/>
          <w:color w:val="auto"/>
        </w:rPr>
      </w:pPr>
      <w:r>
        <w:rPr>
          <w:rFonts w:ascii="Times New Roman" w:cs="Times New Roman" w:eastAsia="Times New Roman" w:hAnsi="Times New Roman"/>
          <w:sz w:val="20"/>
          <w:szCs w:val="20"/>
          <w:color w:val="0000FF"/>
        </w:rPr>
        <w:t>VP, Golf, Grounds &amp; Irrigation</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Performance Share Units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7"/>
              </w:rPr>
              <w:t>2,236.0087</w:t>
            </w:r>
          </w:p>
        </w:tc>
        <w:tc>
          <w:tcPr>
            <w:tcW w:w="840" w:type="dxa"/>
            <w:vAlign w:val="bottom"/>
          </w:tcPr>
          <w:p>
            <w:pPr>
              <w:spacing w:after="0"/>
              <w:rPr>
                <w:sz w:val="22"/>
                <w:szCs w:val="22"/>
                <w:color w:val="auto"/>
              </w:rPr>
            </w:pPr>
          </w:p>
        </w:tc>
        <w:tc>
          <w:tcPr>
            <w:tcW w:w="1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jc w:val="center"/>
              <w:ind w:left="55"/>
              <w:spacing w:after="0"/>
              <w:rPr>
                <w:sz w:val="20"/>
                <w:szCs w:val="20"/>
                <w:color w:val="auto"/>
              </w:rPr>
            </w:pPr>
            <w:r>
              <w:rPr>
                <w:rFonts w:ascii="Times New Roman" w:cs="Times New Roman" w:eastAsia="Times New Roman" w:hAnsi="Times New Roman"/>
                <w:sz w:val="20"/>
                <w:szCs w:val="20"/>
                <w:color w:val="0000FF"/>
                <w:w w:val="97"/>
              </w:rPr>
              <w:t>1,881.834</w:t>
            </w:r>
          </w:p>
        </w:tc>
        <w:tc>
          <w:tcPr>
            <w:tcW w:w="840" w:type="dxa"/>
            <w:vAlign w:val="bottom"/>
          </w:tcPr>
          <w:p>
            <w:pPr>
              <w:spacing w:after="0"/>
              <w:rPr>
                <w:sz w:val="24"/>
                <w:szCs w:val="24"/>
                <w:color w:val="auto"/>
              </w:rPr>
            </w:pPr>
          </w:p>
        </w:tc>
        <w:tc>
          <w:tcPr>
            <w:tcW w:w="1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34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jc w:val="center"/>
              <w:ind w:left="55"/>
              <w:spacing w:after="0"/>
              <w:rPr>
                <w:sz w:val="20"/>
                <w:szCs w:val="20"/>
                <w:color w:val="auto"/>
              </w:rPr>
            </w:pPr>
            <w:r>
              <w:rPr>
                <w:rFonts w:ascii="Times New Roman" w:cs="Times New Roman" w:eastAsia="Times New Roman" w:hAnsi="Times New Roman"/>
                <w:sz w:val="20"/>
                <w:szCs w:val="20"/>
                <w:color w:val="0000FF"/>
                <w:w w:val="97"/>
              </w:rPr>
              <w:t>2,540.023</w:t>
            </w:r>
          </w:p>
        </w:tc>
        <w:tc>
          <w:tcPr>
            <w:tcW w:w="840" w:type="dxa"/>
            <w:vAlign w:val="bottom"/>
          </w:tcPr>
          <w:p>
            <w:pPr>
              <w:spacing w:after="0"/>
              <w:rPr>
                <w:sz w:val="24"/>
                <w:szCs w:val="24"/>
                <w:color w:val="auto"/>
              </w:rPr>
            </w:pPr>
          </w:p>
        </w:tc>
        <w:tc>
          <w:tcPr>
            <w:tcW w:w="1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0000FF"/>
                <w:w w:val="89"/>
              </w:rPr>
              <w:t>I</w:t>
            </w:r>
          </w:p>
        </w:tc>
        <w:tc>
          <w:tcPr>
            <w:tcW w:w="3360" w:type="dxa"/>
            <w:vAlign w:val="bottom"/>
            <w:gridSpan w:val="4"/>
          </w:tcPr>
          <w:p>
            <w:pPr>
              <w:ind w:left="580"/>
              <w:spacing w:after="0"/>
              <w:rPr>
                <w:sz w:val="20"/>
                <w:szCs w:val="20"/>
                <w:color w:val="auto"/>
              </w:rPr>
            </w:pPr>
            <w:r>
              <w:rPr>
                <w:rFonts w:ascii="Times New Roman" w:cs="Times New Roman" w:eastAsia="Times New Roman" w:hAnsi="Times New Roman"/>
                <w:sz w:val="20"/>
                <w:szCs w:val="20"/>
                <w:color w:val="0000FF"/>
              </w:rPr>
              <w:t>TTC Retirement Plan</w:t>
            </w: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5"/>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60"/>
              <w:spacing w:after="0"/>
              <w:rPr>
                <w:sz w:val="20"/>
                <w:szCs w:val="20"/>
                <w:color w:val="auto"/>
              </w:rPr>
            </w:pPr>
            <w:r>
              <w:rPr>
                <w:rFonts w:ascii="Arial" w:cs="Arial" w:eastAsia="Arial" w:hAnsi="Arial"/>
                <w:sz w:val="15"/>
                <w:szCs w:val="15"/>
                <w:b w:val="1"/>
                <w:bCs w:val="1"/>
                <w:color w:val="auto"/>
                <w:w w:val="99"/>
              </w:rPr>
              <w:t>3. Title and Amount of Securities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3"/>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8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340"/>
        <w:spacing w:after="0" w:line="244" w:lineRule="auto"/>
        <w:rPr>
          <w:sz w:val="20"/>
          <w:szCs w:val="20"/>
          <w:color w:val="auto"/>
        </w:rPr>
      </w:pPr>
      <w:r>
        <w:rPr>
          <w:rFonts w:ascii="Times New Roman" w:cs="Times New Roman" w:eastAsia="Times New Roman" w:hAnsi="Times New Roman"/>
          <w:sz w:val="15"/>
          <w:szCs w:val="15"/>
          <w:color w:val="008000"/>
        </w:rPr>
        <w:t>On September 29, 2025 Grant M. Young began serving as Group Vice President of Golf, Grounds &amp; Irrigation. The original form 3 filed on October 8, 2025 was filed timely. However, TTC's CIK EDGAR code was used instead of the reporting person's CIK code, because the reporting person's CIK code had not yet been received. As a result, TTC's name appeared in box 1. This new form 3 has been filed using the reporting person's CIK EDGAR code.</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Joanna M. Totsky,</w:t>
            </w:r>
          </w:p>
        </w:tc>
        <w:tc>
          <w:tcPr>
            <w:tcW w:w="520" w:type="dxa"/>
            <w:vAlign w:val="bottom"/>
          </w:tcPr>
          <w:p>
            <w:pPr>
              <w:spacing w:after="0"/>
              <w:rPr>
                <w:sz w:val="19"/>
                <w:szCs w:val="19"/>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11/04/2025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26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Know all by these presents, that the undersigned hereby constitutes and appoints Joanna M. Totsky, signing singly, true and lawful attorney-in-fact relative to the filings identified below in connection with the undersigned's derivative and non-derivative securities of The Toro Company (the “Company”) to:</w:t>
      </w:r>
    </w:p>
    <w:p>
      <w:pPr>
        <w:spacing w:after="0" w:line="218" w:lineRule="exact"/>
        <w:rPr>
          <w:sz w:val="20"/>
          <w:szCs w:val="20"/>
          <w:color w:val="auto"/>
        </w:rPr>
      </w:pPr>
    </w:p>
    <w:p>
      <w:pPr>
        <w:jc w:val="both"/>
        <w:spacing w:after="0" w:line="253" w:lineRule="auto"/>
        <w:tabs>
          <w:tab w:leader="none" w:pos="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3" w:lineRule="exact"/>
        <w:rPr>
          <w:rFonts w:ascii="Arial" w:cs="Arial" w:eastAsia="Arial" w:hAnsi="Arial"/>
          <w:sz w:val="20"/>
          <w:szCs w:val="20"/>
          <w:color w:val="auto"/>
        </w:rPr>
      </w:pPr>
    </w:p>
    <w:p>
      <w:pPr>
        <w:jc w:val="both"/>
        <w:spacing w:after="0" w:line="253" w:lineRule="auto"/>
        <w:tabs>
          <w:tab w:leader="none" w:pos="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18" w:lineRule="exact"/>
        <w:rPr>
          <w:rFonts w:ascii="Arial" w:cs="Arial" w:eastAsia="Arial" w:hAnsi="Arial"/>
          <w:sz w:val="20"/>
          <w:szCs w:val="20"/>
          <w:color w:val="auto"/>
        </w:rPr>
      </w:pPr>
    </w:p>
    <w:p>
      <w:pPr>
        <w:jc w:val="both"/>
        <w:spacing w:after="0" w:line="253" w:lineRule="auto"/>
        <w:tabs>
          <w:tab w:leader="none" w:pos="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18" w:lineRule="exact"/>
        <w:rPr>
          <w:rFonts w:ascii="Arial" w:cs="Arial" w:eastAsia="Arial" w:hAnsi="Arial"/>
          <w:sz w:val="20"/>
          <w:szCs w:val="20"/>
          <w:color w:val="auto"/>
        </w:rPr>
      </w:pPr>
    </w:p>
    <w:p>
      <w:pPr>
        <w:jc w:val="both"/>
        <w:spacing w:after="0" w:line="244" w:lineRule="auto"/>
        <w:tabs>
          <w:tab w:leader="none" w:pos="315" w:val="left"/>
        </w:tabs>
        <w:numPr>
          <w:ilvl w:val="0"/>
          <w:numId w:val="4"/>
        </w:numPr>
        <w:rPr>
          <w:rFonts w:ascii="Arial" w:cs="Arial" w:eastAsia="Arial" w:hAnsi="Arial"/>
          <w:sz w:val="20"/>
          <w:szCs w:val="20"/>
          <w:color w:val="auto"/>
        </w:rPr>
      </w:pPr>
      <w:r>
        <w:rPr>
          <w:rFonts w:ascii="Arial" w:cs="Arial" w:eastAsia="Arial" w:hAnsi="Arial"/>
          <w:sz w:val="20"/>
          <w:szCs w:val="20"/>
          <w:color w:val="auto"/>
        </w:rPr>
        <w:t>Take any other action of any type whatsoever, including administration of EDGAR filing codes,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The undersigned hereby grants to such attorney-in-fact full power and authority to do and perform all and every act and</w:t>
      </w:r>
    </w:p>
    <w:p>
      <w:pPr>
        <w:spacing w:after="0" w:line="15"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thing whatsoever requisite, necessary, or proper to be done in the exercise of any of the rights and powers herein granted, as fully to all intents and purposes as such attorney-in-fact might or could do if personally present, with full power of</w:t>
      </w:r>
    </w:p>
    <w:p>
      <w:pPr>
        <w:jc w:val="both"/>
        <w:spacing w:after="0" w:line="239" w:lineRule="auto"/>
        <w:rPr>
          <w:sz w:val="20"/>
          <w:szCs w:val="20"/>
          <w:color w:val="auto"/>
        </w:rPr>
      </w:pPr>
      <w:r>
        <w:rPr>
          <w:rFonts w:ascii="Arial" w:cs="Arial" w:eastAsia="Arial" w:hAnsi="Arial"/>
          <w:sz w:val="20"/>
          <w:szCs w:val="20"/>
          <w:color w:val="auto"/>
        </w:rPr>
        <w:t>substitution or revocation, hereby ratifying and confirming all that such attorney-in-fact, 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Signed: /s/ Grant M. Young</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Grant M. Young</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Dated: September 29, 2025</w:t>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94434" TargetMode="External"/><Relationship Id="rId11"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2025-11-04T16:41:40Z</dcterms:created>
  <dcterms:modified xsi:type="dcterms:W3CDTF">2025-11-04T16:41:40Z</dcterms:modified>
</cp:coreProperties>
</file>