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 2012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20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1-8649</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41-0580470</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660" w:space="720"/>
            <w:col w:w="3300"/>
          </w:cols>
          <w:pgMar w:left="240" w:top="233" w:right="239" w:bottom="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(952) 888-8801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6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8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40" w:space="720"/>
            <w:col w:w="3460"/>
          </w:cols>
          <w:pgMar w:left="240" w:top="233" w:right="23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40"/>
          </w:cols>
          <w:pgMar w:left="240" w:top="233" w:right="23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August 21, 2012 was 58,736,691.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INDEX TO FORM 10-Q</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jc w:val="right"/>
              <w:ind w:right="17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385"/>
        </w:trPr>
        <w:tc>
          <w:tcPr>
            <w:tcW w:w="640" w:type="dxa"/>
            <w:vAlign w:val="bottom"/>
            <w:gridSpan w:val="2"/>
          </w:tcPr>
          <w:p>
            <w:pPr>
              <w:spacing w:after="0"/>
              <w:rPr>
                <w:rFonts w:ascii="Arial" w:cs="Arial" w:eastAsia="Arial" w:hAnsi="Arial"/>
                <w:sz w:val="18"/>
                <w:szCs w:val="18"/>
                <w:b w:val="1"/>
                <w:bCs w:val="1"/>
                <w:color w:val="0000EE"/>
                <w:w w:val="96"/>
              </w:rPr>
            </w:pPr>
            <w:hyperlink w:anchor="page2">
              <w:r>
                <w:rPr>
                  <w:rFonts w:ascii="Arial" w:cs="Arial" w:eastAsia="Arial" w:hAnsi="Arial"/>
                  <w:sz w:val="18"/>
                  <w:szCs w:val="18"/>
                  <w:b w:val="1"/>
                  <w:bCs w:val="1"/>
                  <w:color w:val="0000EE"/>
                  <w:w w:val="96"/>
                </w:rPr>
                <w:t>PART I.</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40" w:type="dxa"/>
            <w:vAlign w:val="bottom"/>
            <w:tcBorders>
              <w:top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Item 1.</w:t>
              </w:r>
            </w:hyperlink>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tcBorders>
              <w:top w:val="single" w:sz="8" w:color="0000EE"/>
            </w:tcBorders>
            <w:gridSpan w:val="4"/>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Financial Statements (Unaudited)</w:t>
              </w:r>
            </w:hyperlink>
          </w:p>
        </w:tc>
        <w:tc>
          <w:tcPr>
            <w:tcW w:w="7000" w:type="dxa"/>
            <w:vAlign w:val="bottom"/>
            <w:gridSpan w:val="7"/>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8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Condensed Consolidated Statements of Earnings — Three and Nine Months Ended August 3, 2012 and July 29, 2011</w:t>
              </w:r>
            </w:hyperlink>
          </w:p>
        </w:tc>
        <w:tc>
          <w:tcPr>
            <w:tcW w:w="6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Condensed Consolidated Balance Sheets — August 3, 2012, July 29, 2011, and October 31, 2011</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9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Condensed Consolidated Statements of Cash Flows — Nine Months Ended August 3, 2012 and July 29, 2011</w:t>
              </w:r>
            </w:hyperlink>
          </w:p>
        </w:tc>
        <w:tc>
          <w:tcPr>
            <w:tcW w:w="118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
        </w:trPr>
        <w:tc>
          <w:tcPr>
            <w:tcW w:w="900" w:type="dxa"/>
            <w:vAlign w:val="bottom"/>
            <w:gridSpan w:val="3"/>
            <w:vMerge w:val="restart"/>
          </w:tcPr>
          <w:p>
            <w:pPr>
              <w:spacing w:after="0"/>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Item 2.</w:t>
              </w:r>
            </w:hyperlink>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3.</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478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3"/>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4.</w:t>
              </w:r>
            </w:hyperlink>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00" w:type="dxa"/>
            <w:vAlign w:val="bottom"/>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20">
              <w:r>
                <w:rPr>
                  <w:rFonts w:ascii="Arial" w:cs="Arial" w:eastAsia="Arial" w:hAnsi="Arial"/>
                  <w:sz w:val="18"/>
                  <w:szCs w:val="18"/>
                  <w:b w:val="1"/>
                  <w:bCs w:val="1"/>
                  <w:color w:val="0000EE"/>
                  <w:w w:val="98"/>
                </w:rPr>
                <w:t>PART II.</w:t>
              </w:r>
            </w:hyperlink>
          </w:p>
        </w:tc>
        <w:tc>
          <w:tcPr>
            <w:tcW w:w="46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OTHER INFORMATION:</w:t>
              </w:r>
            </w:hyperlink>
          </w:p>
        </w:tc>
        <w:tc>
          <w:tcPr>
            <w:tcW w:w="5180" w:type="dxa"/>
            <w:vAlign w:val="bottom"/>
            <w:gridSpan w:val="2"/>
          </w:tcPr>
          <w:p>
            <w:pPr>
              <w:spacing w:after="0"/>
              <w:rPr>
                <w:sz w:val="17"/>
                <w:szCs w:val="17"/>
                <w:color w:val="auto"/>
              </w:rPr>
            </w:pPr>
          </w:p>
        </w:tc>
        <w:tc>
          <w:tcPr>
            <w:tcW w:w="3020" w:type="dxa"/>
            <w:vAlign w:val="bottom"/>
          </w:tcPr>
          <w:p>
            <w:pPr>
              <w:spacing w:after="0"/>
              <w:rPr>
                <w:sz w:val="17"/>
                <w:szCs w:val="17"/>
                <w:color w:val="auto"/>
              </w:rPr>
            </w:pPr>
          </w:p>
        </w:tc>
      </w:tr>
      <w:tr>
        <w:trPr>
          <w:trHeight w:val="412"/>
        </w:trPr>
        <w:tc>
          <w:tcPr>
            <w:tcW w:w="700" w:type="dxa"/>
            <w:vAlign w:val="bottom"/>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1.</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Item 1A.</w:t>
              </w:r>
            </w:hyperlink>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6000" w:type="dxa"/>
            <w:vAlign w:val="bottom"/>
            <w:gridSpan w:val="4"/>
          </w:tcPr>
          <w:p>
            <w:pPr>
              <w:spacing w:after="0"/>
              <w:rPr>
                <w:sz w:val="24"/>
                <w:szCs w:val="24"/>
                <w:color w:val="auto"/>
              </w:rPr>
            </w:pPr>
          </w:p>
        </w:tc>
        <w:tc>
          <w:tcPr>
            <w:tcW w:w="30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700" w:type="dxa"/>
            <w:vAlign w:val="bottom"/>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2.</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700" w:type="dxa"/>
            <w:vAlign w:val="bottom"/>
            <w:gridSpan w:val="3"/>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Item 6.</w:t>
              </w:r>
            </w:hyperlink>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28-29</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3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3600" w:type="dxa"/>
            <w:vAlign w:val="bottom"/>
            <w:gridSpan w:val="4"/>
          </w:tcPr>
          <w:p>
            <w:pPr>
              <w:jc w:val="right"/>
              <w:ind w:right="120"/>
              <w:spacing w:after="0"/>
              <w:rPr>
                <w:sz w:val="20"/>
                <w:szCs w:val="20"/>
                <w:color w:val="auto"/>
              </w:rPr>
            </w:pPr>
            <w:r>
              <w:rPr>
                <w:rFonts w:ascii="Arial" w:cs="Arial" w:eastAsia="Arial" w:hAnsi="Arial"/>
                <w:sz w:val="18"/>
                <w:szCs w:val="18"/>
                <w:color w:val="auto"/>
              </w:rPr>
              <w:t>2</w:t>
            </w:r>
          </w:p>
        </w:tc>
        <w:tc>
          <w:tcPr>
            <w:tcW w:w="25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132"/>
        </w:trPr>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2620" w:type="dxa"/>
            <w:vAlign w:val="bottom"/>
            <w:tcBorders>
              <w:bottom w:val="single" w:sz="8" w:color="010101"/>
            </w:tcBorders>
          </w:tcPr>
          <w:p>
            <w:pPr>
              <w:spacing w:after="0"/>
              <w:rPr>
                <w:sz w:val="11"/>
                <w:szCs w:val="11"/>
                <w:color w:val="auto"/>
              </w:rPr>
            </w:pPr>
          </w:p>
        </w:tc>
        <w:tc>
          <w:tcPr>
            <w:tcW w:w="256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3"/>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504,076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1,619,396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325,954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333,384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1,059,201</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997,998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178,122</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560,195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117,137</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112,937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358,689</w:t>
            </w: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earnings</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60,985</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201,506</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(4,198)</w:t>
            </w:r>
          </w:p>
        </w:tc>
        <w:tc>
          <w:tcPr>
            <w:tcW w:w="2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(12,791)</w:t>
            </w:r>
          </w:p>
        </w:tc>
        <w:tc>
          <w:tcPr>
            <w:tcW w:w="2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Earnings before income taxes</w:t>
            </w:r>
          </w:p>
        </w:tc>
        <w:tc>
          <w:tcPr>
            <w:tcW w:w="5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59,468</w:t>
            </w: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18,919</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64,656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40,549</w:t>
            </w:r>
          </w:p>
        </w:tc>
        <w:tc>
          <w:tcPr>
            <w:tcW w:w="3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129,290</w:t>
            </w:r>
          </w:p>
        </w:tc>
        <w:tc>
          <w:tcPr>
            <w:tcW w:w="2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Basic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0.69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0.56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Diluted net earnings per share of common stock</w:t>
            </w:r>
          </w:p>
        </w:tc>
        <w:tc>
          <w:tcPr>
            <w:tcW w:w="8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0.67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0.55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Basic</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59,045</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62,353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59,642</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62,982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rPr>
              <w:t>Weighted-average number of shares of 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outstanding — Diluted</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60,336</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63,479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60,829</w:t>
            </w:r>
          </w:p>
        </w:tc>
        <w:tc>
          <w:tcPr>
            <w:tcW w:w="2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64,125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June 29,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3,</w:t>
            </w:r>
          </w:p>
        </w:tc>
        <w:tc>
          <w:tcPr>
            <w:tcW w:w="26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200" w:type="dxa"/>
            <w:vAlign w:val="bottom"/>
          </w:tcPr>
          <w:p>
            <w:pPr>
              <w:spacing w:after="0"/>
              <w:rPr>
                <w:sz w:val="14"/>
                <w:szCs w:val="1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59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7"/>
              </w:rPr>
              <w:t>ASSETS</w:t>
            </w:r>
          </w:p>
        </w:tc>
        <w:tc>
          <w:tcPr>
            <w:tcW w:w="59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143,058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118,113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197,023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199,012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234,790</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232,362</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24,436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20,256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62,368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59,908</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62,523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661,675</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629,651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666,301</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642,642</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488,578</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454,994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463,510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177,723</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187,648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191,140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20,646</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20,424</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19,075</w:t>
            </w: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9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8" w:right="199" w:bottom="0" w:gutter="0" w:footer="0" w:header="0"/>
        </w:sectPr>
      </w:pPr>
    </w:p>
    <w:bookmarkStart w:id="2" w:name="page3"/>
    <w:bookmarkEnd w:id="2"/>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92,070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92,046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34,338</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36,813</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portion of long-term debt</w:t>
            </w:r>
          </w:p>
        </w:tc>
        <w:tc>
          <w:tcPr>
            <w:tcW w:w="29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1,858</w:t>
            </w:r>
          </w:p>
        </w:tc>
        <w:tc>
          <w:tcPr>
            <w:tcW w:w="420" w:type="dxa"/>
            <w:vAlign w:val="bottom"/>
            <w:tcBorders>
              <w:top w:val="single" w:sz="8" w:color="CCEEFF"/>
            </w:tcBorders>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2,728</w:t>
            </w: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124,168</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126,688</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118,036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278,797</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268,200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404,823</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397,669</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359,080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Long-term debt, less current portion</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223,467</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225,162</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11,289</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10,776</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1,380</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7,822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7,560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5"/>
              </w:rPr>
              <w:t>Preferred stock, par value $1.00 per share, authorized 1,000,000 voting and 850,000</w:t>
            </w: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tcPr>
          <w:p>
            <w:pPr>
              <w:ind w:left="340"/>
              <w:spacing w:after="0"/>
              <w:rPr>
                <w:sz w:val="20"/>
                <w:szCs w:val="20"/>
                <w:color w:val="auto"/>
              </w:rPr>
            </w:pPr>
            <w:r>
              <w:rPr>
                <w:rFonts w:ascii="Arial" w:cs="Arial" w:eastAsia="Arial" w:hAnsi="Arial"/>
                <w:sz w:val="18"/>
                <w:szCs w:val="18"/>
                <w:color w:val="auto"/>
              </w:rPr>
              <w:t>non-voting shares, none issued and outstanding</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3"/>
              </w:rPr>
              <w:t>Common stock, par value $1.00 per share, authorized 100,000,000 shares, issued and</w:t>
            </w: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outstanding 58,771,336 shares as of August 3, 2012, 61,283,414 shares as of July</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29, 2011, and 59,206,190 shares as of October 31, 2011</w:t>
            </w:r>
          </w:p>
        </w:tc>
        <w:tc>
          <w:tcPr>
            <w:tcW w:w="4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58,771</w:t>
            </w:r>
          </w:p>
        </w:tc>
        <w:tc>
          <w:tcPr>
            <w:tcW w:w="4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61,283</w:t>
            </w:r>
          </w:p>
        </w:tc>
        <w:tc>
          <w:tcPr>
            <w:tcW w:w="4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289,892</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266,949</w:t>
            </w:r>
          </w:p>
        </w:tc>
        <w:tc>
          <w:tcPr>
            <w:tcW w:w="4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(10,916)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(1,852)</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337,747</w:t>
            </w:r>
          </w:p>
        </w:tc>
        <w:tc>
          <w:tcPr>
            <w:tcW w:w="3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326,380</w:t>
            </w:r>
          </w:p>
        </w:tc>
        <w:tc>
          <w:tcPr>
            <w:tcW w:w="2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986,528</w:t>
            </w: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967,547</w:t>
            </w:r>
          </w:p>
        </w:tc>
        <w:tc>
          <w:tcPr>
            <w:tcW w:w="2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870,663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Shares and per share data have been adjusted for all periods presented to reflect a two-for-one stock split effective June 29,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August 3,</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80" w:type="dxa"/>
            <w:vAlign w:val="bottom"/>
          </w:tcPr>
          <w:p>
            <w:pPr>
              <w:jc w:val="right"/>
              <w:ind w:right="472"/>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129,290</w:t>
            </w:r>
          </w:p>
        </w:tc>
        <w:tc>
          <w:tcPr>
            <w:tcW w:w="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112,623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Noncash income from affiliates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(4,521)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depreciation, amortization, and impairment losses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37,929</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7,465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deferred income taxes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 net of effect of acquisitions: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(51,640)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(6,428)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34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liabilities, deferred revenue, and other long-term liabilities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59,986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165,407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plant, and equipment,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(28,158)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Proceeds from asset disposals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finance affiliate,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Acquisitions, net of cash acquired</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(9,663)</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(14,060)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Decrease in short-term debt</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long-term debt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Excess tax benefits from stock-based awards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17,337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Purchases of Toro common stock</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(67,354)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 on Toro common stock</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(19,748)</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6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exchange rates changes on cash and cash equivalents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40"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62,172</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(59,253)</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as of the beginning of the fiscal period</w:t>
            </w:r>
          </w:p>
        </w:tc>
        <w:tc>
          <w:tcPr>
            <w:tcW w:w="1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80,886</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177,366</w:t>
            </w:r>
          </w:p>
        </w:tc>
        <w:tc>
          <w:tcPr>
            <w:tcW w:w="80" w:type="dxa"/>
            <w:vAlign w:val="bottom"/>
            <w:shd w:val="clear" w:color="auto" w:fill="CCEEFF"/>
          </w:tcPr>
          <w:p>
            <w:pPr>
              <w:spacing w:after="0"/>
              <w:rPr>
                <w:sz w:val="18"/>
                <w:szCs w:val="18"/>
                <w:color w:val="auto"/>
              </w:rPr>
            </w:pPr>
          </w:p>
        </w:tc>
      </w:tr>
      <w:tr>
        <w:trPr>
          <w:trHeight w:val="250"/>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as of the end of the fiscal period</w:t>
            </w:r>
          </w:p>
        </w:tc>
        <w:tc>
          <w:tcPr>
            <w:tcW w:w="156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143,058</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118,113</w:t>
            </w:r>
          </w:p>
        </w:tc>
        <w:tc>
          <w:tcPr>
            <w:tcW w:w="100" w:type="dxa"/>
            <w:vAlign w:val="bottom"/>
            <w:tcBorders>
              <w:bottom w:val="single" w:sz="8" w:color="CCEEFF"/>
            </w:tcBorders>
            <w:gridSpan w:val="2"/>
          </w:tcPr>
          <w:p>
            <w:pPr>
              <w:spacing w:after="0"/>
              <w:rPr>
                <w:sz w:val="21"/>
                <w:szCs w:val="21"/>
                <w:color w:val="auto"/>
              </w:rPr>
            </w:pPr>
          </w:p>
        </w:tc>
      </w:tr>
      <w:tr>
        <w:trPr>
          <w:trHeight w:val="170"/>
        </w:trPr>
        <w:tc>
          <w:tcPr>
            <w:tcW w:w="62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Supplemental disclosures of cash flow information:</w:t>
            </w:r>
          </w:p>
        </w:tc>
        <w:tc>
          <w:tcPr>
            <w:tcW w:w="15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Long-term debt issued in connection with acquisitions</w:t>
            </w:r>
          </w:p>
        </w:tc>
        <w:tc>
          <w:tcPr>
            <w:tcW w:w="212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100</w:t>
            </w:r>
          </w:p>
        </w:tc>
        <w:tc>
          <w:tcPr>
            <w:tcW w:w="540" w:type="dxa"/>
            <w:vAlign w:val="bottom"/>
            <w:gridSpan w:val="2"/>
          </w:tcPr>
          <w:p>
            <w:pPr>
              <w:jc w:val="right"/>
              <w:ind w:right="41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3,515</w:t>
            </w:r>
          </w:p>
        </w:tc>
        <w:tc>
          <w:tcPr>
            <w:tcW w:w="8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instructions to Form 10-Q and do not include all the information and notes required by U.S. generally accepted accounting principles (“U.S. GAAP”) for complete financial statements. Unless the context indicates otherwise, the terms “company” and “Toro” refer to The Toro Company and its consolidated subsidiaries. In the opinion of management, the unaudited condensed consolidated financial statements include all adjustments, consisting primarily of recurring accruals, considered necessary for a fair presentation of the financial position and results of operations. Certain amounts from prior periods’ financial statements have been reclassified to conform to this period’s presentation. Since the company’s business is seasonal, operating results for the nine months ended August 3, 2012 cannot be annualized to determine the expected results for the fiscal year ending October 31, 2012. Additional factors that could cause the company’s actual results to differ materially from its expected results, including any forward-looking statements made in this report, are described in the company’s most recently filed Annual Report on Form 10-K (Item 1A. Risk Factors) and later in this report under Item 2, Management’s Discussion and Analysis of Financial Condition and Results of Operations — Forward-Looking Information.</w:t>
      </w:r>
    </w:p>
    <w:p>
      <w:pPr>
        <w:spacing w:after="0" w:line="178" w:lineRule="exact"/>
        <w:rPr>
          <w:sz w:val="20"/>
          <w:szCs w:val="20"/>
          <w:color w:val="auto"/>
        </w:rPr>
      </w:pPr>
    </w:p>
    <w:p>
      <w:pPr>
        <w:ind w:right="100" w:firstLine="270"/>
        <w:spacing w:after="0" w:line="264" w:lineRule="auto"/>
        <w:rPr>
          <w:sz w:val="20"/>
          <w:szCs w:val="20"/>
          <w:color w:val="auto"/>
        </w:rPr>
      </w:pPr>
      <w:r>
        <w:rPr>
          <w:rFonts w:ascii="Arial" w:cs="Arial" w:eastAsia="Arial" w:hAnsi="Arial"/>
          <w:sz w:val="18"/>
          <w:szCs w:val="18"/>
          <w:color w:val="auto"/>
        </w:rPr>
        <w:t>The company’s fiscal year ends on October 31, and quarterly results are reported based on three-month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81" w:lineRule="exact"/>
        <w:rPr>
          <w:sz w:val="20"/>
          <w:szCs w:val="20"/>
          <w:color w:val="auto"/>
        </w:rPr>
      </w:pPr>
    </w:p>
    <w:p>
      <w:pPr>
        <w:jc w:val="center"/>
        <w:ind w:left="260" w:right="120"/>
        <w:spacing w:after="0" w:line="277" w:lineRule="auto"/>
        <w:rPr>
          <w:sz w:val="20"/>
          <w:szCs w:val="20"/>
          <w:color w:val="auto"/>
        </w:rPr>
      </w:pPr>
      <w:r>
        <w:rPr>
          <w:rFonts w:ascii="Arial" w:cs="Arial" w:eastAsia="Arial" w:hAnsi="Arial"/>
          <w:sz w:val="18"/>
          <w:szCs w:val="18"/>
          <w:color w:val="auto"/>
        </w:rPr>
        <w:t>For further information, refer to the consolidated financial statements and notes included in the company’s Annual Report on Form 10-K for the fiscal year ended October 31, 2011. The policies described in that report are used for preparing quarterly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preparing the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promotions and incentives accruals, inventory valuation, warranty reserves, earnout liabilities, allowance for doubtful accounts, pension and postretirement accruals, self-insurance accruals, and useful lives for tangible and intangible assets. These estimates and assumptions are based on management’s best estimates and judgments at the time they are made. Management evaluates its estimates and assumptions on an ongoing basis using historical experience and other factors that management believes to be reasonable under the circumstances, including the current economic environment. Management adjusts such estimates and assumptions when facts and circumstances dictate. A number of these factors are discussed in the company’s Annual Report on Form 10-K (Item 1A. Risk Factors) for the fiscal year ended October 31, 2011, which may increase the uncertainty inherent in such estimates and assumptions. As future events and their effects cannot be determined with certainty, actual amounts could differ significantly from those estimated at the time the consolidated financial statements are prepared. Changes in those estimates will be reflected in the consolidated financial statements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 Adopted</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In May 2011, the Financial Accounting Standards Board (“FASB”) issued Accounting Standards Update (“ASU”) No. 2011-04,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t>
      </w:r>
      <w:r>
        <w:rPr>
          <w:rFonts w:ascii="Arial" w:cs="Arial" w:eastAsia="Arial" w:hAnsi="Arial"/>
          <w:sz w:val="16"/>
          <w:szCs w:val="16"/>
          <w:i w:val="1"/>
          <w:iCs w:val="1"/>
          <w:color w:val="auto"/>
        </w:rPr>
        <w:t>(Topic 820): Amendments to Achieve Common Fair Value Measurement and Disclosure Requirements in U.S. GAAP and IFRS</w:t>
      </w:r>
      <w:r>
        <w:rPr>
          <w:rFonts w:ascii="Arial" w:cs="Arial" w:eastAsia="Arial" w:hAnsi="Arial"/>
          <w:sz w:val="16"/>
          <w:szCs w:val="16"/>
          <w:color w:val="auto"/>
        </w:rPr>
        <w:t>. The amendments result in a</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definition of fair value and common requirements for measurement of and disclosure regarding fair value between U.S. GAAP and International Financial Reporting Standards. Specifically, the amendments clarify the application of existing fair value measurement and disclosure requirements, including: a) application of the highest and best use and valuation premise concepts, b) measurement of the fair value of an instrument classified in a reporting entity’s shareholders equity, and c) quantitative disclosure about the unobservable inputs used in a fair value measurement that is categorized within Level 3 of the fair value hierarchy. The amendments also change a particular principle or requirement for fair value measurement and disclosure, including: a) measurement of the fair value of financial instruments that are managed within a portfolio, b) application of premiums and discounts in a fair value measurement, and c) additional disclosure about fair value measurements. The company adopted the amendments of ASU No. 2011-04 at the beginning of its fiscal 2012 second quarter, as required. The adoption of this guidance did not have an impact on the company’s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Split</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May 24, 2012, the company announced that its Board of Directors declared a two-for-one stock split of the company’s common stock, effected in the form of a 100 percent stock dividend. The stock split was distributed or paid on June 29, 2012, to stockholders of record as of June 15, 2012. As a result of this action, approximately 29.4 million shares were issued to stockholders of record as of June 15, 2012. The par value of the common stock remains at $1.00 per</w:t>
      </w:r>
    </w:p>
    <w:p>
      <w:pPr>
        <w:sectPr>
          <w:pgSz w:w="11900" w:h="16838" w:orient="portrait"/>
          <w:cols w:equalWidth="0" w:num="1">
            <w:col w:w="11420"/>
          </w:cols>
          <w:pgMar w:left="240" w:top="125" w:right="239" w:bottom="0" w:gutter="0" w:footer="0" w:header="0"/>
        </w:sectPr>
      </w:pPr>
    </w:p>
    <w:bookmarkStart w:id="4" w:name="page5"/>
    <w:bookmarkEnd w:id="4"/>
    <w:p>
      <w:pPr>
        <w:spacing w:after="0" w:line="7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share and, accordingly, approximately $29.4 million was transferred from retained earnings to common stock. Earnings and dividends declared per share and weighted average shares outstanding are presented in this Form 10-Q after the effect of the 100 percent stock dividend. The two-for-one stock split is reflected in the share amounts in all periods presented in this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December 9, 2011, during the first quarter of fiscal 2012, the company completed the acquisition of certain assets and assumed certain liabilities for a greens roller product line for the golf course market. On February 10, 2012, during the second quarter of fiscal 2012, the company completed the acquisition of certain assets and assumed certain liabilities for an equipment line of vibratory plows, trenchers, and horizontal directional drills for the underground utilities market. On April 25, 2012, also during the second quarter of fiscal 2012, the company completed the acquisition of certain assets for an equipment line of concrete and mortar mixers, material handlers, compaction equipment, and other concrete power tools for the rental and light construction market. The aggregate purchase price of these acquisitions was $11.1 million and all such acquisitions were accounted for as business combinations.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acquisitions were immaterial individually and in the aggregate based on the company’s consolidated financial condition and results of operations.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and the components of other comprehensive income (loss)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August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6"/>
              <w:spacing w:after="0" w:line="119" w:lineRule="exact"/>
              <w:rPr>
                <w:sz w:val="20"/>
                <w:szCs w:val="20"/>
                <w:color w:val="auto"/>
              </w:rPr>
            </w:pPr>
            <w:r>
              <w:rPr>
                <w:rFonts w:ascii="Arial" w:cs="Arial" w:eastAsia="Arial" w:hAnsi="Arial"/>
                <w:sz w:val="13"/>
                <w:szCs w:val="13"/>
                <w:b w:val="1"/>
                <w:bCs w:val="1"/>
                <w:color w:val="auto"/>
              </w:rPr>
              <w:t>July 29,</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6"/>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3"/>
              </w:rPr>
              <w:t>40,549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Cumulative translation adjustments</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(3,181)</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Pension liability adjustment, net of tax of $(151)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2"/>
        </w:trPr>
        <w:tc>
          <w:tcPr>
            <w:tcW w:w="4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Unrealized (loss) gain on derivative instruments, net of tax</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 $(282), $854, $266, and $1,041, respectively</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83"/>
              </w:rPr>
              <w:t>37,276</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125,199</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company’s equity and incentive plan, stock options are granted with an exercise price equal to the closing price of the company’s common stock on the date of grant, as reported by the New York Stock Exchange. Options are generally granted to officers, other employees, and non-employee members of the company’s Board of Directors on an annual basis in the first quarter of the company’s fiscal year. Options generally vest one-third each year over a three-year period and have a ten-year term. Other options granted to certain key employees vest in full on the three-year anniversary of the date of grant and have a ten-year term. Compensation expense equal to the grant date fair value is generally recognized for these awards over the vesting period. Stock options granted to officers and other employees are subject to accelerated expensing if the option holder meets the retirement definition set forth in the plan. In that case, the fair value of the options is expensed in the fiscal year of grant because the option holder must be employed as of the end of the fiscal year in which the options are granted in order for the options to continue to vest following retirement. Similarly, if a non-employee director has served on the company’s Board of Directors for ten full fiscal years or more, the fair value of the options granted is fully expensed on the date of the grant.</w:t>
      </w:r>
    </w:p>
    <w:p>
      <w:pPr>
        <w:spacing w:after="0" w:line="167" w:lineRule="exact"/>
        <w:rPr>
          <w:sz w:val="20"/>
          <w:szCs w:val="20"/>
          <w:color w:val="auto"/>
        </w:rPr>
      </w:pPr>
    </w:p>
    <w:p>
      <w:pPr>
        <w:ind w:right="220" w:firstLine="270"/>
        <w:spacing w:after="0" w:line="273" w:lineRule="auto"/>
        <w:rPr>
          <w:sz w:val="20"/>
          <w:szCs w:val="20"/>
          <w:color w:val="auto"/>
        </w:rPr>
      </w:pPr>
      <w:r>
        <w:rPr>
          <w:rFonts w:ascii="Arial" w:cs="Arial" w:eastAsia="Arial" w:hAnsi="Arial"/>
          <w:sz w:val="17"/>
          <w:szCs w:val="17"/>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volatility, and dividend yield must be applied. The expected life is the average length of time in which officers, other key employees, and non-employee directors are expected to exercise their stock options, which is primarily based on historical experience.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contractual life of the option is based on the U.S. Treasury rate over the expected life at the time of grant. Dividend yield is estimated over the expected life based on the company’s dividend policy, historical cash dividends paid, expected future cash dividends, and expected changes in the company’s stock price.</w:t>
      </w:r>
    </w:p>
    <w:p>
      <w:pPr>
        <w:spacing w:after="0" w:line="1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illustrates the assumptions for options granted in the following fiscal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80" w:type="dxa"/>
            <w:vAlign w:val="bottom"/>
            <w:gridSpan w:val="2"/>
          </w:tcPr>
          <w:p>
            <w:pPr>
              <w:ind w:left="560"/>
              <w:spacing w:after="0"/>
              <w:rPr>
                <w:sz w:val="20"/>
                <w:szCs w:val="20"/>
                <w:color w:val="auto"/>
              </w:rPr>
            </w:pPr>
            <w:r>
              <w:rPr>
                <w:rFonts w:ascii="Arial" w:cs="Arial" w:eastAsia="Arial" w:hAnsi="Arial"/>
                <w:sz w:val="14"/>
                <w:szCs w:val="14"/>
                <w:b w:val="1"/>
                <w:bCs w:val="1"/>
                <w:color w:val="auto"/>
              </w:rPr>
              <w:t>Fiscal 2012</w:t>
            </w:r>
          </w:p>
        </w:tc>
        <w:tc>
          <w:tcPr>
            <w:tcW w:w="2080" w:type="dxa"/>
            <w:vAlign w:val="bottom"/>
            <w:gridSpan w:val="3"/>
          </w:tcPr>
          <w:p>
            <w:pPr>
              <w:ind w:left="580"/>
              <w:spacing w:after="0"/>
              <w:rPr>
                <w:sz w:val="20"/>
                <w:szCs w:val="20"/>
                <w:color w:val="auto"/>
              </w:rPr>
            </w:pPr>
            <w:r>
              <w:rPr>
                <w:rFonts w:ascii="Arial" w:cs="Arial" w:eastAsia="Arial" w:hAnsi="Arial"/>
                <w:sz w:val="14"/>
                <w:szCs w:val="14"/>
                <w:b w:val="1"/>
                <w:bCs w:val="1"/>
                <w:color w:val="auto"/>
              </w:rPr>
              <w:t>Fiscal 2011</w:t>
            </w: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of option in years</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ind w:right="750"/>
              <w:spacing w:after="0"/>
              <w:rPr>
                <w:sz w:val="20"/>
                <w:szCs w:val="20"/>
                <w:color w:val="auto"/>
              </w:rPr>
            </w:pPr>
            <w:r>
              <w:rPr>
                <w:rFonts w:ascii="Arial" w:cs="Arial" w:eastAsia="Arial" w:hAnsi="Arial"/>
                <w:sz w:val="18"/>
                <w:szCs w:val="18"/>
                <w:color w:val="auto"/>
                <w:w w:val="99"/>
              </w:rPr>
              <w:t>6</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34.87% - 35.02%</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33.34%</w:t>
            </w:r>
          </w:p>
        </w:tc>
        <w:tc>
          <w:tcPr>
            <w:tcW w:w="980" w:type="dxa"/>
            <w:vAlign w:val="bottom"/>
          </w:tcPr>
          <w:p>
            <w:pPr>
              <w:ind w:left="40"/>
              <w:spacing w:after="0"/>
              <w:rPr>
                <w:sz w:val="20"/>
                <w:szCs w:val="20"/>
                <w:color w:val="auto"/>
              </w:rPr>
            </w:pPr>
            <w:r>
              <w:rPr>
                <w:rFonts w:ascii="Arial" w:cs="Arial" w:eastAsia="Arial" w:hAnsi="Arial"/>
                <w:sz w:val="18"/>
                <w:szCs w:val="18"/>
                <w:color w:val="auto"/>
              </w:rPr>
              <w:t>- 33.43%</w:t>
            </w: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35.01%</w:t>
            </w: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33.42%</w:t>
            </w:r>
          </w:p>
        </w:tc>
        <w:tc>
          <w:tcPr>
            <w:tcW w:w="2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w:t>
            </w:r>
          </w:p>
        </w:tc>
        <w:tc>
          <w:tcPr>
            <w:tcW w:w="980" w:type="dxa"/>
            <w:vAlign w:val="bottom"/>
          </w:tcPr>
          <w:p>
            <w:pPr>
              <w:ind w:left="40"/>
              <w:spacing w:after="0"/>
              <w:rPr>
                <w:sz w:val="20"/>
                <w:szCs w:val="20"/>
                <w:color w:val="auto"/>
              </w:rPr>
            </w:pPr>
            <w:r>
              <w:rPr>
                <w:rFonts w:ascii="Arial" w:cs="Arial" w:eastAsia="Arial" w:hAnsi="Arial"/>
                <w:sz w:val="18"/>
                <w:szCs w:val="18"/>
                <w:color w:val="auto"/>
              </w:rPr>
              <w:t>- 2.36%</w:t>
            </w: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1.31% - 1.40%</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- 1.16%</w:t>
            </w:r>
          </w:p>
        </w:tc>
        <w:tc>
          <w:tcPr>
            <w:tcW w:w="24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Weighted-average dividend yield</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1.32%</w:t>
            </w:r>
          </w:p>
        </w:tc>
        <w:tc>
          <w:tcPr>
            <w:tcW w:w="26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color w:val="auto"/>
                <w:w w:val="90"/>
              </w:rPr>
              <w:t>1.05%</w:t>
            </w:r>
          </w:p>
        </w:tc>
        <w:tc>
          <w:tcPr>
            <w:tcW w:w="2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Grant date weighted-average fair value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$8.55</w:t>
            </w:r>
          </w:p>
        </w:tc>
        <w:tc>
          <w:tcPr>
            <w:tcW w:w="2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$10.15</w:t>
            </w:r>
          </w:p>
        </w:tc>
        <w:tc>
          <w:tcPr>
            <w:tcW w:w="2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will vest at the end of a three-year period. Performance share awards are granted on an annual basis in the first quarter of the company’s fiscal year. Compensation expense is recognized for these awards on a straight-line basis over the vesting period based on the per share fair</w:t>
      </w:r>
    </w:p>
    <w:p>
      <w:pPr>
        <w:sectPr>
          <w:pgSz w:w="11900" w:h="16914" w:orient="portrait"/>
          <w:cols w:equalWidth="0" w:num="1">
            <w:col w:w="11420"/>
          </w:cols>
          <w:pgMar w:left="240" w:top="125" w:right="239" w:bottom="0" w:gutter="0" w:footer="0" w:header="0"/>
        </w:sectPr>
      </w:pPr>
    </w:p>
    <w:bookmarkStart w:id="5" w:name="page6"/>
    <w:bookmarkEnd w:id="5"/>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value as of the date of grant and the probability of achieving performance goals. The per share fair value of performance share awards granted during the first quarter of each of fiscal 2012 and 2011 was $28.24 and $30.49, respectively. No performance share awards were granted during the second or third quarters of fiscal 2012 or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company’s equity and incentive plan, restricted stock awards are generally granted to certain non-officer employees. Restricted stock awards generally vest one-third each year over a three-year period or vest in full on the three-year anniversary of the date of grant. Compensation expense equal to the grant date fair value, which is equal to the closing price of the company’s common stock on the date of grant multiplied by the number of shares subject to the restricted stock award, is recognized for these awards over the vesting period. The per share weighted-average fair value of restricted stock awards granted during the first nine months of fiscal 2012 and 2011 was $33.61 and $30.62,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basic and diluted weighted-average shares of common stock outstanding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900" w:type="dxa"/>
            <w:vAlign w:val="bottom"/>
            <w:gridSpan w:val="5"/>
          </w:tcPr>
          <w:p>
            <w:pPr>
              <w:ind w:lef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6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540" w:type="dxa"/>
            <w:vAlign w:val="bottom"/>
            <w:tcBorders>
              <w:top w:val="single" w:sz="8" w:color="auto"/>
            </w:tcBorders>
            <w:gridSpan w:val="2"/>
          </w:tcPr>
          <w:p>
            <w:pPr>
              <w:ind w:left="340"/>
              <w:spacing w:after="0" w:line="119" w:lineRule="exact"/>
              <w:rPr>
                <w:sz w:val="20"/>
                <w:szCs w:val="20"/>
                <w:color w:val="auto"/>
              </w:rPr>
            </w:pPr>
            <w:r>
              <w:rPr>
                <w:rFonts w:ascii="Arial" w:cs="Arial" w:eastAsia="Arial" w:hAnsi="Arial"/>
                <w:sz w:val="13"/>
                <w:szCs w:val="13"/>
                <w:b w:val="1"/>
                <w:bCs w:val="1"/>
                <w:color w:val="auto"/>
              </w:rPr>
              <w:t>August 3,</w:t>
            </w:r>
          </w:p>
        </w:tc>
        <w:tc>
          <w:tcPr>
            <w:tcW w:w="1260" w:type="dxa"/>
            <w:vAlign w:val="bottom"/>
            <w:tcBorders>
              <w:top w:val="single" w:sz="8" w:color="auto"/>
            </w:tcBorders>
          </w:tcPr>
          <w:p>
            <w:pPr>
              <w:jc w:val="right"/>
              <w:ind w:right="315"/>
              <w:spacing w:after="0" w:line="119" w:lineRule="exact"/>
              <w:rPr>
                <w:sz w:val="20"/>
                <w:szCs w:val="20"/>
                <w:color w:val="auto"/>
              </w:rPr>
            </w:pPr>
            <w:r>
              <w:rPr>
                <w:rFonts w:ascii="Arial" w:cs="Arial" w:eastAsia="Arial" w:hAnsi="Arial"/>
                <w:sz w:val="13"/>
                <w:szCs w:val="13"/>
                <w:b w:val="1"/>
                <w:bCs w:val="1"/>
                <w:color w:val="auto"/>
              </w:rPr>
              <w:t>July 29,</w:t>
            </w:r>
          </w:p>
        </w:tc>
        <w:tc>
          <w:tcPr>
            <w:tcW w:w="280" w:type="dxa"/>
            <w:vAlign w:val="bottom"/>
          </w:tcPr>
          <w:p>
            <w:pPr>
              <w:spacing w:after="0"/>
              <w:rPr>
                <w:sz w:val="10"/>
                <w:szCs w:val="10"/>
                <w:color w:val="auto"/>
              </w:rPr>
            </w:pPr>
          </w:p>
        </w:tc>
        <w:tc>
          <w:tcPr>
            <w:tcW w:w="1540" w:type="dxa"/>
            <w:vAlign w:val="bottom"/>
            <w:tcBorders>
              <w:top w:val="single" w:sz="8" w:color="auto"/>
            </w:tcBorders>
            <w:gridSpan w:val="2"/>
          </w:tcPr>
          <w:p>
            <w:pPr>
              <w:ind w:left="340"/>
              <w:spacing w:after="0" w:line="119" w:lineRule="exact"/>
              <w:rPr>
                <w:sz w:val="20"/>
                <w:szCs w:val="20"/>
                <w:color w:val="auto"/>
              </w:rPr>
            </w:pPr>
            <w:r>
              <w:rPr>
                <w:rFonts w:ascii="Arial" w:cs="Arial" w:eastAsia="Arial" w:hAnsi="Arial"/>
                <w:sz w:val="13"/>
                <w:szCs w:val="13"/>
                <w:b w:val="1"/>
                <w:bCs w:val="1"/>
                <w:color w:val="auto"/>
              </w:rPr>
              <w:t>August 3,</w:t>
            </w:r>
          </w:p>
        </w:tc>
        <w:tc>
          <w:tcPr>
            <w:tcW w:w="1240" w:type="dxa"/>
            <w:vAlign w:val="bottom"/>
            <w:tcBorders>
              <w:top w:val="single" w:sz="8" w:color="auto"/>
            </w:tcBorders>
          </w:tcPr>
          <w:p>
            <w:pPr>
              <w:jc w:val="right"/>
              <w:ind w:right="295"/>
              <w:spacing w:after="0" w:line="119" w:lineRule="exact"/>
              <w:rPr>
                <w:sz w:val="20"/>
                <w:szCs w:val="20"/>
                <w:color w:val="auto"/>
              </w:rPr>
            </w:pPr>
            <w:r>
              <w:rPr>
                <w:rFonts w:ascii="Arial" w:cs="Arial" w:eastAsia="Arial" w:hAnsi="Arial"/>
                <w:sz w:val="13"/>
                <w:szCs w:val="13"/>
                <w:b w:val="1"/>
                <w:bCs w:val="1"/>
                <w:color w:val="auto"/>
              </w:rPr>
              <w:t>July 29,</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80" w:type="dxa"/>
            <w:vAlign w:val="bottom"/>
            <w:gridSpan w:val="5"/>
            <w:vMerge w:val="continue"/>
          </w:tcPr>
          <w:p>
            <w:pPr>
              <w:spacing w:after="0"/>
              <w:rPr>
                <w:sz w:val="14"/>
                <w:szCs w:val="14"/>
                <w:color w:val="auto"/>
              </w:rPr>
            </w:pPr>
          </w:p>
        </w:tc>
        <w:tc>
          <w:tcPr>
            <w:tcW w:w="12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60" w:type="dxa"/>
            <w:vAlign w:val="bottom"/>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2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60" w:type="dxa"/>
            <w:vAlign w:val="bottom"/>
            <w:tcBorders>
              <w:top w:val="single" w:sz="8" w:color="auto"/>
            </w:tcBorders>
            <w:gridSpan w:val="3"/>
            <w:shd w:val="clear" w:color="auto" w:fill="CCEEFF"/>
          </w:tcPr>
          <w:p>
            <w:pPr>
              <w:spacing w:after="0" w:line="170" w:lineRule="exact"/>
              <w:rPr>
                <w:sz w:val="20"/>
                <w:szCs w:val="20"/>
                <w:color w:val="auto"/>
              </w:rPr>
            </w:pPr>
            <w:r>
              <w:rPr>
                <w:rFonts w:ascii="Arial" w:cs="Arial" w:eastAsia="Arial" w:hAnsi="Arial"/>
                <w:sz w:val="18"/>
                <w:szCs w:val="18"/>
                <w:i w:val="1"/>
                <w:iCs w:val="1"/>
                <w:color w:val="auto"/>
              </w:rPr>
              <w:t>Basic</w:t>
            </w:r>
          </w:p>
        </w:tc>
        <w:tc>
          <w:tcPr>
            <w:tcW w:w="30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gridSpan w:val="4"/>
          </w:tcPr>
          <w:p>
            <w:pPr>
              <w:spacing w:after="0"/>
              <w:rPr>
                <w:sz w:val="20"/>
                <w:szCs w:val="20"/>
                <w:color w:val="auto"/>
              </w:rPr>
            </w:pPr>
            <w:r>
              <w:rPr>
                <w:rFonts w:ascii="Arial" w:cs="Arial" w:eastAsia="Arial" w:hAnsi="Arial"/>
                <w:sz w:val="18"/>
                <w:szCs w:val="18"/>
                <w:color w:val="auto"/>
              </w:rPr>
              <w:t>Weighted-average number of shares of common stock</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59,045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62,353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59,633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issuance of contingent shares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60" w:type="dxa"/>
            <w:vAlign w:val="bottom"/>
            <w:gridSpan w:val="4"/>
          </w:tcPr>
          <w:p>
            <w:pPr>
              <w:spacing w:after="0" w:line="182" w:lineRule="exact"/>
              <w:rPr>
                <w:sz w:val="20"/>
                <w:szCs w:val="20"/>
                <w:color w:val="auto"/>
              </w:rPr>
            </w:pPr>
            <w:r>
              <w:rPr>
                <w:rFonts w:ascii="Arial" w:cs="Arial" w:eastAsia="Arial" w:hAnsi="Arial"/>
                <w:sz w:val="18"/>
                <w:szCs w:val="18"/>
                <w:color w:val="auto"/>
                <w:w w:val="99"/>
              </w:rPr>
              <w:t>Weighted-average number of shares of common stock and</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59,045</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62,353</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59,642</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62,982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540" w:type="dxa"/>
            <w:vAlign w:val="bottom"/>
            <w:gridSpan w:val="2"/>
            <w:vMerge w:val="continue"/>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1540" w:type="dxa"/>
            <w:vAlign w:val="bottom"/>
            <w:gridSpan w:val="2"/>
            <w:vMerge w:val="continue"/>
          </w:tcPr>
          <w:p>
            <w:pPr>
              <w:spacing w:after="0"/>
              <w:rPr>
                <w:sz w:val="22"/>
                <w:szCs w:val="22"/>
                <w:color w:val="auto"/>
              </w:rPr>
            </w:pPr>
          </w:p>
        </w:tc>
        <w:tc>
          <w:tcPr>
            <w:tcW w:w="126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60" w:type="dxa"/>
            <w:vAlign w:val="bottom"/>
            <w:tcBorders>
              <w:top w:val="single" w:sz="8" w:color="CCEEFF"/>
            </w:tcBorders>
            <w:gridSpan w:val="4"/>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Diluted</w:t>
            </w:r>
          </w:p>
        </w:tc>
        <w:tc>
          <w:tcPr>
            <w:tcW w:w="1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gridSpan w:val="4"/>
          </w:tcPr>
          <w:p>
            <w:pPr>
              <w:spacing w:after="0" w:line="201" w:lineRule="exact"/>
              <w:rPr>
                <w:sz w:val="20"/>
                <w:szCs w:val="20"/>
                <w:color w:val="auto"/>
              </w:rPr>
            </w:pPr>
            <w:r>
              <w:rPr>
                <w:rFonts w:ascii="Arial" w:cs="Arial" w:eastAsia="Arial" w:hAnsi="Arial"/>
                <w:sz w:val="18"/>
                <w:szCs w:val="18"/>
                <w:color w:val="auto"/>
                <w:w w:val="99"/>
              </w:rPr>
              <w:t>Weighted-average number of shares of common stock and</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59,045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62,353</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59,642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62,982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60" w:type="dxa"/>
            <w:vAlign w:val="bottom"/>
            <w:gridSpan w:val="4"/>
          </w:tcPr>
          <w:p>
            <w:pPr>
              <w:spacing w:after="0" w:line="182" w:lineRule="exact"/>
              <w:rPr>
                <w:sz w:val="20"/>
                <w:szCs w:val="20"/>
                <w:color w:val="auto"/>
              </w:rPr>
            </w:pPr>
            <w:r>
              <w:rPr>
                <w:rFonts w:ascii="Arial" w:cs="Arial" w:eastAsia="Arial" w:hAnsi="Arial"/>
                <w:sz w:val="18"/>
                <w:szCs w:val="18"/>
                <w:color w:val="auto"/>
              </w:rPr>
              <w:t>Weighted-average number of shares of common stock,</w:t>
            </w:r>
          </w:p>
        </w:tc>
        <w:tc>
          <w:tcPr>
            <w:tcW w:w="12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assumed issuance of contingent shares, and effect of</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60,336</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63,479</w:t>
            </w:r>
          </w:p>
        </w:tc>
        <w:tc>
          <w:tcPr>
            <w:tcW w:w="15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60,829</w:t>
            </w:r>
          </w:p>
        </w:tc>
        <w:tc>
          <w:tcPr>
            <w:tcW w:w="12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64,125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gridSpan w:val="4"/>
          </w:tcPr>
          <w:p>
            <w:pPr>
              <w:ind w:left="160"/>
              <w:spacing w:after="0"/>
              <w:rPr>
                <w:sz w:val="20"/>
                <w:szCs w:val="20"/>
                <w:color w:val="auto"/>
              </w:rPr>
            </w:pPr>
            <w:r>
              <w:rPr>
                <w:rFonts w:ascii="Arial" w:cs="Arial" w:eastAsia="Arial" w:hAnsi="Arial"/>
                <w:sz w:val="18"/>
                <w:szCs w:val="18"/>
                <w:color w:val="auto"/>
              </w:rPr>
              <w:t>dilutive securities</w:t>
            </w:r>
          </w:p>
        </w:tc>
        <w:tc>
          <w:tcPr>
            <w:tcW w:w="154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Share data has been adjusted for all periods presented to reflect a two-for-one stock split effective June 29,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Options to purchase an aggregate of 2,247 and 442,612 shares of common stock outstanding during the third quarter of fiscal 2012 and 2011, respectively, were excluded from the diluted net earnings per share calculation because their exercise prices were greater than the average market price of the company’s common stock during the same respective periods. Options to purchase an aggregate of 32,414 and 383,682 shares of common stock outstanding during the year-to-date periods through the third quarter of fiscal 2012 and 2011, respectively, were excluded from the diluted net earnings per share calculations because their exercise prices were greater than the average market price of the company’s common stock during the same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August 3,</w:t>
            </w:r>
          </w:p>
        </w:tc>
        <w:tc>
          <w:tcPr>
            <w:tcW w:w="260" w:type="dxa"/>
            <w:vAlign w:val="bottom"/>
          </w:tcPr>
          <w:p>
            <w:pPr>
              <w:spacing w:after="0"/>
              <w:rPr>
                <w:sz w:val="13"/>
                <w:szCs w:val="13"/>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work in process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Finished goods and service parts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212,142</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217,594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FIFO value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295,791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288,104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284,031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Less: adjustment to LIFO value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61,001</w:t>
            </w:r>
          </w:p>
        </w:tc>
        <w:tc>
          <w:tcPr>
            <w:tcW w:w="26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55,742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61,001</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234,790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for the first nine months of fiscal 2012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9"/>
              </w:rPr>
              <w:t>Professional</w:t>
            </w:r>
          </w:p>
        </w:tc>
        <w:tc>
          <w:tcPr>
            <w:tcW w:w="20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1160" w:type="dxa"/>
            <w:vAlign w:val="bottom"/>
          </w:tcPr>
          <w:p>
            <w:pPr>
              <w:jc w:val="right"/>
              <w:ind w:right="337"/>
              <w:spacing w:after="0"/>
              <w:rPr>
                <w:sz w:val="20"/>
                <w:szCs w:val="20"/>
                <w:color w:val="auto"/>
              </w:rPr>
            </w:pPr>
            <w:r>
              <w:rPr>
                <w:rFonts w:ascii="Arial" w:cs="Arial" w:eastAsia="Arial" w:hAnsi="Arial"/>
                <w:sz w:val="14"/>
                <w:szCs w:val="14"/>
                <w:b w:val="1"/>
                <w:bCs w:val="1"/>
                <w:color w:val="auto"/>
              </w:rPr>
              <w:t>Segment</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October 31, 2011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80,990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92,020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Translation adjustments</w:t>
            </w:r>
          </w:p>
        </w:tc>
        <w:tc>
          <w:tcPr>
            <w:tcW w:w="20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August 3, 2012</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81,010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amortizable intangible assets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Estimated</w:t>
            </w: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1660" w:type="dxa"/>
            <w:vAlign w:val="bottom"/>
            <w:gridSpan w:val="2"/>
          </w:tcPr>
          <w:p>
            <w:pPr>
              <w:ind w:left="280"/>
              <w:spacing w:after="0"/>
              <w:rPr>
                <w:sz w:val="20"/>
                <w:szCs w:val="20"/>
                <w:color w:val="auto"/>
              </w:rPr>
            </w:pPr>
            <w:r>
              <w:rPr>
                <w:rFonts w:ascii="Arial" w:cs="Arial" w:eastAsia="Arial" w:hAnsi="Arial"/>
                <w:sz w:val="14"/>
                <w:szCs w:val="14"/>
                <w:b w:val="1"/>
                <w:bCs w:val="1"/>
                <w:color w:val="auto"/>
              </w:rPr>
              <w:t>Accumulated</w:t>
            </w:r>
          </w:p>
        </w:tc>
        <w:tc>
          <w:tcPr>
            <w:tcW w:w="13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3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August 3, 2012</w:t>
            </w:r>
          </w:p>
        </w:tc>
        <w:tc>
          <w:tcPr>
            <w:tcW w:w="2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Patents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(7,895)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(3,422)</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2,875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1.5-10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27,994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(9,336)</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18,658</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names</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54,469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29,057</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59,750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1032"/>
              <w:spacing w:after="0"/>
              <w:rPr>
                <w:sz w:val="20"/>
                <w:szCs w:val="20"/>
                <w:color w:val="auto"/>
              </w:rPr>
            </w:pPr>
            <w:r>
              <w:rPr>
                <w:rFonts w:ascii="Arial" w:cs="Arial" w:eastAsia="Arial" w:hAnsi="Arial"/>
                <w:sz w:val="18"/>
                <w:szCs w:val="18"/>
                <w:color w:val="auto"/>
                <w:w w:val="99"/>
              </w:rPr>
              <w:t>9</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2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84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24"/>
                <w:szCs w:val="24"/>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40" w:type="dxa"/>
            <w:vAlign w:val="bottom"/>
            <w:gridSpan w:val="3"/>
          </w:tcPr>
          <w:p>
            <w:pPr>
              <w:spacing w:after="0"/>
              <w:rPr>
                <w:sz w:val="20"/>
                <w:szCs w:val="20"/>
                <w:color w:val="auto"/>
              </w:rPr>
            </w:pPr>
            <w:r>
              <w:rPr>
                <w:rFonts w:ascii="Arial" w:cs="Arial" w:eastAsia="Arial" w:hAnsi="Arial"/>
                <w:sz w:val="14"/>
                <w:szCs w:val="14"/>
                <w:b w:val="1"/>
                <w:bCs w:val="1"/>
                <w:color w:val="auto"/>
              </w:rPr>
              <w:t>October 31, 2011</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6"/>
              </w:rPr>
              <w:t>Life(Years)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Patents</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6,250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(2,685)</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Customer-related</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5-13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(2,857)</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25,236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(7,016)</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18,220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name</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(800)</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1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30,265</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Non-amortizable - trade names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5,281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other intangible assets, net</w:t>
            </w: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56,659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(21,113</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-2007870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-2007870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both"/>
        <w:ind w:right="100" w:firstLine="270"/>
        <w:spacing w:after="0" w:line="264" w:lineRule="auto"/>
        <w:rPr>
          <w:sz w:val="20"/>
          <w:szCs w:val="20"/>
          <w:color w:val="auto"/>
        </w:rPr>
      </w:pPr>
      <w:r>
        <w:rPr>
          <w:rFonts w:ascii="Arial" w:cs="Arial" w:eastAsia="Arial" w:hAnsi="Arial"/>
          <w:sz w:val="18"/>
          <w:szCs w:val="18"/>
          <w:color w:val="auto"/>
        </w:rPr>
        <w:t>Amortization expense for intangible assets during the first nine months of fiscal 2012 was $4.5 million. Estimated amortization expense for the remainder of fiscal 2012 and succeeding fiscal years is as follows: fiscal 2012 (remainder), $1.5 million; fiscal 2013, $5.8 million; fiscal 2014, $5.4 million; fiscal 2015, $5.2 million; fiscal 2016, $4.7 million; fiscal 2017, $3.7 million; and after fiscal 2017, $2.8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Joint Venture</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2009, the company and TCF Inventory Finance, Inc. (“TCFIF”), a subsidiary of TCF National Bank, established Red Iron Acceptance, LLC (“Red Iron”), a joint venture in the form of a Delaware limited liability company that provides inventory financing, including floor plan and open account receivable financing, to distributors and dealers of the company’s products in the U.S. and to select distributors of the company’s products in Canada. On June 6, 2012, the company and TCFIF entered into amendments to certain of the agreements pertaining to Red Iron, among other things, to extend the initial term of Red Iron until October 31, 2017, subject to unlimited automatic two-year extensions thereafter. Either the company or TCFIF may elect not to extend the initial term or any subsequent term by giving one-year notice to the other party of its intention not to extend the term. Additionally, in connection with the joint venture, the company and an affiliate of TCFIF entered into an arrangement to provide inventory financing to dealers of the company’s products in Canada. In connection with the establishment of Red Iron, the company terminated its agreement with a third party financing company that previously provided floor plan financing to dealers of the company’s products in the U.S. and Canada.</w:t>
      </w:r>
    </w:p>
    <w:p>
      <w:pPr>
        <w:spacing w:after="0" w:line="182" w:lineRule="exact"/>
        <w:rPr>
          <w:sz w:val="20"/>
          <w:szCs w:val="20"/>
          <w:color w:val="auto"/>
        </w:rPr>
      </w:pPr>
    </w:p>
    <w:p>
      <w:pPr>
        <w:ind w:right="120" w:firstLine="270"/>
        <w:spacing w:after="0" w:line="271"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Each of the company and TCFIF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$450 million secured revolving credit facility established under a credit agreement between Red Iron and TCFIF. The company’s total investment in Red Iron as of August 3, 2012 was $14.4 million. The company has not guaranteed the outstanding indebtedness of Red Iron. The company has agreed to repurchase products repossessed by Red Iron and the TCFIF Canadian affiliate, up to a maximum aggregate amount of $7.5 million in a calendar year. In addition, the company has provided recourse to Red Iron for certain outstanding receivables, which amounted to a maximum amount of $0.2 million as of August 3, 2012.</w:t>
      </w:r>
    </w:p>
    <w:p>
      <w:pPr>
        <w:spacing w:after="0" w:line="17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Under the repurchase agreement between Red Iron and the company, Red Iron provides financing for certain dealers and distributors. These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Under separate agreements between Red Iron and the dealers and distributors, Red Iron provides loans to the dealers and distributors for the advances paid by Red Iron to the company. The net amount of new receivables financed for dealers and distributors under this arrangement for the nine months ended August 3, 2012 and July 29, 2011 was $920.3 million and $890.9 million, respectively.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August 3, 2012, Red Iron’s total assets were $291.2 million and total liabilities were $259.2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Guarantees</w:t>
      </w:r>
    </w:p>
    <w:p>
      <w:pPr>
        <w:spacing w:after="0" w:line="22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company’s products are warranted to ensure customer confidence in design, workmanship, and overall quality. Warranty coverage is for specified periods of time and on select products’ hours of usage, and generally covers parts, labor, and other expenses for non-maintenance repairs. Warranty coverage generally does not cover operator abuse or improper use. An authorized company distributor or dealer must perform warranty work. Distributors and dealers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0" w:gutter="0" w:footer="0" w:header="0"/>
        </w:sectPr>
      </w:pPr>
    </w:p>
    <w:bookmarkStart w:id="7" w:name="page8"/>
    <w:bookmarkEnd w:id="7"/>
    <w:p>
      <w:pPr>
        <w:ind w:right="360"/>
        <w:spacing w:after="0" w:line="277" w:lineRule="auto"/>
        <w:rPr>
          <w:sz w:val="20"/>
          <w:szCs w:val="20"/>
          <w:color w:val="auto"/>
        </w:rPr>
      </w:pPr>
      <w:r>
        <w:rPr>
          <w:rFonts w:ascii="Arial" w:cs="Arial" w:eastAsia="Arial" w:hAnsi="Arial"/>
          <w:sz w:val="18"/>
          <w:szCs w:val="18"/>
          <w:color w:val="auto"/>
        </w:rPr>
        <w:t>the sale and resulting warranty claim, and other minor factors. Special warranty reserves are also accrued for major rework campaigns. The company sells extended warranty coverage on select products for a prescribed period after the factory warranty period expires.</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Warranty provisions, claims, changes in estimates, and additions from acquisitions for the first nine months of fiscal 2012 and 2011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tcPr>
          <w:p>
            <w:pPr>
              <w:jc w:val="right"/>
              <w:ind w:right="660"/>
              <w:spacing w:after="0" w:line="119" w:lineRule="exact"/>
              <w:rPr>
                <w:sz w:val="20"/>
                <w:szCs w:val="20"/>
                <w:color w:val="auto"/>
              </w:rPr>
            </w:pPr>
            <w:r>
              <w:rPr>
                <w:rFonts w:ascii="Arial" w:cs="Arial" w:eastAsia="Arial" w:hAnsi="Arial"/>
                <w:sz w:val="13"/>
                <w:szCs w:val="13"/>
                <w:b w:val="1"/>
                <w:bCs w:val="1"/>
                <w:color w:val="auto"/>
              </w:rPr>
              <w:t>August 3,</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5"/>
              <w:spacing w:after="0" w:line="119" w:lineRule="exact"/>
              <w:rPr>
                <w:sz w:val="20"/>
                <w:szCs w:val="20"/>
                <w:color w:val="auto"/>
              </w:rPr>
            </w:pPr>
            <w:r>
              <w:rPr>
                <w:rFonts w:ascii="Arial" w:cs="Arial" w:eastAsia="Arial" w:hAnsi="Arial"/>
                <w:sz w:val="13"/>
                <w:szCs w:val="13"/>
                <w:b w:val="1"/>
                <w:bCs w:val="1"/>
                <w:color w:val="auto"/>
              </w:rPr>
              <w:t>July 29,</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56,934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Warranty provisions</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32,268</w:t>
            </w: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32,739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claims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(23,656)</w:t>
            </w: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(21,813)</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Changes in estimates</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73,725</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70,314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29" w:lineRule="exact"/>
        <w:rPr>
          <w:sz w:val="20"/>
          <w:szCs w:val="20"/>
          <w:color w:val="auto"/>
        </w:rPr>
      </w:pPr>
    </w:p>
    <w:p>
      <w:pPr>
        <w:ind w:right="700"/>
        <w:spacing w:after="0" w:line="302" w:lineRule="auto"/>
        <w:rPr>
          <w:sz w:val="20"/>
          <w:szCs w:val="20"/>
          <w:color w:val="auto"/>
        </w:rPr>
      </w:pPr>
      <w:r>
        <w:rPr>
          <w:rFonts w:ascii="Arial" w:cs="Arial" w:eastAsia="Arial" w:hAnsi="Arial"/>
          <w:sz w:val="16"/>
          <w:szCs w:val="16"/>
          <w:color w:val="auto"/>
        </w:rPr>
        <w:t>The presentation of segment information reflects the manner in which management organizes segments for making operating decisions and assessing performance. On this basis, the company has determined it has three reportable business segments: Professional, Residential, and Distribution. The Distribution segment, which consists of company-owned domestic distributorships, has been combined with the company’s corporate activities and elimination of intersegment revenues and expenses that is shown as “Other” in the following tables due to the insignificance of the segment.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shows the summarized financial information concerning the company’s reportable segments: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14"/>
                <w:szCs w:val="14"/>
                <w:color w:val="auto"/>
              </w:rPr>
            </w:pPr>
          </w:p>
        </w:tc>
        <w:tc>
          <w:tcPr>
            <w:tcW w:w="12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August 3, 2012</w:t>
            </w:r>
          </w:p>
        </w:tc>
        <w:tc>
          <w:tcPr>
            <w:tcW w:w="2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361,120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135,894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504,076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12,012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70,537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10,048</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59,468</w:t>
            </w:r>
          </w:p>
        </w:tc>
        <w:tc>
          <w:tcPr>
            <w:tcW w:w="0" w:type="dxa"/>
            <w:vAlign w:val="bottom"/>
          </w:tcPr>
          <w:p>
            <w:pPr>
              <w:spacing w:after="0"/>
              <w:rPr>
                <w:sz w:val="1"/>
                <w:szCs w:val="1"/>
                <w:color w:val="auto"/>
              </w:rPr>
            </w:pPr>
          </w:p>
        </w:tc>
      </w:tr>
      <w:tr>
        <w:trPr>
          <w:trHeight w:val="36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July 29, 2011</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345,972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501,045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10,678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842</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(11,520)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64,344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4,638</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(16,691)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52,291</w:t>
            </w:r>
          </w:p>
        </w:tc>
        <w:tc>
          <w:tcPr>
            <w:tcW w:w="0" w:type="dxa"/>
            <w:vAlign w:val="bottom"/>
          </w:tcPr>
          <w:p>
            <w:pPr>
              <w:spacing w:after="0"/>
              <w:rPr>
                <w:sz w:val="1"/>
                <w:szCs w:val="1"/>
                <w:color w:val="auto"/>
              </w:rPr>
            </w:pPr>
          </w:p>
        </w:tc>
      </w:tr>
      <w:tr>
        <w:trPr>
          <w:trHeight w:val="36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August 3, 2012</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1,100,899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505,399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13,098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1,619,396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31,134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(31,136)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211,329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51,174</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193,946</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548,381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179,452</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258,695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986,528</w:t>
            </w:r>
          </w:p>
        </w:tc>
        <w:tc>
          <w:tcPr>
            <w:tcW w:w="0" w:type="dxa"/>
            <w:vAlign w:val="bottom"/>
          </w:tcPr>
          <w:p>
            <w:pPr>
              <w:spacing w:after="0"/>
              <w:rPr>
                <w:sz w:val="1"/>
                <w:szCs w:val="1"/>
                <w:color w:val="auto"/>
              </w:rPr>
            </w:pPr>
          </w:p>
        </w:tc>
      </w:tr>
      <w:tr>
        <w:trPr>
          <w:trHeight w:val="35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Nine months ended July 29, 2011</w:t>
            </w:r>
          </w:p>
        </w:tc>
        <w:tc>
          <w:tcPr>
            <w:tcW w:w="22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Professional</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Residential</w:t>
            </w:r>
          </w:p>
        </w:tc>
        <w:tc>
          <w:tcPr>
            <w:tcW w:w="300" w:type="dxa"/>
            <w:vAlign w:val="bottom"/>
          </w:tcPr>
          <w:p>
            <w:pPr>
              <w:spacing w:after="0"/>
              <w:rPr>
                <w:sz w:val="24"/>
                <w:szCs w:val="24"/>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1,022,536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480,404</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1,515,858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Intersegment gross sales</w:t>
            </w:r>
          </w:p>
        </w:tc>
        <w:tc>
          <w:tcPr>
            <w:tcW w:w="2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30,245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3,006</w:t>
            </w: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(33,251)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42,545</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167,244</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540,977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210,479</w:t>
            </w:r>
          </w:p>
        </w:tc>
        <w:tc>
          <w:tcPr>
            <w:tcW w:w="30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216,091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967,547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the components of the loss before income taxes included in “Other” shown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August 3,</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77"/>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August 3,</w:t>
            </w:r>
          </w:p>
        </w:tc>
        <w:tc>
          <w:tcPr>
            <w:tcW w:w="2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357"/>
              <w:spacing w:after="0" w:line="119" w:lineRule="exact"/>
              <w:rPr>
                <w:sz w:val="20"/>
                <w:szCs w:val="20"/>
                <w:color w:val="auto"/>
              </w:rPr>
            </w:pPr>
            <w:r>
              <w:rPr>
                <w:rFonts w:ascii="Arial" w:cs="Arial" w:eastAsia="Arial" w:hAnsi="Arial"/>
                <w:sz w:val="13"/>
                <w:szCs w:val="13"/>
                <w:b w:val="1"/>
                <w:bCs w:val="1"/>
                <w:color w:val="auto"/>
              </w:rPr>
              <w:t>July 29,</w:t>
            </w: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0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477"/>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477"/>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8"/>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77"/>
              </w:rPr>
              <w:t>(60,991)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(53,227)</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(4,198)</w:t>
            </w: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(4,294)</w:t>
            </w:r>
          </w:p>
        </w:tc>
        <w:tc>
          <w:tcPr>
            <w:tcW w:w="240" w:type="dxa"/>
            <w:vAlign w:val="bottom"/>
          </w:tcPr>
          <w:p>
            <w:pPr>
              <w:spacing w:after="0"/>
              <w:rPr>
                <w:sz w:val="18"/>
                <w:szCs w:val="18"/>
                <w:color w:val="auto"/>
              </w:rPr>
            </w:pPr>
          </w:p>
        </w:tc>
        <w:tc>
          <w:tcPr>
            <w:tcW w:w="1400" w:type="dxa"/>
            <w:vAlign w:val="bottom"/>
            <w:gridSpan w:val="2"/>
          </w:tcPr>
          <w:p>
            <w:pPr>
              <w:ind w:left="580"/>
              <w:spacing w:after="0"/>
              <w:rPr>
                <w:sz w:val="20"/>
                <w:szCs w:val="20"/>
                <w:color w:val="auto"/>
              </w:rPr>
            </w:pPr>
            <w:r>
              <w:rPr>
                <w:rFonts w:ascii="Arial" w:cs="Arial" w:eastAsia="Arial" w:hAnsi="Arial"/>
                <w:sz w:val="18"/>
                <w:szCs w:val="18"/>
                <w:color w:val="auto"/>
              </w:rPr>
              <w:t>(12,791)</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(12,596)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3,065</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5,225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(16,691</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5"/>
              </w:rPr>
              <w:t>(68,557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9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 Retirement</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November 30, 2011, the company’s Board of Directors authorized the retirement of 30 million treasury shares, adjusted for the two-for-one stock split discussed previously.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2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 party customers, sales and loans to wholly owned foreign subsidiaries, foreign plant operations, and purchases from suppliers. The company actively manages the exposure of its foreign currency exchange rate market risk by entering into various hedging instruments, authorized under company policies that place controls on these activities, with counterparties that are highly rated financial institutions. The company’s hedging activities primarily involve the use of forward currency contracts and cross currency swaps that are intended to offset intercompany loan exposures. The company uses derivative instruments only in an attempt to limit underlying exposure from foreign currency exchange rate fluctuations and to minimize earnings and cash flow volatility associated with foreign currency exchange rate changes. Decisions on whether to use such contracts are primarily based on the amount of exposure to the currency involved and an assessment of the near-term market value for each currency. The company’s policy does not allow the use of derivatives for trading or speculative purposes. The company also has made an accounting policy election to use the portfolio exception permitted in ASU No. 2011-04 with respect to measuring</w:t>
      </w:r>
    </w:p>
    <w:p>
      <w:pPr>
        <w:sectPr>
          <w:pgSz w:w="11900" w:h="16838" w:orient="portrait"/>
          <w:cols w:equalWidth="0" w:num="1">
            <w:col w:w="11460"/>
          </w:cols>
          <w:pgMar w:left="240" w:top="125" w:right="199" w:bottom="0" w:gutter="0" w:footer="0" w:header="0"/>
        </w:sectPr>
      </w:pPr>
    </w:p>
    <w:bookmarkStart w:id="8" w:name="page9"/>
    <w:bookmarkEnd w:id="8"/>
    <w:p>
      <w:pPr>
        <w:ind w:right="20"/>
        <w:spacing w:after="0" w:line="259" w:lineRule="auto"/>
        <w:rPr>
          <w:sz w:val="20"/>
          <w:szCs w:val="20"/>
          <w:color w:val="auto"/>
        </w:rPr>
      </w:pPr>
      <w:r>
        <w:rPr>
          <w:rFonts w:ascii="Arial" w:cs="Arial" w:eastAsia="Arial" w:hAnsi="Arial"/>
          <w:sz w:val="18"/>
          <w:szCs w:val="18"/>
          <w:color w:val="auto"/>
        </w:rPr>
        <w:t>counterparty credit risk for derivative instruments, and to measure the fair value of a portfolio of financial assets and financial liabilities on the basis of the net open risk position with each counterparty. The company’s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b w:val="1"/>
          <w:bCs w:val="1"/>
          <w:i w:val="1"/>
          <w:iCs w:val="1"/>
          <w:color w:val="auto"/>
        </w:rPr>
        <w:t>Cash flow hedges</w:t>
      </w:r>
      <w:r>
        <w:rPr>
          <w:rFonts w:ascii="Arial" w:cs="Arial" w:eastAsia="Arial" w:hAnsi="Arial"/>
          <w:sz w:val="16"/>
          <w:szCs w:val="16"/>
          <w:color w:val="auto"/>
        </w:rPr>
        <w:t>. The company recognizes all derivative instruments as either assets or liabilities at fair value on the consolidated balance sheet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formally documents relationships between cash flow hedging instruments and hedged transactions, as well as its risk-management objective and strategy for undertaking hedge transactions. This process includes linking all derivatives to the forecasted transactions, such as sales to third parties and foreign plant operations. Changes in fair values of outstanding cash flow hedge derivatives, except the ineffective portion, are recorded in other comprehensive income (“OCI”), until net earnings is affected by the variability of cash flows of the hedged transaction. Gains and losses on the derivative representing either hedge ineffectiveness or hedge components excluded from the assessment of effectiveness are recognized in net earnings. The consolidated statement of earnings classification of effective hedge results is the same as that of the underlying exposure. Results of hedges of sales and foreign plant operations are recorded in net sales and cost of sales, respectively, when the underlying hedged transaction affects net earnings. The maximum amount of time the company hedges its exposure to the variability in future cash flows for forecasted trade sales and purchases is two years. Results of hedges of intercompany loans are recorded in other income, net as an offset to the remeasurement of the foreign loan balance.</w:t>
      </w:r>
    </w:p>
    <w:p>
      <w:pPr>
        <w:spacing w:after="0" w:line="169" w:lineRule="exact"/>
        <w:rPr>
          <w:sz w:val="20"/>
          <w:szCs w:val="20"/>
          <w:color w:val="auto"/>
        </w:rPr>
      </w:pPr>
    </w:p>
    <w:p>
      <w:pPr>
        <w:ind w:firstLine="270"/>
        <w:spacing w:after="0" w:line="268" w:lineRule="auto"/>
        <w:rPr>
          <w:sz w:val="20"/>
          <w:szCs w:val="20"/>
          <w:color w:val="auto"/>
        </w:rPr>
      </w:pPr>
      <w:r>
        <w:rPr>
          <w:rFonts w:ascii="Arial" w:cs="Arial" w:eastAsia="Arial" w:hAnsi="Arial"/>
          <w:sz w:val="17"/>
          <w:szCs w:val="17"/>
          <w:color w:val="auto"/>
        </w:rPr>
        <w:t>The company formally assesses, at a hedge’s inception and on an ongoing basis, whether the derivatives that are designated as hedges have been highly effective in offsetting changes in the cash flows of the hedged transactions and whether those derivatives may be expected to remain highly effective in future periods. When it is determined that a derivative is not, or has ceased to be, highly effective as a hedge, the company discontinues hedge accounting prospectively. When the company discontinues hedge accounting because it is no longer probable, but it is still reasonably possible that the forecasted transaction will occur by the end of the originally expected period or within an additional two-month period of time thereafter, the gain or loss on the derivative remains in accumulated other comprehensive loss (“AOCL”) and is reclassified to net earnings when the forecasted transaction affects net earnings. However, if it is probable that a forecasted transaction will not occur by the end of the originally specified time period or within an additional two-month period of time thereafter, the gains and losses that were in AOCL are recognized immediately in net earnings. In all situations in which hedge accounting is discontinued and the derivative remains outstanding, the company carries the derivative at its fair value on the consolidated balance sheet, recognizing future changes in the fair value in other income, net. For the third quarter of fiscal 2012, there were no gains or losses on contracts reclassified into earnings as a result of the discontinuance of cash flow hedges. As of August 3, 2012, the notional amount of outstanding forward contracts designated as cash flow hedges was $57.2 million. Additionally, the company has one cross-currency interest rate swap instrument outstanding as of August 3, 2012 for a fixed pay notional of 36.6 million Romanian New Leu and receive floating notional of 8.5 million Euro.</w:t>
      </w:r>
    </w:p>
    <w:p>
      <w:pPr>
        <w:spacing w:after="0" w:line="18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b w:val="1"/>
          <w:bCs w:val="1"/>
          <w:i w:val="1"/>
          <w:iCs w:val="1"/>
          <w:color w:val="auto"/>
        </w:rPr>
        <w:t xml:space="preserve">Derivatives not designated as hedging instruments. </w:t>
      </w:r>
      <w:r>
        <w:rPr>
          <w:rFonts w:ascii="Arial" w:cs="Arial" w:eastAsia="Arial" w:hAnsi="Arial"/>
          <w:sz w:val="16"/>
          <w:szCs w:val="16"/>
          <w:color w:val="auto"/>
        </w:rPr>
        <w:t>The company also enters into foreign currency contracts that include forward currency contracts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cross currency swaps to mitigate the remeasurement of specific assets and liabilities on the consolidated balance sheet. These contracts are not designated as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consolidated statements of earnings together with the transaction gain or loss from the hedged balance sheet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presents the fair value of the company’s derivatives and consolidated balance sheet location.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ind w:left="280"/>
              <w:spacing w:after="0"/>
              <w:rPr>
                <w:sz w:val="20"/>
                <w:szCs w:val="20"/>
                <w:color w:val="auto"/>
              </w:rPr>
            </w:pPr>
            <w:r>
              <w:rPr>
                <w:rFonts w:ascii="Arial" w:cs="Arial" w:eastAsia="Arial" w:hAnsi="Arial"/>
                <w:sz w:val="13"/>
                <w:szCs w:val="13"/>
                <w:b w:val="1"/>
                <w:bCs w:val="1"/>
                <w:color w:val="auto"/>
              </w:rPr>
              <w:t>Asset Derivatives</w:t>
            </w: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Liability Derivatives</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Borders>
              <w:bottom w:val="single" w:sz="8" w:color="auto"/>
            </w:tcBorders>
            <w:gridSpan w:val="3"/>
          </w:tcPr>
          <w:p>
            <w:pPr>
              <w:ind w:left="720"/>
              <w:spacing w:after="0" w:line="129" w:lineRule="exact"/>
              <w:rPr>
                <w:sz w:val="20"/>
                <w:szCs w:val="20"/>
                <w:color w:val="auto"/>
              </w:rPr>
            </w:pPr>
            <w:r>
              <w:rPr>
                <w:rFonts w:ascii="Arial" w:cs="Arial" w:eastAsia="Arial" w:hAnsi="Arial"/>
                <w:sz w:val="13"/>
                <w:szCs w:val="13"/>
                <w:b w:val="1"/>
                <w:bCs w:val="1"/>
                <w:color w:val="auto"/>
                <w:w w:val="91"/>
              </w:rPr>
              <w:t>August 3, 2012</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tcBorders>
              <w:bottom w:val="single" w:sz="8" w:color="auto"/>
            </w:tcBorders>
            <w:gridSpan w:val="3"/>
          </w:tcPr>
          <w:p>
            <w:pPr>
              <w:jc w:val="right"/>
              <w:ind w:right="505"/>
              <w:spacing w:after="0" w:line="129" w:lineRule="exact"/>
              <w:rPr>
                <w:sz w:val="20"/>
                <w:szCs w:val="20"/>
                <w:color w:val="auto"/>
              </w:rPr>
            </w:pPr>
            <w:r>
              <w:rPr>
                <w:rFonts w:ascii="Arial" w:cs="Arial" w:eastAsia="Arial" w:hAnsi="Arial"/>
                <w:sz w:val="13"/>
                <w:szCs w:val="13"/>
                <w:b w:val="1"/>
                <w:bCs w:val="1"/>
                <w:color w:val="auto"/>
              </w:rPr>
              <w:t>July 29, 2011</w:t>
            </w: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Borders>
              <w:bottom w:val="single" w:sz="8" w:color="auto"/>
            </w:tcBorders>
            <w:gridSpan w:val="3"/>
          </w:tcPr>
          <w:p>
            <w:pPr>
              <w:jc w:val="right"/>
              <w:ind w:right="13"/>
              <w:spacing w:after="0" w:line="129" w:lineRule="exact"/>
              <w:rPr>
                <w:sz w:val="20"/>
                <w:szCs w:val="20"/>
                <w:color w:val="auto"/>
              </w:rPr>
            </w:pPr>
            <w:r>
              <w:rPr>
                <w:rFonts w:ascii="Arial" w:cs="Arial" w:eastAsia="Arial" w:hAnsi="Arial"/>
                <w:sz w:val="13"/>
                <w:szCs w:val="13"/>
                <w:b w:val="1"/>
                <w:bCs w:val="1"/>
                <w:color w:val="auto"/>
              </w:rPr>
              <w:t>August 3, 2012</w:t>
            </w:r>
          </w:p>
        </w:tc>
        <w:tc>
          <w:tcPr>
            <w:tcW w:w="6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Borders>
              <w:bottom w:val="single" w:sz="8" w:color="auto"/>
            </w:tcBorders>
            <w:gridSpan w:val="3"/>
          </w:tcPr>
          <w:p>
            <w:pPr>
              <w:jc w:val="right"/>
              <w:ind w:right="33"/>
              <w:spacing w:after="0" w:line="129" w:lineRule="exact"/>
              <w:rPr>
                <w:sz w:val="20"/>
                <w:szCs w:val="20"/>
                <w:color w:val="auto"/>
              </w:rPr>
            </w:pPr>
            <w:r>
              <w:rPr>
                <w:rFonts w:ascii="Arial" w:cs="Arial" w:eastAsia="Arial" w:hAnsi="Arial"/>
                <w:sz w:val="13"/>
                <w:szCs w:val="13"/>
                <w:b w:val="1"/>
                <w:bCs w:val="1"/>
                <w:color w:val="auto"/>
              </w:rPr>
              <w:t>July 29, 2011</w:t>
            </w:r>
          </w:p>
        </w:tc>
        <w:tc>
          <w:tcPr>
            <w:tcW w:w="6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1"/>
              </w:rPr>
              <w:t>Balance</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Balance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1"/>
              </w:rPr>
              <w:t>Balance</w:t>
            </w: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tcPr>
          <w:p>
            <w:pPr>
              <w:jc w:val="center"/>
              <w:ind w:right="160"/>
              <w:spacing w:after="0" w:line="110" w:lineRule="exact"/>
              <w:rPr>
                <w:sz w:val="20"/>
                <w:szCs w:val="20"/>
                <w:color w:val="auto"/>
              </w:rPr>
            </w:pPr>
            <w:r>
              <w:rPr>
                <w:rFonts w:ascii="Arial" w:cs="Arial" w:eastAsia="Arial" w:hAnsi="Arial"/>
                <w:sz w:val="12"/>
                <w:szCs w:val="12"/>
                <w:b w:val="1"/>
                <w:bCs w:val="1"/>
                <w:color w:val="auto"/>
                <w:w w:val="91"/>
              </w:rPr>
              <w:t>Balance</w:t>
            </w: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Sheet</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13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Sheet</w:t>
            </w:r>
          </w:p>
        </w:tc>
        <w:tc>
          <w:tcPr>
            <w:tcW w:w="700" w:type="dxa"/>
            <w:vAlign w:val="bottom"/>
          </w:tcPr>
          <w:p>
            <w:pPr>
              <w:jc w:val="right"/>
              <w:ind w:right="65"/>
              <w:spacing w:after="0" w:line="135" w:lineRule="exact"/>
              <w:rPr>
                <w:sz w:val="20"/>
                <w:szCs w:val="20"/>
                <w:color w:val="auto"/>
              </w:rPr>
            </w:pPr>
            <w:r>
              <w:rPr>
                <w:rFonts w:ascii="Arial" w:cs="Arial" w:eastAsia="Arial" w:hAnsi="Arial"/>
                <w:sz w:val="13"/>
                <w:szCs w:val="13"/>
                <w:b w:val="1"/>
                <w:bCs w:val="1"/>
                <w:color w:val="auto"/>
              </w:rPr>
              <w:t>Fair</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Sheet</w:t>
            </w:r>
          </w:p>
        </w:tc>
        <w:tc>
          <w:tcPr>
            <w:tcW w:w="240" w:type="dxa"/>
            <w:vAlign w:val="bottom"/>
          </w:tcPr>
          <w:p>
            <w:pPr>
              <w:spacing w:after="0"/>
              <w:rPr>
                <w:sz w:val="11"/>
                <w:szCs w:val="11"/>
                <w:color w:val="auto"/>
              </w:rPr>
            </w:pPr>
          </w:p>
        </w:tc>
        <w:tc>
          <w:tcPr>
            <w:tcW w:w="740" w:type="dxa"/>
            <w:vAlign w:val="bottom"/>
            <w:gridSpan w:val="2"/>
          </w:tcPr>
          <w:p>
            <w:pPr>
              <w:jc w:val="right"/>
              <w:ind w:right="420"/>
              <w:spacing w:after="0" w:line="135"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1"/>
                <w:szCs w:val="11"/>
                <w:color w:val="auto"/>
              </w:rPr>
            </w:pPr>
          </w:p>
        </w:tc>
        <w:tc>
          <w:tcPr>
            <w:tcW w:w="13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4"/>
              </w:rPr>
              <w:t>Sheet</w:t>
            </w:r>
          </w:p>
        </w:tc>
        <w:tc>
          <w:tcPr>
            <w:tcW w:w="220" w:type="dxa"/>
            <w:vAlign w:val="bottom"/>
          </w:tcPr>
          <w:p>
            <w:pPr>
              <w:spacing w:after="0"/>
              <w:rPr>
                <w:sz w:val="11"/>
                <w:szCs w:val="11"/>
                <w:color w:val="auto"/>
              </w:rPr>
            </w:pPr>
          </w:p>
        </w:tc>
        <w:tc>
          <w:tcPr>
            <w:tcW w:w="7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53"/>
        </w:trPr>
        <w:tc>
          <w:tcPr>
            <w:tcW w:w="190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8"/>
              </w:rPr>
              <w:t>Location</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4"/>
              </w:rPr>
              <w:t>Location</w:t>
            </w:r>
          </w:p>
        </w:tc>
        <w:tc>
          <w:tcPr>
            <w:tcW w:w="700" w:type="dxa"/>
            <w:vAlign w:val="bottom"/>
          </w:tcPr>
          <w:p>
            <w:pPr>
              <w:jc w:val="right"/>
              <w:ind w:right="2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Location</w:t>
            </w:r>
          </w:p>
        </w:tc>
        <w:tc>
          <w:tcPr>
            <w:tcW w:w="24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Value</w:t>
            </w:r>
          </w:p>
        </w:tc>
        <w:tc>
          <w:tcPr>
            <w:tcW w:w="8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Location</w:t>
            </w:r>
          </w:p>
        </w:tc>
        <w:tc>
          <w:tcPr>
            <w:tcW w:w="22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Derivatives Designated as</w:t>
            </w: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gridSpan w:val="2"/>
            <w:shd w:val="clear" w:color="auto" w:fill="CCEEFF"/>
          </w:tcPr>
          <w:p>
            <w:pPr>
              <w:ind w:left="160"/>
              <w:spacing w:after="0"/>
              <w:rPr>
                <w:sz w:val="20"/>
                <w:szCs w:val="20"/>
                <w:color w:val="auto"/>
              </w:rPr>
            </w:pPr>
            <w:r>
              <w:rPr>
                <w:rFonts w:ascii="Arial" w:cs="Arial" w:eastAsia="Arial" w:hAnsi="Arial"/>
                <w:sz w:val="13"/>
                <w:szCs w:val="13"/>
                <w:b w:val="1"/>
                <w:bCs w:val="1"/>
                <w:color w:val="auto"/>
              </w:rPr>
              <w:t>Hedging Instruments</w:t>
            </w: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Forward currency contracts</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4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14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700" w:type="dxa"/>
            <w:vAlign w:val="bottom"/>
            <w:shd w:val="clear" w:color="auto" w:fill="CCEEFF"/>
          </w:tcPr>
          <w:p>
            <w:pPr>
              <w:jc w:val="right"/>
              <w:ind w:right="585"/>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liabilities</w:t>
            </w: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961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gridSpan w:val="2"/>
          </w:tcPr>
          <w:p>
            <w:pPr>
              <w:spacing w:after="0" w:line="135" w:lineRule="exact"/>
              <w:rPr>
                <w:sz w:val="20"/>
                <w:szCs w:val="20"/>
                <w:color w:val="auto"/>
              </w:rPr>
            </w:pPr>
            <w:r>
              <w:rPr>
                <w:rFonts w:ascii="Arial" w:cs="Arial" w:eastAsia="Arial" w:hAnsi="Arial"/>
                <w:sz w:val="13"/>
                <w:szCs w:val="13"/>
                <w:color w:val="auto"/>
              </w:rPr>
              <w:t>Cross currency swaps</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624</w:t>
            </w:r>
          </w:p>
        </w:tc>
        <w:tc>
          <w:tcPr>
            <w:tcW w:w="14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70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Accrued liabilities</w:t>
            </w:r>
          </w:p>
        </w:tc>
        <w:tc>
          <w:tcPr>
            <w:tcW w:w="2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1880" w:type="dxa"/>
            <w:vAlign w:val="bottom"/>
            <w:gridSpan w:val="2"/>
          </w:tcPr>
          <w:p>
            <w:pPr>
              <w:spacing w:after="0" w:line="117" w:lineRule="exact"/>
              <w:rPr>
                <w:sz w:val="20"/>
                <w:szCs w:val="20"/>
                <w:color w:val="auto"/>
              </w:rPr>
            </w:pPr>
            <w:r>
              <w:rPr>
                <w:rFonts w:ascii="Arial" w:cs="Arial" w:eastAsia="Arial" w:hAnsi="Arial"/>
                <w:sz w:val="13"/>
                <w:szCs w:val="13"/>
                <w:b w:val="1"/>
                <w:bCs w:val="1"/>
                <w:color w:val="auto"/>
                <w:w w:val="99"/>
              </w:rPr>
              <w:t>Derivatives Not Designated as</w:t>
            </w: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80" w:type="dxa"/>
            <w:vAlign w:val="bottom"/>
            <w:gridSpan w:val="2"/>
          </w:tcPr>
          <w:p>
            <w:pPr>
              <w:ind w:left="160"/>
              <w:spacing w:after="0"/>
              <w:rPr>
                <w:sz w:val="20"/>
                <w:szCs w:val="20"/>
                <w:color w:val="auto"/>
              </w:rPr>
            </w:pPr>
            <w:r>
              <w:rPr>
                <w:rFonts w:ascii="Arial" w:cs="Arial" w:eastAsia="Arial" w:hAnsi="Arial"/>
                <w:sz w:val="13"/>
                <w:szCs w:val="13"/>
                <w:b w:val="1"/>
                <w:bCs w:val="1"/>
                <w:color w:val="auto"/>
              </w:rPr>
              <w:t>Hedging Instruments</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gridSpan w:val="2"/>
          </w:tcPr>
          <w:p>
            <w:pPr>
              <w:spacing w:after="0" w:line="135" w:lineRule="exact"/>
              <w:rPr>
                <w:sz w:val="20"/>
                <w:szCs w:val="20"/>
                <w:color w:val="auto"/>
              </w:rPr>
            </w:pPr>
            <w:r>
              <w:rPr>
                <w:rFonts w:ascii="Arial" w:cs="Arial" w:eastAsia="Arial" w:hAnsi="Arial"/>
                <w:sz w:val="13"/>
                <w:szCs w:val="13"/>
                <w:color w:val="auto"/>
              </w:rPr>
              <w:t>Forward currency contracts</w:t>
            </w:r>
          </w:p>
        </w:tc>
        <w:tc>
          <w:tcPr>
            <w:tcW w:w="1140" w:type="dxa"/>
            <w:vAlign w:val="bottom"/>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970</w:t>
            </w:r>
          </w:p>
        </w:tc>
        <w:tc>
          <w:tcPr>
            <w:tcW w:w="14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700" w:type="dxa"/>
            <w:vAlign w:val="bottom"/>
          </w:tcPr>
          <w:p>
            <w:pPr>
              <w:spacing w:after="0"/>
              <w:rPr>
                <w:sz w:val="11"/>
                <w:szCs w:val="11"/>
                <w:color w:val="auto"/>
              </w:rPr>
            </w:pPr>
          </w:p>
        </w:tc>
        <w:tc>
          <w:tcPr>
            <w:tcW w:w="30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Accrued liabilities</w:t>
            </w:r>
          </w:p>
        </w:tc>
        <w:tc>
          <w:tcPr>
            <w:tcW w:w="24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175</w:t>
            </w:r>
          </w:p>
        </w:tc>
        <w:tc>
          <w:tcPr>
            <w:tcW w:w="138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Cross currency swaps</w:t>
            </w:r>
          </w:p>
        </w:tc>
        <w:tc>
          <w:tcPr>
            <w:tcW w:w="11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1,019</w:t>
            </w:r>
          </w:p>
        </w:tc>
        <w:tc>
          <w:tcPr>
            <w:tcW w:w="14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Prepaid expenses</w:t>
            </w:r>
          </w:p>
        </w:tc>
        <w:tc>
          <w:tcPr>
            <w:tcW w:w="7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3"/>
            <w:shd w:val="clear" w:color="auto" w:fill="CCEEFF"/>
          </w:tcPr>
          <w:p>
            <w:pPr>
              <w:ind w:left="100"/>
              <w:spacing w:after="0" w:line="135" w:lineRule="exact"/>
              <w:rPr>
                <w:sz w:val="20"/>
                <w:szCs w:val="20"/>
                <w:color w:val="auto"/>
              </w:rPr>
            </w:pPr>
            <w:r>
              <w:rPr>
                <w:rFonts w:ascii="Arial" w:cs="Arial" w:eastAsia="Arial" w:hAnsi="Arial"/>
                <w:sz w:val="13"/>
                <w:szCs w:val="13"/>
                <w:color w:val="auto"/>
              </w:rPr>
              <w:t>Accrued liabilities</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3"/>
            <w:shd w:val="clear" w:color="auto" w:fill="CCEEFF"/>
          </w:tcPr>
          <w:p>
            <w:pPr>
              <w:ind w:left="80"/>
              <w:spacing w:after="0" w:line="135" w:lineRule="exact"/>
              <w:rPr>
                <w:sz w:val="20"/>
                <w:szCs w:val="20"/>
                <w:color w:val="auto"/>
              </w:rPr>
            </w:pPr>
            <w:r>
              <w:rPr>
                <w:rFonts w:ascii="Arial" w:cs="Arial" w:eastAsia="Arial" w:hAnsi="Arial"/>
                <w:sz w:val="13"/>
                <w:szCs w:val="13"/>
                <w:color w:val="auto"/>
              </w:rPr>
              <w:t>Accrued liabilities</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Derivatives</w:t>
            </w:r>
          </w:p>
        </w:tc>
        <w:tc>
          <w:tcPr>
            <w:tcW w:w="11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2,616</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585"/>
              <w:spacing w:after="0"/>
              <w:rPr>
                <w:sz w:val="20"/>
                <w:szCs w:val="20"/>
                <w:color w:val="auto"/>
              </w:rPr>
            </w:pPr>
            <w:r>
              <w:rPr>
                <w:rFonts w:ascii="Arial" w:cs="Arial" w:eastAsia="Arial" w:hAnsi="Arial"/>
                <w:sz w:val="9"/>
                <w:szCs w:val="9"/>
                <w:color w:val="auto"/>
                <w:w w:val="78"/>
              </w:rPr>
              <w:t>$</w:t>
            </w:r>
          </w:p>
        </w:tc>
        <w:tc>
          <w:tcPr>
            <w:tcW w:w="30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designed as cash flow hedging instruments for the three and nine months ended August 3, 2012 and July 29, 2011,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Location of Gain (Loss)</w:t>
            </w:r>
          </w:p>
        </w:tc>
        <w:tc>
          <w:tcPr>
            <w:tcW w:w="120" w:type="dxa"/>
            <w:vAlign w:val="bottom"/>
          </w:tcPr>
          <w:p>
            <w:pPr>
              <w:spacing w:after="0"/>
              <w:rPr>
                <w:sz w:val="12"/>
                <w:szCs w:val="12"/>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9"/>
              </w:rPr>
              <w:t>Gain (Loss)</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Location of Gain</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Recognized in Income</w:t>
            </w:r>
          </w:p>
        </w:tc>
        <w:tc>
          <w:tcPr>
            <w:tcW w:w="120" w:type="dxa"/>
            <w:vAlign w:val="bottom"/>
          </w:tcPr>
          <w:p>
            <w:pPr>
              <w:spacing w:after="0"/>
              <w:rPr>
                <w:sz w:val="11"/>
                <w:szCs w:val="11"/>
                <w:color w:val="auto"/>
              </w:rPr>
            </w:pPr>
          </w:p>
        </w:tc>
        <w:tc>
          <w:tcPr>
            <w:tcW w:w="178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Recognized in Income</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left="377"/>
              <w:spacing w:after="0" w:line="135" w:lineRule="exact"/>
              <w:rPr>
                <w:sz w:val="20"/>
                <w:szCs w:val="20"/>
                <w:color w:val="auto"/>
              </w:rPr>
            </w:pPr>
            <w:r>
              <w:rPr>
                <w:rFonts w:ascii="Arial" w:cs="Arial" w:eastAsia="Arial" w:hAnsi="Arial"/>
                <w:sz w:val="13"/>
                <w:szCs w:val="13"/>
                <w:b w:val="1"/>
                <w:bCs w:val="1"/>
                <w:color w:val="auto"/>
                <w:w w:val="86"/>
              </w:rPr>
              <w:t>Gain (Loss)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(Loss) Reclassified</w:t>
            </w:r>
          </w:p>
        </w:tc>
        <w:tc>
          <w:tcPr>
            <w:tcW w:w="100" w:type="dxa"/>
            <w:vAlign w:val="bottom"/>
          </w:tcPr>
          <w:p>
            <w:pPr>
              <w:spacing w:after="0"/>
              <w:rPr>
                <w:sz w:val="11"/>
                <w:szCs w:val="11"/>
                <w:color w:val="auto"/>
              </w:rPr>
            </w:pPr>
          </w:p>
        </w:tc>
        <w:tc>
          <w:tcPr>
            <w:tcW w:w="1320" w:type="dxa"/>
            <w:vAlign w:val="bottom"/>
            <w:gridSpan w:val="4"/>
          </w:tcPr>
          <w:p>
            <w:pPr>
              <w:jc w:val="center"/>
              <w:ind w:left="177"/>
              <w:spacing w:after="0" w:line="135" w:lineRule="exact"/>
              <w:rPr>
                <w:sz w:val="20"/>
                <w:szCs w:val="20"/>
                <w:color w:val="auto"/>
              </w:rPr>
            </w:pPr>
            <w:r>
              <w:rPr>
                <w:rFonts w:ascii="Arial" w:cs="Arial" w:eastAsia="Arial" w:hAnsi="Arial"/>
                <w:sz w:val="13"/>
                <w:szCs w:val="13"/>
                <w:b w:val="1"/>
                <w:bCs w:val="1"/>
                <w:color w:val="auto"/>
                <w:w w:val="89"/>
              </w:rPr>
              <w:t>Gain (Loss)</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on Derivatives</w:t>
            </w:r>
          </w:p>
        </w:tc>
        <w:tc>
          <w:tcPr>
            <w:tcW w:w="120" w:type="dxa"/>
            <w:vAlign w:val="bottom"/>
          </w:tcPr>
          <w:p>
            <w:pPr>
              <w:spacing w:after="0"/>
              <w:rPr>
                <w:sz w:val="11"/>
                <w:szCs w:val="11"/>
                <w:color w:val="auto"/>
              </w:rPr>
            </w:pPr>
          </w:p>
        </w:tc>
        <w:tc>
          <w:tcPr>
            <w:tcW w:w="178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on Derivatives</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5"/>
          </w:tcPr>
          <w:p>
            <w:pPr>
              <w:jc w:val="right"/>
              <w:ind w:right="380"/>
              <w:spacing w:after="0" w:line="135" w:lineRule="exact"/>
              <w:rPr>
                <w:sz w:val="20"/>
                <w:szCs w:val="20"/>
                <w:color w:val="auto"/>
              </w:rPr>
            </w:pPr>
            <w:r>
              <w:rPr>
                <w:rFonts w:ascii="Arial" w:cs="Arial" w:eastAsia="Arial" w:hAnsi="Arial"/>
                <w:sz w:val="13"/>
                <w:szCs w:val="13"/>
                <w:b w:val="1"/>
                <w:bCs w:val="1"/>
                <w:color w:val="auto"/>
                <w:w w:val="99"/>
              </w:rPr>
              <w:t>Recognized in OCI on</w:t>
            </w:r>
          </w:p>
        </w:tc>
        <w:tc>
          <w:tcPr>
            <w:tcW w:w="60" w:type="dxa"/>
            <w:vAlign w:val="bottom"/>
          </w:tcPr>
          <w:p>
            <w:pPr>
              <w:spacing w:after="0"/>
              <w:rPr>
                <w:sz w:val="11"/>
                <w:szCs w:val="11"/>
                <w:color w:val="auto"/>
              </w:rPr>
            </w:pPr>
          </w:p>
        </w:tc>
        <w:tc>
          <w:tcPr>
            <w:tcW w:w="166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from AOCL</w:t>
            </w:r>
          </w:p>
        </w:tc>
        <w:tc>
          <w:tcPr>
            <w:tcW w:w="100" w:type="dxa"/>
            <w:vAlign w:val="bottom"/>
          </w:tcPr>
          <w:p>
            <w:pPr>
              <w:spacing w:after="0"/>
              <w:rPr>
                <w:sz w:val="11"/>
                <w:szCs w:val="11"/>
                <w:color w:val="auto"/>
              </w:rPr>
            </w:pPr>
          </w:p>
        </w:tc>
        <w:tc>
          <w:tcPr>
            <w:tcW w:w="1320" w:type="dxa"/>
            <w:vAlign w:val="bottom"/>
            <w:gridSpan w:val="4"/>
          </w:tcPr>
          <w:p>
            <w:pPr>
              <w:jc w:val="center"/>
              <w:ind w:left="177"/>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(Ineffective Portion</w:t>
            </w:r>
          </w:p>
        </w:tc>
        <w:tc>
          <w:tcPr>
            <w:tcW w:w="120" w:type="dxa"/>
            <w:vAlign w:val="bottom"/>
          </w:tcPr>
          <w:p>
            <w:pPr>
              <w:spacing w:after="0"/>
              <w:rPr>
                <w:sz w:val="11"/>
                <w:szCs w:val="11"/>
                <w:color w:val="auto"/>
              </w:rPr>
            </w:pPr>
          </w:p>
        </w:tc>
        <w:tc>
          <w:tcPr>
            <w:tcW w:w="178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(Ineffective Portion and</w:t>
            </w: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left="377"/>
              <w:spacing w:after="0" w:line="135" w:lineRule="exact"/>
              <w:rPr>
                <w:sz w:val="20"/>
                <w:szCs w:val="20"/>
                <w:color w:val="auto"/>
              </w:rPr>
            </w:pPr>
            <w:r>
              <w:rPr>
                <w:rFonts w:ascii="Arial" w:cs="Arial" w:eastAsia="Arial" w:hAnsi="Arial"/>
                <w:sz w:val="13"/>
                <w:szCs w:val="13"/>
                <w:b w:val="1"/>
                <w:bCs w:val="1"/>
                <w:color w:val="auto"/>
                <w:w w:val="89"/>
              </w:rPr>
              <w:t>Derivatives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into Income</w:t>
            </w:r>
          </w:p>
        </w:tc>
        <w:tc>
          <w:tcPr>
            <w:tcW w:w="100" w:type="dxa"/>
            <w:vAlign w:val="bottom"/>
          </w:tcPr>
          <w:p>
            <w:pPr>
              <w:spacing w:after="0"/>
              <w:rPr>
                <w:sz w:val="11"/>
                <w:szCs w:val="11"/>
                <w:color w:val="auto"/>
              </w:rPr>
            </w:pPr>
          </w:p>
        </w:tc>
        <w:tc>
          <w:tcPr>
            <w:tcW w:w="1320" w:type="dxa"/>
            <w:vAlign w:val="bottom"/>
            <w:gridSpan w:val="4"/>
          </w:tcPr>
          <w:p>
            <w:pPr>
              <w:jc w:val="center"/>
              <w:ind w:left="177"/>
              <w:spacing w:after="0" w:line="135" w:lineRule="exact"/>
              <w:rPr>
                <w:sz w:val="20"/>
                <w:szCs w:val="20"/>
                <w:color w:val="auto"/>
              </w:rPr>
            </w:pPr>
            <w:r>
              <w:rPr>
                <w:rFonts w:ascii="Arial" w:cs="Arial" w:eastAsia="Arial" w:hAnsi="Arial"/>
                <w:sz w:val="13"/>
                <w:szCs w:val="13"/>
                <w:b w:val="1"/>
                <w:bCs w:val="1"/>
                <w:color w:val="auto"/>
                <w:w w:val="91"/>
              </w:rPr>
              <w:t>AOCL into Income</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and excluded from</w:t>
            </w:r>
          </w:p>
        </w:tc>
        <w:tc>
          <w:tcPr>
            <w:tcW w:w="120" w:type="dxa"/>
            <w:vAlign w:val="bottom"/>
          </w:tcPr>
          <w:p>
            <w:pPr>
              <w:spacing w:after="0"/>
              <w:rPr>
                <w:sz w:val="11"/>
                <w:szCs w:val="11"/>
                <w:color w:val="auto"/>
              </w:rPr>
            </w:pPr>
          </w:p>
        </w:tc>
        <w:tc>
          <w:tcPr>
            <w:tcW w:w="178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Excluded from</w:t>
            </w:r>
          </w:p>
        </w:tc>
        <w:tc>
          <w:tcPr>
            <w:tcW w:w="0" w:type="dxa"/>
            <w:vAlign w:val="bottom"/>
          </w:tcPr>
          <w:p>
            <w:pPr>
              <w:spacing w:after="0"/>
              <w:rPr>
                <w:sz w:val="1"/>
                <w:szCs w:val="1"/>
                <w:color w:val="auto"/>
              </w:rPr>
            </w:pPr>
          </w:p>
        </w:tc>
      </w:tr>
      <w:tr>
        <w:trPr>
          <w:trHeight w:val="153"/>
        </w:trPr>
        <w:tc>
          <w:tcPr>
            <w:tcW w:w="1820" w:type="dxa"/>
            <w:vAlign w:val="bottom"/>
            <w:vMerge w:val="restart"/>
          </w:tcPr>
          <w:p>
            <w:pPr>
              <w:spacing w:after="0"/>
              <w:rPr>
                <w:sz w:val="20"/>
                <w:szCs w:val="20"/>
                <w:color w:val="auto"/>
              </w:rPr>
            </w:pPr>
            <w:r>
              <w:rPr>
                <w:rFonts w:ascii="Arial" w:cs="Arial" w:eastAsia="Arial" w:hAnsi="Arial"/>
                <w:sz w:val="13"/>
                <w:szCs w:val="13"/>
                <w:b w:val="1"/>
                <w:bCs w:val="1"/>
                <w:color w:val="auto"/>
              </w:rPr>
              <w:t>(Dollars in thousands)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w w:val="87"/>
              </w:rPr>
              <w:t>(Effective Portion)</w:t>
            </w:r>
          </w:p>
        </w:tc>
        <w:tc>
          <w:tcPr>
            <w:tcW w:w="60" w:type="dxa"/>
            <w:vAlign w:val="bottom"/>
          </w:tcPr>
          <w:p>
            <w:pPr>
              <w:spacing w:after="0"/>
              <w:rPr>
                <w:sz w:val="13"/>
                <w:szCs w:val="13"/>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(Effective Portion)</w:t>
            </w:r>
          </w:p>
        </w:tc>
        <w:tc>
          <w:tcPr>
            <w:tcW w:w="100" w:type="dxa"/>
            <w:vAlign w:val="bottom"/>
          </w:tcPr>
          <w:p>
            <w:pPr>
              <w:spacing w:after="0"/>
              <w:rPr>
                <w:sz w:val="13"/>
                <w:szCs w:val="13"/>
                <w:color w:val="auto"/>
              </w:rPr>
            </w:pPr>
          </w:p>
        </w:tc>
        <w:tc>
          <w:tcPr>
            <w:tcW w:w="1320" w:type="dxa"/>
            <w:vAlign w:val="bottom"/>
            <w:gridSpan w:val="4"/>
          </w:tcPr>
          <w:p>
            <w:pPr>
              <w:jc w:val="center"/>
              <w:ind w:left="177"/>
              <w:spacing w:after="0"/>
              <w:rPr>
                <w:sz w:val="20"/>
                <w:szCs w:val="20"/>
                <w:color w:val="auto"/>
              </w:rPr>
            </w:pPr>
            <w:r>
              <w:rPr>
                <w:rFonts w:ascii="Arial" w:cs="Arial" w:eastAsia="Arial" w:hAnsi="Arial"/>
                <w:sz w:val="13"/>
                <w:szCs w:val="13"/>
                <w:b w:val="1"/>
                <w:bCs w:val="1"/>
                <w:color w:val="auto"/>
                <w:w w:val="89"/>
              </w:rPr>
              <w:t>(Effective Portion)</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4"/>
              </w:rPr>
              <w:t>Effectiveness Testing)</w:t>
            </w:r>
          </w:p>
        </w:tc>
        <w:tc>
          <w:tcPr>
            <w:tcW w:w="120" w:type="dxa"/>
            <w:vAlign w:val="bottom"/>
          </w:tcPr>
          <w:p>
            <w:pPr>
              <w:spacing w:after="0"/>
              <w:rPr>
                <w:sz w:val="13"/>
                <w:szCs w:val="13"/>
                <w:color w:val="auto"/>
              </w:rPr>
            </w:pPr>
          </w:p>
        </w:tc>
        <w:tc>
          <w:tcPr>
            <w:tcW w:w="178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84"/>
              </w:rPr>
              <w:t>Effectiveness Testing)</w:t>
            </w:r>
          </w:p>
        </w:tc>
        <w:tc>
          <w:tcPr>
            <w:tcW w:w="0" w:type="dxa"/>
            <w:vAlign w:val="bottom"/>
          </w:tcPr>
          <w:p>
            <w:pPr>
              <w:spacing w:after="0"/>
              <w:rPr>
                <w:sz w:val="1"/>
                <w:szCs w:val="1"/>
                <w:color w:val="auto"/>
              </w:rPr>
            </w:pPr>
          </w:p>
        </w:tc>
      </w:tr>
      <w:tr>
        <w:trPr>
          <w:trHeight w:val="110"/>
        </w:trPr>
        <w:tc>
          <w:tcPr>
            <w:tcW w:w="1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1"/>
              </w:rPr>
              <w:t>August 3,</w:t>
            </w:r>
          </w:p>
        </w:tc>
        <w:tc>
          <w:tcPr>
            <w:tcW w:w="800" w:type="dxa"/>
            <w:vAlign w:val="bottom"/>
            <w:tcBorders>
              <w:top w:val="single" w:sz="8" w:color="auto"/>
            </w:tcBorders>
            <w:gridSpan w:val="2"/>
          </w:tcPr>
          <w:p>
            <w:pPr>
              <w:jc w:val="right"/>
              <w:ind w:right="117"/>
              <w:spacing w:after="0" w:line="110" w:lineRule="exact"/>
              <w:rPr>
                <w:sz w:val="20"/>
                <w:szCs w:val="20"/>
                <w:color w:val="auto"/>
              </w:rPr>
            </w:pPr>
            <w:r>
              <w:rPr>
                <w:rFonts w:ascii="Arial" w:cs="Arial" w:eastAsia="Arial" w:hAnsi="Arial"/>
                <w:sz w:val="12"/>
                <w:szCs w:val="12"/>
                <w:b w:val="1"/>
                <w:bCs w:val="1"/>
                <w:color w:val="auto"/>
              </w:rPr>
              <w:t>July 29,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5"/>
              </w:rPr>
              <w:t>August 3,</w:t>
            </w: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July 29,</w:t>
            </w:r>
          </w:p>
        </w:tc>
        <w:tc>
          <w:tcPr>
            <w:tcW w:w="160" w:type="dxa"/>
            <w:vAlign w:val="bottom"/>
          </w:tcPr>
          <w:p>
            <w:pPr>
              <w:spacing w:after="0"/>
              <w:rPr>
                <w:sz w:val="9"/>
                <w:szCs w:val="9"/>
                <w:color w:val="auto"/>
              </w:rPr>
            </w:pPr>
          </w:p>
        </w:tc>
        <w:tc>
          <w:tcPr>
            <w:tcW w:w="17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1"/>
              </w:rPr>
              <w:t>August 3,</w:t>
            </w: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78"/>
              <w:spacing w:after="0" w:line="110" w:lineRule="exact"/>
              <w:rPr>
                <w:sz w:val="20"/>
                <w:szCs w:val="20"/>
                <w:color w:val="auto"/>
              </w:rPr>
            </w:pPr>
            <w:r>
              <w:rPr>
                <w:rFonts w:ascii="Arial" w:cs="Arial" w:eastAsia="Arial" w:hAnsi="Arial"/>
                <w:sz w:val="12"/>
                <w:szCs w:val="12"/>
                <w:b w:val="1"/>
                <w:bCs w:val="1"/>
                <w:color w:val="auto"/>
                <w:w w:val="95"/>
              </w:rPr>
              <w:t>July 29,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3"/>
                <w:szCs w:val="13"/>
                <w:b w:val="1"/>
                <w:bCs w:val="1"/>
                <w:color w:val="auto"/>
              </w:rPr>
              <w:t>For the three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217"/>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8"/>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732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36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7"/>
              </w:rPr>
              <w:t>(1,992)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9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394</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(353)</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(16)</w:t>
            </w:r>
          </w:p>
        </w:tc>
        <w:tc>
          <w:tcPr>
            <w:tcW w:w="260" w:type="dxa"/>
            <w:vAlign w:val="bottom"/>
          </w:tcPr>
          <w:p>
            <w:pPr>
              <w:spacing w:after="0" w:line="20" w:lineRule="exact"/>
              <w:rPr>
                <w:sz w:val="1"/>
                <w:szCs w:val="1"/>
                <w:color w:val="auto"/>
              </w:rPr>
            </w:pPr>
          </w:p>
        </w:tc>
        <w:tc>
          <w:tcPr>
            <w:tcW w:w="640" w:type="dxa"/>
            <w:vAlign w:val="bottom"/>
            <w:gridSpan w:val="2"/>
            <w:vMerge w:val="restart"/>
          </w:tcPr>
          <w:p>
            <w:pPr>
              <w:jc w:val="right"/>
              <w:ind w:right="60"/>
              <w:spacing w:after="0" w:line="129" w:lineRule="exact"/>
              <w:rPr>
                <w:sz w:val="20"/>
                <w:szCs w:val="20"/>
                <w:color w:val="auto"/>
              </w:rPr>
            </w:pPr>
            <w:r>
              <w:rPr>
                <w:rFonts w:ascii="Arial" w:cs="Arial" w:eastAsia="Arial" w:hAnsi="Arial"/>
                <w:sz w:val="13"/>
                <w:szCs w:val="13"/>
                <w:color w:val="auto"/>
              </w:rPr>
              <w:t>(28)</w:t>
            </w:r>
          </w:p>
        </w:tc>
        <w:tc>
          <w:tcPr>
            <w:tcW w:w="1720" w:type="dxa"/>
            <w:vAlign w:val="bottom"/>
            <w:gridSpan w:val="3"/>
            <w:vMerge w:val="restart"/>
          </w:tcPr>
          <w:p>
            <w:pPr>
              <w:ind w:left="60"/>
              <w:spacing w:after="0" w:line="129" w:lineRule="exact"/>
              <w:rPr>
                <w:sz w:val="20"/>
                <w:szCs w:val="20"/>
                <w:color w:val="auto"/>
              </w:rPr>
            </w:pPr>
            <w:r>
              <w:rPr>
                <w:rFonts w:ascii="Arial" w:cs="Arial" w:eastAsia="Arial" w:hAnsi="Arial"/>
                <w:sz w:val="13"/>
                <w:szCs w:val="13"/>
                <w:color w:val="auto"/>
              </w:rPr>
              <w:t>Cost of sales</w:t>
            </w: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(475)</w:t>
            </w: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387</w:t>
            </w: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Cross currency swaps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387</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Other income, net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386</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line="129"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(92)</w:t>
            </w: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704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944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77"/>
              </w:rPr>
              <w:t>(1,605)</w:t>
            </w: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August 3,</w:t>
            </w:r>
          </w:p>
        </w:tc>
        <w:tc>
          <w:tcPr>
            <w:tcW w:w="9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July 29,</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August 3,</w:t>
            </w:r>
          </w:p>
        </w:tc>
        <w:tc>
          <w:tcPr>
            <w:tcW w:w="20" w:type="dxa"/>
            <w:vAlign w:val="bottom"/>
          </w:tcPr>
          <w:p>
            <w:pPr>
              <w:spacing w:after="0"/>
              <w:rPr>
                <w:sz w:val="24"/>
                <w:szCs w:val="2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July 29,</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August 3,</w:t>
            </w:r>
          </w:p>
        </w:tc>
        <w:tc>
          <w:tcPr>
            <w:tcW w:w="140" w:type="dxa"/>
            <w:vAlign w:val="bottom"/>
          </w:tcPr>
          <w:p>
            <w:pPr>
              <w:spacing w:after="0"/>
              <w:rPr>
                <w:sz w:val="24"/>
                <w:szCs w:val="2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July 29,</w:t>
            </w:r>
          </w:p>
        </w:tc>
        <w:tc>
          <w:tcPr>
            <w:tcW w:w="0" w:type="dxa"/>
            <w:vAlign w:val="bottom"/>
          </w:tcPr>
          <w:p>
            <w:pPr>
              <w:spacing w:after="0"/>
              <w:rPr>
                <w:sz w:val="1"/>
                <w:szCs w:val="1"/>
                <w:color w:val="auto"/>
              </w:rPr>
            </w:pPr>
          </w:p>
        </w:tc>
      </w:tr>
      <w:tr>
        <w:trPr>
          <w:trHeight w:val="153"/>
        </w:trPr>
        <w:tc>
          <w:tcPr>
            <w:tcW w:w="1820" w:type="dxa"/>
            <w:vAlign w:val="bottom"/>
          </w:tcPr>
          <w:p>
            <w:pPr>
              <w:spacing w:after="0"/>
              <w:rPr>
                <w:sz w:val="20"/>
                <w:szCs w:val="20"/>
                <w:color w:val="auto"/>
              </w:rPr>
            </w:pPr>
            <w:r>
              <w:rPr>
                <w:rFonts w:ascii="Arial" w:cs="Arial" w:eastAsia="Arial" w:hAnsi="Arial"/>
                <w:sz w:val="13"/>
                <w:szCs w:val="13"/>
                <w:b w:val="1"/>
                <w:bCs w:val="1"/>
                <w:color w:val="auto"/>
              </w:rPr>
              <w:t>For the nine months ended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ind w:right="217"/>
              <w:spacing w:after="0"/>
              <w:rPr>
                <w:sz w:val="20"/>
                <w:szCs w:val="20"/>
                <w:color w:val="auto"/>
              </w:rPr>
            </w:pPr>
            <w:r>
              <w:rPr>
                <w:rFonts w:ascii="Arial" w:cs="Arial" w:eastAsia="Arial" w:hAnsi="Arial"/>
                <w:sz w:val="13"/>
                <w:szCs w:val="13"/>
                <w:b w:val="1"/>
                <w:bCs w:val="1"/>
                <w:color w:val="auto"/>
                <w:w w:val="82"/>
              </w:rPr>
              <w:t>2011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2012</w:t>
            </w:r>
          </w:p>
        </w:tc>
        <w:tc>
          <w:tcPr>
            <w:tcW w:w="16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2"/>
              </w:rPr>
              <w:t>2011</w:t>
            </w:r>
          </w:p>
        </w:tc>
        <w:tc>
          <w:tcPr>
            <w:tcW w:w="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2012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center"/>
              <w:ind w:right="58"/>
              <w:spacing w:after="0"/>
              <w:rPr>
                <w:sz w:val="20"/>
                <w:szCs w:val="20"/>
                <w:color w:val="auto"/>
              </w:rPr>
            </w:pPr>
            <w:r>
              <w:rPr>
                <w:rFonts w:ascii="Arial" w:cs="Arial" w:eastAsia="Arial" w:hAnsi="Arial"/>
                <w:sz w:val="13"/>
                <w:szCs w:val="13"/>
                <w:b w:val="1"/>
                <w:bCs w:val="1"/>
                <w:color w:val="auto"/>
                <w:w w:val="82"/>
              </w:rPr>
              <w:t>2011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20" w:type="dxa"/>
            <w:vAlign w:val="bottom"/>
            <w:tcBorders>
              <w:top w:val="single" w:sz="8" w:color="auto"/>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Forward currency contracts</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(6,387)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720" w:type="dxa"/>
            <w:vAlign w:val="bottom"/>
            <w:tcBorders>
              <w:top w:val="single" w:sz="8" w:color="CCEEFF"/>
              <w:bottom w:val="single" w:sz="8" w:color="CCEEFF"/>
            </w:tcBorders>
            <w:gridSpan w:val="3"/>
            <w:shd w:val="clear" w:color="auto" w:fill="CCEEFF"/>
          </w:tcPr>
          <w:p>
            <w:pPr>
              <w:ind w:left="60"/>
              <w:spacing w:after="0" w:line="129" w:lineRule="exact"/>
              <w:rPr>
                <w:sz w:val="20"/>
                <w:szCs w:val="20"/>
                <w:color w:val="auto"/>
              </w:rPr>
            </w:pPr>
            <w:r>
              <w:rPr>
                <w:rFonts w:ascii="Arial" w:cs="Arial" w:eastAsia="Arial" w:hAnsi="Arial"/>
                <w:sz w:val="13"/>
                <w:szCs w:val="13"/>
                <w:color w:val="auto"/>
              </w:rPr>
              <w:t>Net sales</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2,738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jc w:val="right"/>
              <w:ind w:right="36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77"/>
              </w:rPr>
              <w:t>(4,582)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90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color w:val="auto"/>
              </w:rPr>
              <w:t>Other income, net</w:t>
            </w:r>
          </w:p>
        </w:tc>
        <w:tc>
          <w:tcPr>
            <w:tcW w:w="1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597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129" w:lineRule="exact"/>
              <w:rPr>
                <w:sz w:val="20"/>
                <w:szCs w:val="20"/>
                <w:color w:val="auto"/>
              </w:rPr>
            </w:pPr>
            <w:r>
              <w:rPr>
                <w:rFonts w:ascii="Arial" w:cs="Arial" w:eastAsia="Arial" w:hAnsi="Arial"/>
                <w:sz w:val="13"/>
                <w:szCs w:val="13"/>
                <w:color w:val="auto"/>
              </w:rPr>
              <w:t>Forward currency contracts</w:t>
            </w: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675</w:t>
            </w:r>
          </w:p>
        </w:tc>
        <w:tc>
          <w:tcPr>
            <w:tcW w:w="260" w:type="dxa"/>
            <w:vAlign w:val="bottom"/>
          </w:tcPr>
          <w:p>
            <w:pPr>
              <w:spacing w:after="0" w:line="20" w:lineRule="exact"/>
              <w:rPr>
                <w:sz w:val="1"/>
                <w:szCs w:val="1"/>
                <w:color w:val="auto"/>
              </w:rPr>
            </w:pPr>
          </w:p>
        </w:tc>
        <w:tc>
          <w:tcPr>
            <w:tcW w:w="640" w:type="dxa"/>
            <w:vAlign w:val="bottom"/>
            <w:gridSpan w:val="2"/>
            <w:vMerge w:val="restart"/>
          </w:tcPr>
          <w:p>
            <w:pPr>
              <w:jc w:val="right"/>
              <w:ind w:right="100"/>
              <w:spacing w:after="0" w:line="129" w:lineRule="exact"/>
              <w:rPr>
                <w:sz w:val="20"/>
                <w:szCs w:val="20"/>
                <w:color w:val="auto"/>
              </w:rPr>
            </w:pPr>
            <w:r>
              <w:rPr>
                <w:rFonts w:ascii="Arial" w:cs="Arial" w:eastAsia="Arial" w:hAnsi="Arial"/>
                <w:sz w:val="13"/>
                <w:szCs w:val="13"/>
                <w:color w:val="auto"/>
              </w:rPr>
              <w:t>1,200</w:t>
            </w:r>
          </w:p>
        </w:tc>
        <w:tc>
          <w:tcPr>
            <w:tcW w:w="1720" w:type="dxa"/>
            <w:vAlign w:val="bottom"/>
            <w:gridSpan w:val="3"/>
            <w:vMerge w:val="restart"/>
          </w:tcPr>
          <w:p>
            <w:pPr>
              <w:ind w:left="60"/>
              <w:spacing w:after="0" w:line="129" w:lineRule="exact"/>
              <w:rPr>
                <w:sz w:val="20"/>
                <w:szCs w:val="20"/>
                <w:color w:val="auto"/>
              </w:rPr>
            </w:pPr>
            <w:r>
              <w:rPr>
                <w:rFonts w:ascii="Arial" w:cs="Arial" w:eastAsia="Arial" w:hAnsi="Arial"/>
                <w:sz w:val="13"/>
                <w:szCs w:val="13"/>
                <w:color w:val="auto"/>
              </w:rPr>
              <w:t>Cost of sales</w:t>
            </w:r>
          </w:p>
        </w:tc>
        <w:tc>
          <w:tcPr>
            <w:tcW w:w="100" w:type="dxa"/>
            <w:vAlign w:val="bottom"/>
          </w:tcPr>
          <w:p>
            <w:pPr>
              <w:spacing w:after="0" w:line="20" w:lineRule="exact"/>
              <w:rPr>
                <w:sz w:val="1"/>
                <w:szCs w:val="1"/>
                <w:color w:val="auto"/>
              </w:rPr>
            </w:pPr>
          </w:p>
        </w:tc>
        <w:tc>
          <w:tcPr>
            <w:tcW w:w="860" w:type="dxa"/>
            <w:vAlign w:val="bottom"/>
            <w:gridSpan w:val="2"/>
            <w:vMerge w:val="restart"/>
          </w:tcPr>
          <w:p>
            <w:pPr>
              <w:jc w:val="right"/>
              <w:ind w:right="120"/>
              <w:spacing w:after="0" w:line="129" w:lineRule="exact"/>
              <w:rPr>
                <w:sz w:val="20"/>
                <w:szCs w:val="20"/>
                <w:color w:val="auto"/>
              </w:rPr>
            </w:pPr>
            <w:r>
              <w:rPr>
                <w:rFonts w:ascii="Arial" w:cs="Arial" w:eastAsia="Arial" w:hAnsi="Arial"/>
                <w:sz w:val="13"/>
                <w:szCs w:val="13"/>
                <w:color w:val="auto"/>
              </w:rPr>
              <w:t>(1,120)</w:t>
            </w: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gridSpan w:val="2"/>
            <w:vMerge w:val="restart"/>
          </w:tcPr>
          <w:p>
            <w:pPr>
              <w:jc w:val="right"/>
              <w:ind w:right="160"/>
              <w:spacing w:after="0" w:line="129" w:lineRule="exact"/>
              <w:rPr>
                <w:sz w:val="20"/>
                <w:szCs w:val="20"/>
                <w:color w:val="auto"/>
              </w:rPr>
            </w:pPr>
            <w:r>
              <w:rPr>
                <w:rFonts w:ascii="Arial" w:cs="Arial" w:eastAsia="Arial" w:hAnsi="Arial"/>
                <w:sz w:val="13"/>
                <w:szCs w:val="13"/>
                <w:color w:val="auto"/>
              </w:rPr>
              <w:t>761</w:t>
            </w: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8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8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Cross currency swaps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387</w:t>
            </w:r>
          </w:p>
        </w:tc>
        <w:tc>
          <w:tcPr>
            <w:tcW w:w="2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1720" w:type="dxa"/>
            <w:vAlign w:val="bottom"/>
            <w:gridSpan w:val="3"/>
            <w:shd w:val="clear" w:color="auto" w:fill="CCEEFF"/>
          </w:tcPr>
          <w:p>
            <w:pPr>
              <w:ind w:left="60"/>
              <w:spacing w:after="0" w:line="135" w:lineRule="exact"/>
              <w:rPr>
                <w:sz w:val="20"/>
                <w:szCs w:val="20"/>
                <w:color w:val="auto"/>
              </w:rPr>
            </w:pPr>
            <w:r>
              <w:rPr>
                <w:rFonts w:ascii="Arial" w:cs="Arial" w:eastAsia="Arial" w:hAnsi="Arial"/>
                <w:sz w:val="13"/>
                <w:szCs w:val="13"/>
                <w:color w:val="auto"/>
              </w:rPr>
              <w:t>Other income, net</w:t>
            </w:r>
          </w:p>
        </w:tc>
        <w:tc>
          <w:tcPr>
            <w:tcW w:w="1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386</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820" w:type="dxa"/>
            <w:vAlign w:val="bottom"/>
          </w:tcPr>
          <w:p>
            <w:pPr>
              <w:spacing w:after="0" w:line="129"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840</w:t>
            </w:r>
          </w:p>
        </w:tc>
        <w:tc>
          <w:tcPr>
            <w:tcW w:w="160" w:type="dxa"/>
            <w:vAlign w:val="bottom"/>
          </w:tcPr>
          <w:p>
            <w:pPr>
              <w:spacing w:after="0"/>
              <w:rPr>
                <w:sz w:val="11"/>
                <w:szCs w:val="11"/>
                <w:color w:val="auto"/>
              </w:rPr>
            </w:pPr>
          </w:p>
        </w:tc>
        <w:tc>
          <w:tcPr>
            <w:tcW w:w="2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(5,187)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2,004</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77"/>
              </w:rPr>
              <w:t>(3,821)</w:t>
            </w:r>
          </w:p>
        </w:tc>
        <w:tc>
          <w:tcPr>
            <w:tcW w:w="1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 of August 3, 2012, the company anticipates reclassifying approximately $0.4 million of gains from AOCL to earnings during the next 12 months.</w:t>
      </w:r>
    </w:p>
    <w:p>
      <w:pPr>
        <w:sectPr>
          <w:pgSz w:w="11900" w:h="16838" w:orient="portrait"/>
          <w:cols w:equalWidth="0" w:num="1">
            <w:col w:w="11420"/>
          </w:cols>
          <w:pgMar w:left="240" w:top="125" w:right="239" w:bottom="30" w:gutter="0" w:footer="0" w:header="0"/>
        </w:sectPr>
      </w:pPr>
    </w:p>
    <w:bookmarkStart w:id="9" w:name="page10"/>
    <w:bookmarkEnd w:id="9"/>
    <w:p>
      <w:pPr>
        <w:ind w:right="120" w:firstLine="270"/>
        <w:spacing w:after="0" w:line="277" w:lineRule="auto"/>
        <w:rPr>
          <w:sz w:val="20"/>
          <w:szCs w:val="20"/>
          <w:color w:val="auto"/>
        </w:rPr>
      </w:pPr>
      <w:r>
        <w:rPr>
          <w:rFonts w:ascii="Arial" w:cs="Arial" w:eastAsia="Arial" w:hAnsi="Arial"/>
          <w:sz w:val="18"/>
          <w:szCs w:val="18"/>
          <w:color w:val="auto"/>
        </w:rPr>
        <w:t>The following table presents the impact of derivative instruments on the consolidated statements of earnings for the company’s derivatives not designated as hedging instruments.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4"/>
                <w:szCs w:val="14"/>
                <w:b w:val="1"/>
                <w:bCs w:val="1"/>
                <w:color w:val="auto"/>
                <w:w w:val="95"/>
              </w:rPr>
              <w:t>Gain (Loss) Recognized in Net Earnings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Location of Gain (Loss)</w:t>
            </w:r>
          </w:p>
        </w:tc>
        <w:tc>
          <w:tcPr>
            <w:tcW w:w="160" w:type="dxa"/>
            <w:vAlign w:val="bottom"/>
          </w:tcPr>
          <w:p>
            <w:pPr>
              <w:spacing w:after="0"/>
              <w:rPr>
                <w:sz w:val="12"/>
                <w:szCs w:val="12"/>
                <w:color w:val="auto"/>
              </w:rPr>
            </w:pPr>
          </w:p>
        </w:tc>
        <w:tc>
          <w:tcPr>
            <w:tcW w:w="2420" w:type="dxa"/>
            <w:vAlign w:val="bottom"/>
            <w:gridSpan w:val="6"/>
          </w:tcPr>
          <w:p>
            <w:pPr>
              <w:jc w:val="right"/>
              <w:ind w:right="780"/>
              <w:spacing w:after="0" w:line="142" w:lineRule="exact"/>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2"/>
                <w:szCs w:val="12"/>
                <w:color w:val="auto"/>
              </w:rPr>
            </w:pPr>
          </w:p>
        </w:tc>
        <w:tc>
          <w:tcPr>
            <w:tcW w:w="2080" w:type="dxa"/>
            <w:vAlign w:val="bottom"/>
            <w:gridSpan w:val="5"/>
          </w:tcPr>
          <w:p>
            <w:pPr>
              <w:jc w:val="right"/>
              <w:ind w:right="418"/>
              <w:spacing w:after="0" w:line="142" w:lineRule="exact"/>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0"/>
                <w:szCs w:val="10"/>
                <w:color w:val="auto"/>
              </w:rPr>
            </w:pPr>
          </w:p>
        </w:tc>
        <w:tc>
          <w:tcPr>
            <w:tcW w:w="2580" w:type="dxa"/>
            <w:vAlign w:val="bottom"/>
            <w:gridSpan w:val="2"/>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9" w:lineRule="exact"/>
              <w:rPr>
                <w:sz w:val="20"/>
                <w:szCs w:val="20"/>
                <w:color w:val="auto"/>
              </w:rPr>
            </w:pPr>
            <w:r>
              <w:rPr>
                <w:rFonts w:ascii="Arial" w:cs="Arial" w:eastAsia="Arial" w:hAnsi="Arial"/>
                <w:sz w:val="13"/>
                <w:szCs w:val="13"/>
                <w:b w:val="1"/>
                <w:bCs w:val="1"/>
                <w:color w:val="auto"/>
              </w:rPr>
              <w:t>August 3,</w:t>
            </w:r>
          </w:p>
        </w:tc>
        <w:tc>
          <w:tcPr>
            <w:tcW w:w="2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July 29,</w:t>
            </w:r>
          </w:p>
        </w:tc>
        <w:tc>
          <w:tcPr>
            <w:tcW w:w="3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August 3,</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July 29,</w:t>
            </w: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Recognized in Net Earnings</w:t>
            </w:r>
          </w:p>
        </w:tc>
        <w:tc>
          <w:tcPr>
            <w:tcW w:w="160" w:type="dxa"/>
            <w:vAlign w:val="bottom"/>
          </w:tcPr>
          <w:p>
            <w:pPr>
              <w:spacing w:after="0"/>
              <w:rPr>
                <w:sz w:val="14"/>
                <w:szCs w:val="14"/>
                <w:color w:val="auto"/>
              </w:rPr>
            </w:pPr>
          </w:p>
        </w:tc>
        <w:tc>
          <w:tcPr>
            <w:tcW w:w="840" w:type="dxa"/>
            <w:vAlign w:val="bottom"/>
          </w:tcPr>
          <w:p>
            <w:pPr>
              <w:jc w:val="right"/>
              <w:ind w:right="278"/>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260"/>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w w:val="95"/>
              </w:rPr>
              <w:t>Forward currency contracts</w:t>
            </w:r>
          </w:p>
        </w:tc>
        <w:tc>
          <w:tcPr>
            <w:tcW w:w="28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6,930</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Cross currency swaps</w:t>
            </w:r>
          </w:p>
        </w:tc>
        <w:tc>
          <w:tcPr>
            <w:tcW w:w="2880" w:type="dxa"/>
            <w:vAlign w:val="bottom"/>
            <w:gridSpan w:val="3"/>
          </w:tcPr>
          <w:p>
            <w:pPr>
              <w:ind w:left="30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18"/>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1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2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5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 The three levels are defined as follows: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25" w:lineRule="exact"/>
        <w:rPr>
          <w:sz w:val="20"/>
          <w:szCs w:val="20"/>
          <w:color w:val="auto"/>
        </w:rPr>
      </w:pPr>
    </w:p>
    <w:p>
      <w:pPr>
        <w:ind w:right="60" w:firstLine="216"/>
        <w:spacing w:after="0" w:line="264" w:lineRule="auto"/>
        <w:rPr>
          <w:sz w:val="20"/>
          <w:szCs w:val="20"/>
          <w:color w:val="auto"/>
        </w:rPr>
      </w:pPr>
      <w:r>
        <w:rPr>
          <w:rFonts w:ascii="Arial" w:cs="Arial" w:eastAsia="Arial" w:hAnsi="Arial"/>
          <w:sz w:val="18"/>
          <w:szCs w:val="18"/>
          <w:color w:val="auto"/>
        </w:rPr>
        <w:t>Level 2 — Observable inputs other than Level 1 prices, such as quoted prices for similar assets or liabilities in active markets; quoted prices for identical assets or liabilities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Level 3 — Unobservable inputs reflecting management’s assumptions about the inputs used in pricing the asset or liability.</w:t>
      </w:r>
    </w:p>
    <w:p>
      <w:pPr>
        <w:spacing w:after="0" w:line="225"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Cash and cash equivalents are valued at their carrying amounts in the consolidated balance sheets, which are reasonable estimates of their fair value due to their short-term maturities. Foreign currency forward exchange contracts are valued at fair market value using the market approach based on exchange rates as of the reporting date, which is the amount the company would receive or pay to terminate the contracts. The unfunded deferred compensation liability is primarily subject to changes in fixed-income investment contracts based on current yields. For accounts receivable and accounts payable, carrying amounts are a reasonable estimate of fair value given their short-term nature.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Assets and liabilities measured at fair value on a recurring basis, as of August 3, 2012, July 29, 2011, and October 31, 2011 are summarized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4"/>
                <w:szCs w:val="14"/>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3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August 3, 2012</w:t>
            </w: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143,058</w:t>
            </w:r>
          </w:p>
        </w:tc>
        <w:tc>
          <w:tcPr>
            <w:tcW w:w="140" w:type="dxa"/>
            <w:vAlign w:val="bottom"/>
          </w:tcPr>
          <w:p>
            <w:pPr>
              <w:spacing w:after="0"/>
              <w:rPr>
                <w:sz w:val="18"/>
                <w:szCs w:val="18"/>
                <w:color w:val="auto"/>
              </w:rPr>
            </w:pP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143,058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2,616</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145,674</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143,058</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2,616</w:t>
            </w: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20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3,738</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July 29, 2011</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118,113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118,113</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4,173</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4,477</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October 31, 2011</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24"/>
                <w:szCs w:val="2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1480" w:type="dxa"/>
            <w:vAlign w:val="bottom"/>
            <w:gridSpan w:val="2"/>
          </w:tcPr>
          <w:p>
            <w:pPr>
              <w:ind w:left="4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80,886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80,886</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80,886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3,150</w:t>
            </w: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Deferred compensation liabilities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4,297</w:t>
            </w: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80" w:firstLine="270"/>
        <w:spacing w:after="0" w:line="277" w:lineRule="auto"/>
        <w:rPr>
          <w:sz w:val="20"/>
          <w:szCs w:val="20"/>
          <w:color w:val="auto"/>
        </w:rPr>
      </w:pPr>
      <w:r>
        <w:rPr>
          <w:rFonts w:ascii="Arial" w:cs="Arial" w:eastAsia="Arial" w:hAnsi="Arial"/>
          <w:sz w:val="18"/>
          <w:szCs w:val="18"/>
          <w:color w:val="auto"/>
        </w:rPr>
        <w:t>There were no transfers between Level 1 and Level 2 during the nine months ended August 3, 2012, July 29, 2011, or the twelve months ended October 31, 2011.</w:t>
      </w:r>
    </w:p>
    <w:p>
      <w:pPr>
        <w:sectPr>
          <w:pgSz w:w="11900" w:h="16838" w:orient="portrait"/>
          <w:cols w:equalWidth="0" w:num="1">
            <w:col w:w="11460"/>
          </w:cols>
          <w:pgMar w:left="240" w:top="125" w:right="199" w:bottom="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10" w:name="page11"/>
    <w:bookmarkEnd w:id="10"/>
    <w:p>
      <w:pPr>
        <w:spacing w:after="0" w:line="7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The company is party to litigation in the ordinary course of business. Litigation occasionally involves claims for punitive as well as compensatory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damages arising out of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typically involved in 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Lawnmower Engine Horsepower Marketing and Sales Practices Litigation. </w:t>
      </w:r>
      <w:r>
        <w:rPr>
          <w:rFonts w:ascii="Arial" w:cs="Arial" w:eastAsia="Arial" w:hAnsi="Arial"/>
          <w:sz w:val="18"/>
          <w:szCs w:val="18"/>
          <w:color w:val="auto"/>
        </w:rPr>
        <w:t>Beginning in June 2004, various plaintiffs filed class action lawsuits in state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courts throughout the country against the company and other defendants alleging that the horsepower labels on the products the plaintiffs purchased were inaccurate. The plaintiffs (i) asserted statutory and common law claims, and (ii) sought an injunction, unspecified compensatory and punitive damages, treble damages, and attorneys’ fees. In December 2008, all lawsuits were transferred to the United States District Court for the Eastern District of Wisconsin (the “Court”) for coordinated or consolidated pretrial proceedings.</w:t>
      </w:r>
    </w:p>
    <w:p>
      <w:pPr>
        <w:spacing w:after="0" w:line="188"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The company and certain other defendants entered into a settlement agreement with plaintiffs in February 2010, the Court approved the company’s settlement and certified the settlement class in August 2010, and the company’s settlement agreement became final in February 2011. The settlement class consists of all persons in the United States who, beginning January 1, 1994 and through April 12, 2010, purchased a lawnmower containing a two-stroke or four-stroke gas combustible engine up to 30 horsepower that was manufactured or sold by the company and other defendants, and the company’s settlement agreement provides for, among other things, (i) a monetary settlement, (ii) an additional warranty period for certain engines that are subject to the litigation, and (iii) injunctive relief relating to power rating labeling practices. The expected costs of the company’s performance of its settlement obligations are consistent with accruals established in prior periods and, as such, management does not currently expect that the settlement will have a material adverse effect on the company’s consolidated operating results or financial condition.</w:t>
      </w:r>
    </w:p>
    <w:p>
      <w:pPr>
        <w:spacing w:after="0" w:line="179" w:lineRule="exact"/>
        <w:rPr>
          <w:sz w:val="20"/>
          <w:szCs w:val="20"/>
          <w:color w:val="auto"/>
        </w:rPr>
      </w:pPr>
    </w:p>
    <w:p>
      <w:pPr>
        <w:ind w:right="180" w:firstLine="270"/>
        <w:spacing w:after="0" w:line="257" w:lineRule="auto"/>
        <w:rPr>
          <w:sz w:val="20"/>
          <w:szCs w:val="20"/>
          <w:color w:val="auto"/>
        </w:rPr>
      </w:pPr>
      <w:r>
        <w:rPr>
          <w:rFonts w:ascii="Arial" w:cs="Arial" w:eastAsia="Arial" w:hAnsi="Arial"/>
          <w:sz w:val="18"/>
          <w:szCs w:val="18"/>
          <w:color w:val="auto"/>
        </w:rPr>
        <w:t>In March 2010, individuals who claim to have purchased lawnmowers in Canada filed class action litigation against the company and other defendants that (i) contains allegations under applicable Canadian law that are similar to the allegations made by the United States plaintiffs, (ii) seeks certification of a class of all persons in Canada who, beginning January 1, 1994 purchased a lawnmower containing a gas combustible engine up to 30 horsepower that was manufactured or sold by the company and other defendants, and (iii) seeks under applicable Canadian law unspecified compensatory and punitive damages, attorneys’ costs and fees, and equitable relief.</w:t>
      </w:r>
    </w:p>
    <w:p>
      <w:pPr>
        <w:spacing w:after="0" w:line="188" w:lineRule="exact"/>
        <w:rPr>
          <w:sz w:val="20"/>
          <w:szCs w:val="20"/>
          <w:color w:val="auto"/>
        </w:rPr>
      </w:pPr>
    </w:p>
    <w:p>
      <w:pPr>
        <w:ind w:right="120" w:firstLine="270"/>
        <w:spacing w:after="0" w:line="312" w:lineRule="auto"/>
        <w:rPr>
          <w:sz w:val="20"/>
          <w:szCs w:val="20"/>
          <w:color w:val="auto"/>
        </w:rPr>
      </w:pPr>
      <w:r>
        <w:rPr>
          <w:rFonts w:ascii="Arial" w:cs="Arial" w:eastAsia="Arial" w:hAnsi="Arial"/>
          <w:sz w:val="16"/>
          <w:szCs w:val="16"/>
          <w:color w:val="auto"/>
        </w:rPr>
        <w:t>Management continues to evaluate this Canadian litigation. In the event the company is unable to favorably resolve this litigation, management is unable to assess at this time whether this litigation would have a material adverse effect on the company’s annual consolidated operating results or financial condition, although an unfavorable resolution or outcome could be material to the company’s consolidated operating results for a particular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evaluated all subsequent events and concluded that no additional subsequent events have occurred that would require recognition in the consolidated financial statements or disclosure in the notes to the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ind w:right="42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Toro Company is in the business of designing, manufacturing, and marketing professional turf maintenance equipment and services, turf irrigation systems, agricultural micro-irrigation systems, landscaping equipment and lighting, light construction and rental equipment, and residential yard and snow removal products. We sell our products worldwide through a network of distributors, dealers, hardware retailers, home centers, mass retailers, and over the Internet. Our businesses are organized into three reportable business segments: Professional, Residential, and Distribution. Our Distribution segment, which consists of our company-owned domestic distributorships, has been combined with our corporate activities and is shown as “Other.” Our emphasis is to provide innovative, well-built, and dependable products supported by an extensive service network. A significant portion of our revenues has historically been, and we expect will continue to be, attributable to new and enhanced products. We define new products as those introduced in the current and previous two fiscal years.</w:t>
      </w:r>
    </w:p>
    <w:p>
      <w:pPr>
        <w:spacing w:after="0" w:line="192"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MD&amp;A included in Part II, Item 7 of our Annual Report on Form 10-K for the fiscal year ended October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For the third quarter of fiscal 2012, our net earnings were up 15.6 percent and net sales grew by 0.6 percent, each as compared to the third quarter of fiscal 2011. Net sales and net earnings for the year-to-date period of fiscal 2012 grew 6.8 percent and 14.8 percent, respectively, as compared to the same period in the prior fiscal year. Sales for the year-to-date comparison were benefited by favorable early spring weather that accelerated shipments and demand for our</w:t>
      </w:r>
    </w:p>
    <w:p>
      <w:pPr>
        <w:sectPr>
          <w:pgSz w:w="11900" w:h="16912" w:orient="portrait"/>
          <w:cols w:equalWidth="0" w:num="1">
            <w:col w:w="11420"/>
          </w:cols>
          <w:pgMar w:left="240" w:top="368" w:right="239" w:bottom="0" w:gutter="0" w:footer="0" w:header="0"/>
        </w:sectPr>
      </w:pPr>
    </w:p>
    <w:bookmarkStart w:id="11" w:name="page12"/>
    <w:bookmarkEnd w:id="11"/>
    <w:p>
      <w:pPr>
        <w:ind w:right="20"/>
        <w:spacing w:after="0" w:line="285" w:lineRule="auto"/>
        <w:rPr>
          <w:sz w:val="20"/>
          <w:szCs w:val="20"/>
          <w:color w:val="auto"/>
        </w:rPr>
      </w:pPr>
      <w:r>
        <w:rPr>
          <w:rFonts w:ascii="Arial" w:cs="Arial" w:eastAsia="Arial" w:hAnsi="Arial"/>
          <w:sz w:val="16"/>
          <w:szCs w:val="16"/>
          <w:color w:val="auto"/>
        </w:rPr>
        <w:t>products in the first half of our fiscal year. However, during the third quarter of fiscal 2012, we experienced a more challenging worldwide economic environment, particularly in Europe, and extreme drought conditions across much of the United States, which resulted in our modest sales growth for the third quarter comparison and higher field inventory levels as of the end of our third quarter of fiscal 2012 compared to the end of our third quarter of fiscal 2011. Sales for most professional segment businesses increased in the third quarter and year-to-date periods of fiscal 2012 compared to the same periods last fiscal year due to the successful introduction of new products and price increases, as well as increased demand for domestic golf equipment and landscape contractor equipment, mainly in the first half of the fiscal year, as favorable early spring weather accelerated shipments and demand. Additionally, for the third quarter and year-to-date periods of fiscal 2012, $9.1 million and $16.4 million, respectively, of incremental net sales from acquisitions contributed to the sales growth for our professional segment. Worldwide sales for our micro-irrigation products also increased due to continued acceptance and strong demand of drip irrigation solutions for agricultural markets. Residential segment sales were down 7.9 percent for the third quarter of fiscal 2012 compared to the third quarter of fiscal 2011 due mainly to lower preseason shipments of snow thrower products from higher field inventory levels entering the 2012/2013 snow season resulting from the lack of snowfall during the 2011/2012 winter season. For the year-to-date period of fiscal 2012 compared to the same period last fiscal year, residential segment net sales were up 5.2 percent primarily from favorable early spring weather conditions that drove strong demand for walk power mowers and riders in the first half of the fiscal year, positive customer response to newly introduced products, and higher sales of Pope products in Australia in the first half of the fiscal year due to more favorable weather conditions. However, shipments of snow thrower products and service parts were down for the year-to-date comparison due to reduced demand resulting from the lack of snowfall during the 2011/2012 winter season. International net sales decreased for the third quarter and year-to-date periods of fiscal 2012 compared to the same periods in the prior fiscal year primarily from lower sales in Europe as a result of continuing economic issues and uncertainty in that region. Our net earnings growth in the third quarter and year-to-date periods of fiscal 2012 compared to the same periods in fiscal 2011 were primarily attributable to improved gross margins, higher sales volumes for the year-to-date comparison, and $4.5 million of pre-tax costs last fiscal year associated with a rework for a non-safety quality issue that affected a large number of our residential segment walk power mowers that was not duplicated this fiscal year.</w:t>
      </w:r>
    </w:p>
    <w:p>
      <w:pPr>
        <w:spacing w:after="0" w:line="387" w:lineRule="exact"/>
        <w:rPr>
          <w:sz w:val="20"/>
          <w:szCs w:val="20"/>
          <w:color w:val="auto"/>
        </w:rPr>
      </w:pPr>
    </w:p>
    <w:p>
      <w:pPr>
        <w:ind w:right="20" w:firstLine="270"/>
        <w:spacing w:after="0" w:line="297" w:lineRule="auto"/>
        <w:rPr>
          <w:sz w:val="20"/>
          <w:szCs w:val="20"/>
          <w:color w:val="auto"/>
        </w:rPr>
      </w:pPr>
      <w:r>
        <w:rPr>
          <w:rFonts w:ascii="Arial" w:cs="Arial" w:eastAsia="Arial" w:hAnsi="Arial"/>
          <w:sz w:val="16"/>
          <w:szCs w:val="16"/>
          <w:color w:val="auto"/>
        </w:rPr>
        <w:t>We continued to focus on asset management and our financial condition remained strong during the third quarter of fiscal 2012. Our receivables decreased slightly, by 1.0 percent, as of the end of the third quarter of fiscal 2012 compared to the end of the third quarter of fiscal 2011 on a sales increase of nearly 1 percent. Our inventory levels increased slightly, by 1.0 percent, as of the end of the third quarter of fiscal 2012 compared to the end of the third quarter of fiscal 2011. Our third quarter cash dividend increased by 10 percent from $0.10 to $0.11 per share compared to the quarterly cash dividend paid in the third quarter of fiscal 2011. During the third quarter of fiscal 2012, we announced that our Board of Directors had declared a two-for-one stock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split of the company’s common stock, effected in the form of a 100 percent stock dividend, which was our third stock split in the past ten years.</w:t>
      </w:r>
    </w:p>
    <w:p>
      <w:pPr>
        <w:spacing w:after="0" w:line="225"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Our multi-year initiative, “Destination 2014,” will take us to our centennial in 2014 and into our second century. This four-year initiative is intended to focus our efforts on driving our legacy of excellence through building caring relationships and engaging in innovation. Through our Destination 2014 initiative financial goals, we will strive to achieve a minimum of $100 million in organic revenue growth each fiscal year and 12 percent operating earnings as a percentage of net sales by the end of fiscal 2014. Given the recent drought conditions in much of the United States that hampered our anticipated sales growth for our residential segment products along with economic issues, primarily in Europe, we do not expect to achieve our $100 million organic revenue growth goal in fiscal 2012. We define organic revenue growth as the increase in net sales, less net sales from acquisitions that occurred in the prior twelve-month period.</w:t>
      </w:r>
    </w:p>
    <w:p>
      <w:pPr>
        <w:spacing w:after="0" w:line="189" w:lineRule="exact"/>
        <w:rPr>
          <w:sz w:val="20"/>
          <w:szCs w:val="20"/>
          <w:color w:val="auto"/>
        </w:rPr>
      </w:pPr>
    </w:p>
    <w:p>
      <w:pPr>
        <w:ind w:right="140" w:firstLine="270"/>
        <w:spacing w:after="0" w:line="257" w:lineRule="auto"/>
        <w:rPr>
          <w:sz w:val="20"/>
          <w:szCs w:val="20"/>
          <w:color w:val="auto"/>
        </w:rPr>
      </w:pPr>
      <w:r>
        <w:rPr>
          <w:rFonts w:ascii="Arial" w:cs="Arial" w:eastAsia="Arial" w:hAnsi="Arial"/>
          <w:sz w:val="18"/>
          <w:szCs w:val="18"/>
          <w:color w:val="auto"/>
        </w:rPr>
        <w:t>In spite of the level of economic uncertainty and unfavorable weather patterns we experienced in fiscal 2012, our continued focus is on generating customer demand and aggressively driving retail sales for our innovative products, while keeping production closely aligned with expected shipment volumes. We will continue to keep a cautionary eye on the global economic environment, particularly Europe, retail demand, field inventory levels, commodity prices, weather conditions, competitive actions, expenses, and other factors identified below under the heading “Forward-Looking Information,” which could cause our actual results to differ from our anticipated outlook.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earnings for the third quarter of fiscal 2012 were $40.5 million, or $0.67 per diluted share, compared to $35.1 million, or $0.55 per diluted share, for the third quarter of fiscal 2011, resulting in a net earnings per diluted share increase of 21.8 percent. The primary factors contributing to the third quarter earnings improvement include improved gross margins, a lower effective tax rate, and $4.5 million of pre-tax costs last fiscal year associated with a rework for a non-safety quality issue for our walk power mowers that were not duplicated this fiscal year. Year-to-date net earnings in fiscal 2012 were $129.3 million, or $2.13 per diluted share, compared to $112.6 million, or $1.76 per diluted share, in the last fiscal year, resulting in a net earnings per diluted share increase of 21.0 percent. The primary factors contributing to our earnings improvement for the year-to-date period were higher sales volumes, an increase in gross profit, and costs associated with a rework for our walk power mowers last fiscal year that were not duplicated this fiscal year, as discussed above, somewhat offset by a higher effective tax rate. In addition, net earnings per diluted share for the third quarter and year-to-date periods of fiscal 2012 were benefited by approximately $0.03 per share and $0.11 per share, respectively, compared to the same periods in fiscal 2011, as a result of reduced shares outstanding from repurchases of our common stock.</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the major operating costs and other income as a percentage of net sales: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80" w:type="dxa"/>
            <w:vAlign w:val="bottom"/>
            <w:gridSpan w:val="4"/>
          </w:tcPr>
          <w:p>
            <w:pPr>
              <w:jc w:val="right"/>
              <w:ind w:right="107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060" w:type="dxa"/>
            <w:vAlign w:val="bottom"/>
          </w:tcPr>
          <w:p>
            <w:pPr>
              <w:spacing w:after="0"/>
              <w:rPr>
                <w:sz w:val="10"/>
                <w:szCs w:val="10"/>
                <w:color w:val="auto"/>
              </w:rPr>
            </w:pPr>
          </w:p>
        </w:tc>
        <w:tc>
          <w:tcPr>
            <w:tcW w:w="1660" w:type="dxa"/>
            <w:vAlign w:val="bottom"/>
            <w:tcBorders>
              <w:top w:val="single" w:sz="8" w:color="auto"/>
            </w:tcBorders>
            <w:gridSpan w:val="3"/>
          </w:tcPr>
          <w:p>
            <w:pPr>
              <w:jc w:val="center"/>
              <w:ind w:right="190"/>
              <w:spacing w:after="0" w:line="119" w:lineRule="exact"/>
              <w:rPr>
                <w:sz w:val="20"/>
                <w:szCs w:val="20"/>
                <w:color w:val="auto"/>
              </w:rPr>
            </w:pPr>
            <w:r>
              <w:rPr>
                <w:rFonts w:ascii="Arial" w:cs="Arial" w:eastAsia="Arial" w:hAnsi="Arial"/>
                <w:sz w:val="13"/>
                <w:szCs w:val="13"/>
                <w:b w:val="1"/>
                <w:bCs w:val="1"/>
                <w:color w:val="auto"/>
                <w:w w:val="97"/>
              </w:rPr>
              <w:t>August 3,</w:t>
            </w:r>
          </w:p>
        </w:tc>
        <w:tc>
          <w:tcPr>
            <w:tcW w:w="960" w:type="dxa"/>
            <w:vAlign w:val="bottom"/>
            <w:tcBorders>
              <w:top w:val="single" w:sz="8" w:color="auto"/>
            </w:tcBorders>
          </w:tcPr>
          <w:p>
            <w:pPr>
              <w:jc w:val="center"/>
              <w:ind w:left="331"/>
              <w:spacing w:after="0" w:line="119" w:lineRule="exact"/>
              <w:rPr>
                <w:sz w:val="20"/>
                <w:szCs w:val="20"/>
                <w:color w:val="auto"/>
              </w:rPr>
            </w:pPr>
            <w:r>
              <w:rPr>
                <w:rFonts w:ascii="Arial" w:cs="Arial" w:eastAsia="Arial" w:hAnsi="Arial"/>
                <w:sz w:val="13"/>
                <w:szCs w:val="13"/>
                <w:b w:val="1"/>
                <w:bCs w:val="1"/>
                <w:color w:val="auto"/>
              </w:rPr>
              <w:t>July 29,</w:t>
            </w:r>
          </w:p>
        </w:tc>
        <w:tc>
          <w:tcPr>
            <w:tcW w:w="4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640" w:type="dxa"/>
            <w:vAlign w:val="bottom"/>
            <w:tcBorders>
              <w:top w:val="single" w:sz="8" w:color="auto"/>
            </w:tcBorders>
            <w:gridSpan w:val="2"/>
          </w:tcPr>
          <w:p>
            <w:pPr>
              <w:jc w:val="right"/>
              <w:ind w:right="570"/>
              <w:spacing w:after="0" w:line="119" w:lineRule="exact"/>
              <w:rPr>
                <w:sz w:val="20"/>
                <w:szCs w:val="20"/>
                <w:color w:val="auto"/>
              </w:rPr>
            </w:pPr>
            <w:r>
              <w:rPr>
                <w:rFonts w:ascii="Arial" w:cs="Arial" w:eastAsia="Arial" w:hAnsi="Arial"/>
                <w:sz w:val="13"/>
                <w:szCs w:val="13"/>
                <w:b w:val="1"/>
                <w:bCs w:val="1"/>
                <w:color w:val="auto"/>
              </w:rPr>
              <w:t>August 3,</w:t>
            </w:r>
          </w:p>
        </w:tc>
        <w:tc>
          <w:tcPr>
            <w:tcW w:w="1380" w:type="dxa"/>
            <w:vAlign w:val="bottom"/>
            <w:tcBorders>
              <w:top w:val="single" w:sz="8" w:color="auto"/>
            </w:tcBorders>
          </w:tcPr>
          <w:p>
            <w:pPr>
              <w:jc w:val="right"/>
              <w:ind w:right="354"/>
              <w:spacing w:after="0" w:line="119" w:lineRule="exact"/>
              <w:rPr>
                <w:sz w:val="20"/>
                <w:szCs w:val="20"/>
                <w:color w:val="auto"/>
              </w:rPr>
            </w:pPr>
            <w:r>
              <w:rPr>
                <w:rFonts w:ascii="Arial" w:cs="Arial" w:eastAsia="Arial" w:hAnsi="Arial"/>
                <w:sz w:val="13"/>
                <w:szCs w:val="13"/>
                <w:b w:val="1"/>
                <w:bCs w:val="1"/>
                <w:color w:val="auto"/>
              </w:rPr>
              <w:t>July 29,</w:t>
            </w:r>
          </w:p>
        </w:tc>
        <w:tc>
          <w:tcPr>
            <w:tcW w:w="260" w:type="dxa"/>
            <w:vAlign w:val="bottom"/>
          </w:tcPr>
          <w:p>
            <w:pPr>
              <w:spacing w:after="0"/>
              <w:rPr>
                <w:sz w:val="10"/>
                <w:szCs w:val="10"/>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CCEEFF"/>
            </w:tcBorders>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100.0%</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88"/>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(64.7)</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(66.5)</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(65.4)</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(65.8)</w:t>
            </w:r>
          </w:p>
        </w:tc>
      </w:tr>
      <w:tr>
        <w:trPr>
          <w:trHeight w:val="210"/>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SG&amp;A expense</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(23.2)</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(22.6)</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(22.1)</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(22.6)</w:t>
            </w:r>
          </w:p>
        </w:tc>
      </w:tr>
      <w:tr>
        <w:trPr>
          <w:trHeight w:val="210"/>
        </w:trPr>
        <w:tc>
          <w:tcPr>
            <w:tcW w:w="4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8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(0.9)</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(0.8)</w:t>
            </w: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(3.8)</w:t>
            </w:r>
          </w:p>
        </w:tc>
        <w:tc>
          <w:tcPr>
            <w:tcW w:w="96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(3.4)</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(4.0)</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(3.6)</w:t>
            </w:r>
          </w:p>
        </w:tc>
      </w:tr>
      <w:tr>
        <w:trPr>
          <w:trHeight w:val="223"/>
        </w:trPr>
        <w:tc>
          <w:tcPr>
            <w:tcW w:w="40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0"/>
        </w:trPr>
        <w:tc>
          <w:tcPr>
            <w:tcW w:w="4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jc w:val="both"/>
        <w:ind w:right="40"/>
        <w:spacing w:after="0" w:line="285" w:lineRule="auto"/>
        <w:rPr>
          <w:sz w:val="20"/>
          <w:szCs w:val="20"/>
          <w:color w:val="auto"/>
        </w:rPr>
      </w:pPr>
      <w:r>
        <w:rPr>
          <w:rFonts w:ascii="Arial" w:cs="Arial" w:eastAsia="Arial" w:hAnsi="Arial"/>
          <w:sz w:val="16"/>
          <w:szCs w:val="16"/>
          <w:color w:val="auto"/>
        </w:rPr>
        <w:t>Worldwide consolidated net sales for the third quarter and year-to-date periods of fiscal 2012 were up 0.6 percent and 6.8 percent, respectively, from the same periods in the prior fiscal year. Worldwide professional segment net sales were up 4.4 percent and 7.7 percent for the third quarter and year-to-date periods of fiscal 2012, respectively, compared to the same periods in the prior fiscal year. Sales for most professional segment businesses increased primarily due to the successful introduction of new products and price increases, as well as continued demand for domestic golf equipment and landscape contractor equipment as customers replaced their aged inventory, mainly in the first half of the fiscal year, as favorable early spring weather accelerated shipments and demand.</w:t>
      </w:r>
    </w:p>
    <w:p>
      <w:pPr>
        <w:spacing w:after="0" w:line="2"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Additionally, for the third quarter and year-to-date periods of fiscal 2012, $9.1 million and $16.4 million, respectively, of incremental net sales from acquisitions contributed to the sales growth for our professional segment. During the second quarter of fiscal 2012, we completed the acquisitions of two professional product lines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that increase our product offering and presence in the rental and light construction markets. Worldwide sales for our micro-irrigation products also increased due to continued acceptance and strong demand of drip irrigation solutions for agricultural markets. Residential segment sales were down 7.9 percent for the third quarter of fiscal 2012 compared to the third quarter of fiscal 2011 due mainly to lower preseason shipments of snow thrower products from higher field inventory levels entering the 2012/2013 snow season resulting from the lack of snowfall during the 2011/2012 winter season. Sales of riding products also were down for the quarter comparison due to lower demand resulting primarily from drought conditions throughout much of the United States. For the year-to-date period of fiscal 2012 compared to the same period last fiscal year, residential segment net sales were up 5.2 percent primarily from favorable early spring weather conditions that drove strong demand for walk power mowers and riders in the first half of the fiscal year, positive customer response to newly introduced products, and higher sales of Pope products in Australia in the first half of the fiscal year due to more favorable weather conditions. However, shipments of snow thrower products and service parts were down for the year-to-date comparison due to reduced demand resulting from the lack of snowfall during the 2011/2012 winter season. International net sales for the third quarter and year-to-date periods of fiscal 2012 decreased 9.2 percent and 1.5 percent, respectively, compared to the same periods in the prior fiscal year primarily from lower sales in Europe as a result of continuing economic issues and uncertainty in that region. Changes in currency exchange rates resulted in a decline of approximately $3.3 million of net sales for the third quarter of fiscal 2012 compared to the same period last fiscal year. For the year-to-date period of fiscal 2012 compared to the same period last fiscal year, changes in currency exchange rates accounted for approximately $1.2 million of additional net sales. Field inventory levels were up as of the end of the third quarter of fiscal 2012 compared to the same period in the prior fiscal year due to strong preseason demand as a result of favorable early spring weather conditions coupled with subsequent slowing demand in the third quarter of fiscal 2012. Therefore, we anticipate our fourth quarter of fiscal 2012 net sales to be negatively impacted by declining field inventory levels, as compared to our net sales in the fourth quarter of fiscal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 percentage of net sales, gross profit for the third quarter of fiscal 2012 increased 180 basis points to 35.3 percent compared to 33.5 percent in the third quarter of fiscal 2011. Gross profit as a percent of net sales for the year-to-date period of fiscal 2012 increased by 40 basis points to 34.6 percent compared to 34.2 percent for year-to-date period of fiscal 2011. These increases were primarily due to the following factors: (i) rework costs last fiscal year associated with a non-safety quality issue that affected a large number of our residential segment walk power mowers that was not duplicated this fiscal year; (ii) price increases on some products; (iii) favorable product mix for the third quarter comparison; and (iv) manufacturing efficiencies from increased production and demand for our products. Somewhat offsetting those positive factors were higher prices paid for commodities, mainly for the year-to-date comparison, and lower margins on product sales from acquisitions.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22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SG&amp;A expense increased $4.2 million, or 3.7 percent, for the third quarter of fiscal 2012 compared to the third quarter of fiscal 2011, and increased $16.1 million, or 4.7 percent, for the year-to-date period of fiscal 2012 compared to the year-to-date period of fiscal 2011. As a percentage of net sales, SG&amp;A expense increased 60 basis points for the third quarter of fiscal 2012 compared to the third quarter of fiscal 2011 due to higher self-insured health insurance expense and incremental costs from acquisitions. For the year-to-date period of fiscal 2012 compared to the same period last fiscal year, SG&amp;A expense as a percentage of net sales decreased 50 basis points primarily from leveraging fixed SG&amp;A costs over higher sales volumes.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Interest expense for the third quarter of fiscal 2012 decreased by 2.2 percent compared to the third quarter of fiscal 2011. Interest expense was up by 1.5 percent for the year-to-date period of fiscal 2012 compared to the same period in the prior fiscal year primarily as a result of higher average debt levels.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 income, net for the third quarter and year-to-date periods of fiscal 2012 increased by $0.8 million and $0.7 million, respectively, compared to the same periods in the prior fiscal year due primarily to an increase in income from our equity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tax rate for the third quarter of fiscal 2012 was 31.8 percent compared to 32.9 percent for the third quarter of fiscal 2011. The decrease in the effective tax rate was primarily the result of a benefit from an increased domestic production activities deduction. The effective tax rate for the year-to-date periods of fiscal 2012 and 2011 was 33.3 percent and 32.7 percent, respectively. The increase in the effective tax rate was primarily the result of the expiration of the federal research and development tax credit on December 31, 2011.</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ectPr>
          <w:pgSz w:w="11900" w:h="16838" w:orient="portrait"/>
          <w:cols w:equalWidth="0" w:num="1">
            <w:col w:w="11420"/>
          </w:cols>
          <w:pgMar w:left="240" w:top="121" w:right="239" w:bottom="0" w:gutter="0" w:footer="0" w:header="0"/>
        </w:sectPr>
      </w:pPr>
    </w:p>
    <w:bookmarkStart w:id="13" w:name="page14"/>
    <w:bookmarkEnd w:id="13"/>
    <w:p>
      <w:pPr>
        <w:spacing w:after="0" w:line="15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described previously, we operate in three reportable business segments: Professional, Residential, and Distribution. Our Distribution segment, which consists of our company-owned domestic distributorships, has been combined with our corporate activities and elimination of intersegment revenues and expenses that is shown as “Other” in the following tables. Operating earnings for our Professional and Residential segments are defined as operating earnings plus other income, net. Operating loss for “Other” includes operating earnings (loss), corporate activities, other income, net, and interest expense.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net sales by segment: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August 3,</w:t>
            </w:r>
          </w:p>
        </w:tc>
        <w:tc>
          <w:tcPr>
            <w:tcW w:w="280" w:type="dxa"/>
            <w:vAlign w:val="bottom"/>
          </w:tcPr>
          <w:p>
            <w:pPr>
              <w:spacing w:after="0"/>
              <w:rPr>
                <w:sz w:val="10"/>
                <w:szCs w:val="10"/>
                <w:color w:val="auto"/>
              </w:rPr>
            </w:pPr>
          </w:p>
        </w:tc>
        <w:tc>
          <w:tcPr>
            <w:tcW w:w="142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July 29,</w:t>
            </w:r>
          </w:p>
        </w:tc>
        <w:tc>
          <w:tcPr>
            <w:tcW w:w="200" w:type="dxa"/>
            <w:vAlign w:val="bottom"/>
          </w:tcPr>
          <w:p>
            <w:pPr>
              <w:spacing w:after="0"/>
              <w:rPr>
                <w:sz w:val="10"/>
                <w:szCs w:val="10"/>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217"/>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CCEEFF"/>
            </w:tcBorders>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vMerge w:val="continue"/>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361,120</w:t>
            </w:r>
          </w:p>
        </w:tc>
        <w:tc>
          <w:tcPr>
            <w:tcW w:w="260" w:type="dxa"/>
            <w:vAlign w:val="bottom"/>
            <w:vMerge w:val="continue"/>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345,972</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15,148</w:t>
            </w:r>
          </w:p>
        </w:tc>
        <w:tc>
          <w:tcPr>
            <w:tcW w:w="260" w:type="dxa"/>
            <w:vAlign w:val="bottom"/>
            <w:vMerge w:val="continue"/>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135,894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147,479</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(11,585)</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26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7,594</w:t>
            </w:r>
          </w:p>
        </w:tc>
        <w:tc>
          <w:tcPr>
            <w:tcW w:w="3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504,076</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501,045</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26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520" w:type="dxa"/>
            <w:vAlign w:val="bottom"/>
            <w:gridSpan w:val="2"/>
          </w:tcPr>
          <w:p>
            <w:pPr>
              <w:jc w:val="right"/>
              <w:ind w:right="5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133,120</w:t>
            </w:r>
          </w:p>
        </w:tc>
        <w:tc>
          <w:tcPr>
            <w:tcW w:w="2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146,678</w:t>
            </w:r>
          </w:p>
        </w:tc>
        <w:tc>
          <w:tcPr>
            <w:tcW w:w="3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(13,558)</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5"/>
          </w:tcPr>
          <w:p>
            <w:pPr>
              <w:jc w:val="right"/>
              <w:ind w:right="1180"/>
              <w:spacing w:after="0"/>
              <w:rPr>
                <w:sz w:val="20"/>
                <w:szCs w:val="20"/>
                <w:color w:val="auto"/>
              </w:rPr>
            </w:pPr>
            <w:r>
              <w:rPr>
                <w:rFonts w:ascii="Arial" w:cs="Arial" w:eastAsia="Arial" w:hAnsi="Arial"/>
                <w:sz w:val="14"/>
                <w:szCs w:val="14"/>
                <w:b w:val="1"/>
                <w:bCs w:val="1"/>
                <w:color w:val="auto"/>
              </w:rPr>
              <w:t>Nine Months Ended</w:t>
            </w:r>
          </w:p>
        </w:tc>
        <w:tc>
          <w:tcPr>
            <w:tcW w:w="1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August 3,</w:t>
            </w:r>
          </w:p>
        </w:tc>
        <w:tc>
          <w:tcPr>
            <w:tcW w:w="280" w:type="dxa"/>
            <w:vAlign w:val="bottom"/>
          </w:tcPr>
          <w:p>
            <w:pPr>
              <w:spacing w:after="0"/>
              <w:rPr>
                <w:sz w:val="10"/>
                <w:szCs w:val="10"/>
                <w:color w:val="auto"/>
              </w:rPr>
            </w:pPr>
          </w:p>
        </w:tc>
        <w:tc>
          <w:tcPr>
            <w:tcW w:w="1420" w:type="dxa"/>
            <w:vAlign w:val="bottom"/>
            <w:gridSpan w:val="2"/>
          </w:tcPr>
          <w:p>
            <w:pPr>
              <w:jc w:val="center"/>
              <w:ind w:right="580"/>
              <w:spacing w:after="0" w:line="119" w:lineRule="exact"/>
              <w:rPr>
                <w:sz w:val="20"/>
                <w:szCs w:val="20"/>
                <w:color w:val="auto"/>
              </w:rPr>
            </w:pPr>
            <w:r>
              <w:rPr>
                <w:rFonts w:ascii="Arial" w:cs="Arial" w:eastAsia="Arial" w:hAnsi="Arial"/>
                <w:sz w:val="13"/>
                <w:szCs w:val="13"/>
                <w:b w:val="1"/>
                <w:bCs w:val="1"/>
                <w:color w:val="auto"/>
              </w:rPr>
              <w:t>July 29,</w:t>
            </w:r>
          </w:p>
        </w:tc>
        <w:tc>
          <w:tcPr>
            <w:tcW w:w="200" w:type="dxa"/>
            <w:vAlign w:val="bottom"/>
          </w:tcPr>
          <w:p>
            <w:pPr>
              <w:spacing w:after="0"/>
              <w:rPr>
                <w:sz w:val="10"/>
                <w:szCs w:val="10"/>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1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center"/>
              <w:ind w:right="156"/>
              <w:spacing w:after="0"/>
              <w:rPr>
                <w:sz w:val="20"/>
                <w:szCs w:val="20"/>
                <w:color w:val="auto"/>
              </w:rPr>
            </w:pPr>
            <w:r>
              <w:rPr>
                <w:rFonts w:ascii="Arial" w:cs="Arial" w:eastAsia="Arial" w:hAnsi="Arial"/>
                <w:sz w:val="14"/>
                <w:szCs w:val="14"/>
                <w:b w:val="1"/>
                <w:bCs w:val="1"/>
                <w:color w:val="auto"/>
                <w:w w:val="96"/>
              </w:rPr>
              <w:t>2012</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2011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Borders>
              <w:right w:val="single" w:sz="8" w:color="CCEEFF"/>
            </w:tcBorders>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80" w:type="dxa"/>
            <w:vAlign w:val="bottom"/>
            <w:tcBorders>
              <w:left w:val="single" w:sz="8" w:color="CCEEFF"/>
            </w:tcBorders>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8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vMerge w:val="continue"/>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1,100,899</w:t>
            </w:r>
          </w:p>
        </w:tc>
        <w:tc>
          <w:tcPr>
            <w:tcW w:w="260" w:type="dxa"/>
            <w:vAlign w:val="bottom"/>
            <w:vMerge w:val="continue"/>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1,022,536</w:t>
            </w:r>
          </w:p>
        </w:tc>
        <w:tc>
          <w:tcPr>
            <w:tcW w:w="32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78,363</w:t>
            </w: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505,399</w:t>
            </w:r>
          </w:p>
        </w:tc>
        <w:tc>
          <w:tcPr>
            <w:tcW w:w="28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480,404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24,995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13,098</w:t>
            </w:r>
          </w:p>
        </w:tc>
        <w:tc>
          <w:tcPr>
            <w:tcW w:w="280" w:type="dxa"/>
            <w:vAlign w:val="bottom"/>
            <w:tcBorders>
              <w:left w:val="single" w:sz="8" w:color="CCEEFF"/>
            </w:tcBorders>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12,918</w:t>
            </w:r>
          </w:p>
        </w:tc>
        <w:tc>
          <w:tcPr>
            <w:tcW w:w="20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60" w:type="dxa"/>
            <w:vAlign w:val="bottom"/>
            <w:shd w:val="clear" w:color="auto" w:fill="CCEEFF"/>
          </w:tcPr>
          <w:p>
            <w:pPr>
              <w:spacing w:after="0"/>
              <w:rPr>
                <w:sz w:val="18"/>
                <w:szCs w:val="18"/>
                <w:color w:val="auto"/>
              </w:rPr>
            </w:pPr>
          </w:p>
        </w:tc>
        <w:tc>
          <w:tcPr>
            <w:tcW w:w="1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1,619,396</w:t>
            </w:r>
          </w:p>
        </w:tc>
        <w:tc>
          <w:tcPr>
            <w:tcW w:w="26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1,515,858</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103,538</w:t>
            </w:r>
          </w:p>
        </w:tc>
        <w:tc>
          <w:tcPr>
            <w:tcW w:w="26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 Includes international sales of:</w:t>
            </w:r>
          </w:p>
        </w:tc>
        <w:tc>
          <w:tcPr>
            <w:tcW w:w="5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479,790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487,325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(7,535)</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summarizes segment earnings (loss) before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10"/>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August 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13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 Change</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6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136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64,344</w:t>
            </w:r>
          </w:p>
        </w:tc>
        <w:tc>
          <w:tcPr>
            <w:tcW w:w="260" w:type="dxa"/>
            <w:vAlign w:val="bottom"/>
            <w:shd w:val="clear" w:color="auto" w:fill="CCEEFF"/>
          </w:tcPr>
          <w:p>
            <w:pPr>
              <w:spacing w:after="0"/>
              <w:rPr>
                <w:sz w:val="18"/>
                <w:szCs w:val="18"/>
                <w:color w:val="auto"/>
              </w:rPr>
            </w:pPr>
          </w:p>
        </w:tc>
        <w:tc>
          <w:tcPr>
            <w:tcW w:w="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10,048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4,638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5,410</w:t>
            </w:r>
          </w:p>
        </w:tc>
        <w:tc>
          <w:tcPr>
            <w:tcW w:w="20" w:type="dxa"/>
            <w:vAlign w:val="bottom"/>
          </w:tcPr>
          <w:p>
            <w:pPr>
              <w:spacing w:after="0"/>
              <w:rPr>
                <w:sz w:val="18"/>
                <w:szCs w:val="18"/>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(21,117)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(16,691)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(4,426)</w:t>
            </w: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59,468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52,291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7,177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10"/>
          </w:tcPr>
          <w:p>
            <w:pPr>
              <w:jc w:val="center"/>
              <w:ind w:right="600"/>
              <w:spacing w:after="0"/>
              <w:rPr>
                <w:sz w:val="20"/>
                <w:szCs w:val="20"/>
                <w:color w:val="auto"/>
              </w:rPr>
            </w:pPr>
            <w:r>
              <w:rPr>
                <w:rFonts w:ascii="Arial" w:cs="Arial" w:eastAsia="Arial" w:hAnsi="Arial"/>
                <w:sz w:val="14"/>
                <w:szCs w:val="14"/>
                <w:b w:val="1"/>
                <w:bCs w:val="1"/>
                <w:color w:val="auto"/>
                <w:w w:val="93"/>
              </w:rPr>
              <w:t>Nine Months Ended</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7"/>
              </w:rPr>
              <w:t>August 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rPr>
              <w:t>July 29,</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28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w w:val="89"/>
              </w:rPr>
              <w:t>2011</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Professional</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211,329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187,869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51,174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42,545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(68,557)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(63,170)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(5,387)</w:t>
            </w:r>
          </w:p>
        </w:tc>
        <w:tc>
          <w:tcPr>
            <w:tcW w:w="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gridSpan w:val="3"/>
          </w:tcPr>
          <w:p>
            <w:pPr>
              <w:jc w:val="right"/>
              <w:ind w:right="85"/>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professional segment in the third quarter and year-to-date periods of fiscal 2012 increased 4.4 percent and 7.7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compared to the same periods in the prior fiscal year. Sales for most professional segment businesses were up due to the successful introduction of new products and price increases, as well as increased demand for domestic golf equipment and landscape contractor equipment as customers replaced their aged inventory, mainly in the first half of the fiscal year, as favorable early spring weather accelerated shipments and demand. Additionally,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incremental net sales from acquisitions contributed to the sales growth for our professional segment for the third quarter and year-to-date periods of fiscal 2012. Worldwide sales for our micro-irrigation products also increased due to continued acceptance and strong demand of drip irrigation solutions for agricultural markets. However, international professional segment net sales decreased for the third quarter and year-to-date periods of fiscal 2012 compared to the same periods in the prior fiscal year primarily from lower sales in Europe as a result of continuing economic issues and uncertainty in that region. Field inventory levels were up for our professional segment products as of the end of the third quarter of fiscal 2012 compared to the same period in the prior fiscal year due to strong preseason demand as a result of early spring weather conditions coupled with subsequent slowing demand in the third quarter of fiscal 2012.</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professional segment in the third quarter and year-to-date periods of fiscal 2012 increased 9.6 percent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12.5 percent, respectively, compared to the same periods in fiscal 2011. Expressed as a percentage of net sales, professional segment operating margin increased to 19.5 percent and 19.2 percent in the third quarter and year-to-date periods of fiscal 2012, respectively, compared to 18.6 percent and 18.4 percent in the third quarter and year-to-date periods of fiscal 2011, respectively. These profit improvements were primarily attributable to higher sales volumes and an increase in gross margins from price increases on some products and manufacturing efficiencies from increased production and demand for our products, somewhat offset by higher prices paid for commodities, mainly for the year-to-date comparison, and lower margins on product sales from acquisitions. Also contributing to the professional segment profit improvements was lower SG&amp;A expenses as a percentage of net sales due to leveraging fixed SG&amp;A costs over higher sales volumes.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Worldwide net sales for the residential segment in the third quarter of fiscal 2012 decreased 7.9 percent compared to the same period in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This decrease was due mainly to lower preseason shipments of snow thrower products from higher field inventory levels entering the 2012/2013</w:t>
      </w:r>
    </w:p>
    <w:p>
      <w:pPr>
        <w:sectPr>
          <w:pgSz w:w="11900" w:h="16989" w:orient="portrait"/>
          <w:cols w:equalWidth="0" w:num="1">
            <w:col w:w="11400"/>
          </w:cols>
          <w:pgMar w:left="240" w:top="125" w:right="259" w:bottom="0" w:gutter="0" w:footer="0" w:header="0"/>
        </w:sectPr>
      </w:pPr>
    </w:p>
    <w:bookmarkStart w:id="14" w:name="page15"/>
    <w:bookmarkEnd w:id="14"/>
    <w:p>
      <w:pPr>
        <w:spacing w:after="0" w:line="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snow season resulting from the lack of snowfall during the 2011/2012 winter season. Sales of riding products also were down for the quarter comparison due to lower demand from drought conditions throughout much of the United States. For the year-to-date period of fiscal 2012 compared to the same period last fiscal year, residential segment net sales were up 5.2 percent primarily from favorable early spring weather conditions that drove strong demand for walk power mowers and riders in the first half of the fiscal year, positive customer response to newly introduced products, and higher sales of Pope products in Australia in the first half of the fiscal year due to more favorable weather conditions. However, shipments of snow thrower products were down for the year-to-date comparison due to reduced demand resulting from the lack of snowfall during the 2011/2012 winter season. Field inventory levels were up for our residential riding and walk power mower products as of the end of the third quarter of fiscal 2012 compared to the same period in the prior fiscal year due to strong preseason demand as a result of favorable early spring weather conditions coupled with subsequent slowing demand in the third quarter of fiscal 2012.</w:t>
      </w:r>
    </w:p>
    <w:p>
      <w:pPr>
        <w:spacing w:after="0" w:line="1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Operating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for the residential segment in the third quarter and year-to-date periods of fiscal 2012 increased 116.6 percent and</w:t>
      </w:r>
      <w:r>
        <w:rPr>
          <w:rFonts w:ascii="Arial" w:cs="Arial" w:eastAsia="Arial" w:hAnsi="Arial"/>
          <w:sz w:val="18"/>
          <w:szCs w:val="18"/>
          <w:i w:val="1"/>
          <w:iCs w:val="1"/>
          <w:color w:val="auto"/>
        </w:rPr>
        <w:t xml:space="preserve"> </w:t>
      </w:r>
      <w:r>
        <w:rPr>
          <w:rFonts w:ascii="Arial" w:cs="Arial" w:eastAsia="Arial" w:hAnsi="Arial"/>
          <w:sz w:val="18"/>
          <w:szCs w:val="18"/>
          <w:color w:val="auto"/>
        </w:rPr>
        <w:t>20.3 percent, respectively, compared to the same periods in the prior fiscal year. Expressed as a percentage of net sales, residential segment operating margin increased to 7.4 percent and 10.1 percent in the third quarter and year-to-date periods of fiscal 2012, respectively, compared to 3.1 percent and 8.9 percent in the third quarter and year-to-date periods of fiscal 2011, respectively. These profit improvements were primarily attributable to a pre-tax charge of $4.5 million due to costs associated with a rework for a non-safety quality issue that affected a large number of our walk power mowers in the prior fiscal year that was not duplicated in fiscal 2012 and lower SG&amp;A expenses as a percentage of net sales due to leveraging fixed SG&amp;A costs over higher sales volumes for the year-to-date comparison.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Net Sales</w:t>
      </w:r>
      <w:r>
        <w:rPr>
          <w:rFonts w:ascii="Arial" w:cs="Arial" w:eastAsia="Arial" w:hAnsi="Arial"/>
          <w:sz w:val="18"/>
          <w:szCs w:val="18"/>
          <w:color w:val="auto"/>
        </w:rPr>
        <w:t>. Net sales for the other segment include sales from our wholly owned domestic distribution companies less sales from the professional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segments to those distribution companies. The other segment net sales for the third quarter of fiscal 2012 decreased by $0.5 million, or 7.0 percent, compared to the same period in the prior fiscal year, due to a distribution change in our U.S Western-based distribution company’s territory for certain products. For the year-to-date period of fiscal 2012 compared to the same period last fiscal year, the other segment net sales slightly increased, by $0.2 million, or 1.4 percent.</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u w:val="single" w:color="auto"/>
          <w:color w:val="auto"/>
        </w:rPr>
        <w:t>Operating Losses.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losses for the other segment were up for the third quarter and year-to-date periods of fiscal 2012 by $4.4 million, or 26.5 percent,</w:t>
      </w:r>
      <w:r>
        <w:rPr>
          <w:rFonts w:ascii="Arial" w:cs="Arial" w:eastAsia="Arial" w:hAnsi="Arial"/>
          <w:sz w:val="16"/>
          <w:szCs w:val="16"/>
          <w:i w:val="1"/>
          <w:iCs w:val="1"/>
          <w:color w:val="auto"/>
        </w:rPr>
        <w:t xml:space="preserve"> </w:t>
      </w:r>
      <w:r>
        <w:rPr>
          <w:rFonts w:ascii="Arial" w:cs="Arial" w:eastAsia="Arial" w:hAnsi="Arial"/>
          <w:sz w:val="16"/>
          <w:szCs w:val="16"/>
          <w:color w:val="auto"/>
        </w:rPr>
        <w:t>and $5.4 million, or 8.5 percent, respectively, compared to the same periods in the prior fiscal year. These loss increases were primarily attributable to an increase in our self-insured health insurance expense and higher bad debt expense, somewhat offset by an increase in income from our equity investment.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fiscal 2012, we have placed and intend to continue to place emphasis on asset utilization with a focus on minimizing the amount of working capital in the supply chain, adjusting production plans, and maintaining or improving order replenishment and service levels to end users. As we continue to prepare for the phase-in of additional Tier 4 emission requirements, we are prebuilding inventory for anticipated higher demand before Tier 4 emission requirements go into effect, which is for our products having diesel engines with greater than 25 horsepower, but less than 75 horsepower, manufactured after January 1, 2013. We expect that we will implement price increases, some of which may be significant, for our products subject to these regulations. Therefore, we are anticipating that some customers may purchase products impacted by these requirements prior to the emission changes and price increases going into effect for products manufactured after January 1, 2013. As a result of prebuilding inventory, we anticipate our inventory levels to be higher as of the end of fiscal 2012 as compared to the end of fiscal 2011.</w:t>
      </w:r>
    </w:p>
    <w:p>
      <w:pPr>
        <w:spacing w:after="0" w:line="192" w:lineRule="exact"/>
        <w:rPr>
          <w:sz w:val="20"/>
          <w:szCs w:val="20"/>
          <w:color w:val="auto"/>
        </w:rPr>
      </w:pPr>
    </w:p>
    <w:p>
      <w:pPr>
        <w:ind w:right="20" w:firstLine="272"/>
        <w:spacing w:after="0" w:line="270" w:lineRule="auto"/>
        <w:rPr>
          <w:sz w:val="20"/>
          <w:szCs w:val="20"/>
          <w:color w:val="auto"/>
        </w:rPr>
      </w:pPr>
      <w:r>
        <w:rPr>
          <w:rFonts w:ascii="Arial" w:cs="Arial" w:eastAsia="Arial" w:hAnsi="Arial"/>
          <w:sz w:val="17"/>
          <w:szCs w:val="17"/>
          <w:color w:val="auto"/>
        </w:rPr>
        <w:t>Receivables as of the end of the third quarter of fiscal 2012 decreased by 1.0 percent compared to the end of the third quarter of fiscal 2011 due mainly to strong cash collections the last week of our quarter primarily due to the change in timing of our third quarter end date in fiscal 2012, which was five days later then the end of the third quarter in fiscal 2011, as well as lower currency exchange rates. Our average days sales outstanding for receivables improved to 34.1 days based on sales for the twelve months ended August 3, 2012, compared to 36.6 days for the twelve months ended July 29, 2011. Our inventory levels increased slightly, by 1.0 percent, as of the end of the third quarter of fiscal 2012 compared to the end of the third quarter of fiscal 2011 primarily due to incremental inventory from acquisitions of $10.5 million. In addition, accounts payable slightly decreased as of the end of our third quarter of fiscal 2012 by $2.5 million, or 2.0 percent. Our average net working capital as a percentage of net sales for the twelve months ended August 3, 2012 increased to 14.8 percent compared to 14.5 percent for the twelve months ended July 29, 2011. This increase was due to higher average inventory levels for the twelve-month period ended August 3, 2012 as compared to the twelve-month period ended July 29, 2011. We define average net working capital as accounts receivable plus inventory less trade payables as a percentage of net sales for a twelve-month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upgrading of existing facilities, as well as for financing of receivables from customers that are not financed with Red Iron. We believe that our anticipated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89" w:lineRule="exact"/>
        <w:rPr>
          <w:sz w:val="20"/>
          <w:szCs w:val="20"/>
          <w:color w:val="auto"/>
        </w:rPr>
      </w:pPr>
    </w:p>
    <w:p>
      <w:pPr>
        <w:ind w:right="60" w:firstLine="272"/>
        <w:spacing w:after="0" w:line="264" w:lineRule="auto"/>
        <w:rPr>
          <w:sz w:val="20"/>
          <w:szCs w:val="20"/>
          <w:color w:val="auto"/>
        </w:rPr>
      </w:pPr>
      <w:r>
        <w:rPr>
          <w:rFonts w:ascii="Arial" w:cs="Arial" w:eastAsia="Arial" w:hAnsi="Arial"/>
          <w:sz w:val="18"/>
          <w:szCs w:val="18"/>
          <w:color w:val="auto"/>
        </w:rPr>
        <w:t>Our Board of Directors approved a cash dividend of $0.11 per share for the third quarter of fiscal 2012 paid on June 18, 2012, as adjusted to reflect a two-for-one stock split effective on June 29, 2012, which was an increase of 10 percent over our cash dividend of $0.10 per share for the third quarter of fiscal 2011.</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for the first nine months of fiscal 2012 increased $93.6 million compared to the first nine months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2011, mainly as a result of a decrease in working capital for the first nine months of fiscal 2012 as compared to the first nine months of fiscal 2011, as well as higher net earnings. Cash used for investing activities was down by $20.3 million compared to the first nine months of fiscal 2012, due mainly to lower levels of purchases of property, plant, and equipment and cash used for acquisitions during the first nine months of fiscal 2012 compared to the first nine months of</w:t>
      </w:r>
    </w:p>
    <w:p>
      <w:pPr>
        <w:sectPr>
          <w:pgSz w:w="11900" w:h="16877" w:orient="portrait"/>
          <w:cols w:equalWidth="0" w:num="1">
            <w:col w:w="11420"/>
          </w:cols>
          <w:pgMar w:left="240" w:top="125" w:right="239" w:bottom="0" w:gutter="0" w:footer="0" w:header="0"/>
        </w:sectPr>
      </w:pPr>
    </w:p>
    <w:bookmarkStart w:id="15" w:name="page16"/>
    <w:bookmarkEnd w:id="15"/>
    <w:p>
      <w:pPr>
        <w:spacing w:after="0" w:line="13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fiscal 2011. Cash used for financing activities for the first nine months of fiscal 2012 was down by $12.8 million. This decrease was primarily attributable to lower amounts of cash utilized to repurchase our common stock in the first nine months of fiscal 2012 compared to the first nine months of fiscal 2011, as well as an increased proceeds from stock option exercises and tax benefits from stock-based awards in the first nine months of fiscal 2012 as compared to the first nine months of fiscal 2011.</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u w:val="single" w:color="auto"/>
          <w:color w:val="auto"/>
        </w:rPr>
        <w:t>Credit Lines and Other Capital Resources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businesses are seasonal, with accounts receivable balances historically increasing between January and April</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higher sales volumes and extended payment terms made available to our customers, and decreasing between May and December when payments are received. The seasonality of production and shipments causes our working capital requirements to fluctuate during the year. Seasonal cash requirements are financed from operations, cash on hand, and with short-term financing arrangements, including our $150.0 million unsecured senior revolving credit facility that expires in July 2015. Included in our $150.0 million revolving credit facility is a sublimit for standby letters of credit and a sublimit for swingline loans. At our election and with the approval of the named borrowers on the revolving credit facility, the aggregate maximum principal amount available under the facility may be increased by an amount up to $100.0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million in aggregate. Funds are available under the revolving credit facility for working capital, capital expenditures, and other lawful purposes, including, but not limited to, acquisitions and stock repurchases. Interest expense on this credit line is determined based on a LIBOR rate (or other rates quoted by the Administrative Agent, Bank of America, N.A.) plus a basis point spread defined in the credit agreement. In addition, our non-U.S. operations maintain unsecured short-term lines of credit in the aggregate amount of approximately $6.3 million. These facilities bear interest at various rates depending on the rates in their respective countries of operation. As of August 3, 2012, we had no outstanding short-term debt under our credit facilities and an aggregate of $12.2 million of outstanding letters of credit. As of August 3, 2012, we had an aggregate of $144.1 million of unutilized availability under our credit agreements.</w:t>
      </w:r>
    </w:p>
    <w:p>
      <w:pPr>
        <w:spacing w:after="0" w:line="189" w:lineRule="exact"/>
        <w:rPr>
          <w:sz w:val="20"/>
          <w:szCs w:val="20"/>
          <w:color w:val="auto"/>
        </w:rPr>
      </w:pPr>
    </w:p>
    <w:p>
      <w:pPr>
        <w:ind w:firstLine="272"/>
        <w:spacing w:after="0" w:line="267" w:lineRule="auto"/>
        <w:rPr>
          <w:sz w:val="20"/>
          <w:szCs w:val="20"/>
          <w:color w:val="auto"/>
        </w:rPr>
      </w:pPr>
      <w:r>
        <w:rPr>
          <w:rFonts w:ascii="Arial" w:cs="Arial" w:eastAsia="Arial" w:hAnsi="Arial"/>
          <w:sz w:val="17"/>
          <w:szCs w:val="17"/>
          <w:color w:val="auto"/>
        </w:rPr>
        <w:t>The revolving credit facility contains standard covenants, including, without limitation, financial covenants, such as the maintenance of minimum interest coverage and maximum debt to earnings ratios; and negative covenants, which among other things, limit loans and investments, disposition of assets, consolidations and mergers, transactions with affiliates, restricted payments, contingent obligations, liens and other matters customarily restricted in such agreements. Most of these restrictions are subject to certain minimum thresholds and exceptions. Under the revolving credit facility, we are not limited to payments of cash dividends and stock repurchases as long as our debt to earnings before interest, taxes, depreciation, and amortization (“EBITDA”) ratio from the previous quarter compliance certificate is less than or equal to 2.75; however, we are limited to $50 million per fiscal year if our debt to EBITDA ratio from the previous quarter compliance certificate is greater than 2.75. As of August 3, 2012, we were not limited to payments of cash dividends and stock repurchases as our debt to EBITDA ratio was below 2.75. We were also in compliance with all covenants related to our credit agreement for our revolving credit facility as of August 3, 2012, and we expect to be in compliance with all covenants during the remainder of fiscal 2012. If we were out of compliance with any debt covenant required by this credit agreement following the applicable cure period, the banks could terminate their commitments unless we could negotiate a covenant waiver from the banks. In addition, our long-term senior notes and debentures could become due and payable if we were unable to obtain a covenant waiver or refinance our short-term debt under our credit agreement. If our credit rating falls below investment grade and/or our average debt to EBITDA ratio rises above 2.00, the basis point spread over LIBOR (or other rates quoted by the Administrative Agent, Bank of America, N.A.)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the third quarter of fiscal 2012 by Moody’s Investors Service at Baa3. On April 30, 2012, Standard and Poor’s Ratings Group raised our credit and senior unsecured debt rating from BBB- to BBB.</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Financing Arrangements and Contractual Obligations</w:t>
      </w:r>
    </w:p>
    <w:p>
      <w:pPr>
        <w:spacing w:after="0" w:line="229"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In fiscal 2009, we established our Red Iron joint venture with TCFIF. The purpose of Red Iron is to provide inventory financing, including floor plan and open account receivable financing, to distributors and dealers of our products in the U.S. and to select distributors of our products in Canada to enable our distributors and dealers to carry representative inventories of our products. Some independent international dealers continue to finance their products with a third party finance company. This third party financing company purchased $23.8 million of receivables from us during the first nine months of fiscal 2012. As of August 3, 2012, $9.8 million of receivables financed by the third party financing company, excluding Red Iron, were outstanding, and also includes outstanding receivables that were financed by third party sources before the establishment of Red Iron. See our most recently filed Annual Report on Form 10-K for further details regarding our customer financing arrangements and contractual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are subject to the effects of inflation, deflation, and changing prices. In the first nine months of fiscal 2012, average prices paid for commodities and components we purchase were higher compared to the average prices paid for commodities and components in the first nine months of fiscal 2011, which hampered our comparative gross margin growth rate. We will continue to closely follow the commodities and components that affect our product lines, and we anticipate average prices paid for commodities and components to be higher for the remainder of fiscal 2012 as compared to fiscal 2011. We expect to mitigate the impact of inflationary pressures by engaging in proactive vendor negotiations, reviewing alternative sourcing options, substituting materials, engaging in internal cost reduction efforts, and increasing prices on some of our products, all as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our most recent Annual Report on Form 10-K for the fiscal year ended October 31, 2011 for a discussion of our critical accounting policies.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to be Adopted</w:t>
      </w:r>
    </w:p>
    <w:p>
      <w:pPr>
        <w:spacing w:after="0" w:line="22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 xml:space="preserve">In July 2012, the FASB issued ASU No. 2012-02, </w:t>
      </w:r>
      <w:r>
        <w:rPr>
          <w:rFonts w:ascii="Arial" w:cs="Arial" w:eastAsia="Arial" w:hAnsi="Arial"/>
          <w:sz w:val="16"/>
          <w:szCs w:val="16"/>
          <w:i w:val="1"/>
          <w:iCs w:val="1"/>
          <w:color w:val="auto"/>
        </w:rPr>
        <w:t>Intangibles — Goodwill and Other (Topic 350) — Testing Indefinite-Lived Intangible Assets for</w:t>
      </w:r>
      <w:r>
        <w:rPr>
          <w:rFonts w:ascii="Arial" w:cs="Arial" w:eastAsia="Arial" w:hAnsi="Arial"/>
          <w:sz w:val="16"/>
          <w:szCs w:val="16"/>
          <w:color w:val="auto"/>
        </w:rPr>
        <w:t xml:space="preserve"> </w:t>
      </w:r>
      <w:r>
        <w:rPr>
          <w:rFonts w:ascii="Arial" w:cs="Arial" w:eastAsia="Arial" w:hAnsi="Arial"/>
          <w:sz w:val="16"/>
          <w:szCs w:val="16"/>
          <w:i w:val="1"/>
          <w:iCs w:val="1"/>
          <w:color w:val="auto"/>
        </w:rPr>
        <w:t>Impairment</w:t>
      </w:r>
      <w:r>
        <w:rPr>
          <w:rFonts w:ascii="Arial" w:cs="Arial" w:eastAsia="Arial" w:hAnsi="Arial"/>
          <w:sz w:val="16"/>
          <w:szCs w:val="16"/>
          <w:color w:val="auto"/>
        </w:rPr>
        <w:t>. ASU No. 2012-02 permits an entity to first assess qualitative factors to determine whether it is more likely than not that an indefinite-lived</w:t>
      </w:r>
    </w:p>
    <w:p>
      <w:pPr>
        <w:sectPr>
          <w:pgSz w:w="11900" w:h="16975" w:orient="portrait"/>
          <w:cols w:equalWidth="0" w:num="1">
            <w:col w:w="11420"/>
          </w:cols>
          <w:pgMar w:left="240" w:top="125" w:right="239" w:bottom="0" w:gutter="0" w:footer="0" w:header="0"/>
        </w:sectPr>
      </w:pPr>
    </w:p>
    <w:bookmarkStart w:id="16" w:name="page17"/>
    <w:bookmarkEnd w:id="16"/>
    <w:p>
      <w:pPr>
        <w:ind w:right="160"/>
        <w:spacing w:after="0" w:line="257" w:lineRule="auto"/>
        <w:rPr>
          <w:sz w:val="20"/>
          <w:szCs w:val="20"/>
          <w:color w:val="auto"/>
        </w:rPr>
      </w:pPr>
      <w:r>
        <w:rPr>
          <w:rFonts w:ascii="Arial" w:cs="Arial" w:eastAsia="Arial" w:hAnsi="Arial"/>
          <w:sz w:val="18"/>
          <w:szCs w:val="18"/>
          <w:color w:val="auto"/>
        </w:rPr>
        <w:t>intangible asset is impaired as a basis for determining whether it is necessary to perform quantitative impairment analysis in accordance with Subtopic 350-30</w:t>
      </w:r>
      <w:r>
        <w:rPr>
          <w:rFonts w:ascii="Arial" w:cs="Arial" w:eastAsia="Arial" w:hAnsi="Arial"/>
          <w:sz w:val="18"/>
          <w:szCs w:val="18"/>
          <w:i w:val="1"/>
          <w:iCs w:val="1"/>
          <w:color w:val="auto"/>
        </w:rPr>
        <w:t>, Intangibles — Goodwill and Other — General Intangibles Other than Goodwill</w:t>
      </w:r>
      <w:r>
        <w:rPr>
          <w:rFonts w:ascii="Arial" w:cs="Arial" w:eastAsia="Arial" w:hAnsi="Arial"/>
          <w:sz w:val="18"/>
          <w:szCs w:val="18"/>
          <w:color w:val="auto"/>
        </w:rPr>
        <w:t>. The more-likely-than-not threshold is defined as having a likelihood of more than 50 percent. ASU No. 2012-02 is effective for annual and interim impairment tests performed for fiscal years beginning after September 15, 2012 and early adoption is permitted. We plan to adopt this guidance for our annual fiscal year ending October 31, 2012. The adoption of this guidance is not expected to have a material impact on our consolidated financial statements.</w:t>
      </w:r>
    </w:p>
    <w:p>
      <w:pPr>
        <w:spacing w:after="0" w:line="188" w:lineRule="exact"/>
        <w:rPr>
          <w:sz w:val="20"/>
          <w:szCs w:val="20"/>
          <w:color w:val="auto"/>
        </w:rPr>
      </w:pPr>
    </w:p>
    <w:p>
      <w:pPr>
        <w:ind w:right="40" w:firstLine="272"/>
        <w:spacing w:after="0" w:line="302" w:lineRule="auto"/>
        <w:rPr>
          <w:sz w:val="20"/>
          <w:szCs w:val="20"/>
          <w:color w:val="auto"/>
        </w:rPr>
      </w:pPr>
      <w:r>
        <w:rPr>
          <w:rFonts w:ascii="Arial" w:cs="Arial" w:eastAsia="Arial" w:hAnsi="Arial"/>
          <w:sz w:val="16"/>
          <w:szCs w:val="16"/>
          <w:color w:val="auto"/>
        </w:rPr>
        <w:t xml:space="preserve">In December 2011, the FASB issued ASU No. 2011-11, </w:t>
      </w:r>
      <w:r>
        <w:rPr>
          <w:rFonts w:ascii="Arial" w:cs="Arial" w:eastAsia="Arial" w:hAnsi="Arial"/>
          <w:sz w:val="16"/>
          <w:szCs w:val="16"/>
          <w:i w:val="1"/>
          <w:iCs w:val="1"/>
          <w:color w:val="auto"/>
        </w:rPr>
        <w:t>Disclosures about Offsetting Assets and Liabilities</w:t>
      </w:r>
      <w:r>
        <w:rPr>
          <w:rFonts w:ascii="Arial" w:cs="Arial" w:eastAsia="Arial" w:hAnsi="Arial"/>
          <w:sz w:val="16"/>
          <w:szCs w:val="16"/>
          <w:color w:val="auto"/>
        </w:rPr>
        <w:t>. ASU No. 2011-11 requires entities to disclose gross and net information about both instruments and transactions eligible for offset in the statement of financial position and those subject to an agreement similar to a master netting arrangement. This would include derivatives and other financial securities arrangements. We will adopt this guidance in our first quarter of fiscal year 2014, as required. The adoption of this guidance is not expected to have a material impact on our consolidated financial statements.</w:t>
      </w:r>
    </w:p>
    <w:p>
      <w:pPr>
        <w:spacing w:after="0" w:line="154" w:lineRule="exact"/>
        <w:rPr>
          <w:sz w:val="20"/>
          <w:szCs w:val="20"/>
          <w:color w:val="auto"/>
        </w:rPr>
      </w:pPr>
    </w:p>
    <w:p>
      <w:pPr>
        <w:ind w:right="40" w:firstLine="272"/>
        <w:spacing w:after="0" w:line="287" w:lineRule="auto"/>
        <w:rPr>
          <w:sz w:val="20"/>
          <w:szCs w:val="20"/>
          <w:color w:val="auto"/>
        </w:rPr>
      </w:pPr>
      <w:r>
        <w:rPr>
          <w:rFonts w:ascii="Arial" w:cs="Arial" w:eastAsia="Arial" w:hAnsi="Arial"/>
          <w:sz w:val="16"/>
          <w:szCs w:val="16"/>
          <w:color w:val="auto"/>
        </w:rPr>
        <w:t xml:space="preserve">In June 2011, the FASB issued ASU No. 2011-05, </w:t>
      </w:r>
      <w:r>
        <w:rPr>
          <w:rFonts w:ascii="Arial" w:cs="Arial" w:eastAsia="Arial" w:hAnsi="Arial"/>
          <w:sz w:val="16"/>
          <w:szCs w:val="16"/>
          <w:i w:val="1"/>
          <w:iCs w:val="1"/>
          <w:color w:val="auto"/>
        </w:rPr>
        <w:t>Comprehensive Income (Topic 220) — Presentation of Comprehensive Income</w:t>
      </w:r>
      <w:r>
        <w:rPr>
          <w:rFonts w:ascii="Arial" w:cs="Arial" w:eastAsia="Arial" w:hAnsi="Arial"/>
          <w:sz w:val="16"/>
          <w:szCs w:val="16"/>
          <w:color w:val="auto"/>
        </w:rPr>
        <w:t xml:space="preserve">. ASU No. 2011-05 guidance amended the presentation of comprehensive income to allow an entity the option to present the total of comprehensive income, the components of net income, and the components of other comprehensive income either in a single continuous statement of comprehensive income or in two separate but consecutive statements. In both choices, an entity is required to present each component of net income along with total net income, each component of other comprehensive income along with a total for other comprehensive income, and a total amount for comprehensive income. The guidance eliminates the option to present the components of other comprehensive income as part of the statement of changes in stockholders’ equity. In December 2011, the FASB issued ASU No. 2011-12, </w:t>
      </w:r>
      <w:r>
        <w:rPr>
          <w:rFonts w:ascii="Arial" w:cs="Arial" w:eastAsia="Arial" w:hAnsi="Arial"/>
          <w:sz w:val="16"/>
          <w:szCs w:val="16"/>
          <w:i w:val="1"/>
          <w:iCs w:val="1"/>
          <w:color w:val="auto"/>
        </w:rPr>
        <w:t>Deferral of the Effective Date for Amendments to the Presentation of Reclassifications of Items Out of Accumulated Other Comprehensive</w:t>
      </w:r>
      <w:r>
        <w:rPr>
          <w:rFonts w:ascii="Arial" w:cs="Arial" w:eastAsia="Arial" w:hAnsi="Arial"/>
          <w:sz w:val="16"/>
          <w:szCs w:val="16"/>
          <w:color w:val="auto"/>
        </w:rPr>
        <w:t xml:space="preserve"> </w:t>
      </w:r>
      <w:r>
        <w:rPr>
          <w:rFonts w:ascii="Arial" w:cs="Arial" w:eastAsia="Arial" w:hAnsi="Arial"/>
          <w:sz w:val="16"/>
          <w:szCs w:val="16"/>
          <w:i w:val="1"/>
          <w:iCs w:val="1"/>
          <w:color w:val="auto"/>
        </w:rPr>
        <w:t>Income in Accounting Standards Update No. 2011-05</w:t>
      </w:r>
      <w:r>
        <w:rPr>
          <w:rFonts w:ascii="Arial" w:cs="Arial" w:eastAsia="Arial" w:hAnsi="Arial"/>
          <w:sz w:val="16"/>
          <w:szCs w:val="16"/>
          <w:color w:val="auto"/>
        </w:rPr>
        <w:t>. ASU No. 2011-12 defers the changes in ASU No. 2011-05 of the requirement to present separate line</w:t>
      </w:r>
      <w:r>
        <w:rPr>
          <w:rFonts w:ascii="Arial" w:cs="Arial" w:eastAsia="Arial" w:hAnsi="Arial"/>
          <w:sz w:val="16"/>
          <w:szCs w:val="16"/>
          <w:i w:val="1"/>
          <w:iCs w:val="1"/>
          <w:color w:val="auto"/>
        </w:rPr>
        <w:t xml:space="preserve"> </w:t>
      </w:r>
      <w:r>
        <w:rPr>
          <w:rFonts w:ascii="Arial" w:cs="Arial" w:eastAsia="Arial" w:hAnsi="Arial"/>
          <w:sz w:val="16"/>
          <w:szCs w:val="16"/>
          <w:color w:val="auto"/>
        </w:rPr>
        <w:t>items on the income statement for reclassification adjustments of items out of AOCI into net income. The effective date for ASU No. 2011-12 is consistent with the effective date for ASU No. 2011-05, which is effective for fiscal years, and interim periods within those years, beginning after December 15, 2011, and is to be applied retrospectively; early adoption is permitted. We will early adopt this amended guidance in our fiscal 2012 fourth quarter. The adoption of this guidance is not expected to have a material impact on our consolidated financial statements.</w:t>
      </w:r>
    </w:p>
    <w:p>
      <w:pPr>
        <w:spacing w:after="0" w:line="169" w:lineRule="exact"/>
        <w:rPr>
          <w:sz w:val="20"/>
          <w:szCs w:val="20"/>
          <w:color w:val="auto"/>
        </w:rPr>
      </w:pPr>
    </w:p>
    <w:p>
      <w:pPr>
        <w:ind w:right="100" w:firstLine="272"/>
        <w:spacing w:after="0" w:line="277" w:lineRule="auto"/>
        <w:rPr>
          <w:sz w:val="20"/>
          <w:szCs w:val="20"/>
          <w:color w:val="auto"/>
        </w:rPr>
      </w:pPr>
      <w:r>
        <w:rPr>
          <w:rFonts w:ascii="Arial" w:cs="Arial" w:eastAsia="Arial" w:hAnsi="Arial"/>
          <w:sz w:val="18"/>
          <w:szCs w:val="18"/>
          <w:color w:val="auto"/>
        </w:rPr>
        <w:t>No other new accounting pronouncement that has been issued but not yet effective for us during the third quarter of fiscal 2012 has had, or is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“forecast,” “optimistic,” “plan,” “anticipate,” “continue,” “estimate,” “believe,” “could,” “should,” “will,” “would,” “may,” “possible,” “likely,” “intend,” and similar expressions and by using future dates. Our forward-looking statements generally relate to our future performance, including our anticipated operating results, liquidity requirements, and financial condition; our business strategies and goals; and the effect of laws, rules, regulations, new accounting pronouncements, and outstanding litigation on our business and future performance.</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Forward-looking statements involve risks and uncertainties that could cause actual results to differ materially from those projected or implied.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166" w:lineRule="exact"/>
        <w:rPr>
          <w:sz w:val="20"/>
          <w:szCs w:val="20"/>
          <w:color w:val="auto"/>
        </w:rPr>
      </w:pPr>
    </w:p>
    <w:p>
      <w:pPr>
        <w:ind w:left="260" w:hanging="252"/>
        <w:spacing w:after="0" w:line="272" w:lineRule="auto"/>
        <w:tabs>
          <w:tab w:leader="none" w:pos="2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Economic conditions and outlook in the United States and in other countries in which we conduct business could adversely affect our net sales and earnings, which include but are not limited to recessionary conditions; slow or negative economic growth rates; the impact of state debt and sovereign debt defaults and austerity measures by certain European countries; slow down or reductions in levels of golf course development, renovation, and improvement; golf course closures; reduced levels of home ownership, construction, and sales; home foreclosures; negative consumer confidence; reduced consumer spending levels; prolonged high unemployment rates; higher commodity and component costs and fuel prices; inflationary or deflationary pressures; reduced credit availability or unfavorable credit terms for our distributors, dealers, and end-user customers; higher short-term, mortgage, and other interest rates; and general economic and political conditions and expectations.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right="480" w:hanging="252"/>
        <w:spacing w:after="0" w:line="258" w:lineRule="auto"/>
        <w:tabs>
          <w:tab w:leader="none" w:pos="224"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 may reduce demand for some of our products and adversely affect our net sales and operating results, or may affect the timing of demand for some of our products and may adversely affect net sales and operating results in subsequent periods.</w:t>
      </w:r>
    </w:p>
    <w:p>
      <w:pPr>
        <w:spacing w:after="0" w:line="1" w:lineRule="exact"/>
        <w:rPr>
          <w:rFonts w:ascii="Arial" w:cs="Arial" w:eastAsia="Arial" w:hAnsi="Arial"/>
          <w:sz w:val="18"/>
          <w:szCs w:val="18"/>
          <w:color w:val="auto"/>
        </w:rPr>
      </w:pPr>
    </w:p>
    <w:p>
      <w:pPr>
        <w:jc w:val="both"/>
        <w:ind w:left="260" w:right="200" w:hanging="252"/>
        <w:spacing w:after="0" w:line="281" w:lineRule="auto"/>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Increases in the cost, or disruption in the availability, of raw materials, components, and parts containing various commodities that we purchase, such as steel, aluminum, fuel, resins, linerboard, copper, lead, rubber, engines, transmissions, transaxles, hydraulics, electric motors, and other commodities and components, and increases in our other costs of doing business, such as transportation costs, may adversely affect our profit margins and business.</w:t>
      </w:r>
    </w:p>
    <w:p>
      <w:pPr>
        <w:spacing w:after="0" w:line="2" w:lineRule="exact"/>
        <w:rPr>
          <w:rFonts w:ascii="Arial" w:cs="Arial" w:eastAsia="Arial" w:hAnsi="Arial"/>
          <w:sz w:val="16"/>
          <w:szCs w:val="16"/>
          <w:color w:val="auto"/>
        </w:rPr>
      </w:pPr>
    </w:p>
    <w:p>
      <w:pPr>
        <w:ind w:left="260" w:right="14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golf course revenues and the amount of investment in golf course renovations and improvements; the level of new golf course development and golf course closures; the level of homeowners who outsource their lawn care; the level of residential and commercial construction; availability of credit to professional segment customers on acceptable terms to finance new product purchases; and the amount of government revenues, budget, and spending levels for grounds maintenance equipment; and other factors.</w:t>
      </w:r>
    </w:p>
    <w:p>
      <w:pPr>
        <w:ind w:left="260" w:right="18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mass retailers and home centers, such as The Home Depot, Inc. as a major customer, the amount of product placement at retailers, consumer confidence and spending levels, and changing buying patterns of customers.</w:t>
      </w:r>
    </w:p>
    <w:p>
      <w:pPr>
        <w:ind w:left="260" w:right="140" w:hanging="252"/>
        <w:spacing w:after="0" w:line="265" w:lineRule="auto"/>
        <w:tabs>
          <w:tab w:leader="none" w:pos="224" w:val="left"/>
        </w:tabs>
        <w:numPr>
          <w:ilvl w:val="0"/>
          <w:numId w:val="2"/>
        </w:numPr>
        <w:rPr>
          <w:rFonts w:ascii="Arial" w:cs="Arial" w:eastAsia="Arial" w:hAnsi="Arial"/>
          <w:sz w:val="17"/>
          <w:szCs w:val="17"/>
          <w:color w:val="auto"/>
        </w:rPr>
      </w:pPr>
      <w:r>
        <w:rPr>
          <w:rFonts w:ascii="Arial" w:cs="Arial" w:eastAsia="Arial" w:hAnsi="Arial"/>
          <w:sz w:val="17"/>
          <w:szCs w:val="17"/>
          <w:color w:val="auto"/>
        </w:rPr>
        <w:t>A significant percentage of our consolidated net sales are generated outside of the United States, and we intend to continue to expand our international operations. For example, late in fiscal 2011, we completed the construction of our new manufacturing facility in Romania. Our international operations also require significant management attention and financial resources, expose us to difficulties presented by international economic, political, legal, accounting, and business factors; including political, economic and/or social instability in the countries in which we sell products resulting in contraction or disruption of such markets;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1" w:lineRule="exact"/>
        <w:rPr>
          <w:rFonts w:ascii="Arial" w:cs="Arial" w:eastAsia="Arial" w:hAnsi="Arial"/>
          <w:sz w:val="17"/>
          <w:szCs w:val="17"/>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foreign currency exchange rates could result in declines in our reported net sales and net earnings.</w:t>
      </w:r>
    </w:p>
    <w:p>
      <w:pPr>
        <w:sectPr>
          <w:pgSz w:w="11900" w:h="16838" w:orient="portrait"/>
          <w:cols w:equalWidth="0" w:num="1">
            <w:col w:w="11400"/>
          </w:cols>
          <w:pgMar w:left="240" w:top="125" w:right="259" w:bottom="0" w:gutter="0" w:footer="0" w:header="0"/>
        </w:sectPr>
      </w:pPr>
    </w:p>
    <w:bookmarkStart w:id="17" w:name="page18"/>
    <w:bookmarkEnd w:id="17"/>
    <w:p>
      <w:pPr>
        <w:ind w:left="260" w:hanging="252"/>
        <w:spacing w:after="0" w:line="283" w:lineRule="auto"/>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 The United States Environmental Protection Agency has adopted increasingly stringent engine emission regulations, including Tier 4 emission requirements, that beginning in 2012, are applicable to diesel engines in a specified horsepower range that are used in some of our products. Although we have developed plans to achieve substantial compliance with Tier 4 requirements, these plans are subject to many variables including, among others, the inability of our suppliers to provide compliant engines on a timely basis or our inability to complete the necessary engineering and testing to meet our production schedule. If we are unable to successfully execute such plans, our ability to sell our products into the market may be inhibited, which could adversely affect our competitive position and financial results. To the extent in which we are able to pass along costs we incurred related to research, development, engineering, and other costs to design Tier 4 compliant products in the form of prices increases to our customers and/or our competitors implement different strategies with respect to compliance with Tier 4 requirements, we may experience lower market demand for our products that may, ultimately, adversely affect our profit margins, net sales, and overall financial results. Additionally, if our customers’ buying patterns change to purchasing our products in advance of price increases on compliant products, we may experience abnormal fluctuation in sales and our financial results of any one period may not be representative of expected financial results in subsequent periods.</w:t>
      </w:r>
    </w:p>
    <w:p>
      <w:pPr>
        <w:spacing w:after="0" w:line="3" w:lineRule="exact"/>
        <w:rPr>
          <w:rFonts w:ascii="Arial" w:cs="Arial" w:eastAsia="Arial" w:hAnsi="Arial"/>
          <w:sz w:val="16"/>
          <w:szCs w:val="16"/>
          <w:color w:val="auto"/>
        </w:rPr>
      </w:pPr>
    </w:p>
    <w:p>
      <w:pPr>
        <w:ind w:left="260" w:right="180" w:hanging="252"/>
        <w:spacing w:after="0" w:line="265"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or use of new and existing products, we may experience a decrease in demand for our products, and our business could suffer.</w:t>
      </w:r>
    </w:p>
    <w:p>
      <w:pPr>
        <w:ind w:left="260" w:right="420" w:hanging="252"/>
        <w:spacing w:after="0" w:line="250"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ind w:left="260" w:right="160" w:hanging="252"/>
        <w:spacing w:after="0" w:line="271" w:lineRule="auto"/>
        <w:tabs>
          <w:tab w:leader="none" w:pos="224"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open and manage new facilities, including our new distribution facility near Des Moines, Iowa, and/or move production between manufacturing facilities could adversely affect our business and operating results. In late fiscal 2011, we completed the construction of our new manufacturing facility in Romania for micro-irrigation products. If this facility does not produce the anticipated manufacturing or operational efficiencies, or if the micro-irrigation products to be produced at this facility are not accepted into the new</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geographic markets at expected levels, we may not recover the costs of the new facility and our operating results may be adversely affected.</w:t>
      </w:r>
    </w:p>
    <w:p>
      <w:pPr>
        <w:spacing w:after="0" w:line="35" w:lineRule="exact"/>
        <w:rPr>
          <w:sz w:val="20"/>
          <w:szCs w:val="20"/>
          <w:color w:val="auto"/>
        </w:rPr>
      </w:pPr>
    </w:p>
    <w:p>
      <w:pPr>
        <w:jc w:val="both"/>
        <w:ind w:left="260" w:right="12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grow our business in part through additional acquisitions and alliances, stronger customer relations, and new joint ventures and partnerships, all of which are risky and could harm our business, particularly if we are not able to successfully integrate such acquisitions and alliances, joint ventures, and partnerships.</w:t>
      </w:r>
    </w:p>
    <w:p>
      <w:pPr>
        <w:spacing w:after="0" w:line="1" w:lineRule="exact"/>
        <w:rPr>
          <w:rFonts w:ascii="Arial" w:cs="Arial" w:eastAsia="Arial" w:hAnsi="Arial"/>
          <w:sz w:val="18"/>
          <w:szCs w:val="18"/>
          <w:color w:val="auto"/>
        </w:rPr>
      </w:pPr>
    </w:p>
    <w:p>
      <w:pPr>
        <w:ind w:left="260" w:right="180" w:hanging="252"/>
        <w:spacing w:after="0" w:line="281"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key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ind w:left="260" w:right="12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intense competition in all of our product lines with numerous manufacturers, including from some competitors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8"/>
          <w:szCs w:val="18"/>
          <w:color w:val="auto"/>
        </w:rPr>
      </w:pPr>
    </w:p>
    <w:p>
      <w:pPr>
        <w:ind w:left="260" w:right="1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product liability claims, product quality issues, and other litigation from time to time that could adversely affect our operating results or financial condition.</w:t>
      </w:r>
    </w:p>
    <w:p>
      <w:pPr>
        <w:ind w:left="260" w:right="46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retain our key employees, and attract and retain other qualified personnel, we may not be able to meet strategic objectives and our business could suffer.</w:t>
      </w:r>
    </w:p>
    <w:p>
      <w:pPr>
        <w:ind w:left="260" w:right="200" w:hanging="252"/>
        <w:spacing w:after="0" w:line="250"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our financing joint venture with TCFIF, we are dependent upon the joint venture to provide competitive inventory financing programs, including floor plan and open account receivable financing, to certain distributors and dealers of our products. Any material change in the availability or terms of credit offered to our customers by the joint venture, any termination or disruption of our joint venture relationship or any delay in securing replacement credit sources could adversely affect our net sales and operating results.</w:t>
      </w:r>
    </w:p>
    <w:p>
      <w:pPr>
        <w:spacing w:after="0" w:line="1" w:lineRule="exact"/>
        <w:rPr>
          <w:rFonts w:ascii="Arial" w:cs="Arial" w:eastAsia="Arial" w:hAnsi="Arial"/>
          <w:sz w:val="18"/>
          <w:szCs w:val="18"/>
          <w:color w:val="auto"/>
        </w:rPr>
      </w:pPr>
    </w:p>
    <w:p>
      <w:pPr>
        <w:ind w:left="260" w:right="40" w:hanging="252"/>
        <w:spacing w:after="0" w:line="265" w:lineRule="auto"/>
        <w:tabs>
          <w:tab w:leader="none" w:pos="224"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the terms of our credit arrangements and indentures, especially the financial covenants, our credit arrangements could be terminated and our senior notes and debentures could become due and payable.</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Legislative enactments could impact the competitive landscape within our markets and affect demand for our products.</w:t>
      </w:r>
    </w:p>
    <w:p>
      <w:pPr>
        <w:spacing w:after="0" w:line="9" w:lineRule="exact"/>
        <w:rPr>
          <w:rFonts w:ascii="Arial" w:cs="Arial" w:eastAsia="Arial" w:hAnsi="Arial"/>
          <w:sz w:val="18"/>
          <w:szCs w:val="18"/>
          <w:color w:val="auto"/>
        </w:rPr>
      </w:pPr>
    </w:p>
    <w:p>
      <w:pPr>
        <w:ind w:left="260" w:right="100" w:hanging="252"/>
        <w:spacing w:after="0" w:line="287" w:lineRule="auto"/>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is subject to a number of other factors that may adversely affect our operating results, financial condition, or business, such as: our ability to achieve the revenue growth, operating earnings, and employee engagement goals of our multi-year employee initiative called “Destination 2014”; natural or man-made disasters or global pandemics that may result in shortages of raw materials and components, higher fuel and commodity costs, and an increase in insurance premiums; financial difficulties and viability of our distributors and dealers, changes in distributor ownership, changes in channel distribution of our products, relationships with our distribution channel partners, our success in partnering with new dealers, and our customers’ ability to pay amounts owed to us; ability of management to adapt to unplanned events; drug cartel-related violence, which may disrupt our production activities and maquiladora operations based in Juarez, Mexico; and continued threat of terrorist acts and war that may result in heightened security and higher costs for import and export shipments of components or finished goods, reduced leisure travel, and contraction of the U.S. and world economies.</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w:t>
      </w:r>
    </w:p>
    <w:p>
      <w:pPr>
        <w:spacing w:after="0" w:line="181" w:lineRule="exact"/>
        <w:rPr>
          <w:sz w:val="20"/>
          <w:szCs w:val="20"/>
          <w:color w:val="auto"/>
        </w:rPr>
      </w:pPr>
    </w:p>
    <w:p>
      <w:pPr>
        <w:ind w:firstLine="272"/>
        <w:spacing w:after="0" w:line="270" w:lineRule="auto"/>
        <w:rPr>
          <w:sz w:val="20"/>
          <w:szCs w:val="20"/>
          <w:color w:val="auto"/>
        </w:rPr>
      </w:pPr>
      <w:r>
        <w:rPr>
          <w:rFonts w:ascii="Arial" w:cs="Arial" w:eastAsia="Arial" w:hAnsi="Arial"/>
          <w:sz w:val="17"/>
          <w:szCs w:val="17"/>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ectPr>
          <w:pgSz w:w="11900" w:h="16838" w:orient="portrait"/>
          <w:cols w:equalWidth="0" w:num="1">
            <w:col w:w="11420"/>
          </w:cols>
          <w:pgMar w:left="240" w:top="125" w:right="239" w:bottom="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earnings and cash flows. See further discussion on these market risks below.</w:t>
      </w:r>
    </w:p>
    <w:p>
      <w:pPr>
        <w:spacing w:after="0" w:line="18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In the normal course of business, we actively manage the exposure of our foreign currency exchange rate market risk</w:t>
      </w:r>
      <w:r>
        <w:rPr>
          <w:rFonts w:ascii="Arial" w:cs="Arial" w:eastAsia="Arial" w:hAnsi="Arial"/>
          <w:sz w:val="17"/>
          <w:szCs w:val="17"/>
          <w:i w:val="1"/>
          <w:iCs w:val="1"/>
          <w:color w:val="auto"/>
        </w:rPr>
        <w:t xml:space="preserve"> </w:t>
      </w:r>
      <w:r>
        <w:rPr>
          <w:rFonts w:ascii="Arial" w:cs="Arial" w:eastAsia="Arial" w:hAnsi="Arial"/>
          <w:sz w:val="17"/>
          <w:szCs w:val="17"/>
          <w:color w:val="auto"/>
        </w:rPr>
        <w:t>by entering into various hedging instruments, authorized under company policies that place controls on these activities, with counterparties that are highly rated financial institutions. Our hedging activities involve the primary use of forward currency contracts. We also utilize cross currency swaps to offset intercompany loan exposures.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to third party customers, sales and loans to wholly owned foreign subsidiaries, foreign plant operations, and purchases from suppliers. Because our products are manufactured or sourced primarily from the United States and Mexico, a stronger U.S. dollar and Mexican peso generally have a negative impact on our results from operations, while a weaker dollar and peso generally have a positive effect. Our primary foreign currency exchange rate exposures are with the Euro, the Australian dollar, the Canadian dollar, the British pound, the Mexican peso, the Japanese yen, the Chinese Yuan, and the Romanian New Leu against the U.S. dollar, as well as the Romanian New Leu against the Euro.</w:t>
      </w:r>
    </w:p>
    <w:p>
      <w:pPr>
        <w:spacing w:after="0" w:line="183" w:lineRule="exact"/>
        <w:rPr>
          <w:sz w:val="20"/>
          <w:szCs w:val="20"/>
          <w:color w:val="auto"/>
        </w:rPr>
      </w:pPr>
    </w:p>
    <w:p>
      <w:pPr>
        <w:ind w:right="40" w:firstLine="270"/>
        <w:spacing w:after="0" w:line="291"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values of the related exposures. Therefore, changes in values of these hedge instruments are highly correlated with changes in market values of underlying hedged items both at inception of the hedge and over the life of the hedge contract. Additional information regarding gains and losses on our derivative instruments is presented in the Notes to Condensed Consolidated Financial Statements (Unaudited) in Item 1 of this Quarterly Report on Form 10-Q, in the section entitled “Derivative Instruments and Hedging Activities.”</w:t>
      </w:r>
    </w:p>
    <w:p>
      <w:pPr>
        <w:spacing w:after="0" w:line="167" w:lineRule="exact"/>
        <w:rPr>
          <w:sz w:val="20"/>
          <w:szCs w:val="20"/>
          <w:color w:val="auto"/>
        </w:rPr>
      </w:pPr>
    </w:p>
    <w:p>
      <w:pPr>
        <w:jc w:val="both"/>
        <w:ind w:right="140" w:firstLine="270"/>
        <w:spacing w:after="0" w:line="279" w:lineRule="auto"/>
        <w:rPr>
          <w:sz w:val="20"/>
          <w:szCs w:val="20"/>
          <w:color w:val="auto"/>
        </w:rPr>
      </w:pPr>
      <w:r>
        <w:rPr>
          <w:rFonts w:ascii="Arial" w:cs="Arial" w:eastAsia="Arial" w:hAnsi="Arial"/>
          <w:sz w:val="17"/>
          <w:szCs w:val="17"/>
          <w:color w:val="auto"/>
        </w:rPr>
        <w:t>The following foreign currency exchange contracts held by us have maturity dates in fiscal 2012 and 2013. All items are non-trading and stated in U.S. dollars. Some derivative instruments we enter into do not meet the cash flow hedging criteria; therefore, changes in fair value are recorded in other income, net. The average contracted rate, notional amount, pre-tax value of derivative instruments in accumulated other comprehensive loss, and fair value impact of derivative instruments in other income, net as of and for the fiscal period ended August 3, 2012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 in</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vMerge w:val="continue"/>
          </w:tcPr>
          <w:p>
            <w:pPr>
              <w:spacing w:after="0"/>
              <w:rPr>
                <w:sz w:val="12"/>
                <w:szCs w:val="12"/>
                <w:color w:val="auto"/>
              </w:rPr>
            </w:pPr>
          </w:p>
        </w:tc>
        <w:tc>
          <w:tcPr>
            <w:tcW w:w="15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Contracted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17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(except average contracted rate)</w:t>
            </w:r>
          </w:p>
        </w:tc>
        <w:tc>
          <w:tcPr>
            <w:tcW w:w="30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3"/>
              </w:rPr>
              <w:t>Gain (Loss)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Buy US dollar/Sell Australian dollar</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(2,064.3)</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Canadian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1.0103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7,769.8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 dollar/Sell Euro</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32,679.9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947.2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US dollar/Sell British pound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1.5558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4,978.5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US dollar</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6,817.9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Buy Mexican peso/Sell US dollar</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13.5990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31,325.8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(343.3)</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(992.0)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Euro/Sell Romanian New Leu</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4.6170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23,294.6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712.7</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Buy British pound/Sell Euro</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0.7871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10,168.5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24"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u w:val="single" w:color="auto"/>
          <w:color w:val="auto"/>
        </w:rPr>
        <w:t>Interest Rate Risk.</w:t>
      </w:r>
      <w:r>
        <w:rPr>
          <w:rFonts w:ascii="Arial" w:cs="Arial" w:eastAsia="Arial" w:hAnsi="Arial"/>
          <w:sz w:val="16"/>
          <w:szCs w:val="16"/>
          <w:i w:val="1"/>
          <w:iCs w:val="1"/>
          <w:color w:val="auto"/>
        </w:rPr>
        <w:t xml:space="preserve"> </w:t>
      </w:r>
      <w:r>
        <w:rPr>
          <w:rFonts w:ascii="Arial" w:cs="Arial" w:eastAsia="Arial" w:hAnsi="Arial"/>
          <w:sz w:val="16"/>
          <w:szCs w:val="16"/>
          <w:color w:val="auto"/>
        </w:rPr>
        <w:t>Our market risk on interest rates relates primarily to LIBOR-based short-term debt from commercial banks, as well as the potential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fair value of long-term debt resulting from a potential decrease in interest rates. However, we do not have cash flow or earnings exposure due to market risks on long-term debt. We generally do not use interest rate swaps to mitigate the impact of fluctuations in interest rates. See our most recently filed Annual Report on Form 10-K (Item 7A Quantitative and Qualitative Disclosures about Market Risk). There has been no material change in this information.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w:t>
      </w:r>
      <w:r>
        <w:rPr>
          <w:rFonts w:ascii="Arial" w:cs="Arial" w:eastAsia="Arial" w:hAnsi="Arial"/>
          <w:sz w:val="17"/>
          <w:szCs w:val="17"/>
          <w:i w:val="1"/>
          <w:iCs w:val="1"/>
          <w:color w:val="auto"/>
        </w:rPr>
        <w:t xml:space="preserve"> </w:t>
      </w:r>
      <w:r>
        <w:rPr>
          <w:rFonts w:ascii="Arial" w:cs="Arial" w:eastAsia="Arial" w:hAnsi="Arial"/>
          <w:sz w:val="17"/>
          <w:szCs w:val="17"/>
          <w:color w:val="auto"/>
        </w:rPr>
        <w:t>steel, aluminum, fuel, petroleum-based resin, and linerboard. In addition, we are a purchaser of components and parts containing various commodities, including steel, aluminum, copper, lead, rubber, and others that are integrated into our end products. Further information regarding rising prices for commodities is presented in Item 2 of this Quarterly Report on Form 10-Q, in the section entitled “Inflation.”</w:t>
      </w:r>
    </w:p>
    <w:p>
      <w:pPr>
        <w:spacing w:after="0" w:line="17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We enter into fixed-price contracts for future purchases of natural gas in the normal course of operations as a means to manage natural gas price risks.</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w:t>
      </w:r>
    </w:p>
    <w:p>
      <w:pPr>
        <w:sectPr>
          <w:pgSz w:w="11900" w:h="16838" w:orient="portrait"/>
          <w:cols w:equalWidth="0" w:num="1">
            <w:col w:w="11420"/>
          </w:cols>
          <w:pgMar w:left="240" w:top="368" w:right="239" w:bottom="0" w:gutter="0" w:footer="0" w:header="0"/>
        </w:sectPr>
      </w:pPr>
    </w:p>
    <w:bookmarkStart w:id="19" w:name="page20"/>
    <w:bookmarkEnd w:id="19"/>
    <w:p>
      <w:pPr>
        <w:ind w:right="40"/>
        <w:spacing w:after="0" w:line="254" w:lineRule="auto"/>
        <w:rPr>
          <w:sz w:val="20"/>
          <w:szCs w:val="20"/>
          <w:color w:val="auto"/>
        </w:rPr>
      </w:pPr>
      <w:r>
        <w:rPr>
          <w:rFonts w:ascii="Arial" w:cs="Arial" w:eastAsia="Arial" w:hAnsi="Arial"/>
          <w:sz w:val="18"/>
          <w:szCs w:val="18"/>
          <w:color w:val="auto"/>
        </w:rPr>
        <w:t>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disclosure. There was no change in our internal control over financial reporting that occurred during our fiscal quarter ended August 3, 2012 that has materially affected, or is reasonably likely to materially affect, our internal control over financial reporting.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litigation and administrative and judicial proceedings with respect to claims involving asbestos and the discharge of hazardous substances into the environment. Some of these claims assert damages and liability for personal injury, remedial investigations or clean-up and other costs and damages.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where we are asserting and defending against patent infringement.</w:t>
      </w:r>
    </w:p>
    <w:p>
      <w:pPr>
        <w:spacing w:after="0" w:line="166" w:lineRule="exact"/>
        <w:rPr>
          <w:sz w:val="20"/>
          <w:szCs w:val="20"/>
          <w:color w:val="auto"/>
        </w:rPr>
      </w:pPr>
    </w:p>
    <w:p>
      <w:pPr>
        <w:ind w:right="40" w:firstLine="270"/>
        <w:spacing w:after="0" w:line="277" w:lineRule="auto"/>
        <w:rPr>
          <w:sz w:val="20"/>
          <w:szCs w:val="20"/>
          <w:color w:val="auto"/>
        </w:rPr>
      </w:pPr>
      <w:r>
        <w:rPr>
          <w:rFonts w:ascii="Arial" w:cs="Arial" w:eastAsia="Arial" w:hAnsi="Arial"/>
          <w:sz w:val="18"/>
          <w:szCs w:val="18"/>
          <w:color w:val="auto"/>
        </w:rPr>
        <w:t>For a description of our material legal proceedings, see Notes to Condensed Consolidated Financial Statements under the heading “Litigation” included in Item 1 of this Quarterly Report on Form 10-Q, which is incorporated into this Part II. Item 1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Risk Factors). There has been no material change in those risk factors.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shows our third quarter of fiscal 2012 stock repurchase activity. This table reflects and gives retroactive effect to the two-for-one stock split of our common stock effective June 29, 2012.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Total Number of</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Purchased</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Paid per</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240" w:type="dxa"/>
            <w:vAlign w:val="bottom"/>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w:t>
            </w:r>
          </w:p>
        </w:tc>
        <w:tc>
          <w:tcPr>
            <w:tcW w:w="2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4080" w:type="dxa"/>
            <w:vAlign w:val="bottom"/>
            <w:gridSpan w:val="3"/>
            <w:vMerge w:val="continue"/>
          </w:tcPr>
          <w:p>
            <w:pPr>
              <w:spacing w:after="0"/>
              <w:rPr>
                <w:sz w:val="14"/>
                <w:szCs w:val="14"/>
                <w:color w:val="auto"/>
              </w:rPr>
            </w:pPr>
          </w:p>
        </w:tc>
        <w:tc>
          <w:tcPr>
            <w:tcW w:w="1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Purchased (1,2,3)</w:t>
            </w:r>
          </w:p>
        </w:tc>
        <w:tc>
          <w:tcPr>
            <w:tcW w:w="240" w:type="dxa"/>
            <w:vAlign w:val="bottom"/>
          </w:tcPr>
          <w:p>
            <w:pPr>
              <w:spacing w:after="0"/>
              <w:rPr>
                <w:sz w:val="14"/>
                <w:szCs w:val="14"/>
                <w:color w:val="auto"/>
              </w:rPr>
            </w:pPr>
          </w:p>
        </w:tc>
        <w:tc>
          <w:tcPr>
            <w:tcW w:w="14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(or Unit)</w:t>
            </w:r>
          </w:p>
        </w:tc>
        <w:tc>
          <w:tcPr>
            <w:tcW w:w="2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or Programs (1)</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Programs (1)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5, 2012 through June 1, 2012</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 2012 through June 29, 2012</w:t>
            </w:r>
          </w:p>
        </w:tc>
        <w:tc>
          <w:tcPr>
            <w:tcW w:w="1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289,106(3)</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36.41</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284,514</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2012 through August 3, 2012</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21,769</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36.69</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21,769</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2,127,107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310,875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36.48</w:t>
            </w:r>
          </w:p>
        </w:tc>
        <w:tc>
          <w:tcPr>
            <w:tcW w:w="2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306,283</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660" w:right="260" w:hanging="328"/>
        <w:spacing w:after="0" w:line="286" w:lineRule="auto"/>
        <w:tabs>
          <w:tab w:leader="none" w:pos="667" w:val="left"/>
        </w:tabs>
        <w:numPr>
          <w:ilvl w:val="0"/>
          <w:numId w:val="5"/>
        </w:numPr>
        <w:rPr>
          <w:rFonts w:ascii="Arial" w:cs="Arial" w:eastAsia="Arial" w:hAnsi="Arial"/>
          <w:sz w:val="17"/>
          <w:szCs w:val="17"/>
          <w:color w:val="auto"/>
        </w:rPr>
      </w:pPr>
      <w:r>
        <w:rPr>
          <w:rFonts w:ascii="Arial" w:cs="Arial" w:eastAsia="Arial" w:hAnsi="Arial"/>
          <w:sz w:val="17"/>
          <w:szCs w:val="17"/>
          <w:color w:val="auto"/>
        </w:rPr>
        <w:t>On December 1, 2010, the company’s Board of Directors authorized the repurchase of 6,000,000 shares of the company’s common stock in open-market or in privately negotiated transactions. This program has no expiration date but may be terminated by the company’s Board of Directors at any time. The company repurchased an aggregate of 306,286 shares during the period indicated above under this program.</w:t>
      </w:r>
    </w:p>
    <w:p>
      <w:pPr>
        <w:spacing w:after="0" w:line="165" w:lineRule="exact"/>
        <w:rPr>
          <w:rFonts w:ascii="Arial" w:cs="Arial" w:eastAsia="Arial" w:hAnsi="Arial"/>
          <w:sz w:val="17"/>
          <w:szCs w:val="17"/>
          <w:color w:val="auto"/>
        </w:rPr>
      </w:pPr>
    </w:p>
    <w:p>
      <w:pPr>
        <w:jc w:val="both"/>
        <w:ind w:left="660" w:right="24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3,634 shares of the company’s common stock surrendered by employees to satisfy minimum tax withholding obligations upon vesting of restricted stock granted under the company’s equity and incentive plan. These 3,634 shares were not repurchased under the company’s repurchase program described in footnote 1 above.</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7"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958 units (shares) of the company’s common stock purchased in open-market transactions at an average price of $37.15 per share on behalf of a rabbi trust formed to pay benefit obligations of the company to participants in deferred compensation plans. These 958 shares were not repurchased under the company’s repurchase program described in footnote 1 above.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2.1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First Amendment to Agreement to Form Joint Venture, dated June 6, 2012, by and between The Toro Company and TCF Inventory Finance, Inc. (incorporated by reference to Exhibit 2.1 to Registrant’s Quarterly Report on Form 10-Q for the fiscal quarter ended May 4, 2012, Commission File No. 1-8649).</w:t>
      </w:r>
    </w:p>
    <w:p>
      <w:pPr>
        <w:sectPr>
          <w:pgSz w:w="11900" w:h="16838" w:orient="portrait"/>
          <w:cols w:equalWidth="0" w:num="2">
            <w:col w:w="1440" w:space="720"/>
            <w:col w:w="9260"/>
          </w:cols>
          <w:pgMar w:left="240" w:top="125" w:right="239" w:bottom="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1280" w:type="dxa"/>
            <w:vAlign w:val="bottom"/>
          </w:tcPr>
          <w:p>
            <w:pPr>
              <w:ind w:left="340"/>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7"/>
              </w:rPr>
              <w:t>Second Amendment to Limited Liability Company Agreement of Red Iron Acceptance, LLC, dated June 6, 2012, by and</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between Red Iron Holding Corporation and TCFIF Joint Venture I, LLC. (incorporated by reference to Exhibit 2.2 to</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Registrant’s Quarterly Report on Form 10-Q for the fiscal quarter ended May 4, 2012,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89"/>
              </w:rPr>
              <w:t>Second Amendment to Second Amended and Restated Repurchase Agreement (Two Step), dated June 6, 2012, by and between</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3"/>
              </w:rPr>
              <w:t>The Toro Company and Red Iron Acceptance, LLC (incorporated by reference to Exhibit 2.3 to Registrant’s Quarterly Report</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on Form 10-Q for the fiscal quarter ended May 4, 2012, Commission File No. 1-8649).</w:t>
            </w:r>
          </w:p>
        </w:tc>
      </w:tr>
      <w:tr>
        <w:trPr>
          <w:trHeight w:val="432"/>
        </w:trPr>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740" w:type="dxa"/>
            <w:vAlign w:val="bottom"/>
          </w:tcPr>
          <w:p>
            <w:pPr>
              <w:ind w:left="3900"/>
              <w:spacing w:after="0"/>
              <w:rPr>
                <w:sz w:val="20"/>
                <w:szCs w:val="20"/>
                <w:color w:val="auto"/>
              </w:rPr>
            </w:pPr>
            <w:r>
              <w:rPr>
                <w:rFonts w:ascii="Arial" w:cs="Arial" w:eastAsia="Arial" w:hAnsi="Arial"/>
                <w:sz w:val="18"/>
                <w:szCs w:val="18"/>
                <w:color w:val="auto"/>
              </w:rPr>
              <w:t>28</w:t>
            </w:r>
          </w:p>
        </w:tc>
      </w:tr>
      <w:tr>
        <w:trPr>
          <w:trHeight w:val="132"/>
        </w:trPr>
        <w:tc>
          <w:tcPr>
            <w:tcW w:w="12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9740" w:type="dxa"/>
            <w:vAlign w:val="bottom"/>
            <w:tcBorders>
              <w:bottom w:val="single" w:sz="8" w:color="010101"/>
            </w:tcBorders>
          </w:tcPr>
          <w:p>
            <w:pPr>
              <w:spacing w:after="0"/>
              <w:rPr>
                <w:sz w:val="11"/>
                <w:szCs w:val="11"/>
                <w:color w:val="auto"/>
              </w:rPr>
            </w:pPr>
          </w:p>
        </w:tc>
      </w:tr>
      <w:tr>
        <w:trPr>
          <w:trHeight w:val="523"/>
        </w:trPr>
        <w:tc>
          <w:tcPr>
            <w:tcW w:w="17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740" w:type="dxa"/>
            <w:vAlign w:val="bottom"/>
          </w:tcPr>
          <w:p>
            <w:pPr>
              <w:spacing w:after="0"/>
              <w:rPr>
                <w:sz w:val="24"/>
                <w:szCs w:val="24"/>
                <w:color w:val="auto"/>
              </w:rPr>
            </w:pPr>
          </w:p>
        </w:tc>
      </w:tr>
      <w:tr>
        <w:trPr>
          <w:trHeight w:val="438"/>
        </w:trPr>
        <w:tc>
          <w:tcPr>
            <w:tcW w:w="1280" w:type="dxa"/>
            <w:vAlign w:val="bottom"/>
            <w:tcBorders>
              <w:top w:val="single" w:sz="8" w:color="0000EE"/>
            </w:tcBorders>
          </w:tcPr>
          <w:p>
            <w:pPr>
              <w:ind w:left="340"/>
              <w:spacing w:after="0"/>
              <w:rPr>
                <w:sz w:val="20"/>
                <w:szCs w:val="20"/>
                <w:color w:val="auto"/>
              </w:rPr>
            </w:pPr>
            <w:r>
              <w:rPr>
                <w:rFonts w:ascii="Arial" w:cs="Arial" w:eastAsia="Arial" w:hAnsi="Arial"/>
                <w:sz w:val="18"/>
                <w:szCs w:val="18"/>
                <w:color w:val="auto"/>
              </w:rPr>
              <w:t>3.1 and 4.1</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4"/>
              </w:rPr>
              <w:t>Restated Certificate of Incorporation of The Toro Company (incorporated by reference to Exhibit 3.1 to Registrant’s Current</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Report on Form 8-K dated June 17, 2008, Commission File No. 1-8649).</w:t>
            </w:r>
          </w:p>
        </w:tc>
      </w:tr>
      <w:tr>
        <w:trPr>
          <w:trHeight w:val="418"/>
        </w:trPr>
        <w:tc>
          <w:tcPr>
            <w:tcW w:w="1720" w:type="dxa"/>
            <w:vAlign w:val="bottom"/>
            <w:gridSpan w:val="2"/>
          </w:tcPr>
          <w:p>
            <w:pPr>
              <w:ind w:left="340"/>
              <w:spacing w:after="0"/>
              <w:rPr>
                <w:sz w:val="20"/>
                <w:szCs w:val="20"/>
                <w:color w:val="auto"/>
              </w:rPr>
            </w:pPr>
            <w:r>
              <w:rPr>
                <w:rFonts w:ascii="Arial" w:cs="Arial" w:eastAsia="Arial" w:hAnsi="Arial"/>
                <w:sz w:val="18"/>
                <w:szCs w:val="18"/>
                <w:color w:val="auto"/>
              </w:rPr>
              <w:t>3.2 and 4.2</w:t>
            </w:r>
          </w:p>
        </w:tc>
        <w:tc>
          <w:tcPr>
            <w:tcW w:w="9740" w:type="dxa"/>
            <w:vAlign w:val="bottom"/>
          </w:tcPr>
          <w:p>
            <w:pPr>
              <w:ind w:left="440"/>
              <w:spacing w:after="0"/>
              <w:rPr>
                <w:sz w:val="20"/>
                <w:szCs w:val="20"/>
                <w:color w:val="auto"/>
              </w:rPr>
            </w:pPr>
            <w:r>
              <w:rPr>
                <w:rFonts w:ascii="Arial" w:cs="Arial" w:eastAsia="Arial" w:hAnsi="Arial"/>
                <w:sz w:val="18"/>
                <w:szCs w:val="18"/>
                <w:color w:val="auto"/>
                <w:w w:val="92"/>
              </w:rPr>
              <w:t>Amended and Restated Bylaws of The Toro Company (incorporated by reference to Exhibit 3.2 to Registrant’s Current Report</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on Form 8-K dated June 17, 2008,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5"/>
              </w:rPr>
              <w:t>Specimen Form of Common Stock Certificate (incorporated by reference to Exhibit 4(c) to Registrant’s Quarterly Report on</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Form 10-Q for the fiscal quarter ended August 1, 2008,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3"/>
              </w:rPr>
              <w:t>Indenture dated as of January 31, 1997, between Registrant and First National Trust Association, as Trustee, relating to The</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6"/>
              </w:rPr>
              <w:t>Toro Company’s 7.80% Debentures due June 15, 2027 (incorporated by reference to Exhibit 4(a) to Registrant’s Current</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Report on Form 8-K dated June 24, 1997,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2"/>
              </w:rPr>
              <w:t>Indenture dated as of April 20, 2007, between Registrant and The Bank of New York Trust Company, N.A., as Trustee, relating</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3"/>
              </w:rPr>
              <w:t>to The Toro Company’s 6.625% Notes due May 1, 2037 (incorporated by reference to Exhibit 4.3 to Registrant’s Registration</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3"/>
              </w:rPr>
              <w:t>Statement on Form S-3 filed with the Securities and Exchange Commission on April 23, 2007, Registration No. 333-142282).</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2"/>
              </w:rPr>
              <w:t>First Supplemental Indenture dated as of April 26, 2007, between Registrant and The Bank of New York Trust Company, N.A.,</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7"/>
              </w:rPr>
              <w:t>as Trustee, relating to The Toro Company’s 6.625% Notes due May 1, 2037 (incorporated by reference to Exhibit 4.1 to</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Registrant’s Current Report on Form 8-K dated April 23, 2007,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4"/>
              </w:rPr>
              <w:t>Form of The Toro Company 6.625% Note due May 1, 2037 (incorporated by reference to Exhibit 4.2 to Registrant’s Current</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Report on Form 8-K dated April 23, 2007,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10.1 (1)</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2"/>
              </w:rPr>
              <w:t>First Amendment to Credit and Security Agreement, dated June 6, 2012, by and between Red Iron Acceptance, LLC and TCF</w:t>
            </w:r>
          </w:p>
        </w:tc>
      </w:tr>
      <w:tr>
        <w:trPr>
          <w:trHeight w:val="216"/>
        </w:trPr>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4"/>
              </w:rPr>
              <w:t>Inventory Finance, Inc. (incorporated by reference to Exhibit 2.1 to Registrant’s Quarterly Report on Form 10-Q for the fiscal</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quarter ended May 4, 2012, Commission File No. 1-8649).</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6"/>
              </w:rPr>
              <w:t>Certification of Chief Executive Officer Pursuant to Rule 13a-14(a) (Section 302 of the Sarbanes-Oxley Act of 2002) (filed</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herewith).</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7"/>
              </w:rPr>
              <w:t>Certification of Chief Financial Officer Pursuant to Rule 13a-14(a) (Section 302 of the Sarbanes-Oxley Act of 2002) (filed</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herewith).</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3"/>
              </w:rPr>
              <w:t>Certification of Chief Executive Officer and Chief Financial Officer Pursuant to 18 U.S.C. Section 1350, as Adopted Pursuant</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rPr>
              <w:t>to Section 906 of the Sarbanes-Oxley Act of 2002 (furnished herewith).</w:t>
            </w:r>
          </w:p>
        </w:tc>
      </w:tr>
      <w:tr>
        <w:trPr>
          <w:trHeight w:val="418"/>
        </w:trPr>
        <w:tc>
          <w:tcPr>
            <w:tcW w:w="1280" w:type="dxa"/>
            <w:vAlign w:val="bottom"/>
          </w:tcPr>
          <w:p>
            <w:pPr>
              <w:ind w:left="340"/>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4"/>
              </w:rPr>
              <w:t>The following financial information from The Toro Company’s Quarterly Report on Form 10-Q for the quarterly period ended</w:t>
            </w:r>
          </w:p>
        </w:tc>
      </w:tr>
      <w:tr>
        <w:trPr>
          <w:trHeight w:val="230"/>
        </w:trPr>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740" w:type="dxa"/>
            <w:vAlign w:val="bottom"/>
          </w:tcPr>
          <w:p>
            <w:pPr>
              <w:ind w:left="440"/>
              <w:spacing w:after="0"/>
              <w:rPr>
                <w:sz w:val="20"/>
                <w:szCs w:val="20"/>
                <w:color w:val="auto"/>
              </w:rPr>
            </w:pPr>
            <w:r>
              <w:rPr>
                <w:rFonts w:ascii="Arial" w:cs="Arial" w:eastAsia="Arial" w:hAnsi="Arial"/>
                <w:sz w:val="18"/>
                <w:szCs w:val="18"/>
                <w:color w:val="auto"/>
                <w:w w:val="96"/>
              </w:rPr>
              <w:t>August 3, 2012, filed with the SEC on September 4, 2012, formatted in eXtensible Business Reporting Language (XBRL):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-5875655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-5875655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2160" w:right="220" w:hanging="5"/>
        <w:spacing w:after="0" w:line="281" w:lineRule="auto"/>
        <w:tabs>
          <w:tab w:leader="none" w:pos="2375" w:val="left"/>
        </w:tabs>
        <w:numPr>
          <w:ilvl w:val="1"/>
          <w:numId w:val="6"/>
        </w:numPr>
        <w:rPr>
          <w:rFonts w:ascii="Arial" w:cs="Arial" w:eastAsia="Arial" w:hAnsi="Arial"/>
          <w:sz w:val="16"/>
          <w:szCs w:val="16"/>
          <w:color w:val="auto"/>
        </w:rPr>
      </w:pPr>
      <w:r>
        <w:rPr>
          <w:rFonts w:ascii="Arial" w:cs="Arial" w:eastAsia="Arial" w:hAnsi="Arial"/>
          <w:sz w:val="16"/>
          <w:szCs w:val="16"/>
          <w:color w:val="auto"/>
        </w:rPr>
        <w:t>Condensed Consolidated Statements of Earnings for the three and nine-month periods ended August 3, 2012 and July 29, 2011, (ii) Condensed Consolidated Balance Sheets as of August 3, 2012, July 29, 2011, and October 31, 2011, (iii) Condensed Consolidated Statement of Cash Flows for the three and nine-month periods ended August 3, 2012 and July 29, 2011, and</w:t>
      </w:r>
    </w:p>
    <w:p>
      <w:pPr>
        <w:spacing w:after="0" w:line="2" w:lineRule="exact"/>
        <w:rPr>
          <w:rFonts w:ascii="Arial" w:cs="Arial" w:eastAsia="Arial" w:hAnsi="Arial"/>
          <w:sz w:val="16"/>
          <w:szCs w:val="16"/>
          <w:color w:val="auto"/>
        </w:rPr>
      </w:pPr>
    </w:p>
    <w:p>
      <w:pPr>
        <w:ind w:left="2460" w:hanging="305"/>
        <w:spacing w:after="0"/>
        <w:tabs>
          <w:tab w:leader="none" w:pos="2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920" w:right="520" w:hanging="8"/>
        <w:spacing w:after="0" w:line="264" w:lineRule="auto"/>
        <w:tabs>
          <w:tab w:leader="none" w:pos="2175" w:val="left"/>
        </w:tabs>
        <w:numPr>
          <w:ilvl w:val="0"/>
          <w:numId w:val="8"/>
        </w:numPr>
        <w:rPr>
          <w:rFonts w:ascii="Arial" w:cs="Arial" w:eastAsia="Arial" w:hAnsi="Arial"/>
          <w:sz w:val="18"/>
          <w:szCs w:val="18"/>
          <w:color w:val="auto"/>
        </w:rPr>
      </w:pPr>
      <w:r>
        <w:rPr>
          <w:rFonts w:ascii="Arial" w:cs="Arial" w:eastAsia="Arial" w:hAnsi="Arial"/>
          <w:sz w:val="18"/>
          <w:szCs w:val="18"/>
          <w:color w:val="auto"/>
        </w:rPr>
        <w:t>Portions of this exhibit have been redacted and are subject to an order granting confidential treatment under the Securities Exchange Act of 1934, as amended (File No. 001-08649, CF # 28545). The redacted material was filed separately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-501015</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1" w:lineRule="exact"/>
        <w:rPr>
          <w:sz w:val="20"/>
          <w:szCs w:val="20"/>
          <w:color w:val="auto"/>
        </w:rPr>
      </w:pPr>
    </w:p>
    <w:p>
      <w:pPr>
        <w:ind w:left="1920" w:right="200" w:hanging="8"/>
        <w:spacing w:after="0" w:line="257" w:lineRule="auto"/>
        <w:tabs>
          <w:tab w:leader="none" w:pos="2145"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406T of Regulation S-T, the XBRL related information in Exhibit 101 to this Quarterly Report on Form 10-Q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60"/>
          </w:cols>
          <w:pgMar w:left="240" w:top="125" w:right="199" w:bottom="23" w:gutter="0" w:footer="0" w:header="0"/>
        </w:sectPr>
      </w:pPr>
    </w:p>
    <w:bookmarkStart w:id="21" w:name="page22"/>
    <w:bookmarkEnd w:id="21"/>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8120" w:type="dxa"/>
            <w:vAlign w:val="bottom"/>
            <w:gridSpan w:val="2"/>
          </w:tcPr>
          <w:p>
            <w:pPr>
              <w:jc w:val="center"/>
              <w:ind w:right="3210"/>
              <w:spacing w:after="0"/>
              <w:rPr>
                <w:sz w:val="20"/>
                <w:szCs w:val="20"/>
                <w:color w:val="auto"/>
              </w:rPr>
            </w:pPr>
            <w:r>
              <w:rPr>
                <w:rFonts w:ascii="Arial" w:cs="Arial" w:eastAsia="Arial" w:hAnsi="Arial"/>
                <w:sz w:val="18"/>
                <w:szCs w:val="18"/>
                <w:color w:val="auto"/>
                <w:w w:val="96"/>
              </w:rPr>
              <w:t>THE TORO COMPANY</w:t>
            </w:r>
          </w:p>
        </w:tc>
        <w:tc>
          <w:tcPr>
            <w:tcW w:w="4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8120" w:type="dxa"/>
            <w:vAlign w:val="bottom"/>
            <w:gridSpan w:val="2"/>
          </w:tcPr>
          <w:p>
            <w:pPr>
              <w:jc w:val="center"/>
              <w:ind w:right="3210"/>
              <w:spacing w:after="0"/>
              <w:rPr>
                <w:sz w:val="20"/>
                <w:szCs w:val="20"/>
                <w:color w:val="auto"/>
              </w:rPr>
            </w:pPr>
            <w:r>
              <w:rPr>
                <w:rFonts w:ascii="Arial" w:cs="Arial" w:eastAsia="Arial" w:hAnsi="Arial"/>
                <w:sz w:val="18"/>
                <w:szCs w:val="18"/>
                <w:color w:val="auto"/>
                <w:w w:val="91"/>
              </w:rPr>
              <w:t>(Registrant)</w:t>
            </w:r>
          </w:p>
        </w:tc>
        <w:tc>
          <w:tcPr>
            <w:tcW w:w="40" w:type="dxa"/>
            <w:vAlign w:val="bottom"/>
          </w:tcPr>
          <w:p>
            <w:pPr>
              <w:spacing w:after="0"/>
              <w:rPr>
                <w:sz w:val="20"/>
                <w:szCs w:val="20"/>
                <w:color w:val="auto"/>
              </w:rPr>
            </w:pP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September 5, 2012</w:t>
            </w:r>
          </w:p>
        </w:tc>
        <w:tc>
          <w:tcPr>
            <w:tcW w:w="8120" w:type="dxa"/>
            <w:vAlign w:val="bottom"/>
            <w:gridSpan w:val="2"/>
          </w:tcPr>
          <w:p>
            <w:pPr>
              <w:ind w:left="244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3300" w:type="dxa"/>
            <w:vAlign w:val="bottom"/>
          </w:tcPr>
          <w:p>
            <w:pPr>
              <w:spacing w:after="0"/>
              <w:rPr>
                <w:sz w:val="15"/>
                <w:szCs w:val="15"/>
                <w:color w:val="auto"/>
              </w:rPr>
            </w:pPr>
          </w:p>
        </w:tc>
        <w:tc>
          <w:tcPr>
            <w:tcW w:w="2800" w:type="dxa"/>
            <w:vAlign w:val="bottom"/>
          </w:tcPr>
          <w:p>
            <w:pPr>
              <w:ind w:left="2440"/>
              <w:spacing w:after="0" w:line="182" w:lineRule="exact"/>
              <w:rPr>
                <w:sz w:val="20"/>
                <w:szCs w:val="20"/>
                <w:color w:val="auto"/>
              </w:rPr>
            </w:pPr>
            <w:r>
              <w:rPr>
                <w:rFonts w:ascii="Arial" w:cs="Arial" w:eastAsia="Arial" w:hAnsi="Arial"/>
                <w:sz w:val="16"/>
                <w:szCs w:val="16"/>
                <w:color w:val="auto"/>
                <w:w w:val="72"/>
              </w:rPr>
              <w:t>Renee</w:t>
            </w:r>
          </w:p>
        </w:tc>
        <w:tc>
          <w:tcPr>
            <w:tcW w:w="5320" w:type="dxa"/>
            <w:vAlign w:val="bottom"/>
            <w:tcBorders>
              <w:top w:val="single" w:sz="8" w:color="auto"/>
            </w:tcBorders>
          </w:tcPr>
          <w:p>
            <w:pPr>
              <w:ind w:left="14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2440"/>
              <w:spacing w:after="0"/>
              <w:rPr>
                <w:sz w:val="20"/>
                <w:szCs w:val="20"/>
                <w:color w:val="auto"/>
              </w:rPr>
            </w:pPr>
            <w:r>
              <w:rPr>
                <w:rFonts w:ascii="Arial" w:cs="Arial" w:eastAsia="Arial" w:hAnsi="Arial"/>
                <w:sz w:val="18"/>
                <w:szCs w:val="18"/>
                <w:color w:val="auto"/>
              </w:rPr>
              <w:t>Vice President, Finance</w:t>
            </w:r>
          </w:p>
        </w:tc>
        <w:tc>
          <w:tcPr>
            <w:tcW w:w="4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8120" w:type="dxa"/>
            <w:vAlign w:val="bottom"/>
            <w:gridSpan w:val="2"/>
          </w:tcPr>
          <w:p>
            <w:pPr>
              <w:ind w:left="2440"/>
              <w:spacing w:after="0"/>
              <w:rPr>
                <w:sz w:val="20"/>
                <w:szCs w:val="20"/>
                <w:color w:val="auto"/>
              </w:rPr>
            </w:pPr>
            <w:r>
              <w:rPr>
                <w:rFonts w:ascii="Arial" w:cs="Arial" w:eastAsia="Arial" w:hAnsi="Arial"/>
                <w:sz w:val="18"/>
                <w:szCs w:val="18"/>
                <w:color w:val="auto"/>
              </w:rPr>
              <w:t>and Chief Financial Officer</w:t>
            </w:r>
          </w:p>
        </w:tc>
        <w:tc>
          <w:tcPr>
            <w:tcW w:w="40" w:type="dxa"/>
            <w:vAlign w:val="bottom"/>
          </w:tcPr>
          <w:p>
            <w:pPr>
              <w:spacing w:after="0"/>
              <w:rPr>
                <w:sz w:val="18"/>
                <w:szCs w:val="18"/>
                <w:color w:val="auto"/>
              </w:rPr>
            </w:pPr>
          </w:p>
        </w:tc>
      </w:tr>
      <w:tr>
        <w:trPr>
          <w:trHeight w:val="230"/>
        </w:trPr>
        <w:tc>
          <w:tcPr>
            <w:tcW w:w="3300" w:type="dxa"/>
            <w:vAlign w:val="bottom"/>
          </w:tcPr>
          <w:p>
            <w:pPr>
              <w:spacing w:after="0"/>
              <w:rPr>
                <w:sz w:val="20"/>
                <w:szCs w:val="20"/>
                <w:color w:val="auto"/>
              </w:rPr>
            </w:pPr>
          </w:p>
        </w:tc>
        <w:tc>
          <w:tcPr>
            <w:tcW w:w="8120" w:type="dxa"/>
            <w:vAlign w:val="bottom"/>
            <w:gridSpan w:val="2"/>
          </w:tcPr>
          <w:p>
            <w:pPr>
              <w:ind w:left="2440"/>
              <w:spacing w:after="0"/>
              <w:rPr>
                <w:sz w:val="20"/>
                <w:szCs w:val="20"/>
                <w:color w:val="auto"/>
              </w:rPr>
            </w:pPr>
            <w:r>
              <w:rPr>
                <w:rFonts w:ascii="Arial" w:cs="Arial" w:eastAsia="Arial" w:hAnsi="Arial"/>
                <w:sz w:val="18"/>
                <w:szCs w:val="18"/>
                <w:color w:val="auto"/>
              </w:rPr>
              <w:t>(duly authorized officer and principal financial officer)</w:t>
            </w:r>
          </w:p>
        </w:tc>
        <w:tc>
          <w:tcPr>
            <w:tcW w:w="40" w:type="dxa"/>
            <w:vAlign w:val="bottom"/>
          </w:tcPr>
          <w:p>
            <w:pPr>
              <w:spacing w:after="0"/>
              <w:rPr>
                <w:sz w:val="20"/>
                <w:szCs w:val="20"/>
                <w:color w:val="auto"/>
              </w:rPr>
            </w:pPr>
          </w:p>
        </w:tc>
      </w:tr>
      <w:tr>
        <w:trPr>
          <w:trHeight w:val="432"/>
        </w:trPr>
        <w:tc>
          <w:tcPr>
            <w:tcW w:w="3300" w:type="dxa"/>
            <w:vAlign w:val="bottom"/>
          </w:tcPr>
          <w:p>
            <w:pPr>
              <w:spacing w:after="0"/>
              <w:rPr>
                <w:sz w:val="24"/>
                <w:szCs w:val="24"/>
                <w:color w:val="auto"/>
              </w:rPr>
            </w:pPr>
          </w:p>
        </w:tc>
        <w:tc>
          <w:tcPr>
            <w:tcW w:w="2800" w:type="dxa"/>
            <w:vAlign w:val="bottom"/>
          </w:tcPr>
          <w:p>
            <w:pPr>
              <w:jc w:val="center"/>
              <w:ind w:left="1931"/>
              <w:spacing w:after="0"/>
              <w:rPr>
                <w:sz w:val="20"/>
                <w:szCs w:val="20"/>
                <w:color w:val="auto"/>
              </w:rPr>
            </w:pPr>
            <w:r>
              <w:rPr>
                <w:rFonts w:ascii="Arial" w:cs="Arial" w:eastAsia="Arial" w:hAnsi="Arial"/>
                <w:sz w:val="18"/>
                <w:szCs w:val="18"/>
                <w:color w:val="auto"/>
                <w:w w:val="89"/>
              </w:rPr>
              <w:t>30</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300" w:type="dxa"/>
            <w:vAlign w:val="bottom"/>
            <w:tcBorders>
              <w:bottom w:val="single" w:sz="8" w:color="010101"/>
            </w:tcBorders>
          </w:tcPr>
          <w:p>
            <w:pPr>
              <w:spacing w:after="0"/>
              <w:rPr>
                <w:sz w:val="11"/>
                <w:szCs w:val="11"/>
                <w:color w:val="auto"/>
              </w:rPr>
            </w:pPr>
          </w:p>
        </w:tc>
        <w:tc>
          <w:tcPr>
            <w:tcW w:w="280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5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5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Renee J. Peterson,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Toro Company;</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56" w:lineRule="auto"/>
        <w:tabs>
          <w:tab w:leader="none" w:pos="65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60" w:right="20" w:hanging="328"/>
        <w:spacing w:after="0" w:line="250"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 w:lineRule="exact"/>
        <w:rPr>
          <w:rFonts w:ascii="Arial" w:cs="Arial" w:eastAsia="Arial" w:hAnsi="Arial"/>
          <w:sz w:val="18"/>
          <w:szCs w:val="18"/>
          <w:color w:val="auto"/>
        </w:rPr>
      </w:pPr>
    </w:p>
    <w:p>
      <w:pPr>
        <w:ind w:left="660" w:right="80" w:hanging="328"/>
        <w:spacing w:after="0" w:line="265" w:lineRule="auto"/>
        <w:tabs>
          <w:tab w:leader="none" w:pos="66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55"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58" w:lineRule="auto"/>
        <w:tabs>
          <w:tab w:leader="none" w:pos="6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660" w:right="40" w:hanging="328"/>
        <w:spacing w:after="0" w:line="261" w:lineRule="auto"/>
        <w:tabs>
          <w:tab w:leader="none" w:pos="6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August 3, 2012 as filed with the Securities and Exchange Commission on the date hereof (the “Report”), we, Michael J. Hoffman, Chairman of the Board, President and Chief Executive Officer of the Company, and Renee J. Peterson, Vice President, Finance and Chief Financial Officer of the Company, certify, pursuant to 18 U.S.C. Section 1350, as adopted pursuant to Section 906 of the Sarbanes-Oxley Act of 2002, that to our knowledge:</w:t>
      </w:r>
    </w:p>
    <w:p>
      <w:pPr>
        <w:spacing w:after="0" w:line="171"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760" w:hanging="324"/>
        <w:spacing w:after="0" w:line="277" w:lineRule="auto"/>
        <w:tabs>
          <w:tab w:leader="none" w:pos="9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Renee J. Peterson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5, 2012</w:t>
      </w:r>
    </w:p>
    <w:p>
      <w:pPr>
        <w:spacing w:after="0" w:line="200" w:lineRule="exact"/>
        <w:rPr>
          <w:sz w:val="20"/>
          <w:szCs w:val="20"/>
          <w:color w:val="auto"/>
        </w:rPr>
      </w:pPr>
    </w:p>
    <w:p>
      <w:pPr>
        <w:spacing w:after="0" w:line="227"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lvl w:ilvl="1">
      <w:lvlJc w:val="left"/>
      <w:lvlText w:val="(%2)"/>
      <w:numFmt w:val="lowerRoman"/>
      <w:start w:val="1"/>
    </w:lvl>
  </w:abstractNum>
  <w:abstractNum w:abstractNumId="6">
    <w:nsid w:val="12200854"/>
    <w:multiLevelType w:val="hybridMultilevel"/>
    <w:lvl w:ilvl="0">
      <w:lvlJc w:val="left"/>
      <w:lvlText w:val="%1"/>
      <w:numFmt w:val="decimal"/>
      <w:start w:val="1"/>
    </w:lvl>
    <w:lvl w:ilvl="1">
      <w:lvlJc w:val="left"/>
      <w:lvlText w:val="(%2)"/>
      <w:numFmt w:val="lowerRoman"/>
      <w:start w:val="4"/>
    </w:lvl>
  </w:abstractNum>
  <w:abstractNum w:abstractNumId="7">
    <w:nsid w:val="4DB127F8"/>
    <w:multiLevelType w:val="hybridMultilevel"/>
    <w:lvl w:ilvl="0">
      <w:lvlJc w:val="left"/>
      <w:lvlText w:val="(%1)"/>
      <w:numFmt w:val="decimal"/>
      <w:start w:val="1"/>
    </w:lvl>
    <w:lvl w:ilvl="1">
      <w:lvlJc w:val="left"/>
      <w:lvlText w:val="%2"/>
      <w:numFmt w:val="lowerRoman"/>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2019-12-09T09:12:11Z</dcterms:created>
  <dcterms:modified xsi:type="dcterms:W3CDTF">2019-12-09T09:12:11Z</dcterms:modified>
</cp:coreProperties>
</file>