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December 7, 2005</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December 7, 2005, The Toro Company announced its earnings for the three and twelve months ended October 31, 2005. Attached to this Current Report on Form 8-K as Exhibit 99 is a copy of The Toro Company’s press release in connection with the announcement. The information in this report is being furnished and shall not be deemed to be filed for purposes of Section 18 of the Securities Exchange Act of 1934, or otherwise subject to the liability of that section, and shall not be deemed to be incorporated by reference by any general statements by The Toro Company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883920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December 7,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4"/>
          <w:szCs w:val="14"/>
          <w:i w:val="1"/>
          <w:iCs w:val="1"/>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Stephen P. Wolfe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Vice President Finance, Treasurer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4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w:t>
            </w:r>
          </w:p>
        </w:tc>
        <w:tc>
          <w:tcPr>
            <w:tcW w:w="10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86"/>
              </w:rPr>
              <w:t>Registrant's press release dated December 7, 2005 (furnished herewith).</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69"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The Toro Company</w:t>
      </w:r>
    </w:p>
    <w:p>
      <w:pPr>
        <w:spacing w:after="0" w:line="3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8111 Lyndale Avenue South,</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Bloomington, Minnesota 55420-1196</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952/888-8801 FAX 952/887-8258</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2060" w:type="dxa"/>
            <w:vAlign w:val="bottom"/>
            <w:vMerge w:val="restart"/>
          </w:tcPr>
          <w:p>
            <w:pPr>
              <w:spacing w:after="0"/>
              <w:rPr>
                <w:sz w:val="20"/>
                <w:szCs w:val="20"/>
                <w:color w:val="auto"/>
              </w:rPr>
            </w:pPr>
            <w:r>
              <w:rPr>
                <w:rFonts w:ascii="Arial" w:cs="Arial" w:eastAsia="Arial" w:hAnsi="Arial"/>
                <w:sz w:val="18"/>
                <w:szCs w:val="18"/>
                <w:b w:val="1"/>
                <w:bCs w:val="1"/>
                <w:color w:val="auto"/>
              </w:rPr>
              <w:t>Investor Relations</w:t>
            </w:r>
          </w:p>
        </w:tc>
        <w:tc>
          <w:tcPr>
            <w:tcW w:w="3280" w:type="dxa"/>
            <w:vAlign w:val="bottom"/>
          </w:tcPr>
          <w:p>
            <w:pPr>
              <w:spacing w:after="0"/>
              <w:rPr>
                <w:sz w:val="19"/>
                <w:szCs w:val="19"/>
                <w:color w:val="auto"/>
              </w:rPr>
            </w:pPr>
          </w:p>
        </w:tc>
        <w:tc>
          <w:tcPr>
            <w:tcW w:w="2760" w:type="dxa"/>
            <w:vAlign w:val="bottom"/>
          </w:tcPr>
          <w:p>
            <w:pPr>
              <w:ind w:left="1140"/>
              <w:spacing w:after="0"/>
              <w:rPr>
                <w:sz w:val="20"/>
                <w:szCs w:val="20"/>
                <w:color w:val="auto"/>
              </w:rPr>
            </w:pPr>
            <w:r>
              <w:rPr>
                <w:rFonts w:ascii="Arial" w:cs="Arial" w:eastAsia="Arial" w:hAnsi="Arial"/>
                <w:sz w:val="18"/>
                <w:szCs w:val="18"/>
                <w:b w:val="1"/>
                <w:bCs w:val="1"/>
                <w:color w:val="auto"/>
              </w:rPr>
              <w:t>Media Relations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vMerge w:val="continue"/>
          </w:tcPr>
          <w:p>
            <w:pPr>
              <w:spacing w:after="0"/>
              <w:rPr>
                <w:sz w:val="18"/>
                <w:szCs w:val="18"/>
                <w:color w:val="auto"/>
              </w:rPr>
            </w:pPr>
          </w:p>
        </w:tc>
        <w:tc>
          <w:tcPr>
            <w:tcW w:w="3280" w:type="dxa"/>
            <w:vAlign w:val="bottom"/>
          </w:tcPr>
          <w:p>
            <w:pPr>
              <w:ind w:left="560"/>
              <w:spacing w:after="0"/>
              <w:rPr>
                <w:sz w:val="20"/>
                <w:szCs w:val="20"/>
                <w:color w:val="auto"/>
              </w:rPr>
            </w:pPr>
            <w:r>
              <w:rPr>
                <w:rFonts w:ascii="Arial" w:cs="Arial" w:eastAsia="Arial" w:hAnsi="Arial"/>
                <w:sz w:val="18"/>
                <w:szCs w:val="18"/>
                <w:color w:val="auto"/>
              </w:rPr>
              <w:t>John Wright</w:t>
            </w:r>
          </w:p>
        </w:tc>
        <w:tc>
          <w:tcPr>
            <w:tcW w:w="2760" w:type="dxa"/>
            <w:vAlign w:val="bottom"/>
          </w:tcPr>
          <w:p>
            <w:pPr>
              <w:ind w:left="740"/>
              <w:spacing w:after="0"/>
              <w:rPr>
                <w:sz w:val="20"/>
                <w:szCs w:val="20"/>
                <w:color w:val="auto"/>
              </w:rPr>
            </w:pPr>
            <w:r>
              <w:rPr>
                <w:rFonts w:ascii="Arial" w:cs="Arial" w:eastAsia="Arial" w:hAnsi="Arial"/>
                <w:sz w:val="18"/>
                <w:szCs w:val="18"/>
                <w:color w:val="auto"/>
              </w:rPr>
              <w:t>Connie Kotke</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Stephen P. Wolfe</w:t>
            </w:r>
          </w:p>
        </w:tc>
        <w:tc>
          <w:tcPr>
            <w:tcW w:w="3280" w:type="dxa"/>
            <w:vAlign w:val="bottom"/>
          </w:tcPr>
          <w:p>
            <w:pPr>
              <w:ind w:left="560"/>
              <w:spacing w:after="0"/>
              <w:rPr>
                <w:sz w:val="20"/>
                <w:szCs w:val="20"/>
                <w:color w:val="auto"/>
              </w:rPr>
            </w:pPr>
            <w:r>
              <w:rPr>
                <w:rFonts w:ascii="Arial" w:cs="Arial" w:eastAsia="Arial" w:hAnsi="Arial"/>
                <w:sz w:val="18"/>
                <w:szCs w:val="18"/>
                <w:color w:val="auto"/>
              </w:rPr>
              <w:t>Director, Investor Relations</w:t>
            </w:r>
          </w:p>
        </w:tc>
        <w:tc>
          <w:tcPr>
            <w:tcW w:w="2760" w:type="dxa"/>
            <w:vAlign w:val="bottom"/>
          </w:tcPr>
          <w:p>
            <w:pPr>
              <w:ind w:left="740"/>
              <w:spacing w:after="0"/>
              <w:rPr>
                <w:sz w:val="20"/>
                <w:szCs w:val="20"/>
                <w:color w:val="auto"/>
              </w:rPr>
            </w:pPr>
            <w:r>
              <w:rPr>
                <w:rFonts w:ascii="Arial" w:cs="Arial" w:eastAsia="Arial" w:hAnsi="Arial"/>
                <w:sz w:val="18"/>
                <w:szCs w:val="18"/>
                <w:color w:val="auto"/>
              </w:rPr>
              <w:t>Toro Media Relations</w:t>
            </w:r>
          </w:p>
        </w:tc>
        <w:tc>
          <w:tcPr>
            <w:tcW w:w="2060" w:type="dxa"/>
            <w:vAlign w:val="bottom"/>
          </w:tcPr>
          <w:p>
            <w:pPr>
              <w:ind w:left="360"/>
              <w:spacing w:after="0"/>
              <w:rPr>
                <w:sz w:val="20"/>
                <w:szCs w:val="20"/>
                <w:color w:val="auto"/>
              </w:rPr>
            </w:pPr>
            <w:r>
              <w:rPr>
                <w:rFonts w:ascii="Arial" w:cs="Arial" w:eastAsia="Arial" w:hAnsi="Arial"/>
                <w:sz w:val="18"/>
                <w:szCs w:val="18"/>
                <w:color w:val="auto"/>
              </w:rPr>
              <w:t>Web Site</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Vice President, CFO</w:t>
            </w:r>
          </w:p>
        </w:tc>
        <w:tc>
          <w:tcPr>
            <w:tcW w:w="3280" w:type="dxa"/>
            <w:vAlign w:val="bottom"/>
          </w:tcPr>
          <w:p>
            <w:pPr>
              <w:ind w:left="560"/>
              <w:spacing w:after="0"/>
              <w:rPr>
                <w:sz w:val="20"/>
                <w:szCs w:val="20"/>
                <w:color w:val="auto"/>
              </w:rPr>
            </w:pPr>
            <w:r>
              <w:rPr>
                <w:rFonts w:ascii="Arial" w:cs="Arial" w:eastAsia="Arial" w:hAnsi="Arial"/>
                <w:sz w:val="18"/>
                <w:szCs w:val="18"/>
                <w:color w:val="auto"/>
              </w:rPr>
              <w:t>(952) 887-8865</w:t>
            </w:r>
          </w:p>
        </w:tc>
        <w:tc>
          <w:tcPr>
            <w:tcW w:w="2760" w:type="dxa"/>
            <w:vAlign w:val="bottom"/>
          </w:tcPr>
          <w:p>
            <w:pPr>
              <w:ind w:left="740"/>
              <w:spacing w:after="0"/>
              <w:rPr>
                <w:sz w:val="20"/>
                <w:szCs w:val="20"/>
                <w:color w:val="auto"/>
              </w:rPr>
            </w:pPr>
            <w:r>
              <w:rPr>
                <w:rFonts w:ascii="Arial" w:cs="Arial" w:eastAsia="Arial" w:hAnsi="Arial"/>
                <w:sz w:val="18"/>
                <w:szCs w:val="18"/>
                <w:color w:val="auto"/>
              </w:rPr>
              <w:t>(952) 887-8984</w:t>
            </w:r>
          </w:p>
        </w:tc>
        <w:tc>
          <w:tcPr>
            <w:tcW w:w="2060" w:type="dxa"/>
            <w:vAlign w:val="bottom"/>
          </w:tcPr>
          <w:p>
            <w:pPr>
              <w:ind w:left="360"/>
              <w:spacing w:after="0"/>
              <w:rPr>
                <w:sz w:val="20"/>
                <w:szCs w:val="20"/>
                <w:color w:val="auto"/>
              </w:rPr>
            </w:pPr>
            <w:r>
              <w:rPr>
                <w:rFonts w:ascii="Arial" w:cs="Arial" w:eastAsia="Arial" w:hAnsi="Arial"/>
                <w:sz w:val="18"/>
                <w:szCs w:val="18"/>
                <w:color w:val="auto"/>
                <w:w w:val="89"/>
              </w:rPr>
              <w:t>www.thetorocompany.c</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(952) 887-8076</w:t>
            </w:r>
          </w:p>
        </w:tc>
        <w:tc>
          <w:tcPr>
            <w:tcW w:w="3280" w:type="dxa"/>
            <w:vAlign w:val="bottom"/>
          </w:tcPr>
          <w:p>
            <w:pPr>
              <w:spacing w:after="0"/>
              <w:rPr>
                <w:sz w:val="20"/>
                <w:szCs w:val="20"/>
                <w:color w:val="auto"/>
              </w:rPr>
            </w:pPr>
          </w:p>
        </w:tc>
        <w:tc>
          <w:tcPr>
            <w:tcW w:w="2760" w:type="dxa"/>
            <w:vAlign w:val="bottom"/>
          </w:tcPr>
          <w:p>
            <w:pPr>
              <w:ind w:left="740"/>
              <w:spacing w:after="0"/>
              <w:rPr>
                <w:sz w:val="20"/>
                <w:szCs w:val="20"/>
                <w:color w:val="auto"/>
              </w:rPr>
            </w:pPr>
            <w:r>
              <w:rPr>
                <w:rFonts w:ascii="Arial" w:cs="Arial" w:eastAsia="Arial" w:hAnsi="Arial"/>
                <w:sz w:val="18"/>
                <w:szCs w:val="18"/>
                <w:color w:val="auto"/>
              </w:rPr>
              <w:t>www, pr@toro.com</w:t>
            </w:r>
          </w:p>
        </w:tc>
        <w:tc>
          <w:tcPr>
            <w:tcW w:w="2060" w:type="dxa"/>
            <w:vAlign w:val="bottom"/>
          </w:tcPr>
          <w:p>
            <w:pPr>
              <w:ind w:left="360"/>
              <w:spacing w:after="0"/>
              <w:rPr>
                <w:sz w:val="20"/>
                <w:szCs w:val="20"/>
                <w:color w:val="auto"/>
              </w:rPr>
            </w:pPr>
            <w:r>
              <w:rPr>
                <w:rFonts w:ascii="Arial" w:cs="Arial" w:eastAsia="Arial" w:hAnsi="Arial"/>
                <w:sz w:val="18"/>
                <w:szCs w:val="18"/>
                <w:color w:val="auto"/>
              </w:rPr>
              <w:t>om</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TORO REPORTS RECORD 2005 NET SALES AND EARNINGS</w:t>
      </w:r>
    </w:p>
    <w:p>
      <w:pPr>
        <w:spacing w:after="0" w:line="206"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Net Earnings Per Diluted Share Up 21.3%</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Board Raises Quarterly Dividend From $0.06 To $0.09 Per Common Share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December 7, 10:00 a.m. CT</w:t>
      </w:r>
    </w:p>
    <w:p>
      <w:pPr>
        <w:jc w:val="center"/>
        <w:ind w:right="-39"/>
        <w:spacing w:after="0"/>
        <w:rPr>
          <w:sz w:val="20"/>
          <w:szCs w:val="20"/>
          <w:color w:val="auto"/>
        </w:rPr>
      </w:pPr>
      <w:r>
        <w:rPr>
          <w:rFonts w:ascii="Arial" w:cs="Arial" w:eastAsia="Arial" w:hAnsi="Arial"/>
          <w:sz w:val="22"/>
          <w:szCs w:val="22"/>
          <w:color w:val="auto"/>
        </w:rPr>
        <w:t>www.thetorocompany.com/invest</w:t>
      </w:r>
    </w:p>
    <w:p>
      <w:pPr>
        <w:spacing w:after="0" w:line="188" w:lineRule="exact"/>
        <w:rPr>
          <w:sz w:val="20"/>
          <w:szCs w:val="20"/>
          <w:color w:val="auto"/>
        </w:rPr>
      </w:pPr>
    </w:p>
    <w:p>
      <w:pPr>
        <w:jc w:val="both"/>
        <w:ind w:right="340" w:firstLine="456"/>
        <w:spacing w:after="0" w:line="297" w:lineRule="auto"/>
        <w:rPr>
          <w:sz w:val="20"/>
          <w:szCs w:val="20"/>
          <w:color w:val="auto"/>
        </w:rPr>
      </w:pPr>
      <w:r>
        <w:rPr>
          <w:rFonts w:ascii="Arial" w:cs="Arial" w:eastAsia="Arial" w:hAnsi="Arial"/>
          <w:sz w:val="19"/>
          <w:szCs w:val="19"/>
          <w:color w:val="auto"/>
        </w:rPr>
        <w:t>BLOOMINGTON, Minn. (December 7, 2005) – The Toro Company (NYSE: TTC) today reported record net earnings of $114.1 million, or $2.45 per diluted share, on record net sales of $1,779.4 million for the fiscal year ended October 31, 2005. In fiscal 2004, the company reported net earnings of $102.7 million, or $2.02 per diluted share, on net sales of $1,652.5 million.</w:t>
      </w:r>
    </w:p>
    <w:p>
      <w:pPr>
        <w:spacing w:after="0" w:line="134" w:lineRule="exact"/>
        <w:rPr>
          <w:sz w:val="20"/>
          <w:szCs w:val="20"/>
          <w:color w:val="auto"/>
        </w:rPr>
      </w:pPr>
    </w:p>
    <w:p>
      <w:pPr>
        <w:jc w:val="both"/>
        <w:ind w:right="60" w:firstLine="456"/>
        <w:spacing w:after="0"/>
        <w:rPr>
          <w:sz w:val="20"/>
          <w:szCs w:val="20"/>
          <w:color w:val="auto"/>
        </w:rPr>
      </w:pPr>
      <w:r>
        <w:rPr>
          <w:rFonts w:ascii="Arial" w:cs="Arial" w:eastAsia="Arial" w:hAnsi="Arial"/>
          <w:sz w:val="22"/>
          <w:szCs w:val="22"/>
          <w:color w:val="auto"/>
        </w:rPr>
        <w:t>For the fiscal 2005 fourth quarter ended October 31, Toro reported net earnings of $6.6 million, or $0.14 per diluted share, on net sales of $337.1 million compared with net earnings of $6.9 million, or $0.14 per diluted share, on net sales of $336.9 million in the fiscal 2004 fourth quarter.</w:t>
      </w:r>
    </w:p>
    <w:p>
      <w:pPr>
        <w:spacing w:after="0" w:line="186" w:lineRule="exact"/>
        <w:rPr>
          <w:sz w:val="20"/>
          <w:szCs w:val="20"/>
          <w:color w:val="auto"/>
        </w:rPr>
      </w:pPr>
    </w:p>
    <w:p>
      <w:pPr>
        <w:ind w:right="160" w:firstLine="456"/>
        <w:spacing w:after="0" w:line="251" w:lineRule="auto"/>
        <w:rPr>
          <w:sz w:val="20"/>
          <w:szCs w:val="20"/>
          <w:color w:val="auto"/>
        </w:rPr>
      </w:pPr>
      <w:r>
        <w:rPr>
          <w:rFonts w:ascii="Arial" w:cs="Arial" w:eastAsia="Arial" w:hAnsi="Arial"/>
          <w:sz w:val="22"/>
          <w:szCs w:val="22"/>
          <w:color w:val="auto"/>
        </w:rPr>
        <w:t>Earnings per share figures for all periods have been adjusted to reflect the effects of a 2-for-1 stock split which was effective March 28, 2005.</w:t>
      </w:r>
    </w:p>
    <w:p>
      <w:pPr>
        <w:spacing w:after="0" w:line="173" w:lineRule="exact"/>
        <w:rPr>
          <w:sz w:val="20"/>
          <w:szCs w:val="20"/>
          <w:color w:val="auto"/>
        </w:rPr>
      </w:pPr>
    </w:p>
    <w:p>
      <w:pPr>
        <w:ind w:right="220" w:firstLine="456"/>
        <w:spacing w:after="0" w:line="251" w:lineRule="auto"/>
        <w:rPr>
          <w:sz w:val="20"/>
          <w:szCs w:val="20"/>
          <w:color w:val="auto"/>
        </w:rPr>
      </w:pPr>
      <w:r>
        <w:rPr>
          <w:rFonts w:ascii="Arial" w:cs="Arial" w:eastAsia="Arial" w:hAnsi="Arial"/>
          <w:sz w:val="22"/>
          <w:szCs w:val="22"/>
          <w:color w:val="auto"/>
        </w:rPr>
        <w:t>The company’s Board of Directors voted to increase the quarterly dividend from $0.06 to $0.09 per common share, payable Jan. 12, 2006 to shareholders of record on Dec. 16, 2005.</w:t>
      </w:r>
    </w:p>
    <w:p>
      <w:pPr>
        <w:spacing w:after="0" w:line="173" w:lineRule="exact"/>
        <w:rPr>
          <w:sz w:val="20"/>
          <w:szCs w:val="20"/>
          <w:color w:val="auto"/>
        </w:rPr>
      </w:pPr>
    </w:p>
    <w:p>
      <w:pPr>
        <w:ind w:right="220" w:firstLine="456"/>
        <w:spacing w:after="0" w:line="236" w:lineRule="auto"/>
        <w:rPr>
          <w:sz w:val="20"/>
          <w:szCs w:val="20"/>
          <w:color w:val="auto"/>
        </w:rPr>
      </w:pPr>
      <w:r>
        <w:rPr>
          <w:rFonts w:ascii="Arial" w:cs="Arial" w:eastAsia="Arial" w:hAnsi="Arial"/>
          <w:sz w:val="22"/>
          <w:szCs w:val="22"/>
          <w:color w:val="auto"/>
        </w:rPr>
        <w:t>“The Toro Company delivered excellent results in 2005 on the strength of a broad and growing business portfolio and our continued emphasis on profitability improvement initiatives,” said Michael J. Hoffman, The Toro Company’s president and chief executive officer. “While the overall business environment was less favorable in 2005 than in 2004, we were nevertheless able to deliver financial performance in line with our goals for sales growth and profit improvement set out in our three-year ‘6+8’ initiative,” said Hoffman.</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9"/>
          <w:szCs w:val="19"/>
          <w:color w:val="auto"/>
        </w:rPr>
        <w:t>Hoffman noted that double-digit growth in sales for the professional segment and international business overall helped offset slower sales in the domestic residential segment. “Including contributions from the acquisition of Hayter, Ltd., international sales increased 29.1 percent over 2004 and accounted for nearly 25 percent of total revenues, up from 21 percent in 2004. In particular, international sales of residential products increased more than 50 percent,” said Hoffman. “Increasingly strong growth from our international business is consistent with our overall growth strategy and efforts to increase international revenues to a higher percentage of overall company revenues. The results from accelerating our international growth provided better balance in our business that, in 2005, helped mitigate the effect of unfavorable weather primarily impacting our domestic residential segment.”</w:t>
      </w:r>
    </w:p>
    <w:p>
      <w:pPr>
        <w:spacing w:after="0" w:line="142"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auto"/>
        </w:rPr>
        <w:t>SEGMENT RESULTS</w:t>
      </w:r>
    </w:p>
    <w:p>
      <w:pPr>
        <w:spacing w:after="0" w:line="259" w:lineRule="exact"/>
        <w:rPr>
          <w:sz w:val="20"/>
          <w:szCs w:val="20"/>
          <w:color w:val="auto"/>
        </w:rPr>
      </w:pPr>
    </w:p>
    <w:p>
      <w:pPr>
        <w:ind w:right="1860" w:firstLine="456"/>
        <w:spacing w:after="0" w:line="442" w:lineRule="auto"/>
        <w:rPr>
          <w:sz w:val="20"/>
          <w:szCs w:val="20"/>
          <w:color w:val="auto"/>
        </w:rPr>
      </w:pPr>
      <w:r>
        <w:rPr>
          <w:rFonts w:ascii="Arial" w:cs="Arial" w:eastAsia="Arial" w:hAnsi="Arial"/>
          <w:sz w:val="22"/>
          <w:szCs w:val="22"/>
          <w:color w:val="auto"/>
        </w:rPr>
        <w:t xml:space="preserve">Segment data are provided in the table following the “Condensed Consolidated Statements of Earnings.” </w:t>
      </w:r>
      <w:r>
        <w:rPr>
          <w:rFonts w:ascii="Arial" w:cs="Arial" w:eastAsia="Arial" w:hAnsi="Arial"/>
          <w:sz w:val="22"/>
          <w:szCs w:val="22"/>
          <w:b w:val="1"/>
          <w:bCs w:val="1"/>
          <w:color w:val="auto"/>
        </w:rPr>
        <w:t>Professional</w:t>
      </w:r>
    </w:p>
    <w:p>
      <w:pPr>
        <w:ind w:right="240" w:firstLine="456"/>
        <w:spacing w:after="0" w:line="238" w:lineRule="auto"/>
        <w:rPr>
          <w:sz w:val="20"/>
          <w:szCs w:val="20"/>
          <w:color w:val="auto"/>
        </w:rPr>
      </w:pPr>
      <w:r>
        <w:rPr>
          <w:rFonts w:ascii="Arial" w:cs="Arial" w:eastAsia="Arial" w:hAnsi="Arial"/>
          <w:sz w:val="22"/>
          <w:szCs w:val="22"/>
          <w:color w:val="auto"/>
        </w:rPr>
        <w:t>Fiscal year segment net sales totaled $1,145.4 million, up 11.3 percent compared with 2004. Growth in the professional segment was driven by new products, the company’s continued leadership in golf course maintenance equipment and landscape contractor mowing products, broad-based strength in international markets and the acquisition of Hayter. Fourth quarter segment sales increased 7.1 percent.</w:t>
      </w:r>
    </w:p>
    <w:p>
      <w:pPr>
        <w:spacing w:after="0" w:line="185" w:lineRule="exact"/>
        <w:rPr>
          <w:sz w:val="20"/>
          <w:szCs w:val="20"/>
          <w:color w:val="auto"/>
        </w:rPr>
      </w:pPr>
    </w:p>
    <w:p>
      <w:pPr>
        <w:jc w:val="both"/>
        <w:ind w:right="420" w:firstLine="456"/>
        <w:spacing w:after="0" w:line="328" w:lineRule="auto"/>
        <w:rPr>
          <w:sz w:val="20"/>
          <w:szCs w:val="20"/>
          <w:color w:val="auto"/>
        </w:rPr>
      </w:pPr>
      <w:r>
        <w:rPr>
          <w:rFonts w:ascii="Arial" w:cs="Arial" w:eastAsia="Arial" w:hAnsi="Arial"/>
          <w:sz w:val="19"/>
          <w:szCs w:val="19"/>
          <w:color w:val="auto"/>
        </w:rPr>
        <w:t>For the fiscal year, professional segment earnings totaled $207.4 million an increase of 19.8 percent compared with fiscal 2004. Segment earnings for the quarter totaled $24.0 million compared to $18.6 million in the corresponding quarter last year.</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Residential</w:t>
      </w:r>
    </w:p>
    <w:p>
      <w:pPr>
        <w:spacing w:after="0" w:line="212" w:lineRule="exact"/>
        <w:rPr>
          <w:sz w:val="20"/>
          <w:szCs w:val="20"/>
          <w:color w:val="auto"/>
        </w:rPr>
      </w:pPr>
    </w:p>
    <w:p>
      <w:pPr>
        <w:ind w:firstLine="456"/>
        <w:spacing w:after="0" w:line="238" w:lineRule="auto"/>
        <w:rPr>
          <w:sz w:val="20"/>
          <w:szCs w:val="20"/>
          <w:color w:val="auto"/>
        </w:rPr>
      </w:pPr>
      <w:r>
        <w:rPr>
          <w:rFonts w:ascii="Arial" w:cs="Arial" w:eastAsia="Arial" w:hAnsi="Arial"/>
          <w:sz w:val="22"/>
          <w:szCs w:val="22"/>
          <w:color w:val="auto"/>
        </w:rPr>
        <w:t>Fiscal year segment net sales totaled $583.3 million, up 5.2 percent from fiscal 2004. Growth in residential international sales, including contributions from the Hayter acquisition, more than offset weakness in the domestic residential segment in the second half of the fiscal year. Residential segment sales for the fiscal 2005 fourth quarter totaled $111.1 million, down 5.3 percent from the fiscal 2004 fourth quarter.</w:t>
      </w:r>
    </w:p>
    <w:p>
      <w:pPr>
        <w:sectPr>
          <w:pgSz w:w="11900" w:h="16907" w:orient="portrait"/>
          <w:cols w:equalWidth="0" w:num="1">
            <w:col w:w="11380"/>
          </w:cols>
          <w:pgMar w:left="240" w:top="314" w:right="279" w:bottom="0" w:gutter="0" w:footer="0" w:header="0"/>
        </w:sectPr>
      </w:pPr>
    </w:p>
    <w:bookmarkStart w:id="5" w:name="page6"/>
    <w:bookmarkEnd w:id="5"/>
    <w:p>
      <w:pPr>
        <w:spacing w:after="0" w:line="38" w:lineRule="exact"/>
        <w:rPr>
          <w:sz w:val="20"/>
          <w:szCs w:val="20"/>
          <w:color w:val="auto"/>
        </w:rPr>
      </w:pPr>
    </w:p>
    <w:p>
      <w:pPr>
        <w:ind w:right="240" w:firstLine="456"/>
        <w:spacing w:after="0" w:line="329" w:lineRule="auto"/>
        <w:rPr>
          <w:sz w:val="20"/>
          <w:szCs w:val="20"/>
          <w:color w:val="auto"/>
        </w:rPr>
      </w:pPr>
      <w:r>
        <w:rPr>
          <w:rFonts w:ascii="Arial" w:cs="Arial" w:eastAsia="Arial" w:hAnsi="Arial"/>
          <w:sz w:val="19"/>
          <w:szCs w:val="19"/>
          <w:color w:val="auto"/>
        </w:rPr>
        <w:t>For the fiscal year, residential segment earnings totaled $50.2 million, a decrease of 18.8 percent from fiscal 2004</w:t>
      </w:r>
      <w:r>
        <w:rPr>
          <w:rFonts w:ascii="Arial" w:cs="Arial" w:eastAsia="Arial" w:hAnsi="Arial"/>
          <w:sz w:val="19"/>
          <w:szCs w:val="19"/>
          <w:i w:val="1"/>
          <w:iCs w:val="1"/>
          <w:color w:val="auto"/>
        </w:rPr>
        <w:t>.</w:t>
      </w:r>
      <w:r>
        <w:rPr>
          <w:rFonts w:ascii="Arial" w:cs="Arial" w:eastAsia="Arial" w:hAnsi="Arial"/>
          <w:sz w:val="19"/>
          <w:szCs w:val="19"/>
          <w:color w:val="auto"/>
        </w:rPr>
        <w:t xml:space="preserve"> Segment earnings for the fiscal 2005 fourth quarter were $6.7 million compared with $9.1 million in the same period last year.</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REVIEW OF OPERATIONS</w:t>
      </w:r>
    </w:p>
    <w:p>
      <w:pPr>
        <w:spacing w:after="0" w:line="212" w:lineRule="exact"/>
        <w:rPr>
          <w:sz w:val="20"/>
          <w:szCs w:val="20"/>
          <w:color w:val="auto"/>
        </w:rPr>
      </w:pPr>
    </w:p>
    <w:p>
      <w:pPr>
        <w:ind w:right="220" w:firstLine="456"/>
        <w:spacing w:after="0"/>
        <w:rPr>
          <w:sz w:val="20"/>
          <w:szCs w:val="20"/>
          <w:color w:val="auto"/>
        </w:rPr>
      </w:pPr>
      <w:r>
        <w:rPr>
          <w:rFonts w:ascii="Arial" w:cs="Arial" w:eastAsia="Arial" w:hAnsi="Arial"/>
          <w:sz w:val="22"/>
          <w:szCs w:val="22"/>
          <w:color w:val="auto"/>
        </w:rPr>
        <w:t>For the fiscal year, gross margin was 34.6 percent compared with 35.9 percent in fiscal 2004. The decline resulted primarily from higher commodity costs and the impact of the Hayter acquisition. In the fourth quarter, gross margin was 33.8 percent compared with 34.8 percent in the same period last year.</w:t>
      </w:r>
    </w:p>
    <w:p>
      <w:pPr>
        <w:spacing w:after="0" w:line="186" w:lineRule="exact"/>
        <w:rPr>
          <w:sz w:val="20"/>
          <w:szCs w:val="20"/>
          <w:color w:val="auto"/>
        </w:rPr>
      </w:pPr>
    </w:p>
    <w:p>
      <w:pPr>
        <w:ind w:right="240" w:firstLine="456"/>
        <w:spacing w:after="0" w:line="287" w:lineRule="auto"/>
        <w:rPr>
          <w:sz w:val="20"/>
          <w:szCs w:val="20"/>
          <w:color w:val="auto"/>
        </w:rPr>
      </w:pPr>
      <w:r>
        <w:rPr>
          <w:rFonts w:ascii="Arial" w:cs="Arial" w:eastAsia="Arial" w:hAnsi="Arial"/>
          <w:sz w:val="19"/>
          <w:szCs w:val="19"/>
          <w:color w:val="auto"/>
        </w:rPr>
        <w:t>SG&amp;A expense as a percentage of net sales improved to 24.3 percent in fiscal 2005 compared with 25.9 percent in fiscal 2004. The improvement resulted from lower incentive compensation and warranty costs, as well as expense leveraging accomplished through continued implementation of lean and no-waste efforts throughout the company. For the fiscal 2005 fourth quarter, SG&amp;A expenses were 30.3 percent of net sales compared with 30.6 percent of net sales in the fiscal 2004 fourth quarter.</w:t>
      </w:r>
    </w:p>
    <w:p>
      <w:pPr>
        <w:spacing w:after="0" w:line="143" w:lineRule="exact"/>
        <w:rPr>
          <w:sz w:val="20"/>
          <w:szCs w:val="20"/>
          <w:color w:val="auto"/>
        </w:rPr>
      </w:pPr>
    </w:p>
    <w:p>
      <w:pPr>
        <w:ind w:right="20" w:firstLine="456"/>
        <w:spacing w:after="0" w:line="251" w:lineRule="auto"/>
        <w:rPr>
          <w:sz w:val="20"/>
          <w:szCs w:val="20"/>
          <w:color w:val="auto"/>
        </w:rPr>
      </w:pPr>
      <w:r>
        <w:rPr>
          <w:rFonts w:ascii="Arial" w:cs="Arial" w:eastAsia="Arial" w:hAnsi="Arial"/>
          <w:sz w:val="22"/>
          <w:szCs w:val="22"/>
          <w:color w:val="auto"/>
        </w:rPr>
        <w:t>Interest expense for fiscal 2005 totaled $17.7 million compared with $15.5 million in fiscal 2004. The company’s effective tax rate for fiscal 2005 was 33.0 percent.</w:t>
      </w:r>
    </w:p>
    <w:p>
      <w:pPr>
        <w:spacing w:after="0" w:line="173" w:lineRule="exact"/>
        <w:rPr>
          <w:sz w:val="20"/>
          <w:szCs w:val="20"/>
          <w:color w:val="auto"/>
        </w:rPr>
      </w:pPr>
    </w:p>
    <w:p>
      <w:pPr>
        <w:jc w:val="both"/>
        <w:ind w:right="340" w:firstLine="456"/>
        <w:spacing w:after="0" w:line="238" w:lineRule="auto"/>
        <w:rPr>
          <w:sz w:val="20"/>
          <w:szCs w:val="20"/>
          <w:color w:val="auto"/>
        </w:rPr>
      </w:pPr>
      <w:r>
        <w:rPr>
          <w:rFonts w:ascii="Arial" w:cs="Arial" w:eastAsia="Arial" w:hAnsi="Arial"/>
          <w:sz w:val="22"/>
          <w:szCs w:val="22"/>
          <w:color w:val="auto"/>
        </w:rPr>
        <w:t>Accounts receivable at the end of fiscal 2005 totaled $295.7 million, up $15.1 million or 5.4 percent higher than the end of fiscal 2004. Net inventory at year-end totaled $235.3 million, up $8.1 million or 3.6 percent. The increases in year-end accounts receivable and inventories are primarily the result of the Hayter acquisition which was completed in the second quarter of fiscal 2005.</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The company generated $174.1 million in cash from operations in fiscal 2005 compared with $175.3 million in fiscal 2004.</w:t>
      </w:r>
    </w:p>
    <w:p>
      <w:pPr>
        <w:spacing w:after="0" w:line="241" w:lineRule="exact"/>
        <w:rPr>
          <w:sz w:val="20"/>
          <w:szCs w:val="20"/>
          <w:color w:val="auto"/>
        </w:rPr>
      </w:pPr>
    </w:p>
    <w:p>
      <w:pPr>
        <w:ind w:right="40" w:firstLine="456"/>
        <w:spacing w:after="0" w:line="251" w:lineRule="auto"/>
        <w:rPr>
          <w:sz w:val="20"/>
          <w:szCs w:val="20"/>
          <w:color w:val="auto"/>
        </w:rPr>
      </w:pPr>
      <w:r>
        <w:rPr>
          <w:rFonts w:ascii="Arial" w:cs="Arial" w:eastAsia="Arial" w:hAnsi="Arial"/>
          <w:sz w:val="22"/>
          <w:szCs w:val="22"/>
          <w:color w:val="auto"/>
        </w:rPr>
        <w:t>During fiscal 2005, the company repurchased approximately 3.9 million of its common shares for an aggregate purchase price of approximately $157.0 million.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OUTLOOK</w:t>
      </w:r>
    </w:p>
    <w:p>
      <w:pPr>
        <w:spacing w:after="0" w:line="212"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Commenting on Toro’s outlook for fiscal 2006, Hoffman said Toro remains on track to achieve the after-tax profit margin and sales growth goals of the company’s three-year ‘6+8’ initiative.</w:t>
      </w:r>
    </w:p>
    <w:p>
      <w:pPr>
        <w:spacing w:after="0" w:line="173" w:lineRule="exact"/>
        <w:rPr>
          <w:sz w:val="20"/>
          <w:szCs w:val="20"/>
          <w:color w:val="auto"/>
        </w:rPr>
      </w:pPr>
    </w:p>
    <w:p>
      <w:pPr>
        <w:ind w:right="240" w:firstLine="456"/>
        <w:spacing w:after="0" w:line="246" w:lineRule="auto"/>
        <w:rPr>
          <w:sz w:val="20"/>
          <w:szCs w:val="20"/>
          <w:color w:val="auto"/>
        </w:rPr>
      </w:pPr>
      <w:r>
        <w:rPr>
          <w:rFonts w:ascii="Arial" w:cs="Arial" w:eastAsia="Arial" w:hAnsi="Arial"/>
          <w:sz w:val="21"/>
          <w:szCs w:val="21"/>
          <w:color w:val="auto"/>
        </w:rPr>
        <w:t>“In fiscal 2004, the first year of this program, we benefited from favorable conditions in most markets, and we turned in a record financial performance,” said Hoffman. “In fiscal 2005, we faced tougher challenges in the form of increasing commodity costs and less favorable market and weather conditions — particularly in North America. We were nevertheless able to deliver financial performance in line with our long-term goals thanks to continued focus on investment in new products, innovation and technology, contributions from international markets and ongoing emphasis on implementing lean principles and reducing waste. Our year end balance sheet is strong, and we continue to generate healthy cash flows to fund future growth and investments. Recognizing that the company is positioned to sustain continued strong financial performance, the company’s Board of Directors voted to increase our quarterly dividend.”</w:t>
      </w:r>
    </w:p>
    <w:p>
      <w:pPr>
        <w:spacing w:after="0" w:line="181" w:lineRule="exact"/>
        <w:rPr>
          <w:sz w:val="20"/>
          <w:szCs w:val="20"/>
          <w:color w:val="auto"/>
        </w:rPr>
      </w:pPr>
    </w:p>
    <w:p>
      <w:pPr>
        <w:ind w:right="200" w:firstLine="456"/>
        <w:spacing w:after="0" w:line="238" w:lineRule="auto"/>
        <w:rPr>
          <w:sz w:val="20"/>
          <w:szCs w:val="20"/>
          <w:color w:val="auto"/>
        </w:rPr>
      </w:pPr>
      <w:r>
        <w:rPr>
          <w:rFonts w:ascii="Arial" w:cs="Arial" w:eastAsia="Arial" w:hAnsi="Arial"/>
          <w:sz w:val="22"/>
          <w:szCs w:val="22"/>
          <w:color w:val="auto"/>
        </w:rPr>
        <w:t>The company is also well-positioned to resume stronger top line growth in fiscal 2006. “With our diverse mix of businesses, steady stream of new products and wider market coverage, we are better able to generate top line growth. Our revenue growth initiatives coupled with our continued emphasis on reducing waste and driving down costs are improving the company’s overall earnings power,” said Hoffman.</w:t>
      </w:r>
    </w:p>
    <w:p>
      <w:pPr>
        <w:spacing w:after="0" w:line="185" w:lineRule="exact"/>
        <w:rPr>
          <w:sz w:val="20"/>
          <w:szCs w:val="20"/>
          <w:color w:val="auto"/>
        </w:rPr>
      </w:pPr>
    </w:p>
    <w:p>
      <w:pPr>
        <w:jc w:val="both"/>
        <w:ind w:right="140" w:firstLine="456"/>
        <w:spacing w:after="0"/>
        <w:rPr>
          <w:sz w:val="20"/>
          <w:szCs w:val="20"/>
          <w:color w:val="auto"/>
        </w:rPr>
      </w:pPr>
      <w:r>
        <w:rPr>
          <w:rFonts w:ascii="Arial" w:cs="Arial" w:eastAsia="Arial" w:hAnsi="Arial"/>
          <w:sz w:val="22"/>
          <w:szCs w:val="22"/>
          <w:color w:val="auto"/>
        </w:rPr>
        <w:t>The company currently expects to report a 12 to 15 percent increase in fiscal 2006 net earnings per share on revenue growth of 8%, not including any future acquisitions. For its fiscal 2006 first quarter, typically the smallest revenue period, Toro expects to report diluted earnings per share of $0.25 to $0.28.</w:t>
      </w:r>
    </w:p>
    <w:p>
      <w:pPr>
        <w:spacing w:after="0" w:line="186" w:lineRule="exact"/>
        <w:rPr>
          <w:sz w:val="20"/>
          <w:szCs w:val="20"/>
          <w:color w:val="auto"/>
        </w:rPr>
      </w:pPr>
    </w:p>
    <w:p>
      <w:pPr>
        <w:jc w:val="both"/>
        <w:ind w:right="120" w:firstLine="456"/>
        <w:spacing w:after="0" w:line="251" w:lineRule="auto"/>
        <w:rPr>
          <w:sz w:val="20"/>
          <w:szCs w:val="20"/>
          <w:color w:val="auto"/>
        </w:rPr>
      </w:pPr>
      <w:r>
        <w:rPr>
          <w:rFonts w:ascii="Arial" w:cs="Arial" w:eastAsia="Arial" w:hAnsi="Arial"/>
          <w:sz w:val="22"/>
          <w:szCs w:val="22"/>
          <w:color w:val="auto"/>
        </w:rPr>
        <w:t>The Toro Company is a leading worldwide provider of outdoor maintenance and beautification products for home, recreation and commercial landscapes.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The Toro Company will conduct a conference call and webcast for investors beginning at</w:t>
      </w:r>
    </w:p>
    <w:p>
      <w:pPr>
        <w:spacing w:after="0" w:line="206" w:lineRule="exact"/>
        <w:rPr>
          <w:sz w:val="20"/>
          <w:szCs w:val="20"/>
          <w:color w:val="auto"/>
        </w:rPr>
      </w:pPr>
    </w:p>
    <w:p>
      <w:pPr>
        <w:ind w:right="340"/>
        <w:spacing w:after="0" w:line="258" w:lineRule="auto"/>
        <w:rPr>
          <w:sz w:val="20"/>
          <w:szCs w:val="20"/>
          <w:color w:val="auto"/>
        </w:rPr>
      </w:pPr>
      <w:r>
        <w:rPr>
          <w:rFonts w:ascii="Arial" w:cs="Arial" w:eastAsia="Arial" w:hAnsi="Arial"/>
          <w:sz w:val="21"/>
          <w:szCs w:val="21"/>
          <w:i w:val="1"/>
          <w:iCs w:val="1"/>
          <w:color w:val="auto"/>
        </w:rPr>
        <w:t>10:00 a.m. Central Time (CST) on December 7, 2005.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‘6+8’ growth and profit improvement initiative which is intended to improve our revenue growth and after-tax return on sales; the company’s ability to achieve sales and earnings per share growth in fiscal 2006; our ability to successfully integrate acquisitions and manage alliances; ability of management to manage around unplanned events; unforeseen product quality problems in the development and production of new and existing products; fluctuations in the cost and availability of raw materials, including steel and other commodities; rising cost of transportation; level of growth in the golf market; increased dependence on The Home Depot as a customer for the residential segment; reduced government spending for grounds maintenance equipment due to reduced tax revenue and tighter government budgets; increased</w:t>
      </w:r>
    </w:p>
    <w:p>
      <w:pPr>
        <w:sectPr>
          <w:pgSz w:w="11900" w:h="16876" w:orient="portrait"/>
          <w:cols w:equalWidth="0" w:num="1">
            <w:col w:w="11400"/>
          </w:cols>
          <w:pgMar w:left="240" w:top="118" w:right="259" w:bottom="0" w:gutter="0" w:footer="0" w:header="0"/>
        </w:sectPr>
      </w:pPr>
    </w:p>
    <w:bookmarkStart w:id="6" w:name="page7"/>
    <w:bookmarkEnd w:id="6"/>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competition; elimination of shelf space for our products at retailers; financial viability of distributors and dealers; market acceptance of existing and new products; unforeseen inventory adjustments or changes in purchasing patterns by our customers; the impact of abnormal weather patterns; and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(Financial tables follow)</w:t>
      </w:r>
    </w:p>
    <w:p>
      <w:pPr>
        <w:spacing w:after="0" w:line="200"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THE TORO COMPANY AND SUBSIDIARIES</w:t>
      </w:r>
    </w:p>
    <w:p>
      <w:pPr>
        <w:spacing w:after="0" w:line="14"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Condensed Consolidated Statements of Earnings (Unaudited)</w:t>
      </w:r>
    </w:p>
    <w:p>
      <w:pPr>
        <w:spacing w:after="0" w:line="182"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uto"/>
        </w:rPr>
        <w:t>(Dollars and shares in thousands, except per-share data)</w:t>
      </w:r>
    </w:p>
    <w:p>
      <w:pPr>
        <w:spacing w:after="0" w:line="200" w:lineRule="exact"/>
        <w:rPr>
          <w:sz w:val="20"/>
          <w:szCs w:val="20"/>
          <w:color w:val="auto"/>
        </w:rPr>
      </w:pP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191"/>
        </w:trPr>
        <w:tc>
          <w:tcPr>
            <w:tcW w:w="4440" w:type="dxa"/>
            <w:vAlign w:val="bottom"/>
          </w:tcPr>
          <w:p>
            <w:pPr>
              <w:spacing w:after="0"/>
              <w:rPr>
                <w:sz w:val="16"/>
                <w:szCs w:val="16"/>
                <w:color w:val="auto"/>
              </w:rPr>
            </w:pPr>
          </w:p>
        </w:tc>
        <w:tc>
          <w:tcPr>
            <w:tcW w:w="1500" w:type="dxa"/>
            <w:vAlign w:val="bottom"/>
            <w:gridSpan w:val="3"/>
          </w:tcPr>
          <w:p>
            <w:pPr>
              <w:jc w:val="right"/>
              <w:ind w:right="360"/>
              <w:spacing w:after="0" w:line="191" w:lineRule="exact"/>
              <w:rPr>
                <w:sz w:val="20"/>
                <w:szCs w:val="20"/>
                <w:color w:val="auto"/>
              </w:rPr>
            </w:pPr>
            <w:r>
              <w:rPr>
                <w:rFonts w:ascii="Arial" w:cs="Arial" w:eastAsia="Arial" w:hAnsi="Arial"/>
                <w:sz w:val="18"/>
                <w:szCs w:val="18"/>
                <w:b w:val="1"/>
                <w:bCs w:val="1"/>
                <w:color w:val="auto"/>
              </w:rPr>
              <w:t>October 31,</w:t>
            </w:r>
          </w:p>
        </w:tc>
        <w:tc>
          <w:tcPr>
            <w:tcW w:w="154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rPr>
              <w:t>October 31,</w:t>
            </w:r>
          </w:p>
        </w:tc>
        <w:tc>
          <w:tcPr>
            <w:tcW w:w="260" w:type="dxa"/>
            <w:vAlign w:val="bottom"/>
          </w:tcPr>
          <w:p>
            <w:pPr>
              <w:spacing w:after="0"/>
              <w:rPr>
                <w:sz w:val="16"/>
                <w:szCs w:val="16"/>
                <w:color w:val="auto"/>
              </w:rPr>
            </w:pPr>
          </w:p>
        </w:tc>
        <w:tc>
          <w:tcPr>
            <w:tcW w:w="1540" w:type="dxa"/>
            <w:vAlign w:val="bottom"/>
            <w:gridSpan w:val="3"/>
          </w:tcPr>
          <w:p>
            <w:pPr>
              <w:jc w:val="right"/>
              <w:ind w:right="400"/>
              <w:spacing w:after="0" w:line="191" w:lineRule="exact"/>
              <w:rPr>
                <w:sz w:val="20"/>
                <w:szCs w:val="20"/>
                <w:color w:val="auto"/>
              </w:rPr>
            </w:pPr>
            <w:r>
              <w:rPr>
                <w:rFonts w:ascii="Arial" w:cs="Arial" w:eastAsia="Arial" w:hAnsi="Arial"/>
                <w:sz w:val="18"/>
                <w:szCs w:val="18"/>
                <w:b w:val="1"/>
                <w:bCs w:val="1"/>
                <w:color w:val="auto"/>
              </w:rPr>
              <w:t>October 31,</w:t>
            </w:r>
          </w:p>
        </w:tc>
        <w:tc>
          <w:tcPr>
            <w:tcW w:w="1560" w:type="dxa"/>
            <w:vAlign w:val="bottom"/>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line="234" w:lineRule="exact"/>
              <w:rPr>
                <w:sz w:val="20"/>
                <w:szCs w:val="20"/>
                <w:color w:val="auto"/>
              </w:rPr>
            </w:pPr>
            <w:r>
              <w:rPr>
                <w:rFonts w:ascii="Arial" w:cs="Arial" w:eastAsia="Arial" w:hAnsi="Arial"/>
                <w:sz w:val="18"/>
                <w:szCs w:val="18"/>
                <w:b w:val="1"/>
                <w:bCs w:val="1"/>
                <w:color w:val="auto"/>
              </w:rPr>
              <w:t>2005</w:t>
            </w:r>
            <w:r>
              <w:rPr>
                <w:rFonts w:ascii="Arial" w:cs="Arial" w:eastAsia="Arial" w:hAnsi="Arial"/>
                <w:sz w:val="25"/>
                <w:szCs w:val="25"/>
                <w:color w:val="auto"/>
                <w:vertAlign w:val="superscript"/>
              </w:rPr>
              <w:t>1</w:t>
            </w: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Borders>
              <w:bottom w:val="single" w:sz="8" w:color="auto"/>
            </w:tcBorders>
          </w:tcPr>
          <w:p>
            <w:pPr>
              <w:jc w:val="right"/>
              <w:spacing w:after="0" w:line="234" w:lineRule="exact"/>
              <w:rPr>
                <w:sz w:val="20"/>
                <w:szCs w:val="20"/>
                <w:color w:val="auto"/>
              </w:rPr>
            </w:pPr>
            <w:r>
              <w:rPr>
                <w:rFonts w:ascii="Arial" w:cs="Arial" w:eastAsia="Arial" w:hAnsi="Arial"/>
                <w:sz w:val="18"/>
                <w:szCs w:val="18"/>
                <w:b w:val="1"/>
                <w:bCs w:val="1"/>
                <w:color w:val="auto"/>
              </w:rPr>
              <w:t>2004</w:t>
            </w:r>
            <w:r>
              <w:rPr>
                <w:rFonts w:ascii="Arial" w:cs="Arial" w:eastAsia="Arial" w:hAnsi="Arial"/>
                <w:sz w:val="25"/>
                <w:szCs w:val="25"/>
                <w:color w:val="auto"/>
                <w:vertAlign w:val="superscript"/>
              </w:rPr>
              <w:t>2</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Borders>
              <w:bottom w:val="single" w:sz="8" w:color="auto"/>
            </w:tcBorders>
          </w:tcPr>
          <w:p>
            <w:pPr>
              <w:jc w:val="right"/>
              <w:spacing w:after="0" w:line="234" w:lineRule="exact"/>
              <w:rPr>
                <w:sz w:val="20"/>
                <w:szCs w:val="20"/>
                <w:color w:val="auto"/>
              </w:rPr>
            </w:pPr>
            <w:r>
              <w:rPr>
                <w:rFonts w:ascii="Arial" w:cs="Arial" w:eastAsia="Arial" w:hAnsi="Arial"/>
                <w:sz w:val="18"/>
                <w:szCs w:val="18"/>
                <w:b w:val="1"/>
                <w:bCs w:val="1"/>
                <w:color w:val="auto"/>
              </w:rPr>
              <w:t>2005</w:t>
            </w:r>
            <w:r>
              <w:rPr>
                <w:rFonts w:ascii="Arial" w:cs="Arial" w:eastAsia="Arial" w:hAnsi="Arial"/>
                <w:sz w:val="25"/>
                <w:szCs w:val="25"/>
                <w:color w:val="auto"/>
                <w:vertAlign w:val="superscript"/>
              </w:rPr>
              <w:t>1</w:t>
            </w: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Borders>
              <w:bottom w:val="single" w:sz="8" w:color="auto"/>
            </w:tcBorders>
          </w:tcPr>
          <w:p>
            <w:pPr>
              <w:jc w:val="right"/>
              <w:spacing w:after="0" w:line="234" w:lineRule="exact"/>
              <w:rPr>
                <w:sz w:val="20"/>
                <w:szCs w:val="20"/>
                <w:color w:val="auto"/>
              </w:rPr>
            </w:pPr>
            <w:r>
              <w:rPr>
                <w:rFonts w:ascii="Arial" w:cs="Arial" w:eastAsia="Arial" w:hAnsi="Arial"/>
                <w:sz w:val="18"/>
                <w:szCs w:val="18"/>
                <w:b w:val="1"/>
                <w:bCs w:val="1"/>
                <w:color w:val="auto"/>
              </w:rPr>
              <w:t>2004</w:t>
            </w:r>
            <w:r>
              <w:rPr>
                <w:rFonts w:ascii="Arial" w:cs="Arial" w:eastAsia="Arial" w:hAnsi="Arial"/>
                <w:sz w:val="25"/>
                <w:szCs w:val="25"/>
                <w:color w:val="auto"/>
                <w:vertAlign w:val="superscript"/>
              </w:rPr>
              <w:t>2</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337,091</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336,864</w:t>
            </w:r>
          </w:p>
        </w:tc>
        <w:tc>
          <w:tcPr>
            <w:tcW w:w="4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89"/>
              </w:rPr>
              <w:t>1,779,387</w:t>
            </w:r>
          </w:p>
        </w:tc>
        <w:tc>
          <w:tcPr>
            <w:tcW w:w="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89"/>
              </w:rPr>
              <w:t>1,652,508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113,799</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117,379</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615,366</w:t>
            </w: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593,070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Arial" w:cs="Arial" w:eastAsia="Arial" w:hAnsi="Arial"/>
                <w:sz w:val="18"/>
                <w:szCs w:val="18"/>
                <w:color w:val="auto"/>
              </w:rPr>
              <w:t>Gross profit percent</w:t>
            </w:r>
          </w:p>
        </w:tc>
        <w:tc>
          <w:tcPr>
            <w:tcW w:w="3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33.8%</w:t>
            </w:r>
          </w:p>
        </w:tc>
        <w:tc>
          <w:tcPr>
            <w:tcW w:w="5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34.8%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34.6%</w:t>
            </w:r>
          </w:p>
        </w:tc>
        <w:tc>
          <w:tcPr>
            <w:tcW w:w="4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102,264</w:t>
            </w: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103,215</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432,640</w:t>
            </w: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427,845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140"/>
              <w:spacing w:after="0"/>
              <w:rPr>
                <w:sz w:val="20"/>
                <w:szCs w:val="20"/>
                <w:color w:val="auto"/>
              </w:rPr>
            </w:pPr>
            <w:r>
              <w:rPr>
                <w:rFonts w:ascii="Arial" w:cs="Arial" w:eastAsia="Arial" w:hAnsi="Arial"/>
                <w:sz w:val="18"/>
                <w:szCs w:val="18"/>
                <w:color w:val="auto"/>
              </w:rPr>
              <w:t>Earnings from operations</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11,535</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14,164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182,726</w:t>
            </w: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165,225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(4,280)</w:t>
            </w:r>
          </w:p>
        </w:tc>
        <w:tc>
          <w:tcPr>
            <w:tcW w:w="5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(4,046)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(17,733)</w:t>
            </w:r>
          </w:p>
        </w:tc>
        <w:tc>
          <w:tcPr>
            <w:tcW w:w="4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(15,523)</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w:t>
            </w: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140"/>
              <w:spacing w:after="0"/>
              <w:rPr>
                <w:sz w:val="20"/>
                <w:szCs w:val="20"/>
                <w:color w:val="auto"/>
              </w:rPr>
            </w:pPr>
            <w:r>
              <w:rPr>
                <w:rFonts w:ascii="Arial" w:cs="Arial" w:eastAsia="Arial" w:hAnsi="Arial"/>
                <w:sz w:val="18"/>
                <w:szCs w:val="18"/>
                <w:color w:val="auto"/>
              </w:rPr>
              <w:t>Earnings before income taxes</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9,809</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10,342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170,272</w:t>
            </w: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153,233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56,190</w:t>
            </w: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50,567</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w:t>
            </w: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6,929</w:t>
            </w:r>
          </w:p>
        </w:tc>
        <w:tc>
          <w:tcPr>
            <w:tcW w:w="4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114,082</w:t>
            </w: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102,666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Basic net earnings per share</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5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Diluted net earnings per share</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5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w:t>
            </w: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Arial" w:cs="Arial" w:eastAsia="Arial" w:hAnsi="Arial"/>
                <w:sz w:val="18"/>
                <w:szCs w:val="18"/>
                <w:color w:val="auto"/>
              </w:rPr>
              <w:t>outstanding – Basic</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43,543</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46,766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44,714</w:t>
            </w: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48,728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Weighted average number of shares of common stock</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outstanding – Dilutive</w:t>
            </w: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45,384</w:t>
            </w: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48,843</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46,539</w:t>
            </w: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50,766</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140"/>
        <w:spacing w:after="0" w:line="277" w:lineRule="auto"/>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March 28, 2005.</w:t>
      </w:r>
    </w:p>
    <w:p>
      <w:pPr>
        <w:spacing w:after="0" w:line="76" w:lineRule="exact"/>
        <w:rPr>
          <w:sz w:val="20"/>
          <w:szCs w:val="20"/>
          <w:color w:val="auto"/>
        </w:rPr>
      </w:pPr>
    </w:p>
    <w:p>
      <w:pPr>
        <w:ind w:left="100" w:hanging="92"/>
        <w:spacing w:after="0"/>
        <w:tabs>
          <w:tab w:leader="none" w:pos="100" w:val="left"/>
        </w:tabs>
        <w:numPr>
          <w:ilvl w:val="0"/>
          <w:numId w:val="2"/>
        </w:numPr>
        <w:rPr>
          <w:rFonts w:ascii="Arial" w:cs="Arial" w:eastAsia="Arial" w:hAnsi="Arial"/>
          <w:sz w:val="24"/>
          <w:szCs w:val="24"/>
          <w:color w:val="auto"/>
          <w:vertAlign w:val="superscript"/>
        </w:rPr>
      </w:pPr>
      <w:r>
        <w:rPr>
          <w:rFonts w:ascii="Arial" w:cs="Arial" w:eastAsia="Arial" w:hAnsi="Arial"/>
          <w:sz w:val="15"/>
          <w:szCs w:val="15"/>
          <w:color w:val="auto"/>
        </w:rPr>
        <w:t>Prepared under the accounting provisions of Statement of Financial Accounting Standard No. 123 (Revised 2004), “Share-Based Payment.”</w:t>
      </w:r>
    </w:p>
    <w:p>
      <w:pPr>
        <w:spacing w:after="0" w:line="6" w:lineRule="exact"/>
        <w:rPr>
          <w:rFonts w:ascii="Arial" w:cs="Arial" w:eastAsia="Arial" w:hAnsi="Arial"/>
          <w:sz w:val="24"/>
          <w:szCs w:val="24"/>
          <w:color w:val="auto"/>
          <w:vertAlign w:val="superscript"/>
        </w:rPr>
      </w:pPr>
    </w:p>
    <w:p>
      <w:pPr>
        <w:spacing w:after="0"/>
        <w:rPr>
          <w:rFonts w:ascii="Arial" w:cs="Arial" w:eastAsia="Arial" w:hAnsi="Arial"/>
          <w:sz w:val="24"/>
          <w:szCs w:val="24"/>
          <w:color w:val="auto"/>
          <w:vertAlign w:val="superscript"/>
        </w:rPr>
      </w:pPr>
      <w:r>
        <w:rPr>
          <w:rFonts w:ascii="Arial" w:cs="Arial" w:eastAsia="Arial" w:hAnsi="Arial"/>
          <w:sz w:val="25"/>
          <w:szCs w:val="25"/>
          <w:color w:val="auto"/>
          <w:vertAlign w:val="superscript"/>
        </w:rPr>
        <w:t>2</w:t>
      </w:r>
      <w:r>
        <w:rPr>
          <w:rFonts w:ascii="Arial" w:cs="Arial" w:eastAsia="Arial" w:hAnsi="Arial"/>
          <w:sz w:val="15"/>
          <w:szCs w:val="15"/>
          <w:color w:val="auto"/>
        </w:rPr>
        <w:t xml:space="preserve"> Prepared under the accounting provisions of Accounting Principles Board Opinion No. 25, “Accounting for Stock Issued to Employees,”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(APB No. 25), and related Interpretations.</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THE TORO COMPANY AND SUBSIDIARIES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Segment Data (Unaudited)</w:t>
      </w:r>
    </w:p>
    <w:p>
      <w:pPr>
        <w:jc w:val="center"/>
        <w:ind w:right="-79"/>
        <w:spacing w:after="0"/>
        <w:rPr>
          <w:sz w:val="20"/>
          <w:szCs w:val="20"/>
          <w:color w:val="auto"/>
        </w:rPr>
      </w:pPr>
      <w:r>
        <w:rPr>
          <w:rFonts w:ascii="Arial" w:cs="Arial" w:eastAsia="Arial" w:hAnsi="Arial"/>
          <w:sz w:val="22"/>
          <w:szCs w:val="22"/>
          <w:b w:val="1"/>
          <w:bCs w:val="1"/>
          <w:color w:val="auto"/>
        </w:rPr>
        <w:t>(Dollars in thousands)</w:t>
      </w:r>
    </w:p>
    <w:p>
      <w:pPr>
        <w:spacing w:after="0" w:line="34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36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ind w:left="72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ind w:left="260"/>
              <w:spacing w:after="0" w:line="191" w:lineRule="exact"/>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16"/>
                <w:szCs w:val="16"/>
                <w:color w:val="auto"/>
              </w:rPr>
            </w:pPr>
          </w:p>
        </w:tc>
        <w:tc>
          <w:tcPr>
            <w:tcW w:w="1420" w:type="dxa"/>
            <w:vAlign w:val="bottom"/>
            <w:gridSpan w:val="3"/>
          </w:tcPr>
          <w:p>
            <w:pPr>
              <w:ind w:left="260"/>
              <w:spacing w:after="0" w:line="191" w:lineRule="exact"/>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16"/>
                <w:szCs w:val="16"/>
                <w:color w:val="auto"/>
              </w:rPr>
            </w:pPr>
          </w:p>
        </w:tc>
        <w:tc>
          <w:tcPr>
            <w:tcW w:w="1780" w:type="dxa"/>
            <w:vAlign w:val="bottom"/>
            <w:gridSpan w:val="3"/>
          </w:tcPr>
          <w:p>
            <w:pPr>
              <w:ind w:left="440"/>
              <w:spacing w:after="0" w:line="191" w:lineRule="exact"/>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6"/>
                <w:szCs w:val="16"/>
                <w:color w:val="auto"/>
              </w:rPr>
            </w:pPr>
          </w:p>
        </w:tc>
        <w:tc>
          <w:tcPr>
            <w:tcW w:w="1780" w:type="dxa"/>
            <w:vAlign w:val="bottom"/>
            <w:gridSpan w:val="3"/>
          </w:tcPr>
          <w:p>
            <w:pPr>
              <w:ind w:left="420"/>
              <w:spacing w:after="0" w:line="191" w:lineRule="exact"/>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Segment Net Sales</w:t>
            </w:r>
          </w:p>
        </w:tc>
        <w:tc>
          <w:tcPr>
            <w:tcW w:w="4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2004</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2004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Professional</w:t>
            </w:r>
          </w:p>
        </w:tc>
        <w:tc>
          <w:tcPr>
            <w:tcW w:w="20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208,562</w:t>
            </w:r>
          </w:p>
        </w:tc>
        <w:tc>
          <w:tcPr>
            <w:tcW w:w="4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6"/>
              </w:rPr>
              <w:t>194,811</w:t>
            </w:r>
          </w:p>
        </w:tc>
        <w:tc>
          <w:tcPr>
            <w:tcW w:w="4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1,145,361</w:t>
            </w:r>
          </w:p>
        </w:tc>
        <w:tc>
          <w:tcPr>
            <w:tcW w:w="5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1,028,941</w:t>
            </w: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111,103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117,382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583,291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554,334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17,426</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24,671</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50,735</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69,233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Total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337,091</w:t>
            </w:r>
          </w:p>
        </w:tc>
        <w:tc>
          <w:tcPr>
            <w:tcW w:w="4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336,864</w:t>
            </w:r>
          </w:p>
        </w:tc>
        <w:tc>
          <w:tcPr>
            <w:tcW w:w="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1,779,387</w:t>
            </w:r>
          </w:p>
        </w:tc>
        <w:tc>
          <w:tcPr>
            <w:tcW w:w="5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1,652,508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 Includes international sales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40" w:type="dxa"/>
            <w:vAlign w:val="bottom"/>
            <w:gridSpan w:val="2"/>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84,922</w:t>
            </w:r>
          </w:p>
        </w:tc>
        <w:tc>
          <w:tcPr>
            <w:tcW w:w="4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73,074</w:t>
            </w:r>
          </w:p>
        </w:tc>
        <w:tc>
          <w:tcPr>
            <w:tcW w:w="4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440,644</w:t>
            </w:r>
          </w:p>
        </w:tc>
        <w:tc>
          <w:tcPr>
            <w:tcW w:w="5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341,360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8"/>
                <w:szCs w:val="18"/>
                <w:color w:val="auto"/>
              </w:rPr>
              <w:t>Fiscal Years Ended</w:t>
            </w:r>
          </w:p>
        </w:tc>
      </w:tr>
      <w:tr>
        <w:trPr>
          <w:trHeight w:val="191"/>
        </w:trPr>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jc w:val="right"/>
              <w:ind w:right="360"/>
              <w:spacing w:after="0" w:line="191" w:lineRule="exact"/>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16"/>
                <w:szCs w:val="16"/>
                <w:color w:val="auto"/>
              </w:rPr>
            </w:pPr>
          </w:p>
        </w:tc>
        <w:tc>
          <w:tcPr>
            <w:tcW w:w="1620" w:type="dxa"/>
            <w:vAlign w:val="bottom"/>
            <w:gridSpan w:val="3"/>
          </w:tcPr>
          <w:p>
            <w:pPr>
              <w:jc w:val="right"/>
              <w:ind w:right="360"/>
              <w:spacing w:after="0" w:line="191" w:lineRule="exact"/>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6"/>
                <w:szCs w:val="16"/>
                <w:color w:val="auto"/>
              </w:rPr>
            </w:pPr>
          </w:p>
        </w:tc>
        <w:tc>
          <w:tcPr>
            <w:tcW w:w="1560" w:type="dxa"/>
            <w:vAlign w:val="bottom"/>
            <w:gridSpan w:val="3"/>
          </w:tcPr>
          <w:p>
            <w:pPr>
              <w:ind w:left="320"/>
              <w:spacing w:after="0" w:line="191" w:lineRule="exact"/>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6"/>
                <w:szCs w:val="16"/>
                <w:color w:val="auto"/>
              </w:rPr>
            </w:pPr>
          </w:p>
        </w:tc>
        <w:tc>
          <w:tcPr>
            <w:tcW w:w="1560" w:type="dxa"/>
            <w:vAlign w:val="bottom"/>
            <w:gridSpan w:val="3"/>
          </w:tcPr>
          <w:p>
            <w:pPr>
              <w:ind w:left="320"/>
              <w:spacing w:after="0" w:line="191" w:lineRule="exact"/>
              <w:rPr>
                <w:sz w:val="20"/>
                <w:szCs w:val="20"/>
                <w:color w:val="auto"/>
              </w:rPr>
            </w:pPr>
            <w:r>
              <w:rPr>
                <w:rFonts w:ascii="Arial" w:cs="Arial" w:eastAsia="Arial" w:hAnsi="Arial"/>
                <w:sz w:val="18"/>
                <w:szCs w:val="18"/>
                <w:b w:val="1"/>
                <w:bCs w:val="1"/>
                <w:color w:val="auto"/>
              </w:rPr>
              <w:t>October 31,</w:t>
            </w:r>
          </w:p>
        </w:tc>
      </w:t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w w:val="93"/>
              </w:rPr>
              <w:t>Segment Earnings (Loss) Before Income Taxes</w:t>
            </w:r>
          </w:p>
        </w:tc>
        <w:tc>
          <w:tcPr>
            <w:tcW w:w="4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58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2004</w:t>
            </w:r>
          </w:p>
        </w:tc>
        <w:tc>
          <w:tcPr>
            <w:tcW w:w="5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2005</w:t>
            </w:r>
          </w:p>
        </w:tc>
        <w:tc>
          <w:tcPr>
            <w:tcW w:w="5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2004</w:t>
            </w:r>
          </w:p>
        </w:tc>
        <w:tc>
          <w:tcPr>
            <w:tcW w:w="540" w:type="dxa"/>
            <w:vAlign w:val="bottom"/>
          </w:tcPr>
          <w:p>
            <w:pPr>
              <w:spacing w:after="0"/>
              <w:rPr>
                <w:sz w:val="20"/>
                <w:szCs w:val="20"/>
                <w:color w:val="auto"/>
              </w:rPr>
            </w:pPr>
          </w:p>
        </w:tc>
      </w:tr>
      <w:tr>
        <w:trPr>
          <w:trHeight w:val="195"/>
        </w:trPr>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Professional</w:t>
            </w:r>
          </w:p>
        </w:tc>
        <w:tc>
          <w:tcPr>
            <w:tcW w:w="200" w:type="dxa"/>
            <w:vAlign w:val="bottom"/>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24,016</w:t>
            </w: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$ 18,632</w:t>
            </w:r>
          </w:p>
        </w:tc>
        <w:tc>
          <w:tcPr>
            <w:tcW w:w="5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$207,398</w:t>
            </w:r>
          </w:p>
        </w:tc>
        <w:tc>
          <w:tcPr>
            <w:tcW w:w="5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$ 173,111</w:t>
            </w:r>
          </w:p>
        </w:tc>
        <w:tc>
          <w:tcPr>
            <w:tcW w:w="540" w:type="dxa"/>
            <w:vAlign w:val="bottom"/>
            <w:tcBorders>
              <w:top w:val="single" w:sz="8" w:color="auto"/>
            </w:tcBorders>
          </w:tcPr>
          <w:p>
            <w:pPr>
              <w:spacing w:after="0"/>
              <w:rPr>
                <w:sz w:val="16"/>
                <w:szCs w:val="16"/>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6,667</w:t>
            </w:r>
          </w:p>
        </w:tc>
        <w:tc>
          <w:tcPr>
            <w:tcW w:w="5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9,086</w:t>
            </w:r>
          </w:p>
        </w:tc>
        <w:tc>
          <w:tcPr>
            <w:tcW w:w="5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50,160</w:t>
            </w:r>
          </w:p>
        </w:tc>
        <w:tc>
          <w:tcPr>
            <w:tcW w:w="5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61,777</w:t>
            </w:r>
          </w:p>
        </w:tc>
        <w:tc>
          <w:tcPr>
            <w:tcW w:w="540" w:type="dxa"/>
            <w:vAlign w:val="bottom"/>
          </w:tcPr>
          <w:p>
            <w:pPr>
              <w:spacing w:after="0"/>
              <w:rPr>
                <w:sz w:val="18"/>
                <w:szCs w:val="18"/>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(20,874)</w:t>
            </w:r>
          </w:p>
        </w:tc>
        <w:tc>
          <w:tcPr>
            <w:tcW w:w="1840" w:type="dxa"/>
            <w:vAlign w:val="bottom"/>
            <w:gridSpan w:val="4"/>
          </w:tcPr>
          <w:p>
            <w:pPr>
              <w:jc w:val="right"/>
              <w:ind w:right="500"/>
              <w:spacing w:after="0"/>
              <w:rPr>
                <w:sz w:val="20"/>
                <w:szCs w:val="20"/>
                <w:color w:val="auto"/>
              </w:rPr>
            </w:pPr>
            <w:r>
              <w:rPr>
                <w:rFonts w:ascii="Arial" w:cs="Arial" w:eastAsia="Arial" w:hAnsi="Arial"/>
                <w:sz w:val="18"/>
                <w:szCs w:val="18"/>
                <w:color w:val="auto"/>
              </w:rPr>
              <w:t>(17,376)</w:t>
            </w:r>
          </w:p>
        </w:tc>
        <w:tc>
          <w:tcPr>
            <w:tcW w:w="1800" w:type="dxa"/>
            <w:vAlign w:val="bottom"/>
            <w:gridSpan w:val="4"/>
          </w:tcPr>
          <w:p>
            <w:pPr>
              <w:jc w:val="right"/>
              <w:ind w:right="480"/>
              <w:spacing w:after="0"/>
              <w:rPr>
                <w:sz w:val="20"/>
                <w:szCs w:val="20"/>
                <w:color w:val="auto"/>
              </w:rPr>
            </w:pPr>
            <w:r>
              <w:rPr>
                <w:rFonts w:ascii="Arial" w:cs="Arial" w:eastAsia="Arial" w:hAnsi="Arial"/>
                <w:sz w:val="18"/>
                <w:szCs w:val="18"/>
                <w:color w:val="auto"/>
              </w:rPr>
              <w:t>(87,286)</w:t>
            </w:r>
          </w:p>
        </w:tc>
        <w:tc>
          <w:tcPr>
            <w:tcW w:w="1800" w:type="dxa"/>
            <w:vAlign w:val="bottom"/>
            <w:gridSpan w:val="4"/>
          </w:tcPr>
          <w:p>
            <w:pPr>
              <w:jc w:val="right"/>
              <w:ind w:right="480"/>
              <w:spacing w:after="0"/>
              <w:rPr>
                <w:sz w:val="20"/>
                <w:szCs w:val="20"/>
                <w:color w:val="auto"/>
              </w:rPr>
            </w:pPr>
            <w:r>
              <w:rPr>
                <w:rFonts w:ascii="Arial" w:cs="Arial" w:eastAsia="Arial" w:hAnsi="Arial"/>
                <w:sz w:val="18"/>
                <w:szCs w:val="18"/>
                <w:color w:val="auto"/>
              </w:rPr>
              <w:t>(81,655)</w:t>
            </w:r>
          </w:p>
        </w:tc>
      </w:tr>
      <w:tr>
        <w:trPr>
          <w:trHeight w:val="223"/>
        </w:trPr>
        <w:tc>
          <w:tcPr>
            <w:tcW w:w="37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9,809</w:t>
            </w:r>
          </w:p>
        </w:tc>
        <w:tc>
          <w:tcPr>
            <w:tcW w:w="5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10,342</w:t>
            </w:r>
          </w:p>
        </w:tc>
        <w:tc>
          <w:tcPr>
            <w:tcW w:w="560" w:type="dxa"/>
            <w:vAlign w:val="bottom"/>
          </w:tcPr>
          <w:p>
            <w:pPr>
              <w:spacing w:after="0"/>
              <w:rPr>
                <w:sz w:val="19"/>
                <w:szCs w:val="19"/>
                <w:color w:val="auto"/>
              </w:rPr>
            </w:pP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170,272</w:t>
            </w:r>
          </w:p>
        </w:tc>
        <w:tc>
          <w:tcPr>
            <w:tcW w:w="520" w:type="dxa"/>
            <w:vAlign w:val="bottom"/>
          </w:tcPr>
          <w:p>
            <w:pPr>
              <w:spacing w:after="0"/>
              <w:rPr>
                <w:sz w:val="19"/>
                <w:szCs w:val="19"/>
                <w:color w:val="auto"/>
              </w:rPr>
            </w:pP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153,233</w:t>
            </w:r>
          </w:p>
        </w:tc>
        <w:tc>
          <w:tcPr>
            <w:tcW w:w="54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Condensed Consolidated Balance Sheets (Unaudited)</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(Dollars in thousands)</w:t>
      </w:r>
    </w:p>
    <w:p>
      <w:pPr>
        <w:spacing w:after="0" w:line="38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Arial" w:cs="Arial" w:eastAsia="Arial" w:hAnsi="Arial"/>
                <w:sz w:val="18"/>
                <w:szCs w:val="18"/>
                <w:b w:val="1"/>
                <w:bCs w:val="1"/>
                <w:color w:val="auto"/>
              </w:rPr>
              <w:t>October 31,</w:t>
            </w:r>
          </w:p>
        </w:tc>
        <w:tc>
          <w:tcPr>
            <w:tcW w:w="480" w:type="dxa"/>
            <w:vAlign w:val="bottom"/>
          </w:tcPr>
          <w:p>
            <w:pPr>
              <w:spacing w:after="0"/>
              <w:rPr>
                <w:sz w:val="18"/>
                <w:szCs w:val="18"/>
                <w:color w:val="auto"/>
              </w:rPr>
            </w:pPr>
          </w:p>
        </w:tc>
        <w:tc>
          <w:tcPr>
            <w:tcW w:w="1380" w:type="dxa"/>
            <w:vAlign w:val="bottom"/>
          </w:tcPr>
          <w:p>
            <w:pPr>
              <w:ind w:left="240"/>
              <w:spacing w:after="0"/>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48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0" w:type="dxa"/>
            <w:vAlign w:val="bottom"/>
          </w:tcPr>
          <w:p>
            <w:pPr>
              <w:spacing w:after="0"/>
              <w:rPr>
                <w:sz w:val="1"/>
                <w:szCs w:val="1"/>
                <w:color w:val="auto"/>
              </w:rPr>
            </w:pPr>
          </w:p>
        </w:tc>
      </w:tr>
      <w:tr>
        <w:trPr>
          <w:trHeight w:val="210"/>
        </w:trPr>
        <w:tc>
          <w:tcPr>
            <w:tcW w:w="7600" w:type="dxa"/>
            <w:vAlign w:val="bottom"/>
            <w:gridSpan w:val="3"/>
            <w:vMerge w:val="continue"/>
          </w:tcPr>
          <w:p>
            <w:pPr>
              <w:spacing w:after="0"/>
              <w:rPr>
                <w:sz w:val="18"/>
                <w:szCs w:val="18"/>
                <w:color w:val="auto"/>
              </w:rPr>
            </w:pPr>
          </w:p>
        </w:tc>
        <w:tc>
          <w:tcPr>
            <w:tcW w:w="1380" w:type="dxa"/>
            <w:vAlign w:val="bottom"/>
            <w:vMerge w:val="restart"/>
          </w:tcPr>
          <w:p>
            <w:pPr>
              <w:ind w:left="240"/>
              <w:spacing w:after="0"/>
              <w:rPr>
                <w:sz w:val="20"/>
                <w:szCs w:val="20"/>
                <w:color w:val="auto"/>
              </w:rPr>
            </w:pPr>
            <w:r>
              <w:rPr>
                <w:rFonts w:ascii="Arial" w:cs="Arial" w:eastAsia="Arial" w:hAnsi="Arial"/>
                <w:sz w:val="18"/>
                <w:szCs w:val="18"/>
                <w:color w:val="auto"/>
              </w:rPr>
              <w:t>$ 41,402</w:t>
            </w:r>
          </w:p>
        </w:tc>
        <w:tc>
          <w:tcPr>
            <w:tcW w:w="1860" w:type="dxa"/>
            <w:vAlign w:val="bottom"/>
            <w:gridSpan w:val="2"/>
            <w:vMerge w:val="restart"/>
          </w:tcPr>
          <w:p>
            <w:pPr>
              <w:ind w:left="720"/>
              <w:spacing w:after="0"/>
              <w:rPr>
                <w:sz w:val="20"/>
                <w:szCs w:val="20"/>
                <w:color w:val="auto"/>
              </w:rPr>
            </w:pPr>
            <w:r>
              <w:rPr>
                <w:rFonts w:ascii="Arial" w:cs="Arial" w:eastAsia="Arial" w:hAnsi="Arial"/>
                <w:sz w:val="18"/>
                <w:szCs w:val="18"/>
                <w:color w:val="auto"/>
              </w:rPr>
              <w:t>$ 90,756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85" w:orient="portrait"/>
          <w:cols w:equalWidth="0" w:num="1">
            <w:col w:w="11340"/>
          </w:cols>
          <w:pgMar w:left="240" w:top="125" w:right="31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Receivables, net</w:t>
            </w:r>
          </w:p>
        </w:tc>
        <w:tc>
          <w:tcPr>
            <w:tcW w:w="8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295,683</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280,577</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8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235,347</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227,200</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16,084</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16,931</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58,558</w:t>
            </w:r>
          </w:p>
        </w:tc>
        <w:tc>
          <w:tcPr>
            <w:tcW w:w="12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8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647,074</w:t>
            </w:r>
          </w:p>
        </w:tc>
        <w:tc>
          <w:tcPr>
            <w:tcW w:w="1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668,528</w:t>
            </w:r>
          </w:p>
        </w:tc>
        <w:tc>
          <w:tcPr>
            <w:tcW w:w="0" w:type="dxa"/>
            <w:vAlign w:val="bottom"/>
          </w:tcPr>
          <w:p>
            <w:pPr>
              <w:spacing w:after="0"/>
              <w:rPr>
                <w:sz w:val="1"/>
                <w:szCs w:val="1"/>
                <w:color w:val="auto"/>
              </w:rPr>
            </w:pPr>
          </w:p>
        </w:tc>
      </w:tr>
      <w:tr>
        <w:trPr>
          <w:trHeight w:val="209"/>
        </w:trPr>
        <w:tc>
          <w:tcPr>
            <w:tcW w:w="71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8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167,277</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164,665</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Goodwill and other assets</w:t>
            </w:r>
          </w:p>
        </w:tc>
        <w:tc>
          <w:tcPr>
            <w:tcW w:w="8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102,386</w:t>
            </w:r>
          </w:p>
        </w:tc>
        <w:tc>
          <w:tcPr>
            <w:tcW w:w="12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916,737</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932,100</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gridSpan w:val="2"/>
            <w:vMerge w:val="continue"/>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8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Short-term debt</w:t>
            </w:r>
          </w:p>
        </w:tc>
        <w:tc>
          <w:tcPr>
            <w:tcW w:w="8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8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87,952</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87,147</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252,879</w:t>
            </w:r>
          </w:p>
        </w:tc>
        <w:tc>
          <w:tcPr>
            <w:tcW w:w="12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235,791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120"/>
              <w:spacing w:after="0"/>
              <w:rPr>
                <w:sz w:val="20"/>
                <w:szCs w:val="20"/>
                <w:color w:val="auto"/>
              </w:rPr>
            </w:pPr>
            <w:r>
              <w:rPr>
                <w:rFonts w:ascii="Arial" w:cs="Arial" w:eastAsia="Arial" w:hAnsi="Arial"/>
                <w:sz w:val="18"/>
                <w:szCs w:val="18"/>
                <w:color w:val="auto"/>
              </w:rPr>
              <w:t>Total current liabilities</w:t>
            </w:r>
          </w:p>
        </w:tc>
        <w:tc>
          <w:tcPr>
            <w:tcW w:w="8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341,202</w:t>
            </w:r>
          </w:p>
        </w:tc>
        <w:tc>
          <w:tcPr>
            <w:tcW w:w="1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324,082</w:t>
            </w:r>
          </w:p>
        </w:tc>
        <w:tc>
          <w:tcPr>
            <w:tcW w:w="0" w:type="dxa"/>
            <w:vAlign w:val="bottom"/>
          </w:tcPr>
          <w:p>
            <w:pPr>
              <w:spacing w:after="0"/>
              <w:rPr>
                <w:sz w:val="1"/>
                <w:szCs w:val="1"/>
                <w:color w:val="auto"/>
              </w:rPr>
            </w:pPr>
          </w:p>
        </w:tc>
      </w:tr>
      <w:tr>
        <w:trPr>
          <w:trHeight w:val="209"/>
        </w:trPr>
        <w:tc>
          <w:tcPr>
            <w:tcW w:w="712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8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175,000</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175,046</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Long-term deferred income taxes</w:t>
            </w:r>
          </w:p>
        </w:tc>
        <w:tc>
          <w:tcPr>
            <w:tcW w:w="8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Deferred revenue and other long-term liabilities</w:t>
            </w:r>
          </w:p>
        </w:tc>
        <w:tc>
          <w:tcPr>
            <w:tcW w:w="8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9,629</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8,316</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390,034</w:t>
            </w:r>
          </w:p>
        </w:tc>
        <w:tc>
          <w:tcPr>
            <w:tcW w:w="12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420,819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916,737</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932,100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THE TORO COMPANY AND SUBSIDIARIES</w:t>
      </w:r>
    </w:p>
    <w:p>
      <w:pPr>
        <w:spacing w:after="0" w:line="206"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Condensed Consolidated Statements of Cash Flows (Unaudited)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108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191"/>
        </w:trPr>
        <w:tc>
          <w:tcPr>
            <w:tcW w:w="7140" w:type="dxa"/>
            <w:vAlign w:val="bottom"/>
          </w:tcPr>
          <w:p>
            <w:pPr>
              <w:spacing w:after="0"/>
              <w:rPr>
                <w:sz w:val="16"/>
                <w:szCs w:val="16"/>
                <w:color w:val="auto"/>
              </w:rPr>
            </w:pPr>
          </w:p>
        </w:tc>
        <w:tc>
          <w:tcPr>
            <w:tcW w:w="1700" w:type="dxa"/>
            <w:vAlign w:val="bottom"/>
            <w:gridSpan w:val="4"/>
          </w:tcPr>
          <w:p>
            <w:pPr>
              <w:jc w:val="right"/>
              <w:ind w:right="420"/>
              <w:spacing w:after="0" w:line="191" w:lineRule="exact"/>
              <w:rPr>
                <w:sz w:val="20"/>
                <w:szCs w:val="20"/>
                <w:color w:val="auto"/>
              </w:rPr>
            </w:pPr>
            <w:r>
              <w:rPr>
                <w:rFonts w:ascii="Arial" w:cs="Arial" w:eastAsia="Arial" w:hAnsi="Arial"/>
                <w:sz w:val="18"/>
                <w:szCs w:val="18"/>
                <w:b w:val="1"/>
                <w:bCs w:val="1"/>
                <w:color w:val="auto"/>
              </w:rPr>
              <w:t>October 31,</w:t>
            </w:r>
          </w:p>
        </w:tc>
        <w:tc>
          <w:tcPr>
            <w:tcW w:w="300" w:type="dxa"/>
            <w:vAlign w:val="bottom"/>
          </w:tcPr>
          <w:p>
            <w:pPr>
              <w:spacing w:after="0"/>
              <w:rPr>
                <w:sz w:val="16"/>
                <w:szCs w:val="16"/>
                <w:color w:val="auto"/>
              </w:rPr>
            </w:pPr>
          </w:p>
        </w:tc>
        <w:tc>
          <w:tcPr>
            <w:tcW w:w="1700" w:type="dxa"/>
            <w:vAlign w:val="bottom"/>
            <w:gridSpan w:val="3"/>
          </w:tcPr>
          <w:p>
            <w:pPr>
              <w:jc w:val="right"/>
              <w:ind w:right="340"/>
              <w:spacing w:after="0" w:line="191" w:lineRule="exact"/>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71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2004</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1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earnings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114,082</w:t>
            </w:r>
          </w:p>
        </w:tc>
        <w:tc>
          <w:tcPr>
            <w:tcW w:w="5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102,666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Non-cash asset impairment (recovery)</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Equity losses from investments</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1,468</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Provision for depreciation and amortization</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42,829</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36,093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Gain on disposal of property, plant, and equipment</w:t>
            </w:r>
          </w:p>
        </w:tc>
        <w:tc>
          <w:tcPr>
            <w:tcW w:w="52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9,312</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17,128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(Increase) decrease in deferred income taxes</w:t>
            </w:r>
          </w:p>
        </w:tc>
        <w:tc>
          <w:tcPr>
            <w:tcW w:w="52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(8,635)</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Receivables, net</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7,381</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(10,558)</w:t>
            </w:r>
          </w:p>
        </w:tc>
        <w:tc>
          <w:tcPr>
            <w:tcW w:w="0" w:type="dxa"/>
            <w:vAlign w:val="bottom"/>
          </w:tcPr>
          <w:p>
            <w:pPr>
              <w:spacing w:after="0"/>
              <w:rPr>
                <w:sz w:val="1"/>
                <w:szCs w:val="1"/>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Inventories, net</w:t>
            </w:r>
          </w:p>
        </w:tc>
        <w:tc>
          <w:tcPr>
            <w:tcW w:w="52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(1,210)</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(4,391)</w:t>
            </w: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Accounts payable, accrued expenses, and deferred revenue</w:t>
            </w:r>
          </w:p>
        </w:tc>
        <w:tc>
          <w:tcPr>
            <w:tcW w:w="520" w:type="dxa"/>
            <w:vAlign w:val="bottom"/>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8,631</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34,274</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174,083</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175,292</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52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(37,432)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(40,812)</w:t>
            </w: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Proceeds from asset disposals</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2,740</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Increase in investments in affiliates</w:t>
            </w:r>
          </w:p>
        </w:tc>
        <w:tc>
          <w:tcPr>
            <w:tcW w:w="52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(757)</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Decrease in other assets</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1,550</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Proceeds from sale of businesses</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765</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Acquisition, net of cash acquired</w:t>
            </w:r>
          </w:p>
        </w:tc>
        <w:tc>
          <w:tcPr>
            <w:tcW w:w="520" w:type="dxa"/>
            <w:vAlign w:val="bottom"/>
          </w:tcPr>
          <w:p>
            <w:pPr>
              <w:spacing w:after="0"/>
              <w:rPr>
                <w:sz w:val="20"/>
                <w:szCs w:val="20"/>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(35,285)</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4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(68,419</w:t>
            </w:r>
          </w:p>
        </w:tc>
        <w:tc>
          <w:tcPr>
            <w:tcW w:w="540" w:type="dxa"/>
            <w:vAlign w:val="bottom"/>
            <w:gridSpan w:val="2"/>
          </w:tcPr>
          <w:p>
            <w:pPr>
              <w:jc w:val="right"/>
              <w:ind w:right="48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(38,296</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Increase in short-term debt</w:t>
            </w:r>
          </w:p>
        </w:tc>
        <w:tc>
          <w:tcPr>
            <w:tcW w:w="52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(774)</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52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Excess tax benefits from share-based arrangements</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5,989</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9,857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8,164</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14,307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Purchases of Toro common stock</w:t>
            </w:r>
          </w:p>
        </w:tc>
        <w:tc>
          <w:tcPr>
            <w:tcW w:w="52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(156,972)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(169,821)</w:t>
            </w: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Dividends paid on Toro common stock</w:t>
            </w:r>
          </w:p>
        </w:tc>
        <w:tc>
          <w:tcPr>
            <w:tcW w:w="520" w:type="dxa"/>
            <w:vAlign w:val="bottom"/>
          </w:tcPr>
          <w:p>
            <w:pPr>
              <w:spacing w:after="0"/>
              <w:rPr>
                <w:sz w:val="20"/>
                <w:szCs w:val="20"/>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(10,755)</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(5,839)</w:t>
            </w:r>
          </w:p>
        </w:tc>
        <w:tc>
          <w:tcPr>
            <w:tcW w:w="0" w:type="dxa"/>
            <w:vAlign w:val="bottom"/>
          </w:tcPr>
          <w:p>
            <w:pPr>
              <w:spacing w:after="0"/>
              <w:rPr>
                <w:sz w:val="1"/>
                <w:szCs w:val="1"/>
                <w:color w:val="auto"/>
              </w:rPr>
            </w:pPr>
          </w:p>
        </w:tc>
      </w:tr>
      <w:tr>
        <w:trPr>
          <w:trHeight w:val="223"/>
        </w:trPr>
        <w:tc>
          <w:tcPr>
            <w:tcW w:w="7140" w:type="dxa"/>
            <w:vAlign w:val="bottom"/>
          </w:tcPr>
          <w:p>
            <w:pPr>
              <w:ind w:left="400"/>
              <w:spacing w:after="0"/>
              <w:rPr>
                <w:sz w:val="20"/>
                <w:szCs w:val="20"/>
                <w:color w:val="auto"/>
              </w:rPr>
            </w:pPr>
            <w:r>
              <w:rPr>
                <w:rFonts w:ascii="Arial" w:cs="Arial" w:eastAsia="Arial" w:hAnsi="Arial"/>
                <w:sz w:val="18"/>
                <w:szCs w:val="18"/>
                <w:color w:val="auto"/>
              </w:rPr>
              <w:t>Net cash used in financing activities</w:t>
            </w: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(154,393</w:t>
            </w:r>
          </w:p>
        </w:tc>
        <w:tc>
          <w:tcPr>
            <w:tcW w:w="540" w:type="dxa"/>
            <w:vAlign w:val="bottom"/>
            <w:gridSpan w:val="2"/>
          </w:tcPr>
          <w:p>
            <w:pPr>
              <w:jc w:val="right"/>
              <w:ind w:right="48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(156,365</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5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(625)</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(49,354)</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(19,531)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fiscal year</w:t>
            </w:r>
          </w:p>
        </w:tc>
        <w:tc>
          <w:tcPr>
            <w:tcW w:w="520" w:type="dxa"/>
            <w:vAlign w:val="bottom"/>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90,756</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110,287</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Cash and cash equivalents as of the end of the fiscal year</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41,402</w:t>
            </w:r>
          </w:p>
        </w:tc>
        <w:tc>
          <w:tcPr>
            <w:tcW w:w="5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90,756</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840"/>
      </w:cols>
      <w:pgMar w:left="54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2019-12-13T13:32:42Z</dcterms:created>
  <dcterms:modified xsi:type="dcterms:W3CDTF">2019-12-13T13:32:42Z</dcterms:modified>
</cp:coreProperties>
</file>