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6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-225425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-607695</wp:posOffset>
            </wp:positionV>
            <wp:extent cx="57150" cy="6210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3933190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12065</wp:posOffset>
            </wp:positionV>
            <wp:extent cx="6997700" cy="6576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6576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18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5. Relationship of Reporting Person(s) to Issuer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  <w:w w:val="90"/>
                </w:rPr>
                <w:t>Drake Angela C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 w:line="100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TORO CO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TTC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VP, Construction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8111 LYNDALE AVENUE SOUTH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04/01/2022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BLOOMINGTON MN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55420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7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61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04/01/2022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655.232</w:t>
            </w: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1,759.682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04/01/2022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191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86.5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1,568.682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04/01/2022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1,601.914</w:t>
            </w: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3,170.596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04/01/2022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500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86.5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2,670.596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04/01/2022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374.269</w:t>
            </w: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3,044.865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04/01/2022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109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86.5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2,935.865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1.008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jc w:val="center"/>
              <w:ind w:lef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Restricted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655.232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04/01/2022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jc w:val="center"/>
              <w:ind w:right="279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center"/>
              <w:ind w:left="24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655.232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Restricted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(4)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1,601.914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04/01/2022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right="279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center"/>
              <w:ind w:left="242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1,601.914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81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Restricted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(5)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374.269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04/01/2022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jc w:val="center"/>
              <w:ind w:right="279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center"/>
              <w:ind w:left="24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374.269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374.264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-2315210</wp:posOffset>
            </wp:positionV>
            <wp:extent cx="28575" cy="23202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320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.003 shares acquired since the date of her last report under the dividend reinvestment feature of The Toro Company Retirement Plan.</w:t>
      </w:r>
    </w:p>
    <w:p>
      <w:pPr>
        <w:spacing w:after="0" w:line="3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3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restricted stock units and related dividend equivalents vested and became non-forfeitable in three equal annual installments commencing on April 1, 2020, which was the first anniversary of the date of grant.</w:t>
      </w:r>
    </w:p>
    <w:p>
      <w:pPr>
        <w:spacing w:after="0" w:line="61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and related dividend equivalents vested and became non-forfeitable in full on April 1, 2022, which was the third anniversary of the date of grant.</w:t>
      </w:r>
    </w:p>
    <w:p>
      <w:pPr>
        <w:spacing w:after="0" w:line="3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restricted stock units and related dividend equivalents vest and become non-forfeitable in three equal annual installments commencing on April 1, 2021, which is the first anniversary of the date of grant.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/s/ Timothy C. Quist,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04/05/2022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60" w:type="dxa"/>
            <w:vAlign w:val="bottom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in-Fact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40" w:right="3820" w:hanging="2"/>
        <w:spacing w:after="0" w:line="352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0785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2022-04-05T15:14:45Z</dcterms:created>
  <dcterms:modified xsi:type="dcterms:W3CDTF">2022-04-05T15:14:45Z</dcterms:modified>
</cp:coreProperties>
</file>