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855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8553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Grams Blake M</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03/16/2023</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40"/>
        <w:spacing w:after="0"/>
        <w:rPr>
          <w:sz w:val="20"/>
          <w:szCs w:val="20"/>
          <w:color w:val="auto"/>
        </w:rPr>
      </w:pPr>
      <w:r>
        <w:rPr>
          <w:rFonts w:ascii="Arial" w:cs="Arial" w:eastAsia="Arial" w:hAnsi="Arial"/>
          <w:sz w:val="17"/>
          <w:szCs w:val="17"/>
          <w:color w:val="0000FF"/>
        </w:rPr>
        <w:t>VP, Strategy, Corp Dev &amp; Sust</w:t>
      </w:r>
    </w:p>
    <w:p>
      <w:pPr>
        <w:spacing w:after="0" w:line="307"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600" w:type="dxa"/>
            <w:vAlign w:val="bottom"/>
          </w:tcPr>
          <w:p>
            <w:pPr>
              <w:ind w:left="440"/>
              <w:spacing w:after="0"/>
              <w:rPr>
                <w:sz w:val="20"/>
                <w:szCs w:val="20"/>
                <w:color w:val="auto"/>
              </w:rPr>
            </w:pPr>
            <w:r>
              <w:rPr>
                <w:rFonts w:ascii="Arial" w:cs="Arial" w:eastAsia="Arial" w:hAnsi="Arial"/>
                <w:sz w:val="17"/>
                <w:szCs w:val="17"/>
                <w:color w:val="0000FF"/>
              </w:rPr>
              <w:t>55420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98"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0"/>
                <w:szCs w:val="10"/>
                <w:color w:val="auto"/>
              </w:rPr>
            </w:pPr>
          </w:p>
        </w:tc>
        <w:tc>
          <w:tcPr>
            <w:tcW w:w="114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26"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0"/>
                <w:szCs w:val="10"/>
                <w:color w:val="auto"/>
              </w:rPr>
            </w:pPr>
          </w:p>
        </w:tc>
        <w:tc>
          <w:tcPr>
            <w:tcW w:w="8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2"/>
          </w:tcPr>
          <w:p>
            <w:pPr>
              <w:ind w:left="5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48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560" w:type="dxa"/>
            <w:vAlign w:val="bottom"/>
            <w:gridSpan w:val="2"/>
          </w:tcPr>
          <w:p>
            <w:pPr>
              <w:ind w:left="640"/>
              <w:spacing w:after="0"/>
              <w:rPr>
                <w:sz w:val="20"/>
                <w:szCs w:val="20"/>
                <w:color w:val="auto"/>
              </w:rPr>
            </w:pPr>
            <w:r>
              <w:rPr>
                <w:rFonts w:ascii="Arial" w:cs="Arial" w:eastAsia="Arial" w:hAnsi="Arial"/>
                <w:sz w:val="17"/>
                <w:szCs w:val="17"/>
                <w:color w:val="0000FF"/>
              </w:rPr>
              <w:t>03/16/2023</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ind w:left="120"/>
              <w:spacing w:after="0"/>
              <w:rPr>
                <w:sz w:val="20"/>
                <w:szCs w:val="20"/>
                <w:color w:val="auto"/>
              </w:rPr>
            </w:pPr>
            <w:r>
              <w:rPr>
                <w:rFonts w:ascii="Arial" w:cs="Arial" w:eastAsia="Arial" w:hAnsi="Arial"/>
                <w:sz w:val="13"/>
                <w:szCs w:val="13"/>
                <w:color w:val="0000FF"/>
              </w:rPr>
              <w:t>M</w:t>
            </w:r>
          </w:p>
        </w:tc>
        <w:tc>
          <w:tcPr>
            <w:tcW w:w="760" w:type="dxa"/>
            <w:vAlign w:val="bottom"/>
          </w:tcPr>
          <w:p>
            <w:pPr>
              <w:ind w:left="140"/>
              <w:spacing w:after="0"/>
              <w:rPr>
                <w:sz w:val="20"/>
                <w:szCs w:val="20"/>
                <w:color w:val="auto"/>
              </w:rPr>
            </w:pPr>
            <w:r>
              <w:rPr>
                <w:rFonts w:ascii="Arial" w:cs="Arial" w:eastAsia="Arial" w:hAnsi="Arial"/>
                <w:sz w:val="17"/>
                <w:szCs w:val="17"/>
                <w:color w:val="0000FF"/>
              </w:rPr>
              <w:t>11,400</w:t>
            </w:r>
          </w:p>
        </w:tc>
        <w:tc>
          <w:tcPr>
            <w:tcW w:w="500" w:type="dxa"/>
            <w:vAlign w:val="bottom"/>
          </w:tcPr>
          <w:p>
            <w:pPr>
              <w:ind w:left="180"/>
              <w:spacing w:after="0"/>
              <w:rPr>
                <w:sz w:val="20"/>
                <w:szCs w:val="20"/>
                <w:color w:val="auto"/>
              </w:rPr>
            </w:pPr>
            <w:r>
              <w:rPr>
                <w:rFonts w:ascii="Arial" w:cs="Arial" w:eastAsia="Arial" w:hAnsi="Arial"/>
                <w:sz w:val="17"/>
                <w:szCs w:val="17"/>
                <w:color w:val="0000FF"/>
              </w:rPr>
              <w:t>A</w:t>
            </w:r>
          </w:p>
        </w:tc>
        <w:tc>
          <w:tcPr>
            <w:tcW w:w="740" w:type="dxa"/>
            <w:vAlign w:val="bottom"/>
          </w:tcPr>
          <w:p>
            <w:pPr>
              <w:jc w:val="center"/>
              <w:ind w:right="3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58.53</w:t>
            </w:r>
          </w:p>
        </w:tc>
        <w:tc>
          <w:tcPr>
            <w:tcW w:w="4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84"/>
              </w:rPr>
              <w:t>11,400</w:t>
            </w:r>
          </w:p>
        </w:tc>
        <w:tc>
          <w:tcPr>
            <w:tcW w:w="320" w:type="dxa"/>
            <w:vAlign w:val="bottom"/>
          </w:tcPr>
          <w:p>
            <w:pPr>
              <w:spacing w:after="0"/>
              <w:rPr>
                <w:sz w:val="22"/>
                <w:szCs w:val="22"/>
                <w:color w:val="auto"/>
              </w:rPr>
            </w:pPr>
          </w:p>
        </w:tc>
        <w:tc>
          <w:tcPr>
            <w:tcW w:w="540" w:type="dxa"/>
            <w:vAlign w:val="bottom"/>
          </w:tcPr>
          <w:p>
            <w:pPr>
              <w:jc w:val="center"/>
              <w:ind w:right="312"/>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03/16/2023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11,400</w:t>
            </w:r>
          </w:p>
        </w:tc>
        <w:tc>
          <w:tcPr>
            <w:tcW w:w="50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107.05</w:t>
            </w:r>
            <w:r>
              <w:rPr>
                <w:rFonts w:ascii="Arial" w:cs="Arial" w:eastAsia="Arial" w:hAnsi="Arial"/>
                <w:sz w:val="21"/>
                <w:szCs w:val="21"/>
                <w:color w:val="008000"/>
                <w:w w:val="89"/>
                <w:vertAlign w:val="superscript"/>
              </w:rPr>
              <w:t>(1)</w:t>
            </w: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left="376"/>
              <w:spacing w:after="0"/>
              <w:rPr>
                <w:sz w:val="20"/>
                <w:szCs w:val="20"/>
                <w:color w:val="auto"/>
              </w:rPr>
            </w:pPr>
            <w:r>
              <w:rPr>
                <w:rFonts w:ascii="Arial" w:cs="Arial" w:eastAsia="Arial" w:hAnsi="Arial"/>
                <w:sz w:val="17"/>
                <w:szCs w:val="17"/>
                <w:color w:val="0000FF"/>
                <w:w w:val="84"/>
              </w:rPr>
              <w:t>0</w:t>
            </w: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6"/>
              </w:rPr>
              <w:t>203.553</w:t>
            </w:r>
            <w:r>
              <w:rPr>
                <w:rFonts w:ascii="Arial" w:cs="Arial" w:eastAsia="Arial" w:hAnsi="Arial"/>
                <w:sz w:val="21"/>
                <w:szCs w:val="21"/>
                <w:color w:val="008000"/>
                <w:w w:val="86"/>
                <w:vertAlign w:val="superscript"/>
              </w:rPr>
              <w:t>(2)</w:t>
            </w:r>
          </w:p>
        </w:tc>
        <w:tc>
          <w:tcPr>
            <w:tcW w:w="320" w:type="dxa"/>
            <w:vAlign w:val="bottom"/>
          </w:tcPr>
          <w:p>
            <w:pPr>
              <w:spacing w:after="0"/>
              <w:rPr>
                <w:sz w:val="17"/>
                <w:szCs w:val="17"/>
                <w:color w:val="auto"/>
              </w:rPr>
            </w:pPr>
          </w:p>
        </w:tc>
        <w:tc>
          <w:tcPr>
            <w:tcW w:w="540" w:type="dxa"/>
            <w:vAlign w:val="bottom"/>
            <w:vMerge w:val="restart"/>
          </w:tcPr>
          <w:p>
            <w:pPr>
              <w:jc w:val="center"/>
              <w:ind w:right="292"/>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80"/>
              <w:spacing w:after="0"/>
              <w:rPr>
                <w:sz w:val="20"/>
                <w:szCs w:val="20"/>
                <w:color w:val="auto"/>
              </w:rPr>
            </w:pPr>
            <w:r>
              <w:rPr>
                <w:rFonts w:ascii="Arial" w:cs="Arial" w:eastAsia="Arial" w:hAnsi="Arial"/>
                <w:sz w:val="17"/>
                <w:szCs w:val="17"/>
                <w:color w:val="0000FF"/>
              </w:rPr>
              <w:t>Retirement</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6"/>
              </w:rPr>
              <w:t>37,106.272</w:t>
            </w:r>
            <w:r>
              <w:rPr>
                <w:rFonts w:ascii="Arial" w:cs="Arial" w:eastAsia="Arial" w:hAnsi="Arial"/>
                <w:sz w:val="21"/>
                <w:szCs w:val="21"/>
                <w:color w:val="008000"/>
                <w:w w:val="86"/>
                <w:vertAlign w:val="superscript"/>
              </w:rPr>
              <w:t>(3)</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of (D) (Instr.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w w:val="97"/>
              </w:rPr>
              <w:t>(Instr. 4)</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78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58.53</w:t>
            </w:r>
          </w:p>
        </w:tc>
        <w:tc>
          <w:tcPr>
            <w:tcW w:w="1040" w:type="dxa"/>
            <w:vAlign w:val="bottom"/>
          </w:tcPr>
          <w:p>
            <w:pPr>
              <w:jc w:val="right"/>
              <w:ind w:right="140"/>
              <w:spacing w:after="0"/>
              <w:rPr>
                <w:sz w:val="20"/>
                <w:szCs w:val="20"/>
                <w:color w:val="auto"/>
              </w:rPr>
            </w:pPr>
            <w:r>
              <w:rPr>
                <w:rFonts w:ascii="Arial" w:cs="Arial" w:eastAsia="Arial" w:hAnsi="Arial"/>
                <w:sz w:val="13"/>
                <w:szCs w:val="13"/>
                <w:color w:val="0000FF"/>
              </w:rPr>
              <w:t>03/16/2023</w:t>
            </w:r>
          </w:p>
        </w:tc>
        <w:tc>
          <w:tcPr>
            <w:tcW w:w="1140" w:type="dxa"/>
            <w:vAlign w:val="bottom"/>
          </w:tcPr>
          <w:p>
            <w:pPr>
              <w:spacing w:after="0"/>
              <w:rPr>
                <w:sz w:val="16"/>
                <w:szCs w:val="16"/>
                <w:color w:val="auto"/>
              </w:rPr>
            </w:pPr>
          </w:p>
        </w:tc>
        <w:tc>
          <w:tcPr>
            <w:tcW w:w="420" w:type="dxa"/>
            <w:vAlign w:val="bottom"/>
          </w:tcPr>
          <w:p>
            <w:pPr>
              <w:ind w:left="14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6"/>
                <w:szCs w:val="16"/>
                <w:color w:val="auto"/>
              </w:rPr>
            </w:pPr>
          </w:p>
        </w:tc>
        <w:tc>
          <w:tcPr>
            <w:tcW w:w="720" w:type="dxa"/>
            <w:vAlign w:val="bottom"/>
            <w:gridSpan w:val="2"/>
          </w:tcPr>
          <w:p>
            <w:pPr>
              <w:ind w:left="340"/>
              <w:spacing w:after="0"/>
              <w:rPr>
                <w:sz w:val="20"/>
                <w:szCs w:val="20"/>
                <w:color w:val="auto"/>
              </w:rPr>
            </w:pPr>
            <w:r>
              <w:rPr>
                <w:rFonts w:ascii="Arial" w:cs="Arial" w:eastAsia="Arial" w:hAnsi="Arial"/>
                <w:sz w:val="13"/>
                <w:szCs w:val="13"/>
                <w:color w:val="0000FF"/>
                <w:w w:val="90"/>
              </w:rPr>
              <w:t>11,400</w:t>
            </w:r>
          </w:p>
        </w:tc>
        <w:tc>
          <w:tcPr>
            <w:tcW w:w="760" w:type="dxa"/>
            <w:vAlign w:val="bottom"/>
          </w:tcPr>
          <w:p>
            <w:pPr>
              <w:ind w:left="360"/>
              <w:spacing w:after="0"/>
              <w:rPr>
                <w:sz w:val="20"/>
                <w:szCs w:val="20"/>
                <w:color w:val="auto"/>
              </w:rPr>
            </w:pPr>
            <w:r>
              <w:rPr>
                <w:rFonts w:ascii="Arial" w:cs="Arial" w:eastAsia="Arial" w:hAnsi="Arial"/>
                <w:sz w:val="11"/>
                <w:szCs w:val="11"/>
                <w:color w:val="008000"/>
              </w:rPr>
              <w:t>(4)</w:t>
            </w:r>
          </w:p>
        </w:tc>
        <w:tc>
          <w:tcPr>
            <w:tcW w:w="760" w:type="dxa"/>
            <w:vAlign w:val="bottom"/>
          </w:tcPr>
          <w:p>
            <w:pPr>
              <w:ind w:left="120"/>
              <w:spacing w:after="0"/>
              <w:rPr>
                <w:sz w:val="20"/>
                <w:szCs w:val="20"/>
                <w:color w:val="auto"/>
              </w:rPr>
            </w:pPr>
            <w:r>
              <w:rPr>
                <w:rFonts w:ascii="Arial" w:cs="Arial" w:eastAsia="Arial" w:hAnsi="Arial"/>
                <w:sz w:val="13"/>
                <w:szCs w:val="13"/>
                <w:color w:val="0000FF"/>
                <w:w w:val="95"/>
              </w:rPr>
              <w:t>12/07/2028</w:t>
            </w:r>
          </w:p>
        </w:tc>
        <w:tc>
          <w:tcPr>
            <w:tcW w:w="1280" w:type="dxa"/>
            <w:vAlign w:val="bottom"/>
            <w:gridSpan w:val="3"/>
          </w:tcPr>
          <w:p>
            <w:pPr>
              <w:ind w:left="80"/>
              <w:spacing w:after="0" w:line="190" w:lineRule="exact"/>
              <w:rPr>
                <w:sz w:val="20"/>
                <w:szCs w:val="20"/>
                <w:color w:val="auto"/>
              </w:rPr>
            </w:pPr>
            <w:r>
              <w:rPr>
                <w:rFonts w:ascii="Arial" w:cs="Arial" w:eastAsia="Arial" w:hAnsi="Arial"/>
                <w:sz w:val="10"/>
                <w:szCs w:val="10"/>
                <w:color w:val="0000FF"/>
              </w:rPr>
              <w:t xml:space="preserve">Common  </w:t>
            </w:r>
            <w:r>
              <w:rPr>
                <w:rFonts w:ascii="Arial" w:cs="Arial" w:eastAsia="Arial" w:hAnsi="Arial"/>
                <w:sz w:val="21"/>
                <w:szCs w:val="21"/>
                <w:color w:val="0000FF"/>
                <w:vertAlign w:val="subscript"/>
              </w:rPr>
              <w:t>11,400</w:t>
            </w:r>
          </w:p>
        </w:tc>
        <w:tc>
          <w:tcPr>
            <w:tcW w:w="7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480" w:type="dxa"/>
            <w:vAlign w:val="bottom"/>
          </w:tcPr>
          <w:p>
            <w:pPr>
              <w:ind w:left="360"/>
              <w:spacing w:after="0"/>
              <w:rPr>
                <w:sz w:val="20"/>
                <w:szCs w:val="20"/>
                <w:color w:val="auto"/>
              </w:rPr>
            </w:pPr>
            <w:r>
              <w:rPr>
                <w:rFonts w:ascii="Arial" w:cs="Arial" w:eastAsia="Arial" w:hAnsi="Arial"/>
                <w:sz w:val="13"/>
                <w:szCs w:val="13"/>
                <w:color w:val="0000FF"/>
              </w:rPr>
              <w:t>0</w:t>
            </w:r>
          </w:p>
        </w:tc>
        <w:tc>
          <w:tcPr>
            <w:tcW w:w="32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ind w:left="180"/>
              <w:spacing w:after="0" w:line="105" w:lineRule="exact"/>
              <w:rPr>
                <w:sz w:val="20"/>
                <w:szCs w:val="20"/>
                <w:color w:val="auto"/>
              </w:rPr>
            </w:pPr>
            <w:r>
              <w:rPr>
                <w:rFonts w:ascii="Arial" w:cs="Arial" w:eastAsia="Arial" w:hAnsi="Arial"/>
                <w:sz w:val="12"/>
                <w:szCs w:val="12"/>
                <w:color w:val="0000FF"/>
                <w:w w:val="99"/>
              </w:rPr>
              <w:t>Stock</w:t>
            </w: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8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$106.620 to $107.450,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2" w:lineRule="exact"/>
        <w:rPr>
          <w:rFonts w:ascii="Arial" w:cs="Arial" w:eastAsia="Arial" w:hAnsi="Arial"/>
          <w:sz w:val="13"/>
          <w:szCs w:val="13"/>
          <w:color w:val="008000"/>
        </w:rPr>
      </w:pPr>
    </w:p>
    <w:p>
      <w:pPr>
        <w:ind w:left="40" w:right="50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0.587 net shares acquired by the reporting person since the date of his last report under the dividend reinvestment feature of The Toro Company Retirement Plan less non-discretionary quarterly administrative fees.</w:t>
      </w:r>
    </w:p>
    <w:p>
      <w:pPr>
        <w:spacing w:after="0" w:line="25" w:lineRule="exact"/>
        <w:rPr>
          <w:rFonts w:ascii="Arial" w:cs="Arial" w:eastAsia="Arial" w:hAnsi="Arial"/>
          <w:sz w:val="13"/>
          <w:szCs w:val="13"/>
          <w:color w:val="008000"/>
        </w:rPr>
      </w:pPr>
    </w:p>
    <w:p>
      <w:pPr>
        <w:ind w:left="40" w:right="46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107.895 performance share units acquired by the reporting person since the date of his last report under the dividend reinvestment feature of The Toro Company Deferred Compensation Plan for Officers.</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in three equal annual installments commencing on the first anniversary of the December 7, 2018 grant date.</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Amy E. Dahl,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03/20/2023</w:t>
            </w:r>
          </w:p>
        </w:tc>
        <w:tc>
          <w:tcPr>
            <w:tcW w:w="0" w:type="dxa"/>
            <w:vAlign w:val="bottom"/>
          </w:tcPr>
          <w:p>
            <w:pPr>
              <w:spacing w:after="0"/>
              <w:rPr>
                <w:sz w:val="1"/>
                <w:szCs w:val="1"/>
                <w:color w:val="auto"/>
              </w:rPr>
            </w:pPr>
          </w:p>
        </w:tc>
      </w:tr>
      <w:tr>
        <w:trPr>
          <w:trHeight w:val="88"/>
        </w:trPr>
        <w:tc>
          <w:tcPr>
            <w:tcW w:w="20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Arial" w:cs="Arial" w:eastAsia="Arial" w:hAnsi="Arial"/>
                <w:sz w:val="17"/>
                <w:szCs w:val="17"/>
                <w:color w:val="0000FF"/>
              </w:rPr>
              <w:t>Fact</w:t>
            </w: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5088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2023-03-20T15:26:26Z</dcterms:created>
  <dcterms:modified xsi:type="dcterms:W3CDTF">2023-03-20T15:26:26Z</dcterms:modified>
</cp:coreProperties>
</file>