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800"/>
          </w:cols>
          <w:pgMar w:left="240" w:top="220"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Larson Thomas J</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u w:val="single" w:color="auto"/>
            <w:color w:val="0000EE"/>
          </w:rPr>
          <w:t>TORO CO</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TTC</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30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03/30/2011</w:t>
      </w:r>
    </w:p>
    <w:p>
      <w:pPr>
        <w:spacing w:after="0" w:line="20" w:lineRule="exact"/>
        <w:rPr>
          <w:sz w:val="24"/>
          <w:szCs w:val="24"/>
          <w:color w:val="auto"/>
        </w:rPr>
      </w:pPr>
      <w:r>
        <w:rPr>
          <w:sz w:val="24"/>
          <w:szCs w:val="24"/>
          <w:color w:val="auto"/>
        </w:rPr>
        <w:br w:type="column"/>
      </w:r>
    </w:p>
    <w:p>
      <w:pPr>
        <w:ind w:left="3" w:right="5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 w:lineRule="exact"/>
        <w:rPr>
          <w:sz w:val="24"/>
          <w:szCs w:val="24"/>
          <w:color w:val="auto"/>
        </w:rPr>
      </w:pPr>
    </w:p>
    <w:tbl>
      <w:tblPr>
        <w:tblLayout w:type="fixed"/>
        <w:tblInd w:w="20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71"/>
        </w:trPr>
        <w:tc>
          <w:tcPr>
            <w:tcW w:w="240" w:type="dxa"/>
            <w:vAlign w:val="bottom"/>
            <w:vMerge w:val="restart"/>
          </w:tcPr>
          <w:p>
            <w:pPr>
              <w:spacing w:after="0"/>
              <w:rPr>
                <w:sz w:val="20"/>
                <w:szCs w:val="20"/>
                <w:color w:val="auto"/>
              </w:rPr>
            </w:pPr>
            <w:r>
              <w:rPr>
                <w:rFonts w:ascii="Times New Roman" w:cs="Times New Roman" w:eastAsia="Times New Roman" w:hAnsi="Times New Roman"/>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23"/>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8"/>
        </w:trPr>
        <w:tc>
          <w:tcPr>
            <w:tcW w:w="240" w:type="dxa"/>
            <w:vAlign w:val="bottom"/>
          </w:tcPr>
          <w:p>
            <w:pPr>
              <w:spacing w:after="0"/>
              <w:rPr>
                <w:sz w:val="5"/>
                <w:szCs w:val="5"/>
                <w:color w:val="auto"/>
              </w:rPr>
            </w:pPr>
          </w:p>
        </w:tc>
        <w:tc>
          <w:tcPr>
            <w:tcW w:w="1400" w:type="dxa"/>
            <w:vAlign w:val="bottom"/>
            <w:vMerge w:val="continue"/>
          </w:tcPr>
          <w:p>
            <w:pPr>
              <w:spacing w:after="0"/>
              <w:rPr>
                <w:sz w:val="5"/>
                <w:szCs w:val="5"/>
                <w:color w:val="auto"/>
              </w:rPr>
            </w:pPr>
          </w:p>
        </w:tc>
        <w:tc>
          <w:tcPr>
            <w:tcW w:w="11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1163"/>
        <w:spacing w:after="0"/>
        <w:rPr>
          <w:sz w:val="20"/>
          <w:szCs w:val="20"/>
          <w:color w:val="auto"/>
        </w:rPr>
      </w:pPr>
      <w:r>
        <w:rPr>
          <w:rFonts w:ascii="Times New Roman" w:cs="Times New Roman" w:eastAsia="Times New Roman" w:hAnsi="Times New Roman"/>
          <w:sz w:val="18"/>
          <w:szCs w:val="18"/>
          <w:color w:val="0000FF"/>
        </w:rPr>
        <w:t>VP, Treasurer</w:t>
      </w:r>
    </w:p>
    <w:p>
      <w:pPr>
        <w:spacing w:after="0" w:line="317" w:lineRule="exact"/>
        <w:rPr>
          <w:sz w:val="24"/>
          <w:szCs w:val="24"/>
          <w:color w:val="auto"/>
        </w:rPr>
      </w:pPr>
    </w:p>
    <w:p>
      <w:pPr>
        <w:sectPr>
          <w:pgSz w:w="11900" w:h="16838" w:orient="portrait"/>
          <w:cols w:equalWidth="0" w:num="3">
            <w:col w:w="3360" w:space="720"/>
            <w:col w:w="3257" w:space="720"/>
            <w:col w:w="3363"/>
          </w:cols>
          <w:pgMar w:left="240" w:top="220" w:right="239" w:bottom="1440" w:gutter="0" w:footer="0" w:header="0"/>
          <w:type w:val="continuous"/>
        </w:sectPr>
      </w:pPr>
    </w:p>
    <w:p>
      <w:pPr>
        <w:spacing w:after="0" w:line="162"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88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2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BLOOMINGTON MN</w:t>
            </w:r>
          </w:p>
        </w:tc>
        <w:tc>
          <w:tcPr>
            <w:tcW w:w="1680" w:type="dxa"/>
            <w:vAlign w:val="bottom"/>
          </w:tcPr>
          <w:p>
            <w:pPr>
              <w:jc w:val="right"/>
              <w:ind w:right="282"/>
              <w:spacing w:after="0"/>
              <w:rPr>
                <w:sz w:val="20"/>
                <w:szCs w:val="20"/>
                <w:color w:val="auto"/>
              </w:rPr>
            </w:pPr>
            <w:r>
              <w:rPr>
                <w:rFonts w:ascii="Times New Roman" w:cs="Times New Roman" w:eastAsia="Times New Roman" w:hAnsi="Times New Roman"/>
                <w:sz w:val="18"/>
                <w:szCs w:val="18"/>
                <w:color w:val="0000FF"/>
              </w:rPr>
              <w:t>55420-1196</w:t>
            </w:r>
          </w:p>
        </w:tc>
      </w:tr>
      <w:tr>
        <w:trPr>
          <w:trHeight w:val="158"/>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4"/>
                <w:szCs w:val="14"/>
                <w:color w:val="auto"/>
              </w:rPr>
              <w:t>(City)</w:t>
            </w:r>
          </w:p>
        </w:tc>
        <w:tc>
          <w:tcPr>
            <w:tcW w:w="1280" w:type="dxa"/>
            <w:vAlign w:val="bottom"/>
          </w:tcPr>
          <w:p>
            <w:pPr>
              <w:ind w:left="440"/>
              <w:spacing w:after="0"/>
              <w:rPr>
                <w:sz w:val="20"/>
                <w:szCs w:val="20"/>
                <w:color w:val="auto"/>
              </w:rPr>
            </w:pPr>
            <w:r>
              <w:rPr>
                <w:rFonts w:ascii="Arial" w:cs="Arial" w:eastAsia="Arial" w:hAnsi="Arial"/>
                <w:sz w:val="14"/>
                <w:szCs w:val="14"/>
                <w:color w:val="auto"/>
              </w:rPr>
              <w:t>(State)</w:t>
            </w:r>
          </w:p>
        </w:tc>
        <w:tc>
          <w:tcPr>
            <w:tcW w:w="1680" w:type="dxa"/>
            <w:vAlign w:val="bottom"/>
          </w:tcPr>
          <w:p>
            <w:pPr>
              <w:jc w:val="right"/>
              <w:ind w:right="902"/>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305" w:lineRule="exact"/>
        <w:rPr>
          <w:sz w:val="24"/>
          <w:szCs w:val="24"/>
          <w:color w:val="auto"/>
        </w:rPr>
      </w:pPr>
    </w:p>
    <w:p>
      <w:pPr>
        <w:sectPr>
          <w:pgSz w:w="11900" w:h="16838" w:orient="portrait"/>
          <w:cols w:equalWidth="0" w:num="2">
            <w:col w:w="3920" w:space="160"/>
            <w:col w:w="7340"/>
          </w:cols>
          <w:pgMar w:left="240" w:top="220"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0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ind w:left="74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 Direct</w:t>
            </w:r>
          </w:p>
        </w:tc>
        <w:tc>
          <w:tcPr>
            <w:tcW w:w="9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ind w:left="74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54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9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 or</w:t>
            </w:r>
          </w:p>
        </w:tc>
        <w:tc>
          <w:tcPr>
            <w:tcW w:w="64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9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54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vMerge w:val="continue"/>
          </w:tcPr>
          <w:p>
            <w:pPr>
              <w:spacing w:after="0"/>
              <w:rPr>
                <w:sz w:val="11"/>
                <w:szCs w:val="11"/>
                <w:color w:val="auto"/>
              </w:rPr>
            </w:pPr>
          </w:p>
        </w:tc>
        <w:tc>
          <w:tcPr>
            <w:tcW w:w="640" w:type="dxa"/>
            <w:vAlign w:val="bottom"/>
            <w:vMerge w:val="restart"/>
          </w:tcPr>
          <w:p>
            <w:pPr>
              <w:jc w:val="right"/>
              <w:ind w:right="186"/>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54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9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54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5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800" w:type="dxa"/>
            <w:vAlign w:val="bottom"/>
            <w:tcBorders>
              <w:bottom w:val="single" w:sz="8" w:color="2C2C2C"/>
            </w:tcBorders>
          </w:tcPr>
          <w:p>
            <w:pPr>
              <w:jc w:val="right"/>
              <w:ind w:right="92"/>
              <w:spacing w:after="0"/>
              <w:rPr>
                <w:sz w:val="20"/>
                <w:szCs w:val="20"/>
                <w:color w:val="auto"/>
              </w:rPr>
            </w:pPr>
            <w:r>
              <w:rPr>
                <w:rFonts w:ascii="Times New Roman" w:cs="Times New Roman" w:eastAsia="Times New Roman" w:hAnsi="Times New Roman"/>
                <w:sz w:val="18"/>
                <w:szCs w:val="18"/>
                <w:color w:val="0000FF"/>
              </w:rPr>
              <w:t>03/30/2011</w:t>
            </w:r>
          </w:p>
        </w:tc>
        <w:tc>
          <w:tcPr>
            <w:tcW w:w="114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4"/>
                <w:szCs w:val="14"/>
                <w:color w:val="0000FF"/>
              </w:rPr>
              <w:t>A</w:t>
            </w: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8"/>
                <w:szCs w:val="18"/>
                <w:color w:val="0000FF"/>
              </w:rPr>
              <w:t>2,000</w:t>
            </w:r>
            <w:r>
              <w:rPr>
                <w:rFonts w:ascii="Times New Roman" w:cs="Times New Roman" w:eastAsia="Times New Roman" w:hAnsi="Times New Roman"/>
                <w:sz w:val="22"/>
                <w:szCs w:val="22"/>
                <w:color w:val="008000"/>
                <w:vertAlign w:val="superscript"/>
              </w:rPr>
              <w:t>(1)</w:t>
            </w:r>
          </w:p>
        </w:tc>
        <w:tc>
          <w:tcPr>
            <w:tcW w:w="5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8"/>
                <w:szCs w:val="18"/>
                <w:color w:val="0000FF"/>
              </w:rPr>
              <w:t>A</w:t>
            </w:r>
          </w:p>
        </w:tc>
        <w:tc>
          <w:tcPr>
            <w:tcW w:w="640" w:type="dxa"/>
            <w:vAlign w:val="bottom"/>
            <w:tcBorders>
              <w:bottom w:val="single" w:sz="8" w:color="2C2C2C"/>
            </w:tcBorders>
          </w:tcPr>
          <w:p>
            <w:pPr>
              <w:jc w:val="right"/>
              <w:ind w:right="146"/>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p>
        </w:tc>
        <w:tc>
          <w:tcPr>
            <w:tcW w:w="11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8"/>
                <w:szCs w:val="18"/>
                <w:color w:val="0000FF"/>
              </w:rPr>
              <w:t>3,676.583</w:t>
            </w:r>
            <w:r>
              <w:rPr>
                <w:rFonts w:ascii="Times New Roman" w:cs="Times New Roman" w:eastAsia="Times New Roman" w:hAnsi="Times New Roman"/>
                <w:sz w:val="22"/>
                <w:szCs w:val="22"/>
                <w:color w:val="008000"/>
                <w:vertAlign w:val="superscript"/>
              </w:rPr>
              <w:t>(2)</w:t>
            </w:r>
          </w:p>
        </w:tc>
        <w:tc>
          <w:tcPr>
            <w:tcW w:w="960" w:type="dxa"/>
            <w:vAlign w:val="bottom"/>
            <w:tcBorders>
              <w:bottom w:val="single" w:sz="8" w:color="2C2C2C"/>
            </w:tcBorders>
          </w:tcPr>
          <w:p>
            <w:pPr>
              <w:ind w:left="440"/>
              <w:spacing w:after="0"/>
              <w:rPr>
                <w:sz w:val="20"/>
                <w:szCs w:val="20"/>
                <w:color w:val="auto"/>
              </w:rPr>
            </w:pPr>
            <w:r>
              <w:rPr>
                <w:rFonts w:ascii="Times New Roman" w:cs="Times New Roman" w:eastAsia="Times New Roman" w:hAnsi="Times New Roman"/>
                <w:sz w:val="18"/>
                <w:szCs w:val="18"/>
                <w:color w:val="0000FF"/>
              </w:rPr>
              <w:t>D</w:t>
            </w:r>
          </w:p>
        </w:tc>
        <w:tc>
          <w:tcPr>
            <w:tcW w:w="9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54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The Toro</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Company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ind w:left="60"/>
              <w:spacing w:after="0"/>
              <w:rPr>
                <w:sz w:val="20"/>
                <w:szCs w:val="20"/>
                <w:color w:val="auto"/>
              </w:rPr>
            </w:pPr>
            <w:r>
              <w:rPr>
                <w:rFonts w:ascii="Times New Roman" w:cs="Times New Roman" w:eastAsia="Times New Roman" w:hAnsi="Times New Roman"/>
                <w:sz w:val="18"/>
                <w:szCs w:val="18"/>
                <w:color w:val="0000FF"/>
              </w:rPr>
              <w:t>Common Stock</w:t>
            </w: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ind w:left="180"/>
              <w:spacing w:after="0" w:line="216" w:lineRule="exact"/>
              <w:rPr>
                <w:sz w:val="20"/>
                <w:szCs w:val="20"/>
                <w:color w:val="auto"/>
              </w:rPr>
            </w:pPr>
            <w:r>
              <w:rPr>
                <w:rFonts w:ascii="Times New Roman" w:cs="Times New Roman" w:eastAsia="Times New Roman" w:hAnsi="Times New Roman"/>
                <w:sz w:val="18"/>
                <w:szCs w:val="18"/>
                <w:color w:val="0000FF"/>
              </w:rPr>
              <w:t>1,580.016</w:t>
            </w:r>
            <w:r>
              <w:rPr>
                <w:rFonts w:ascii="Times New Roman" w:cs="Times New Roman" w:eastAsia="Times New Roman" w:hAnsi="Times New Roman"/>
                <w:sz w:val="22"/>
                <w:szCs w:val="22"/>
                <w:color w:val="008000"/>
                <w:vertAlign w:val="superscript"/>
              </w:rPr>
              <w:t>(3)</w:t>
            </w:r>
          </w:p>
        </w:tc>
        <w:tc>
          <w:tcPr>
            <w:tcW w:w="960" w:type="dxa"/>
            <w:vAlign w:val="bottom"/>
          </w:tcPr>
          <w:p>
            <w:pPr>
              <w:ind w:left="460"/>
              <w:spacing w:after="0"/>
              <w:rPr>
                <w:sz w:val="20"/>
                <w:szCs w:val="20"/>
                <w:color w:val="auto"/>
              </w:rPr>
            </w:pPr>
            <w:r>
              <w:rPr>
                <w:rFonts w:ascii="Times New Roman" w:cs="Times New Roman" w:eastAsia="Times New Roman" w:hAnsi="Times New Roman"/>
                <w:sz w:val="18"/>
                <w:szCs w:val="18"/>
                <w:color w:val="0000FF"/>
              </w:rPr>
              <w:t>I</w:t>
            </w:r>
          </w:p>
        </w:tc>
        <w:tc>
          <w:tcPr>
            <w:tcW w:w="98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Investment,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Savings &amp;</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980" w:type="dxa"/>
            <w:vAlign w:val="bottom"/>
          </w:tcPr>
          <w:p>
            <w:pPr>
              <w:ind w:left="80"/>
              <w:spacing w:after="0"/>
              <w:rPr>
                <w:sz w:val="20"/>
                <w:szCs w:val="20"/>
                <w:color w:val="auto"/>
              </w:rPr>
            </w:pPr>
            <w:r>
              <w:rPr>
                <w:rFonts w:ascii="Times New Roman" w:cs="Times New Roman" w:eastAsia="Times New Roman" w:hAnsi="Times New Roman"/>
                <w:sz w:val="18"/>
                <w:szCs w:val="18"/>
                <w:color w:val="0000FF"/>
              </w:rPr>
              <w:t>ESOP</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540" w:type="dxa"/>
            <w:vAlign w:val="bottom"/>
            <w:tcBorders>
              <w:top w:val="single" w:sz="8" w:color="808080"/>
            </w:tcBorders>
            <w:shd w:val="clear" w:color="auto" w:fill="2C2C2C"/>
          </w:tcPr>
          <w:p>
            <w:pPr>
              <w:spacing w:after="0" w:line="20" w:lineRule="exact"/>
              <w:rPr>
                <w:sz w:val="1"/>
                <w:szCs w:val="1"/>
                <w:color w:val="auto"/>
              </w:rPr>
            </w:pPr>
          </w:p>
        </w:tc>
        <w:tc>
          <w:tcPr>
            <w:tcW w:w="180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7"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6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4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6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40" w:type="dxa"/>
            <w:vAlign w:val="bottom"/>
            <w:vMerge w:val="continue"/>
          </w:tcPr>
          <w:p>
            <w:pPr>
              <w:spacing w:after="0"/>
              <w:rPr>
                <w:sz w:val="14"/>
                <w:szCs w:val="14"/>
                <w:color w:val="auto"/>
              </w:rPr>
            </w:pPr>
          </w:p>
        </w:tc>
        <w:tc>
          <w:tcPr>
            <w:tcW w:w="46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vMerge w:val="continue"/>
          </w:tcPr>
          <w:p>
            <w:pPr>
              <w:spacing w:after="0"/>
              <w:rPr>
                <w:sz w:val="14"/>
                <w:szCs w:val="14"/>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This is an award of restricted stock that vests and becomes non-forfeitable in full on March 30, 2014, which is the third anniversary of the date of grant.</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Includes 2.283 shares of common stock acquired by the reporting person under The Toro Company Dividend Reinvestment Plan since the date of his last report.</w:t>
      </w:r>
    </w:p>
    <w:p>
      <w:pPr>
        <w:spacing w:after="0" w:line="41" w:lineRule="exact"/>
        <w:rPr>
          <w:rFonts w:ascii="Times New Roman" w:cs="Times New Roman" w:eastAsia="Times New Roman" w:hAnsi="Times New Roman"/>
          <w:sz w:val="14"/>
          <w:szCs w:val="14"/>
          <w:color w:val="008000"/>
        </w:rPr>
      </w:pPr>
    </w:p>
    <w:p>
      <w:pPr>
        <w:ind w:left="40" w:right="540" w:firstLine="9"/>
        <w:spacing w:after="0" w:line="241" w:lineRule="auto"/>
        <w:tabs>
          <w:tab w:leader="none" w:pos="175"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Includes the following shares of common stock acquired by the reporting person since the date of his last report: 4.882 shares acquired under the dividend reinvestment feature of The Toro Company Investment, Savings &amp; ESOP (IS&amp;ESOP); and 58.142 shares acquired through issuer annual investment fund contributions to the IS&amp;ESOP.</w:t>
      </w:r>
    </w:p>
    <w:p>
      <w:pPr>
        <w:spacing w:after="0" w:line="36"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0000FF"/>
                <w:w w:val="97"/>
              </w:rPr>
              <w:t>/s/ Nancy A. McGrath,</w:t>
            </w:r>
          </w:p>
        </w:tc>
        <w:tc>
          <w:tcPr>
            <w:tcW w:w="500" w:type="dxa"/>
            <w:vAlign w:val="bottom"/>
          </w:tcPr>
          <w:p>
            <w:pPr>
              <w:spacing w:after="0"/>
              <w:rPr>
                <w:sz w:val="18"/>
                <w:szCs w:val="18"/>
                <w:color w:val="auto"/>
              </w:rPr>
            </w:pPr>
          </w:p>
        </w:tc>
        <w:tc>
          <w:tcPr>
            <w:tcW w:w="960" w:type="dxa"/>
            <w:vAlign w:val="bottom"/>
            <w:gridSpan w:val="2"/>
            <w:vMerge w:val="restart"/>
          </w:tcPr>
          <w:p>
            <w:pPr>
              <w:ind w:left="180"/>
              <w:spacing w:after="0"/>
              <w:rPr>
                <w:sz w:val="20"/>
                <w:szCs w:val="20"/>
                <w:color w:val="auto"/>
              </w:rPr>
            </w:pPr>
            <w:r>
              <w:rPr>
                <w:rFonts w:ascii="Times New Roman" w:cs="Times New Roman" w:eastAsia="Times New Roman" w:hAnsi="Times New Roman"/>
                <w:sz w:val="18"/>
                <w:szCs w:val="18"/>
                <w:color w:val="0000FF"/>
                <w:w w:val="92"/>
              </w:rPr>
              <w:t>03/31/2011</w:t>
            </w:r>
          </w:p>
        </w:tc>
        <w:tc>
          <w:tcPr>
            <w:tcW w:w="0" w:type="dxa"/>
            <w:vAlign w:val="bottom"/>
          </w:tcPr>
          <w:p>
            <w:pPr>
              <w:spacing w:after="0"/>
              <w:rPr>
                <w:sz w:val="1"/>
                <w:szCs w:val="1"/>
                <w:color w:val="auto"/>
              </w:rPr>
            </w:pPr>
          </w:p>
        </w:tc>
      </w:tr>
      <w:tr>
        <w:trPr>
          <w:trHeight w:val="88"/>
        </w:trPr>
        <w:tc>
          <w:tcPr>
            <w:tcW w:w="2120" w:type="dxa"/>
            <w:vAlign w:val="bottom"/>
            <w:gridSpan w:val="3"/>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Attorney-in-Fact</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20" w:type="dxa"/>
            <w:vAlign w:val="bottom"/>
            <w:gridSpan w:val="3"/>
            <w:vMerge w:val="continue"/>
          </w:tcPr>
          <w:p>
            <w:pPr>
              <w:spacing w:after="0"/>
              <w:rPr>
                <w:sz w:val="7"/>
                <w:szCs w:val="7"/>
                <w:color w:val="auto"/>
              </w:rPr>
            </w:pPr>
          </w:p>
        </w:tc>
        <w:tc>
          <w:tcPr>
            <w:tcW w:w="18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8"/>
        </w:trPr>
        <w:tc>
          <w:tcPr>
            <w:tcW w:w="212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0"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Exhibit 24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LIMITED POWER OF ATTORNEY</w:t>
      </w:r>
    </w:p>
    <w:p>
      <w:pPr>
        <w:spacing w:after="0" w:line="201" w:lineRule="exact"/>
        <w:rPr>
          <w:sz w:val="20"/>
          <w:szCs w:val="20"/>
          <w:color w:val="auto"/>
        </w:rPr>
      </w:pPr>
    </w:p>
    <w:p>
      <w:pPr>
        <w:ind w:right="3039"/>
        <w:spacing w:after="0" w:line="260" w:lineRule="auto"/>
        <w:rPr>
          <w:sz w:val="20"/>
          <w:szCs w:val="20"/>
          <w:color w:val="auto"/>
        </w:rPr>
      </w:pPr>
      <w:r>
        <w:rPr>
          <w:rFonts w:ascii="Courier New" w:cs="Courier New" w:eastAsia="Courier New" w:hAnsi="Courier New"/>
          <w:sz w:val="18"/>
          <w:szCs w:val="18"/>
          <w:color w:val="auto"/>
        </w:rPr>
        <w:t>Know all by these presents, that the undersigned hereby constitutes and appoints each of Amy E. Dahl, Timothy P. Dordell and Nancy A. McGrath, signing singly, true and lawful attorneys-in-fact relative to the filings identified below in connection with the undersigned's derivative and non-derivative securities of The Toro Company (the ?Company?) to:</w:t>
      </w:r>
    </w:p>
    <w:p>
      <w:pPr>
        <w:spacing w:after="0" w:line="93" w:lineRule="exact"/>
        <w:rPr>
          <w:sz w:val="20"/>
          <w:szCs w:val="20"/>
          <w:color w:val="auto"/>
        </w:rPr>
      </w:pPr>
    </w:p>
    <w:p>
      <w:pPr>
        <w:ind w:right="3039" w:firstLine="8"/>
        <w:spacing w:after="0" w:line="265"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for and on behalf of the undersigned, in the undersigned?s capacity as an officer of the Company, Forms 3, 4 and 5 in accordance with Section 16(a) of the Securities Exchange Act of 1934, as amended, and the rules and regulations thereunder (the ?Exchange Act?);</w:t>
      </w:r>
    </w:p>
    <w:p>
      <w:pPr>
        <w:spacing w:after="0" w:line="89" w:lineRule="exact"/>
        <w:rPr>
          <w:rFonts w:ascii="Courier New" w:cs="Courier New" w:eastAsia="Courier New" w:hAnsi="Courier New"/>
          <w:sz w:val="18"/>
          <w:szCs w:val="18"/>
          <w:color w:val="auto"/>
        </w:rPr>
      </w:pPr>
    </w:p>
    <w:p>
      <w:pPr>
        <w:ind w:right="3359" w:firstLine="8"/>
        <w:spacing w:after="0" w:line="265"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Prepare and execute for and on behalf of the undersigned, in the undersigned?s capacity as an officer of the Company, any Form 144 in accordance with Rule 144 under the Securities Act of 1933, as amended, and the rules and regulations thereunder (the ?Securities Act?);</w:t>
      </w:r>
    </w:p>
    <w:p>
      <w:pPr>
        <w:spacing w:after="0" w:line="89" w:lineRule="exact"/>
        <w:rPr>
          <w:rFonts w:ascii="Courier New" w:cs="Courier New" w:eastAsia="Courier New" w:hAnsi="Courier New"/>
          <w:sz w:val="18"/>
          <w:szCs w:val="18"/>
          <w:color w:val="auto"/>
        </w:rPr>
      </w:pPr>
    </w:p>
    <w:p>
      <w:pPr>
        <w:ind w:right="3039" w:firstLine="8"/>
        <w:spacing w:after="0" w:line="265"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89" w:lineRule="exact"/>
        <w:rPr>
          <w:rFonts w:ascii="Courier New" w:cs="Courier New" w:eastAsia="Courier New" w:hAnsi="Courier New"/>
          <w:sz w:val="18"/>
          <w:szCs w:val="18"/>
          <w:color w:val="auto"/>
        </w:rPr>
      </w:pPr>
    </w:p>
    <w:p>
      <w:pPr>
        <w:ind w:right="3039" w:firstLine="8"/>
        <w:spacing w:after="0" w:line="253" w:lineRule="auto"/>
        <w:tabs>
          <w:tab w:leader="none" w:pos="843"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104" w:lineRule="exact"/>
        <w:rPr>
          <w:sz w:val="20"/>
          <w:szCs w:val="20"/>
          <w:color w:val="auto"/>
        </w:rPr>
      </w:pPr>
    </w:p>
    <w:p>
      <w:pPr>
        <w:ind w:right="2939"/>
        <w:spacing w:after="0" w:line="279" w:lineRule="auto"/>
        <w:rPr>
          <w:sz w:val="20"/>
          <w:szCs w:val="20"/>
          <w:color w:val="auto"/>
        </w:rPr>
      </w:pPr>
      <w:r>
        <w:rPr>
          <w:rFonts w:ascii="Courier New" w:cs="Courier New" w:eastAsia="Courier New" w:hAnsi="Courier New"/>
          <w:sz w:val="16"/>
          <w:szCs w:val="16"/>
          <w:color w:val="auto"/>
        </w:rPr>
        <w:t>The undersigned hereby grants to each such attorney-in-fact full power and authority to do and perform all and every act and thing whatsoever requisite, necessary, or proper to be done in the exercise of any of the rights and powers herein granted, as fully to all intents and purposes as such attorney-in-fact might or could do if personally present, with full power of substitution or revocation, hereby ratifying and confirming all that each such attorney-in-fact, or any substitute or substitutes, shall lawfully do or cause to be done by virtue of this Limited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the Securities Act and Exchange Act, including Section 16 of the Exchange Act and Rule 144 under the Securities Act.</w:t>
      </w:r>
    </w:p>
    <w:p>
      <w:pPr>
        <w:spacing w:after="0" w:line="291" w:lineRule="exact"/>
        <w:rPr>
          <w:sz w:val="20"/>
          <w:szCs w:val="20"/>
          <w:color w:val="auto"/>
        </w:rPr>
      </w:pPr>
    </w:p>
    <w:p>
      <w:pPr>
        <w:ind w:right="3039"/>
        <w:spacing w:after="0" w:line="306" w:lineRule="auto"/>
        <w:rPr>
          <w:sz w:val="20"/>
          <w:szCs w:val="20"/>
          <w:color w:val="auto"/>
        </w:rPr>
      </w:pPr>
      <w:r>
        <w:rPr>
          <w:rFonts w:ascii="Courier New" w:cs="Courier New" w:eastAsia="Courier New" w:hAnsi="Courier New"/>
          <w:sz w:val="16"/>
          <w:szCs w:val="16"/>
          <w:color w:val="auto"/>
        </w:rPr>
        <w:t>IN WITNESS WHEREOF, the undersigned has caused this Limited Power of Attorney to be executed effective as of the date indicated below, and said Power of Attorney shall remain in effect until revoked by the undersigned in writing, or at such time as the undersigned is no longer an officer of the Company, whichever first occurs.</w:t>
      </w:r>
    </w:p>
    <w:p>
      <w:pPr>
        <w:sectPr>
          <w:pgSz w:w="11900" w:h="16838" w:orient="portrait"/>
          <w:cols w:equalWidth="0" w:num="1">
            <w:col w:w="10219"/>
          </w:cols>
          <w:pgMar w:left="240" w:top="110" w:right="1440" w:bottom="1440" w:gutter="0" w:footer="0" w:header="0"/>
        </w:sectPr>
      </w:pPr>
    </w:p>
    <w:p>
      <w:pPr>
        <w:spacing w:after="0" w:line="26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Signed:</w:t>
      </w:r>
    </w:p>
    <w:p>
      <w:pPr>
        <w:spacing w:after="0" w:line="20" w:lineRule="exact"/>
        <w:rPr>
          <w:sz w:val="20"/>
          <w:szCs w:val="20"/>
          <w:color w:val="auto"/>
        </w:rPr>
      </w:pPr>
      <w:r>
        <w:rPr>
          <w:sz w:val="20"/>
          <w:szCs w:val="20"/>
          <w:color w:val="auto"/>
        </w:rPr>
        <w:br w:type="column"/>
      </w:r>
    </w:p>
    <w:p>
      <w:pPr>
        <w:spacing w:after="0" w:line="24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Thomas J. Larson</w:t>
      </w:r>
    </w:p>
    <w:p>
      <w:pPr>
        <w:spacing w:after="0" w:line="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Thomas J. Larson</w:t>
      </w:r>
    </w:p>
    <w:p>
      <w:pPr>
        <w:spacing w:after="0" w:line="169" w:lineRule="exact"/>
        <w:rPr>
          <w:sz w:val="20"/>
          <w:szCs w:val="20"/>
          <w:color w:val="auto"/>
        </w:rPr>
      </w:pPr>
    </w:p>
    <w:p>
      <w:pPr>
        <w:sectPr>
          <w:pgSz w:w="11900" w:h="16838" w:orient="portrait"/>
          <w:cols w:equalWidth="0" w:num="2">
            <w:col w:w="980" w:space="720"/>
            <w:col w:w="8519"/>
          </w:cols>
          <w:pgMar w:left="240" w:top="110"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03/30/2011</w:t>
      </w:r>
    </w:p>
    <w:sectPr>
      <w:pgSz w:w="11900" w:h="16838" w:orient="portrait"/>
      <w:cols w:equalWidth="0" w:num="2">
        <w:col w:w="640" w:space="220"/>
        <w:col w:w="9359"/>
      </w:cols>
      <w:pgMar w:left="24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50810"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2019-12-17T00:47:22Z</dcterms:created>
  <dcterms:modified xsi:type="dcterms:W3CDTF">2019-12-17T00:47:22Z</dcterms:modified>
</cp:coreProperties>
</file>