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60"/>
              <w:spacing w:after="0"/>
              <w:rPr>
                <w:rFonts w:ascii="Arial" w:cs="Arial" w:eastAsia="Arial" w:hAnsi="Arial"/>
                <w:sz w:val="22"/>
                <w:szCs w:val="22"/>
                <w:color w:val="0000EE"/>
                <w:w w:val="95"/>
              </w:rPr>
            </w:pPr>
            <w:hyperlink r:id="rId11">
              <w:r>
                <w:rPr>
                  <w:rFonts w:ascii="Arial" w:cs="Arial" w:eastAsia="Arial" w:hAnsi="Arial"/>
                  <w:sz w:val="22"/>
                  <w:szCs w:val="22"/>
                  <w:color w:val="0000EE"/>
                  <w:w w:val="95"/>
                </w:rPr>
                <w:t>HARMENING JEFFREY L</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6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76"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160" w:type="dxa"/>
            <w:vAlign w:val="bottom"/>
          </w:tcPr>
          <w:p>
            <w:pPr>
              <w:ind w:left="340"/>
              <w:spacing w:after="0"/>
              <w:rPr>
                <w:sz w:val="20"/>
                <w:szCs w:val="20"/>
                <w:color w:val="auto"/>
              </w:rPr>
            </w:pPr>
            <w:r>
              <w:rPr>
                <w:rFonts w:ascii="Arial" w:cs="Arial" w:eastAsia="Arial" w:hAnsi="Arial"/>
                <w:sz w:val="14"/>
                <w:szCs w:val="14"/>
                <w:color w:val="auto"/>
              </w:rPr>
              <w:t>(First)</w:t>
            </w:r>
          </w:p>
        </w:tc>
        <w:tc>
          <w:tcPr>
            <w:tcW w:w="1300" w:type="dxa"/>
            <w:vAlign w:val="bottom"/>
          </w:tcPr>
          <w:p>
            <w:pPr>
              <w:ind w:left="2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8111 LYNDALE AVENUE SOUTH</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6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940" w:type="dxa"/>
            <w:vAlign w:val="bottom"/>
            <w:gridSpan w:val="2"/>
          </w:tcPr>
          <w:p>
            <w:pPr>
              <w:ind w:left="20"/>
              <w:spacing w:after="0"/>
              <w:rPr>
                <w:sz w:val="20"/>
                <w:szCs w:val="20"/>
                <w:color w:val="auto"/>
              </w:rPr>
            </w:pPr>
            <w:r>
              <w:rPr>
                <w:rFonts w:ascii="Arial" w:cs="Arial" w:eastAsia="Arial" w:hAnsi="Arial"/>
                <w:sz w:val="18"/>
                <w:szCs w:val="18"/>
                <w:color w:val="0000FF"/>
              </w:rPr>
              <w:t>BLOOMINGTON MN</w:t>
            </w:r>
          </w:p>
        </w:tc>
        <w:tc>
          <w:tcPr>
            <w:tcW w:w="1300" w:type="dxa"/>
            <w:vAlign w:val="bottom"/>
          </w:tcPr>
          <w:p>
            <w:pPr>
              <w:jc w:val="right"/>
              <w:ind w:right="406"/>
              <w:spacing w:after="0"/>
              <w:rPr>
                <w:sz w:val="20"/>
                <w:szCs w:val="20"/>
                <w:color w:val="auto"/>
              </w:rPr>
            </w:pPr>
            <w:r>
              <w:rPr>
                <w:rFonts w:ascii="Arial" w:cs="Arial" w:eastAsia="Arial" w:hAnsi="Arial"/>
                <w:sz w:val="18"/>
                <w:szCs w:val="18"/>
                <w:color w:val="0000FF"/>
              </w:rPr>
              <w:t>55420</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160" w:type="dxa"/>
            <w:vAlign w:val="bottom"/>
          </w:tcPr>
          <w:p>
            <w:pPr>
              <w:ind w:left="340"/>
              <w:spacing w:after="0"/>
              <w:rPr>
                <w:sz w:val="20"/>
                <w:szCs w:val="20"/>
                <w:color w:val="auto"/>
              </w:rPr>
            </w:pPr>
            <w:r>
              <w:rPr>
                <w:rFonts w:ascii="Arial" w:cs="Arial" w:eastAsia="Arial" w:hAnsi="Arial"/>
                <w:sz w:val="14"/>
                <w:szCs w:val="14"/>
                <w:color w:val="auto"/>
              </w:rPr>
              <w:t>(State)</w:t>
            </w:r>
          </w:p>
        </w:tc>
        <w:tc>
          <w:tcPr>
            <w:tcW w:w="1300" w:type="dxa"/>
            <w:vAlign w:val="bottom"/>
          </w:tcPr>
          <w:p>
            <w:pPr>
              <w:ind w:left="2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42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restart"/>
          </w:tcPr>
          <w:p>
            <w:pPr>
              <w:ind w:left="2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840" w:type="dxa"/>
            <w:vAlign w:val="bottom"/>
            <w:gridSpan w:val="2"/>
          </w:tcPr>
          <w:p>
            <w:pPr>
              <w:ind w:left="2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20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20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rPr>
              <w:t>/s/ Nancy A. McGrath,</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03/22/2019</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420" w:type="dxa"/>
            <w:vAlign w:val="bottom"/>
            <w:tcBorders>
              <w:top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200" w:type="dxa"/>
            <w:vAlign w:val="bottom"/>
            <w:tcBorders>
              <w:top w:val="single" w:sz="8" w:color="auto"/>
              <w:bottom w:val="single" w:sz="8" w:color="auto"/>
            </w:tcBorders>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 hereby constitutes</w:t>
      </w:r>
    </w:p>
    <w:p>
      <w:pPr>
        <w:spacing w:after="0" w:line="238" w:lineRule="auto"/>
        <w:rPr>
          <w:sz w:val="20"/>
          <w:szCs w:val="20"/>
          <w:color w:val="auto"/>
        </w:rPr>
      </w:pPr>
      <w:r>
        <w:rPr>
          <w:rFonts w:ascii="Courier New" w:cs="Courier New" w:eastAsia="Courier New" w:hAnsi="Courier New"/>
          <w:sz w:val="18"/>
          <w:szCs w:val="18"/>
          <w:color w:val="auto"/>
        </w:rPr>
        <w:t>and appoints each of Timothy P. Dordell, Nancy A. McGrath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Angela D. Snavely, signing singly, true and lawful attorneys-in-fact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relative to the filings identified below in connection with the</w:t>
      </w:r>
    </w:p>
    <w:p>
      <w:pPr>
        <w:spacing w:after="0" w:line="238" w:lineRule="auto"/>
        <w:rPr>
          <w:sz w:val="20"/>
          <w:szCs w:val="20"/>
          <w:color w:val="auto"/>
        </w:rPr>
      </w:pPr>
      <w:r>
        <w:rPr>
          <w:rFonts w:ascii="Courier New" w:cs="Courier New" w:eastAsia="Courier New" w:hAnsi="Courier New"/>
          <w:sz w:val="18"/>
          <w:szCs w:val="18"/>
          <w:color w:val="auto"/>
        </w:rPr>
        <w:t>undersigned's derivative and non-derivative securities of The Toro</w:t>
      </w:r>
    </w:p>
    <w:p>
      <w:pPr>
        <w:spacing w:after="0"/>
        <w:rPr>
          <w:sz w:val="20"/>
          <w:szCs w:val="20"/>
          <w:color w:val="auto"/>
        </w:rPr>
      </w:pPr>
      <w:r>
        <w:rPr>
          <w:rFonts w:ascii="Courier New" w:cs="Courier New" w:eastAsia="Courier New" w:hAnsi="Courier New"/>
          <w:sz w:val="18"/>
          <w:szCs w:val="18"/>
          <w:color w:val="auto"/>
        </w:rPr>
        <w:t>Company (the ?Company?) to:</w:t>
      </w:r>
    </w:p>
    <w:p>
      <w:pPr>
        <w:spacing w:after="0" w:line="206" w:lineRule="exact"/>
        <w:rPr>
          <w:sz w:val="20"/>
          <w:szCs w:val="20"/>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Forms 3, 4 and 5 in accordance with Section 16(a) of the Securities Exchange Act of 1934, as amended, and the rules and regulations thereunder (the ?Exchange Act?);</w:t>
      </w:r>
    </w:p>
    <w:p>
      <w:pPr>
        <w:spacing w:after="0" w:line="208" w:lineRule="exact"/>
        <w:rPr>
          <w:rFonts w:ascii="Courier New" w:cs="Courier New" w:eastAsia="Courier New" w:hAnsi="Courier New"/>
          <w:sz w:val="18"/>
          <w:szCs w:val="18"/>
          <w:color w:val="auto"/>
        </w:rPr>
      </w:pPr>
    </w:p>
    <w:p>
      <w:pPr>
        <w:ind w:right="335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 director of the Company, any Form 144 in accordance with Rule 144 under the Securities Act of 1933, as amended, and the rules and regulations thereunder (the ?Securities Act?);</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08" w:lineRule="exact"/>
        <w:rPr>
          <w:rFonts w:ascii="Courier New" w:cs="Courier New" w:eastAsia="Courier New" w:hAnsi="Courier New"/>
          <w:sz w:val="18"/>
          <w:szCs w:val="18"/>
          <w:color w:val="auto"/>
        </w:rPr>
      </w:pPr>
    </w:p>
    <w:p>
      <w:pPr>
        <w:ind w:right="3039" w:firstLine="8"/>
        <w:spacing w:after="0" w:line="237" w:lineRule="auto"/>
        <w:tabs>
          <w:tab w:leader="none" w:pos="84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12" w:lineRule="exact"/>
        <w:rPr>
          <w:sz w:val="20"/>
          <w:szCs w:val="20"/>
          <w:color w:val="auto"/>
        </w:rPr>
      </w:pPr>
    </w:p>
    <w:p>
      <w:pPr>
        <w:ind w:right="2939"/>
        <w:spacing w:after="0" w:line="270"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387"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 director of the Company, whichever first occurs.</w:t>
      </w:r>
    </w:p>
    <w:p>
      <w:pPr>
        <w:sectPr>
          <w:pgSz w:w="11900" w:h="16838" w:orient="portrait"/>
          <w:cols w:equalWidth="0" w:num="1">
            <w:col w:w="10219"/>
          </w:cols>
          <w:pgMar w:left="240" w:top="136" w:right="1440" w:bottom="1440" w:gutter="0" w:footer="0" w:header="0"/>
        </w:sectPr>
      </w:pP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L. Harmening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L. Harmening</w:t>
      </w:r>
    </w:p>
    <w:p>
      <w:pPr>
        <w:spacing w:after="0" w:line="200" w:lineRule="exact"/>
        <w:rPr>
          <w:sz w:val="20"/>
          <w:szCs w:val="20"/>
          <w:color w:val="auto"/>
        </w:rPr>
      </w:pPr>
    </w:p>
    <w:p>
      <w:pPr>
        <w:sectPr>
          <w:pgSz w:w="11900" w:h="16838" w:orient="portrait"/>
          <w:cols w:equalWidth="0" w:num="2">
            <w:col w:w="980" w:space="720"/>
            <w:col w:w="8519"/>
          </w:cols>
          <w:pgMar w:left="240" w:top="136"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March 19, 2019</w:t>
      </w:r>
    </w:p>
    <w:sectPr>
      <w:pgSz w:w="11900" w:h="16838" w:orient="portrait"/>
      <w:cols w:equalWidth="0" w:num="2">
        <w:col w:w="980" w:space="72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05892" TargetMode="External"/><Relationship Id="rId12"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2019-12-23T21:24:07Z</dcterms:created>
  <dcterms:modified xsi:type="dcterms:W3CDTF">2019-12-23T21:24:07Z</dcterms:modified>
</cp:coreProperties>
</file>