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60" w:type="dxa"/>
            <w:vAlign w:val="bottom"/>
          </w:tcPr>
          <w:p>
            <w:pPr>
              <w:ind w:left="860"/>
              <w:spacing w:after="0"/>
              <w:rPr>
                <w:sz w:val="20"/>
                <w:szCs w:val="20"/>
                <w:color w:val="auto"/>
              </w:rPr>
            </w:pPr>
            <w:r>
              <w:rPr>
                <w:rFonts w:ascii="Times New Roman" w:cs="Times New Roman" w:eastAsia="Times New Roman" w:hAnsi="Times New Roman"/>
                <w:sz w:val="17"/>
                <w:szCs w:val="17"/>
                <w:color w:val="0000FF"/>
              </w:rPr>
              <w:t>VP, RLC</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7"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06/30/2022</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2,200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21.03</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4,904.002</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06/30/2022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S</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2,200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2,704.002</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2,084.261</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1,415.218</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2"/>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06/30/2022</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12/11/2022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1.340 shares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7.198 shares acquired by the reporting person since the date of his last report under the dividend reinvestment feature of the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4.877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11, 2012.</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07/05/2022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2022-07-05T12:42:20Z</dcterms:created>
  <dcterms:modified xsi:type="dcterms:W3CDTF">2022-07-05T12:42:20Z</dcterms:modified>
</cp:coreProperties>
</file>