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0"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4" w:lineRule="exact"/>
        <w:rPr>
          <w:sz w:val="24"/>
          <w:szCs w:val="24"/>
          <w:color w:val="auto"/>
        </w:rPr>
      </w:pPr>
    </w:p>
    <w:p>
      <w:pPr>
        <w:ind w:left="38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-242570</wp:posOffset>
            </wp:positionV>
            <wp:extent cx="135890" cy="135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890" cy="135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54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540" w:type="dxa"/>
            <w:vAlign w:val="bottom"/>
            <w:vMerge w:val="restart"/>
          </w:tcPr>
          <w:p>
            <w:pPr>
              <w:jc w:val="center"/>
              <w:ind w:right="21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5469890</wp:posOffset>
            </wp:positionH>
            <wp:positionV relativeFrom="paragraph">
              <wp:posOffset>-647700</wp:posOffset>
            </wp:positionV>
            <wp:extent cx="59055" cy="661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61035"/>
                    </a:xfrm>
                    <a:prstGeom prst="rect">
                      <a:avLst/>
                    </a:prstGeom>
                    <a:noFill/>
                  </pic:spPr>
                </pic:pic>
              </a:graphicData>
            </a:graphic>
          </wp:anchor>
        </w:drawing>
        <w:drawing>
          <wp:anchor simplePos="0" relativeHeight="251657728" behindDoc="1" locked="0" layoutInCell="0" allowOverlap="1">
            <wp:simplePos x="0" y="0"/>
            <wp:positionH relativeFrom="column">
              <wp:posOffset>4138930</wp:posOffset>
            </wp:positionH>
            <wp:positionV relativeFrom="paragraph">
              <wp:posOffset>-647700</wp:posOffset>
            </wp:positionV>
            <wp:extent cx="59055" cy="661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6103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-1709420</wp:posOffset>
            </wp:positionH>
            <wp:positionV relativeFrom="paragraph">
              <wp:posOffset>19685</wp:posOffset>
            </wp:positionV>
            <wp:extent cx="7323455" cy="48234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823460"/>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340" w:space="340"/>
            <w:col w:w="884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Vale Michael G.</w:t>
        </w:r>
      </w:hyperlink>
    </w:p>
    <w:p>
      <w:pPr>
        <w:spacing w:after="0" w:line="322"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TORO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TTC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9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11/01/2018</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4" w:right="660" w:firstLine="4"/>
        <w:spacing w:after="0" w:line="253" w:lineRule="auto"/>
        <w:tabs>
          <w:tab w:leader="none" w:pos="14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96"/>
        <w:spacing w:after="0"/>
        <w:tabs>
          <w:tab w:leader="none" w:pos="536" w:val="left"/>
          <w:tab w:leader="none" w:pos="2176"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2" w:lineRule="exact"/>
        <w:rPr>
          <w:sz w:val="24"/>
          <w:szCs w:val="24"/>
          <w:color w:val="auto"/>
        </w:rPr>
      </w:pPr>
    </w:p>
    <w:p>
      <w:pPr>
        <w:jc w:val="right"/>
        <w:ind w:right="46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56"/>
        <w:spacing w:after="0"/>
        <w:tabs>
          <w:tab w:leader="none" w:pos="21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2" w:lineRule="exact"/>
        <w:rPr>
          <w:sz w:val="24"/>
          <w:szCs w:val="24"/>
          <w:color w:val="auto"/>
        </w:rPr>
      </w:pPr>
    </w:p>
    <w:p>
      <w:pPr>
        <w:sectPr>
          <w:pgSz w:w="11900" w:h="16838" w:orient="portrait"/>
          <w:cols w:equalWidth="0" w:num="3">
            <w:col w:w="3340" w:space="720"/>
            <w:col w:w="3264" w:space="720"/>
            <w:col w:w="3476"/>
          </w:cols>
          <w:pgMar w:left="240" w:top="225" w:right="139" w:bottom="1440" w:gutter="0" w:footer="0" w:header="0"/>
          <w:type w:val="continuous"/>
        </w:sectPr>
      </w:pPr>
    </w:p>
    <w:p>
      <w:pPr>
        <w:spacing w:after="0" w:line="24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8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6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2100" w:type="dxa"/>
            <w:vAlign w:val="bottom"/>
            <w:gridSpan w:val="2"/>
          </w:tcPr>
          <w:p>
            <w:pPr>
              <w:spacing w:after="0"/>
              <w:rPr>
                <w:sz w:val="20"/>
                <w:szCs w:val="20"/>
                <w:color w:val="auto"/>
              </w:rPr>
            </w:pPr>
            <w:r>
              <w:rPr>
                <w:rFonts w:ascii="Arial" w:cs="Arial" w:eastAsia="Arial" w:hAnsi="Arial"/>
                <w:sz w:val="17"/>
                <w:szCs w:val="17"/>
                <w:color w:val="0000FF"/>
              </w:rPr>
              <w:t>BLOOMINGTON MN</w:t>
            </w:r>
          </w:p>
        </w:tc>
        <w:tc>
          <w:tcPr>
            <w:tcW w:w="1680" w:type="dxa"/>
            <w:vAlign w:val="bottom"/>
          </w:tcPr>
          <w:p>
            <w:pPr>
              <w:jc w:val="right"/>
              <w:ind w:right="283"/>
              <w:spacing w:after="0"/>
              <w:rPr>
                <w:sz w:val="20"/>
                <w:szCs w:val="20"/>
                <w:color w:val="auto"/>
              </w:rPr>
            </w:pPr>
            <w:r>
              <w:rPr>
                <w:rFonts w:ascii="Arial" w:cs="Arial" w:eastAsia="Arial" w:hAnsi="Arial"/>
                <w:sz w:val="17"/>
                <w:szCs w:val="17"/>
                <w:color w:val="0000FF"/>
              </w:rPr>
              <w:t>55420-1196</w:t>
            </w:r>
          </w:p>
        </w:tc>
      </w:tr>
      <w:tr>
        <w:trPr>
          <w:trHeight w:val="155"/>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3"/>
                <w:szCs w:val="13"/>
                <w:color w:val="auto"/>
              </w:rPr>
              <w:t>(City)</w:t>
            </w:r>
          </w:p>
        </w:tc>
        <w:tc>
          <w:tcPr>
            <w:tcW w:w="1260" w:type="dxa"/>
            <w:vAlign w:val="bottom"/>
          </w:tcPr>
          <w:p>
            <w:pPr>
              <w:ind w:left="440"/>
              <w:spacing w:after="0"/>
              <w:rPr>
                <w:sz w:val="20"/>
                <w:szCs w:val="20"/>
                <w:color w:val="auto"/>
              </w:rPr>
            </w:pPr>
            <w:r>
              <w:rPr>
                <w:rFonts w:ascii="Arial" w:cs="Arial" w:eastAsia="Arial" w:hAnsi="Arial"/>
                <w:sz w:val="13"/>
                <w:szCs w:val="13"/>
                <w:color w:val="auto"/>
              </w:rPr>
              <w:t>(State)</w:t>
            </w:r>
          </w:p>
        </w:tc>
        <w:tc>
          <w:tcPr>
            <w:tcW w:w="1680" w:type="dxa"/>
            <w:vAlign w:val="bottom"/>
          </w:tcPr>
          <w:p>
            <w:pPr>
              <w:jc w:val="right"/>
              <w:ind w:right="883"/>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200"/>
        <w:spacing w:after="0" w:line="233"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2"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92" w:lineRule="exact"/>
        <w:rPr>
          <w:sz w:val="24"/>
          <w:szCs w:val="24"/>
          <w:color w:val="auto"/>
        </w:rPr>
      </w:pPr>
    </w:p>
    <w:p>
      <w:pPr>
        <w:sectPr>
          <w:pgSz w:w="11900" w:h="16838" w:orient="portrait"/>
          <w:cols w:equalWidth="0" w:num="2">
            <w:col w:w="3900" w:space="160"/>
            <w:col w:w="746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2"/>
          </w:tcPr>
          <w:p>
            <w:pPr>
              <w:ind w:left="84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ind w:left="840"/>
              <w:spacing w:after="0" w:line="131"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spacing w:after="0"/>
              <w:rPr>
                <w:sz w:val="11"/>
                <w:szCs w:val="11"/>
                <w:color w:val="auto"/>
              </w:rPr>
            </w:pPr>
          </w:p>
        </w:tc>
        <w:tc>
          <w:tcPr>
            <w:tcW w:w="10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6"/>
              </w:rPr>
              <w:t>Transaction</w:t>
            </w:r>
          </w:p>
        </w:tc>
        <w:tc>
          <w:tcPr>
            <w:tcW w:w="1940" w:type="dxa"/>
            <w:vAlign w:val="bottom"/>
            <w:gridSpan w:val="3"/>
          </w:tcPr>
          <w:p>
            <w:pPr>
              <w:ind w:left="12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66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7"/>
              </w:rPr>
              <w:t>Securities</w:t>
            </w:r>
          </w:p>
        </w:tc>
        <w:tc>
          <w:tcPr>
            <w:tcW w:w="580" w:type="dxa"/>
            <w:vAlign w:val="bottom"/>
          </w:tcPr>
          <w:p>
            <w:pPr>
              <w:spacing w:after="0"/>
              <w:rPr>
                <w:sz w:val="11"/>
                <w:szCs w:val="11"/>
                <w:color w:val="auto"/>
              </w:rPr>
            </w:pPr>
          </w:p>
        </w:tc>
        <w:tc>
          <w:tcPr>
            <w:tcW w:w="100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940" w:type="dxa"/>
            <w:vAlign w:val="bottom"/>
            <w:gridSpan w:val="2"/>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Code (Instr.</w:t>
            </w:r>
          </w:p>
        </w:tc>
        <w:tc>
          <w:tcPr>
            <w:tcW w:w="7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80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20"/>
              <w:spacing w:after="0" w:line="134"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jc w:val="right"/>
              <w:ind w:right="93"/>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64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7"/>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w w:val="93"/>
              </w:rPr>
              <w:t>Common Stock Units</w:t>
            </w:r>
          </w:p>
        </w:tc>
        <w:tc>
          <w:tcPr>
            <w:tcW w:w="10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2"/>
          </w:tcPr>
          <w:p>
            <w:pPr>
              <w:ind w:left="940"/>
              <w:spacing w:after="0"/>
              <w:rPr>
                <w:sz w:val="20"/>
                <w:szCs w:val="20"/>
                <w:color w:val="auto"/>
              </w:rPr>
            </w:pPr>
            <w:r>
              <w:rPr>
                <w:rFonts w:ascii="Arial" w:cs="Arial" w:eastAsia="Arial" w:hAnsi="Arial"/>
                <w:sz w:val="17"/>
                <w:szCs w:val="17"/>
                <w:color w:val="0000FF"/>
              </w:rPr>
              <w:t>11/01/2018</w:t>
            </w:r>
          </w:p>
        </w:tc>
        <w:tc>
          <w:tcPr>
            <w:tcW w:w="70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6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1,009</w:t>
            </w:r>
            <w:r>
              <w:rPr>
                <w:rFonts w:ascii="Arial" w:cs="Arial" w:eastAsia="Arial" w:hAnsi="Arial"/>
                <w:sz w:val="22"/>
                <w:szCs w:val="22"/>
                <w:color w:val="008000"/>
                <w:vertAlign w:val="superscript"/>
              </w:rPr>
              <w:t>(1)</w:t>
            </w:r>
          </w:p>
        </w:tc>
        <w:tc>
          <w:tcPr>
            <w:tcW w:w="64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jc w:val="right"/>
              <w:ind w:right="33"/>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360" w:type="dxa"/>
            <w:vAlign w:val="bottom"/>
            <w:tcBorders>
              <w:bottom w:val="single" w:sz="8" w:color="2C2C2C"/>
            </w:tcBorders>
            <w:gridSpan w:val="3"/>
          </w:tcPr>
          <w:p>
            <w:pPr>
              <w:ind w:left="520"/>
              <w:spacing w:after="0"/>
              <w:rPr>
                <w:sz w:val="20"/>
                <w:szCs w:val="20"/>
                <w:color w:val="auto"/>
              </w:rPr>
            </w:pPr>
            <w:r>
              <w:rPr>
                <w:rFonts w:ascii="Arial" w:cs="Arial" w:eastAsia="Arial" w:hAnsi="Arial"/>
                <w:sz w:val="17"/>
                <w:szCs w:val="17"/>
                <w:color w:val="0000FF"/>
              </w:rPr>
              <w:t>1,009</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102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1"/>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700" w:type="dxa"/>
            <w:vAlign w:val="bottom"/>
            <w:gridSpan w:val="9"/>
          </w:tcPr>
          <w:p>
            <w:pPr>
              <w:jc w:val="right"/>
              <w:ind w:right="93"/>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10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 of</w:t>
            </w:r>
          </w:p>
        </w:tc>
        <w:tc>
          <w:tcPr>
            <w:tcW w:w="15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4"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700" w:type="dxa"/>
            <w:vAlign w:val="bottom"/>
          </w:tcPr>
          <w:p>
            <w:pPr>
              <w:ind w:left="140"/>
              <w:spacing w:after="0" w:line="134" w:lineRule="exact"/>
              <w:rPr>
                <w:sz w:val="20"/>
                <w:szCs w:val="20"/>
                <w:color w:val="auto"/>
              </w:rPr>
            </w:pPr>
            <w:r>
              <w:rPr>
                <w:rFonts w:ascii="Arial" w:cs="Arial" w:eastAsia="Arial" w:hAnsi="Arial"/>
                <w:sz w:val="12"/>
                <w:szCs w:val="12"/>
                <w:b w:val="1"/>
                <w:bCs w:val="1"/>
                <w:color w:val="auto"/>
                <w:w w:val="94"/>
              </w:rPr>
              <w:t>Derivative</w:t>
            </w:r>
          </w:p>
        </w:tc>
        <w:tc>
          <w:tcPr>
            <w:tcW w:w="320" w:type="dxa"/>
            <w:vAlign w:val="bottom"/>
          </w:tcPr>
          <w:p>
            <w:pPr>
              <w:spacing w:after="0"/>
              <w:rPr>
                <w:sz w:val="11"/>
                <w:szCs w:val="11"/>
                <w:color w:val="auto"/>
              </w:rPr>
            </w:pPr>
          </w:p>
        </w:tc>
        <w:tc>
          <w:tcPr>
            <w:tcW w:w="156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4"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4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spacing w:after="0" w:line="134" w:lineRule="exact"/>
              <w:rPr>
                <w:sz w:val="20"/>
                <w:szCs w:val="20"/>
                <w:color w:val="auto"/>
              </w:rPr>
            </w:pPr>
            <w:r>
              <w:rPr>
                <w:rFonts w:ascii="Arial" w:cs="Arial" w:eastAsia="Arial" w:hAnsi="Arial"/>
                <w:sz w:val="12"/>
                <w:szCs w:val="12"/>
                <w:b w:val="1"/>
                <w:bCs w:val="1"/>
                <w:color w:val="auto"/>
              </w:rPr>
              <w:t>(Month/Day/Year)</w:t>
            </w: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40"/>
              <w:spacing w:after="0" w:line="134" w:lineRule="exact"/>
              <w:rPr>
                <w:sz w:val="20"/>
                <w:szCs w:val="20"/>
                <w:color w:val="auto"/>
              </w:rPr>
            </w:pPr>
            <w:r>
              <w:rPr>
                <w:rFonts w:ascii="Arial" w:cs="Arial" w:eastAsia="Arial" w:hAnsi="Arial"/>
                <w:sz w:val="12"/>
                <w:szCs w:val="12"/>
                <w:b w:val="1"/>
                <w:bCs w:val="1"/>
                <w:color w:val="auto"/>
                <w:w w:val="94"/>
              </w:rPr>
              <w:t>Securities</w:t>
            </w:r>
          </w:p>
        </w:tc>
        <w:tc>
          <w:tcPr>
            <w:tcW w:w="320" w:type="dxa"/>
            <w:vAlign w:val="bottom"/>
          </w:tcPr>
          <w:p>
            <w:pPr>
              <w:spacing w:after="0"/>
              <w:rPr>
                <w:sz w:val="11"/>
                <w:szCs w:val="11"/>
                <w:color w:val="auto"/>
              </w:rPr>
            </w:pPr>
          </w:p>
        </w:tc>
        <w:tc>
          <w:tcPr>
            <w:tcW w:w="156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102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4"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2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or Disposed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2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2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80" w:type="dxa"/>
            <w:vAlign w:val="bottom"/>
            <w:gridSpan w:val="2"/>
            <w:vMerge w:val="restart"/>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line="134" w:lineRule="exact"/>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spacing w:after="0" w:line="134"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4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Non-</w:t>
            </w:r>
          </w:p>
        </w:tc>
        <w:tc>
          <w:tcPr>
            <w:tcW w:w="8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tcPr>
          <w:p>
            <w:pPr>
              <w:ind w:left="60"/>
              <w:spacing w:after="0" w:line="147" w:lineRule="exact"/>
              <w:rPr>
                <w:sz w:val="20"/>
                <w:szCs w:val="20"/>
                <w:color w:val="auto"/>
              </w:rPr>
            </w:pPr>
            <w:r>
              <w:rPr>
                <w:rFonts w:ascii="Arial" w:cs="Arial" w:eastAsia="Arial" w:hAnsi="Arial"/>
                <w:sz w:val="13"/>
                <w:szCs w:val="13"/>
                <w:color w:val="0000FF"/>
              </w:rPr>
              <w:t>Qualified</w:t>
            </w:r>
          </w:p>
        </w:tc>
        <w:tc>
          <w:tcPr>
            <w:tcW w:w="86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58.63</w:t>
            </w:r>
          </w:p>
        </w:tc>
        <w:tc>
          <w:tcPr>
            <w:tcW w:w="1020" w:type="dxa"/>
            <w:vAlign w:val="bottom"/>
            <w:vMerge w:val="restart"/>
          </w:tcPr>
          <w:p>
            <w:pPr>
              <w:jc w:val="right"/>
              <w:ind w:right="158"/>
              <w:spacing w:after="0"/>
              <w:rPr>
                <w:sz w:val="20"/>
                <w:szCs w:val="20"/>
                <w:color w:val="auto"/>
              </w:rPr>
            </w:pPr>
            <w:r>
              <w:rPr>
                <w:rFonts w:ascii="Arial" w:cs="Arial" w:eastAsia="Arial" w:hAnsi="Arial"/>
                <w:sz w:val="13"/>
                <w:szCs w:val="13"/>
                <w:color w:val="0000FF"/>
              </w:rPr>
              <w:t>11/01/2018</w:t>
            </w:r>
          </w:p>
        </w:tc>
        <w:tc>
          <w:tcPr>
            <w:tcW w:w="1160" w:type="dxa"/>
            <w:vAlign w:val="bottom"/>
          </w:tcPr>
          <w:p>
            <w:pPr>
              <w:spacing w:after="0"/>
              <w:rPr>
                <w:sz w:val="12"/>
                <w:szCs w:val="12"/>
                <w:color w:val="auto"/>
              </w:rPr>
            </w:pPr>
          </w:p>
        </w:tc>
        <w:tc>
          <w:tcPr>
            <w:tcW w:w="78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700" w:type="dxa"/>
            <w:vAlign w:val="bottom"/>
            <w:vMerge w:val="restart"/>
          </w:tcPr>
          <w:p>
            <w:pPr>
              <w:ind w:left="140"/>
              <w:spacing w:after="0"/>
              <w:rPr>
                <w:sz w:val="20"/>
                <w:szCs w:val="20"/>
                <w:color w:val="auto"/>
              </w:rPr>
            </w:pPr>
            <w:r>
              <w:rPr>
                <w:rFonts w:ascii="Arial" w:cs="Arial" w:eastAsia="Arial" w:hAnsi="Arial"/>
                <w:sz w:val="13"/>
                <w:szCs w:val="13"/>
                <w:color w:val="0000FF"/>
              </w:rPr>
              <w:t>4,482</w:t>
            </w:r>
            <w:r>
              <w:rPr>
                <w:rFonts w:ascii="Arial" w:cs="Arial" w:eastAsia="Arial" w:hAnsi="Arial"/>
                <w:sz w:val="22"/>
                <w:szCs w:val="22"/>
                <w:color w:val="008000"/>
                <w:vertAlign w:val="superscript"/>
              </w:rPr>
              <w:t>(2)</w:t>
            </w:r>
          </w:p>
        </w:tc>
        <w:tc>
          <w:tcPr>
            <w:tcW w:w="320" w:type="dxa"/>
            <w:vAlign w:val="bottom"/>
          </w:tcPr>
          <w:p>
            <w:pPr>
              <w:spacing w:after="0"/>
              <w:rPr>
                <w:sz w:val="12"/>
                <w:szCs w:val="12"/>
                <w:color w:val="auto"/>
              </w:rPr>
            </w:pPr>
          </w:p>
        </w:tc>
        <w:tc>
          <w:tcPr>
            <w:tcW w:w="800" w:type="dxa"/>
            <w:vAlign w:val="bottom"/>
            <w:gridSpan w:val="2"/>
            <w:vMerge w:val="restart"/>
          </w:tcPr>
          <w:p>
            <w:pPr>
              <w:ind w:left="260"/>
              <w:spacing w:after="0"/>
              <w:rPr>
                <w:sz w:val="20"/>
                <w:szCs w:val="20"/>
                <w:color w:val="auto"/>
              </w:rPr>
            </w:pPr>
            <w:r>
              <w:rPr>
                <w:rFonts w:ascii="Arial" w:cs="Arial" w:eastAsia="Arial" w:hAnsi="Arial"/>
                <w:sz w:val="11"/>
                <w:szCs w:val="11"/>
                <w:color w:val="008000"/>
              </w:rPr>
              <w:t>(3)</w:t>
            </w:r>
          </w:p>
        </w:tc>
        <w:tc>
          <w:tcPr>
            <w:tcW w:w="760" w:type="dxa"/>
            <w:vAlign w:val="bottom"/>
            <w:vMerge w:val="restart"/>
          </w:tcPr>
          <w:p>
            <w:pPr>
              <w:jc w:val="right"/>
              <w:ind w:right="76"/>
              <w:spacing w:after="0"/>
              <w:rPr>
                <w:sz w:val="20"/>
                <w:szCs w:val="20"/>
                <w:color w:val="auto"/>
              </w:rPr>
            </w:pPr>
            <w:r>
              <w:rPr>
                <w:rFonts w:ascii="Arial" w:cs="Arial" w:eastAsia="Arial" w:hAnsi="Arial"/>
                <w:sz w:val="13"/>
                <w:szCs w:val="13"/>
                <w:color w:val="0000FF"/>
                <w:w w:val="92"/>
              </w:rPr>
              <w:t>11/01/2028</w:t>
            </w:r>
          </w:p>
        </w:tc>
        <w:tc>
          <w:tcPr>
            <w:tcW w:w="640" w:type="dxa"/>
            <w:vAlign w:val="bottom"/>
          </w:tcPr>
          <w:p>
            <w:pPr>
              <w:spacing w:after="0" w:line="147" w:lineRule="exact"/>
              <w:rPr>
                <w:sz w:val="20"/>
                <w:szCs w:val="20"/>
                <w:color w:val="auto"/>
              </w:rPr>
            </w:pPr>
            <w:r>
              <w:rPr>
                <w:rFonts w:ascii="Arial" w:cs="Arial" w:eastAsia="Arial" w:hAnsi="Arial"/>
                <w:sz w:val="13"/>
                <w:szCs w:val="13"/>
                <w:color w:val="0000FF"/>
              </w:rPr>
              <w:t>Common</w:t>
            </w:r>
          </w:p>
        </w:tc>
        <w:tc>
          <w:tcPr>
            <w:tcW w:w="540" w:type="dxa"/>
            <w:vAlign w:val="bottom"/>
            <w:vMerge w:val="restart"/>
          </w:tcPr>
          <w:p>
            <w:pPr>
              <w:jc w:val="right"/>
              <w:ind w:right="53"/>
              <w:spacing w:after="0"/>
              <w:rPr>
                <w:sz w:val="20"/>
                <w:szCs w:val="20"/>
                <w:color w:val="auto"/>
              </w:rPr>
            </w:pPr>
            <w:r>
              <w:rPr>
                <w:rFonts w:ascii="Arial" w:cs="Arial" w:eastAsia="Arial" w:hAnsi="Arial"/>
                <w:sz w:val="17"/>
                <w:szCs w:val="17"/>
                <w:color w:val="0000FF"/>
                <w:w w:val="93"/>
              </w:rPr>
              <w:t>4,482</w:t>
            </w:r>
          </w:p>
        </w:tc>
        <w:tc>
          <w:tcPr>
            <w:tcW w:w="780" w:type="dxa"/>
            <w:vAlign w:val="bottom"/>
            <w:gridSpan w:val="2"/>
            <w:vMerge w:val="restart"/>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580" w:type="dxa"/>
            <w:vAlign w:val="bottom"/>
            <w:vMerge w:val="restart"/>
          </w:tcPr>
          <w:p>
            <w:pPr>
              <w:ind w:left="260"/>
              <w:spacing w:after="0"/>
              <w:rPr>
                <w:sz w:val="20"/>
                <w:szCs w:val="20"/>
                <w:color w:val="auto"/>
              </w:rPr>
            </w:pPr>
            <w:r>
              <w:rPr>
                <w:rFonts w:ascii="Arial" w:cs="Arial" w:eastAsia="Arial" w:hAnsi="Arial"/>
                <w:sz w:val="13"/>
                <w:szCs w:val="13"/>
                <w:color w:val="0000FF"/>
                <w:w w:val="92"/>
              </w:rPr>
              <w:t>4,482</w:t>
            </w:r>
          </w:p>
        </w:tc>
        <w:tc>
          <w:tcPr>
            <w:tcW w:w="300" w:type="dxa"/>
            <w:vAlign w:val="bottom"/>
          </w:tcPr>
          <w:p>
            <w:pPr>
              <w:spacing w:after="0"/>
              <w:rPr>
                <w:sz w:val="12"/>
                <w:szCs w:val="12"/>
                <w:color w:val="auto"/>
              </w:rPr>
            </w:pPr>
          </w:p>
        </w:tc>
        <w:tc>
          <w:tcPr>
            <w:tcW w:w="70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Stock</w:t>
            </w:r>
          </w:p>
        </w:tc>
        <w:tc>
          <w:tcPr>
            <w:tcW w:w="86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640" w:type="dxa"/>
            <w:vAlign w:val="bottom"/>
            <w:vMerge w:val="restart"/>
          </w:tcPr>
          <w:p>
            <w:pPr>
              <w:ind w:left="10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8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Option</w:t>
      </w:r>
    </w:p>
    <w:p>
      <w:pPr>
        <w:spacing w:after="0" w:line="10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right="180" w:firstLine="7"/>
        <w:spacing w:after="0" w:line="25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Annual common stock award for service as a non-employee director issued under The Toro Company Amended and Restated 2010 Equity and Incentive Plan, as amended and restated (the "Amended and Restated 2010 Plan"). The reporting person has deferred the payout of his stock award under The Toro Company Deferred Compensation Plan for Non-Employee Directors (the "Deferred Plan") and, accordingly, the reporting person's stock award is paid in common stock units under the Deferred Plan.</w:t>
      </w:r>
    </w:p>
    <w:p>
      <w:pPr>
        <w:spacing w:after="0" w:line="23"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Annual option grant for service as a non-employee director issued under the Amended and Restated 2010 Plan.</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vests in three equal annual installments commencing on the first anniversary of the date of grant.</w:t>
      </w:r>
    </w:p>
    <w:p>
      <w:pPr>
        <w:spacing w:after="0" w:line="66"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6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Nancy A. McGrath,</w:t>
            </w:r>
          </w:p>
        </w:tc>
        <w:tc>
          <w:tcPr>
            <w:tcW w:w="520" w:type="dxa"/>
            <w:vAlign w:val="bottom"/>
          </w:tcPr>
          <w:p>
            <w:pPr>
              <w:spacing w:after="0"/>
              <w:rPr>
                <w:sz w:val="16"/>
                <w:szCs w:val="16"/>
                <w:color w:val="auto"/>
              </w:rPr>
            </w:pPr>
          </w:p>
        </w:tc>
        <w:tc>
          <w:tcPr>
            <w:tcW w:w="960" w:type="dxa"/>
            <w:vAlign w:val="bottom"/>
            <w:gridSpan w:val="2"/>
            <w:vMerge w:val="restart"/>
          </w:tcPr>
          <w:p>
            <w:pPr>
              <w:ind w:left="180"/>
              <w:spacing w:after="0"/>
              <w:rPr>
                <w:sz w:val="20"/>
                <w:szCs w:val="20"/>
                <w:color w:val="auto"/>
              </w:rPr>
            </w:pPr>
            <w:r>
              <w:rPr>
                <w:rFonts w:ascii="Arial" w:cs="Arial" w:eastAsia="Arial" w:hAnsi="Arial"/>
                <w:sz w:val="17"/>
                <w:szCs w:val="17"/>
                <w:color w:val="0000FF"/>
                <w:w w:val="89"/>
              </w:rPr>
              <w:t>11/02/2018</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Attorney-In-Fact</w:t>
            </w: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4"/>
          <w:szCs w:val="24"/>
          <w:color w:val="auto"/>
        </w:rPr>
      </w:pPr>
    </w:p>
    <w:p>
      <w:pPr>
        <w:jc w:val="both"/>
        <w:ind w:left="40" w:right="376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27527"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2019-12-23T21:19:17Z</dcterms:created>
  <dcterms:modified xsi:type="dcterms:W3CDTF">2019-12-23T21:19:17Z</dcterms:modified>
</cp:coreProperties>
</file>