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27940</wp:posOffset>
            </wp:positionV>
            <wp:extent cx="6969125" cy="1605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60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COOPER JANET KATHERINE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0"/>
        <w:spacing w:after="0"/>
        <w:tabs>
          <w:tab w:leader="none" w:pos="510" w:val="left"/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198755</wp:posOffset>
            </wp:positionV>
            <wp:extent cx="6969125" cy="1508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50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9"/>
                <w:vertAlign w:val="subscript"/>
              </w:rPr>
              <w:t>807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21,930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Common Stock Units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46,429.818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83.12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3,201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-1784985</wp:posOffset>
            </wp:positionV>
            <wp:extent cx="7033895" cy="19234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460" w:firstLine="1"/>
        <w:spacing w:after="0" w:line="24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1"/>
        <w:spacing w:after="0" w:line="24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132.063 common stock units acquired by the reporting person under the dividend reinvestment feature of The Toro Company Deferred Compensation Plan for Non-Employee Directors since the date of her last report.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grant, which was November 2, 2020.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22792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2020-11-04T16:36:08Z</dcterms:created>
  <dcterms:modified xsi:type="dcterms:W3CDTF">2020-11-04T16:36:08Z</dcterms:modified>
</cp:coreProperties>
</file>