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15" w:lineRule="exact"/>
        <w:rPr>
          <w:sz w:val="24"/>
          <w:szCs w:val="24"/>
          <w:color w:val="auto"/>
        </w:rPr>
      </w:pPr>
    </w:p>
    <w:p>
      <w:pPr>
        <w:jc w:val="center"/>
        <w:ind w:right="-101"/>
        <w:spacing w:after="0"/>
        <w:rPr>
          <w:sz w:val="20"/>
          <w:szCs w:val="20"/>
          <w:color w:val="auto"/>
        </w:rPr>
      </w:pPr>
      <w:r>
        <w:rPr>
          <w:rFonts w:ascii="Arial" w:cs="Arial" w:eastAsia="Arial" w:hAnsi="Arial"/>
          <w:sz w:val="29"/>
          <w:szCs w:val="29"/>
          <w:b w:val="1"/>
          <w:bCs w:val="1"/>
          <w:color w:val="auto"/>
        </w:rPr>
        <w:t>UNITED STATES</w:t>
      </w:r>
    </w:p>
    <w:p>
      <w:pPr>
        <w:spacing w:after="0" w:line="46" w:lineRule="exact"/>
        <w:rPr>
          <w:sz w:val="24"/>
          <w:szCs w:val="24"/>
          <w:color w:val="auto"/>
        </w:rPr>
      </w:pPr>
    </w:p>
    <w:p>
      <w:pPr>
        <w:jc w:val="center"/>
        <w:ind w:right="-101"/>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01"/>
        <w:spacing w:after="0"/>
        <w:rPr>
          <w:sz w:val="20"/>
          <w:szCs w:val="20"/>
          <w:color w:val="auto"/>
        </w:rPr>
      </w:pPr>
      <w:r>
        <w:rPr>
          <w:rFonts w:ascii="Arial" w:cs="Arial" w:eastAsia="Arial" w:hAnsi="Arial"/>
          <w:sz w:val="20"/>
          <w:szCs w:val="20"/>
          <w:b w:val="1"/>
          <w:bCs w:val="1"/>
          <w:color w:val="auto"/>
        </w:rPr>
        <w:t>Washington, D.C. 20549</w:t>
      </w:r>
    </w:p>
    <w:p>
      <w:pPr>
        <w:spacing w:after="0" w:line="111" w:lineRule="exact"/>
        <w:rPr>
          <w:sz w:val="24"/>
          <w:szCs w:val="24"/>
          <w:color w:val="auto"/>
        </w:rPr>
      </w:pPr>
    </w:p>
    <w:p>
      <w:pPr>
        <w:jc w:val="center"/>
        <w:ind w:right="-101"/>
        <w:spacing w:after="0"/>
        <w:rPr>
          <w:sz w:val="20"/>
          <w:szCs w:val="20"/>
          <w:color w:val="auto"/>
        </w:rPr>
      </w:pPr>
      <w:r>
        <w:rPr>
          <w:rFonts w:ascii="Arial" w:cs="Arial" w:eastAsia="Arial" w:hAnsi="Arial"/>
          <w:sz w:val="29"/>
          <w:szCs w:val="29"/>
          <w:b w:val="1"/>
          <w:bCs w:val="1"/>
          <w:color w:val="auto"/>
        </w:rPr>
        <w:t>SCHEDULE 14A</w:t>
      </w:r>
    </w:p>
    <w:p>
      <w:pPr>
        <w:spacing w:after="0" w:line="36" w:lineRule="exact"/>
        <w:rPr>
          <w:sz w:val="24"/>
          <w:szCs w:val="24"/>
          <w:color w:val="auto"/>
        </w:rPr>
      </w:pPr>
    </w:p>
    <w:p>
      <w:pPr>
        <w:jc w:val="center"/>
        <w:ind w:right="-101"/>
        <w:spacing w:after="0"/>
        <w:rPr>
          <w:sz w:val="20"/>
          <w:szCs w:val="20"/>
          <w:color w:val="auto"/>
        </w:rPr>
      </w:pPr>
      <w:r>
        <w:rPr>
          <w:rFonts w:ascii="Arial" w:cs="Arial" w:eastAsia="Arial" w:hAnsi="Arial"/>
          <w:sz w:val="20"/>
          <w:szCs w:val="20"/>
          <w:b w:val="1"/>
          <w:bCs w:val="1"/>
          <w:color w:val="auto"/>
        </w:rPr>
        <w:t>(Rule 14a-101)</w:t>
      </w:r>
    </w:p>
    <w:p>
      <w:pPr>
        <w:spacing w:after="0" w:line="114" w:lineRule="exact"/>
        <w:rPr>
          <w:sz w:val="24"/>
          <w:szCs w:val="24"/>
          <w:color w:val="auto"/>
        </w:rPr>
      </w:pPr>
    </w:p>
    <w:p>
      <w:pPr>
        <w:jc w:val="center"/>
        <w:ind w:right="-101"/>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5" w:lineRule="exact"/>
        <w:rPr>
          <w:sz w:val="24"/>
          <w:szCs w:val="24"/>
          <w:color w:val="auto"/>
        </w:rPr>
      </w:pPr>
    </w:p>
    <w:p>
      <w:pPr>
        <w:jc w:val="center"/>
        <w:ind w:right="-101"/>
        <w:spacing w:after="0"/>
        <w:rPr>
          <w:sz w:val="20"/>
          <w:szCs w:val="20"/>
          <w:color w:val="auto"/>
        </w:rPr>
      </w:pPr>
      <w:r>
        <w:rPr>
          <w:rFonts w:ascii="Arial" w:cs="Arial" w:eastAsia="Arial" w:hAnsi="Arial"/>
          <w:sz w:val="20"/>
          <w:szCs w:val="20"/>
          <w:b w:val="1"/>
          <w:bCs w:val="1"/>
          <w:color w:val="auto"/>
        </w:rPr>
        <w:t>Securities Exchange Act of 1934</w:t>
      </w:r>
    </w:p>
    <w:p>
      <w:pPr>
        <w:sectPr>
          <w:pgSz w:w="11900" w:h="16838" w:orient="portrait"/>
          <w:cols w:equalWidth="0" w:num="1">
            <w:col w:w="11342"/>
          </w:cols>
          <w:pgMar w:left="238" w:top="237" w:right="319" w:bottom="1440" w:gutter="0" w:footer="0" w:header="0"/>
        </w:sectPr>
      </w:pPr>
    </w:p>
    <w:p>
      <w:pPr>
        <w:spacing w:after="0" w:line="101" w:lineRule="exact"/>
        <w:rPr>
          <w:sz w:val="24"/>
          <w:szCs w:val="24"/>
          <w:color w:val="auto"/>
        </w:rPr>
      </w:pPr>
    </w:p>
    <w:p>
      <w:pPr>
        <w:ind w:left="2"/>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4" w:lineRule="exact"/>
        <w:rPr>
          <w:sz w:val="24"/>
          <w:szCs w:val="24"/>
          <w:color w:val="auto"/>
        </w:rPr>
      </w:pPr>
    </w:p>
    <w:p>
      <w:pPr>
        <w:sectPr>
          <w:pgSz w:w="11900" w:h="16838" w:orient="portrait"/>
          <w:cols w:equalWidth="0" w:num="3">
            <w:col w:w="2422" w:space="720"/>
            <w:col w:w="2980" w:space="100"/>
            <w:col w:w="5120"/>
          </w:cols>
          <w:pgMar w:left="238" w:top="237" w:right="319" w:bottom="1440" w:gutter="0" w:footer="0" w:header="0"/>
          <w:type w:val="continuous"/>
        </w:sectPr>
      </w:pPr>
    </w:p>
    <w:p>
      <w:pPr>
        <w:ind w:left="2"/>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342"/>
          </w:cols>
          <w:pgMar w:left="238" w:top="237" w:right="319" w:bottom="1440" w:gutter="0" w:footer="0" w:header="0"/>
          <w:type w:val="continuous"/>
        </w:sectPr>
      </w:pPr>
    </w:p>
    <w:p>
      <w:pPr>
        <w:spacing w:after="0" w:line="171" w:lineRule="exact"/>
        <w:rPr>
          <w:sz w:val="24"/>
          <w:szCs w:val="24"/>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5" w:lineRule="exact"/>
        <w:rPr>
          <w:rFonts w:ascii="MS PGothic" w:cs="MS PGothic" w:eastAsia="MS PGothic" w:hAnsi="MS PGothic"/>
          <w:sz w:val="16"/>
          <w:szCs w:val="16"/>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63" w:lineRule="exact"/>
        <w:rPr>
          <w:rFonts w:ascii="MS PGothic" w:cs="MS PGothic" w:eastAsia="MS PGothic" w:hAnsi="MS PGothic"/>
          <w:sz w:val="16"/>
          <w:szCs w:val="16"/>
          <w:color w:val="auto"/>
        </w:rPr>
      </w:pPr>
    </w:p>
    <w:p>
      <w:pPr>
        <w:ind w:left="2"/>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127" w:lineRule="exact"/>
        <w:rPr>
          <w:rFonts w:ascii="MS PGothic" w:cs="MS PGothic" w:eastAsia="MS PGothic" w:hAnsi="MS PGothic"/>
          <w:sz w:val="16"/>
          <w:szCs w:val="16"/>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5" w:lineRule="exact"/>
        <w:rPr>
          <w:rFonts w:ascii="MS PGothic" w:cs="MS PGothic" w:eastAsia="MS PGothic" w:hAnsi="MS PGothic"/>
          <w:sz w:val="16"/>
          <w:szCs w:val="16"/>
          <w:color w:val="auto"/>
        </w:rPr>
      </w:pPr>
    </w:p>
    <w:p>
      <w:pPr>
        <w:ind w:left="462" w:hanging="462"/>
        <w:spacing w:after="0"/>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306" w:lineRule="exact"/>
        <w:rPr>
          <w:sz w:val="24"/>
          <w:szCs w:val="24"/>
          <w:color w:val="auto"/>
        </w:rPr>
      </w:pPr>
    </w:p>
    <w:p>
      <w:pPr>
        <w:jc w:val="center"/>
        <w:ind w:right="-101"/>
        <w:spacing w:after="0"/>
        <w:rPr>
          <w:sz w:val="20"/>
          <w:szCs w:val="20"/>
          <w:color w:val="auto"/>
        </w:rPr>
      </w:pPr>
      <w:r>
        <w:rPr>
          <w:rFonts w:ascii="Arial" w:cs="Arial" w:eastAsia="Arial" w:hAnsi="Arial"/>
          <w:sz w:val="39"/>
          <w:szCs w:val="39"/>
          <w:b w:val="1"/>
          <w:bCs w:val="1"/>
          <w:color w:val="auto"/>
        </w:rPr>
        <w:t>The Toro Company</w:t>
      </w:r>
    </w:p>
    <w:p>
      <w:pPr>
        <w:spacing w:after="0" w:line="54" w:lineRule="exact"/>
        <w:rPr>
          <w:sz w:val="24"/>
          <w:szCs w:val="24"/>
          <w:color w:val="auto"/>
        </w:rPr>
      </w:pPr>
    </w:p>
    <w:p>
      <w:pPr>
        <w:jc w:val="center"/>
        <w:ind w:right="-101"/>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96" w:lineRule="exact"/>
        <w:rPr>
          <w:sz w:val="24"/>
          <w:szCs w:val="24"/>
          <w:color w:val="auto"/>
        </w:rPr>
      </w:pPr>
    </w:p>
    <w:p>
      <w:pPr>
        <w:ind w:left="2"/>
        <w:spacing w:after="0"/>
        <w:rPr>
          <w:sz w:val="20"/>
          <w:szCs w:val="20"/>
          <w:color w:val="auto"/>
        </w:rPr>
      </w:pPr>
      <w:r>
        <w:rPr>
          <w:rFonts w:ascii="Arial" w:cs="Arial" w:eastAsia="Arial" w:hAnsi="Arial"/>
          <w:sz w:val="16"/>
          <w:szCs w:val="16"/>
          <w:color w:val="auto"/>
        </w:rPr>
        <w:t>Payment of Filing Fee (Check the appropriate box):</w:t>
      </w:r>
    </w:p>
    <w:p>
      <w:pPr>
        <w:spacing w:after="0" w:line="171" w:lineRule="exact"/>
        <w:rPr>
          <w:sz w:val="24"/>
          <w:szCs w:val="24"/>
          <w:color w:val="auto"/>
        </w:rPr>
      </w:pPr>
    </w:p>
    <w:p>
      <w:pPr>
        <w:ind w:left="462" w:hanging="462"/>
        <w:spacing w:after="0"/>
        <w:tabs>
          <w:tab w:leader="none" w:pos="462"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98" w:lineRule="exact"/>
        <w:rPr>
          <w:sz w:val="24"/>
          <w:szCs w:val="24"/>
          <w:color w:val="auto"/>
        </w:rPr>
      </w:pPr>
    </w:p>
    <w:p>
      <w:pPr>
        <w:ind w:left="462" w:hanging="462"/>
        <w:spacing w:after="0"/>
        <w:tabs>
          <w:tab w:leader="none" w:pos="46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97" w:lineRule="exact"/>
        <w:rPr>
          <w:rFonts w:ascii="MS PGothic" w:cs="MS PGothic" w:eastAsia="MS PGothic" w:hAnsi="MS PGothic"/>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73"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48" w:lineRule="exact"/>
        <w:rPr>
          <w:rFonts w:ascii="Arial" w:cs="Arial" w:eastAsia="Arial" w:hAnsi="Arial"/>
          <w:sz w:val="16"/>
          <w:szCs w:val="16"/>
          <w:color w:val="auto"/>
        </w:rPr>
      </w:pPr>
    </w:p>
    <w:p>
      <w:pPr>
        <w:ind w:left="902" w:hanging="449"/>
        <w:spacing w:after="0" w:line="255" w:lineRule="auto"/>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5"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48"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95" w:lineRule="exact"/>
        <w:rPr>
          <w:rFonts w:ascii="Arial" w:cs="Arial" w:eastAsia="Arial" w:hAnsi="Arial"/>
          <w:sz w:val="16"/>
          <w:szCs w:val="16"/>
          <w:color w:val="auto"/>
        </w:rPr>
      </w:pPr>
    </w:p>
    <w:p>
      <w:pPr>
        <w:ind w:left="462" w:hanging="462"/>
        <w:spacing w:after="0"/>
        <w:tabs>
          <w:tab w:leader="none" w:pos="46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9" w:lineRule="exact"/>
        <w:rPr>
          <w:rFonts w:ascii="MS PGothic" w:cs="MS PGothic" w:eastAsia="MS PGothic" w:hAnsi="MS PGothic"/>
          <w:sz w:val="16"/>
          <w:szCs w:val="16"/>
          <w:color w:val="auto"/>
        </w:rPr>
      </w:pPr>
    </w:p>
    <w:p>
      <w:pPr>
        <w:ind w:left="462" w:right="540" w:hanging="462"/>
        <w:spacing w:after="0" w:line="255" w:lineRule="auto"/>
        <w:tabs>
          <w:tab w:leader="none" w:pos="46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3" w:lineRule="exact"/>
        <w:rPr>
          <w:rFonts w:ascii="MS PGothic" w:cs="MS PGothic" w:eastAsia="MS PGothic" w:hAnsi="MS PGothic"/>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61"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73"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61" w:lineRule="exact"/>
        <w:rPr>
          <w:rFonts w:ascii="Arial" w:cs="Arial" w:eastAsia="Arial" w:hAnsi="Arial"/>
          <w:sz w:val="16"/>
          <w:szCs w:val="16"/>
          <w:color w:val="auto"/>
        </w:rPr>
      </w:pPr>
    </w:p>
    <w:p>
      <w:pPr>
        <w:ind w:left="902" w:hanging="449"/>
        <w:spacing w:after="0"/>
        <w:tabs>
          <w:tab w:leader="none" w:pos="902"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wp:posOffset>
            </wp:positionH>
            <wp:positionV relativeFrom="paragraph">
              <wp:posOffset>-1944370</wp:posOffset>
            </wp:positionV>
            <wp:extent cx="69945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-1796415</wp:posOffset>
            </wp:positionV>
            <wp:extent cx="69945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-1531620</wp:posOffset>
            </wp:positionV>
            <wp:extent cx="69945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-1383665</wp:posOffset>
            </wp:positionV>
            <wp:extent cx="69945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-1236345</wp:posOffset>
            </wp:positionV>
            <wp:extent cx="69945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-450215</wp:posOffset>
            </wp:positionV>
            <wp:extent cx="69945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-294640</wp:posOffset>
            </wp:positionV>
            <wp:extent cx="69945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-131445</wp:posOffset>
            </wp:positionV>
            <wp:extent cx="69945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4525" cy="762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54610</wp:posOffset>
            </wp:positionV>
            <wp:extent cx="70027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78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610235</wp:posOffset>
            </wp:positionV>
            <wp:extent cx="729996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42"/>
          </w:cols>
          <w:pgMar w:left="238" w:top="237"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64"/>
          <w:szCs w:val="64"/>
          <w:b w:val="1"/>
          <w:bCs w:val="1"/>
          <w:color w:val="C00000"/>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42"/>
          <w:szCs w:val="42"/>
          <w:color w:val="auto"/>
        </w:rPr>
        <w:t>NOTICE OF 2020</w:t>
      </w:r>
    </w:p>
    <w:p>
      <w:pPr>
        <w:spacing w:after="0"/>
        <w:rPr>
          <w:sz w:val="20"/>
          <w:szCs w:val="20"/>
          <w:color w:val="auto"/>
        </w:rPr>
      </w:pPr>
      <w:r>
        <w:rPr>
          <w:rFonts w:ascii="Arial" w:cs="Arial" w:eastAsia="Arial" w:hAnsi="Arial"/>
          <w:sz w:val="42"/>
          <w:szCs w:val="42"/>
          <w:color w:val="auto"/>
        </w:rPr>
        <w:t>ANNUAL MEETING AND</w:t>
      </w:r>
    </w:p>
    <w:p>
      <w:pPr>
        <w:spacing w:after="0" w:line="102" w:lineRule="exact"/>
        <w:rPr>
          <w:sz w:val="20"/>
          <w:szCs w:val="20"/>
          <w:color w:val="auto"/>
        </w:rPr>
      </w:pPr>
    </w:p>
    <w:p>
      <w:pPr>
        <w:spacing w:after="0"/>
        <w:rPr>
          <w:sz w:val="20"/>
          <w:szCs w:val="20"/>
          <w:color w:val="auto"/>
        </w:rPr>
      </w:pPr>
      <w:r>
        <w:rPr>
          <w:rFonts w:ascii="Arial" w:cs="Arial" w:eastAsia="Arial" w:hAnsi="Arial"/>
          <w:sz w:val="59"/>
          <w:szCs w:val="59"/>
          <w:color w:val="auto"/>
        </w:rPr>
        <w:t>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39"/>
          <w:szCs w:val="39"/>
          <w:color w:val="auto"/>
        </w:rPr>
        <w:t>FOR MARCH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3452495</wp:posOffset>
            </wp:positionV>
            <wp:extent cx="729996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960" cy="41275"/>
                    </a:xfrm>
                    <a:prstGeom prst="rect">
                      <a:avLst/>
                    </a:prstGeom>
                    <a:noFill/>
                  </pic:spPr>
                </pic:pic>
              </a:graphicData>
            </a:graphic>
          </wp:anchor>
        </w:drawing>
        <w:drawing>
          <wp:anchor simplePos="0" relativeHeight="251657728" behindDoc="1" locked="0" layoutInCell="0" allowOverlap="1">
            <wp:simplePos x="0" y="0"/>
            <wp:positionH relativeFrom="column">
              <wp:posOffset>1017905</wp:posOffset>
            </wp:positionH>
            <wp:positionV relativeFrom="paragraph">
              <wp:posOffset>1489075</wp:posOffset>
            </wp:positionV>
            <wp:extent cx="5220970" cy="1571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0970" cy="157162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311150</wp:posOffset>
            </wp:positionV>
            <wp:extent cx="1104900" cy="739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4900" cy="73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Worldwide Headquarters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Bloomington, MN 55420-1196</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952-888-8801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February 4, 2020</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96" w:lineRule="exact"/>
        <w:rPr>
          <w:sz w:val="20"/>
          <w:szCs w:val="20"/>
          <w:color w:val="auto"/>
        </w:rPr>
      </w:pPr>
    </w:p>
    <w:p>
      <w:pPr>
        <w:ind w:right="280" w:firstLine="408"/>
        <w:spacing w:after="0" w:line="255" w:lineRule="auto"/>
        <w:rPr>
          <w:sz w:val="20"/>
          <w:szCs w:val="20"/>
          <w:color w:val="auto"/>
        </w:rPr>
      </w:pPr>
      <w:r>
        <w:rPr>
          <w:rFonts w:ascii="Arial" w:cs="Arial" w:eastAsia="Arial" w:hAnsi="Arial"/>
          <w:sz w:val="16"/>
          <w:szCs w:val="16"/>
          <w:color w:val="auto"/>
        </w:rPr>
        <w:t>It is my pleasure to invite you to join us for The Toro Company 2020 Annual Meeting of Shareholders to be held on Tuesday, March 17, 2020, at 1:30 p.m., Central Daylight Time, at our worldwide headquarters in Bloomington, Minnesota.</w:t>
      </w:r>
    </w:p>
    <w:p>
      <w:pPr>
        <w:spacing w:after="0" w:line="173" w:lineRule="exact"/>
        <w:rPr>
          <w:sz w:val="20"/>
          <w:szCs w:val="20"/>
          <w:color w:val="auto"/>
        </w:rPr>
      </w:pPr>
    </w:p>
    <w:p>
      <w:pPr>
        <w:ind w:right="20" w:firstLine="408"/>
        <w:spacing w:after="0" w:line="244" w:lineRule="auto"/>
        <w:rPr>
          <w:sz w:val="20"/>
          <w:szCs w:val="20"/>
          <w:color w:val="auto"/>
        </w:rPr>
      </w:pPr>
      <w:r>
        <w:rPr>
          <w:rFonts w:ascii="Arial" w:cs="Arial" w:eastAsia="Arial" w:hAnsi="Arial"/>
          <w:sz w:val="16"/>
          <w:szCs w:val="16"/>
          <w:color w:val="auto"/>
        </w:rPr>
        <w:t>Fiscal 2019 was an exciting year for The Toro Company. We exceeded the $3 billion revenue milestone for the first time and completed the transformational acquisition of The Charles Machine Works, Inc. We believe we are well positioned for fiscal 2020 with strong business fundamentals, innovative new products and investments in alternative energy sources, smart-connected products and autonomous technologies designed to meet the needs of our customers.</w:t>
      </w:r>
    </w:p>
    <w:p>
      <w:pPr>
        <w:spacing w:after="0" w:line="183" w:lineRule="exact"/>
        <w:rPr>
          <w:sz w:val="20"/>
          <w:szCs w:val="20"/>
          <w:color w:val="auto"/>
        </w:rPr>
      </w:pPr>
    </w:p>
    <w:p>
      <w:pPr>
        <w:ind w:right="80" w:firstLine="408"/>
        <w:spacing w:after="0" w:line="247" w:lineRule="auto"/>
        <w:rPr>
          <w:sz w:val="20"/>
          <w:szCs w:val="20"/>
          <w:color w:val="auto"/>
        </w:rPr>
      </w:pPr>
      <w:r>
        <w:rPr>
          <w:rFonts w:ascii="Arial" w:cs="Arial" w:eastAsia="Arial" w:hAnsi="Arial"/>
          <w:sz w:val="16"/>
          <w:szCs w:val="16"/>
          <w:color w:val="auto"/>
        </w:rPr>
        <w:t>Details about the annual meeting, nominees for election to the Board of Directors and other matters to be acted on at the annual meeting are presented in the notice and proxy statement that follow. Information regarding admission to the meeting, or listening to a live, audio webcast of the meeting if you are unable to attend in person, can be found on page 4 of the proxy statement.</w:t>
      </w:r>
    </w:p>
    <w:p>
      <w:pPr>
        <w:spacing w:after="0" w:line="179" w:lineRule="exact"/>
        <w:rPr>
          <w:sz w:val="20"/>
          <w:szCs w:val="20"/>
          <w:color w:val="auto"/>
        </w:rPr>
      </w:pPr>
    </w:p>
    <w:p>
      <w:pPr>
        <w:jc w:val="both"/>
        <w:ind w:firstLine="408"/>
        <w:spacing w:after="0" w:line="247"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you hold and whether or not you plan to attend the meeting in person.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behalf of your Toro Board of Directors and Management, thank you for your continued interest in and support for our Company.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1322705" cy="451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2705"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color w:val="C00000"/>
        </w:rPr>
        <w:t>RICHARD M. OLSON</w:t>
      </w:r>
    </w:p>
    <w:p>
      <w:pPr>
        <w:ind w:left="20"/>
        <w:spacing w:after="0"/>
        <w:rPr>
          <w:sz w:val="20"/>
          <w:szCs w:val="20"/>
          <w:color w:val="auto"/>
        </w:rPr>
      </w:pPr>
      <w:r>
        <w:rPr>
          <w:rFonts w:ascii="Arial" w:cs="Arial" w:eastAsia="Arial" w:hAnsi="Arial"/>
          <w:sz w:val="16"/>
          <w:szCs w:val="16"/>
          <w:color w:val="auto"/>
        </w:rPr>
        <w:t>Chairman of the Board, President and CEO</w:t>
      </w:r>
    </w:p>
    <w:p>
      <w:pPr>
        <w:spacing w:after="0" w:line="372" w:lineRule="exact"/>
        <w:rPr>
          <w:sz w:val="20"/>
          <w:szCs w:val="20"/>
          <w:color w:val="auto"/>
        </w:rPr>
      </w:pPr>
    </w:p>
    <w:p>
      <w:pPr>
        <w:jc w:val="center"/>
        <w:ind w:left="280" w:right="2360"/>
        <w:spacing w:after="0" w:line="250" w:lineRule="auto"/>
        <w:rPr>
          <w:sz w:val="20"/>
          <w:szCs w:val="20"/>
          <w:color w:val="auto"/>
        </w:rPr>
      </w:pPr>
      <w:r>
        <w:rPr>
          <w:rFonts w:ascii="Arial" w:cs="Arial" w:eastAsia="Arial" w:hAnsi="Arial"/>
          <w:sz w:val="16"/>
          <w:szCs w:val="16"/>
          <w:b w:val="1"/>
          <w:bCs w:val="1"/>
          <w:color w:val="C00000"/>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right"/>
        <w:ind w:right="445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186690</wp:posOffset>
            </wp:positionV>
            <wp:extent cx="1104900" cy="739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4900" cy="73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C00000"/>
        </w:rPr>
        <w:t>NOTICE OF 2020 ANNUAL MEETING OF SHAREHOLDERS</w:t>
      </w:r>
    </w:p>
    <w:p>
      <w:pPr>
        <w:sectPr>
          <w:pgSz w:w="11900" w:h="16838" w:orient="portrait"/>
          <w:cols w:equalWidth="0" w:num="1">
            <w:col w:w="11420"/>
          </w:cols>
          <w:pgMar w:left="240" w:top="140" w:right="2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Tuesday, March 17, 2020</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1:30 p.m., Central Daylight Time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8111 Lyndale Avenue South, Bloomington, Minnesota, 55420-1196</w:t>
      </w:r>
    </w:p>
    <w:p>
      <w:pPr>
        <w:spacing w:after="0" w:line="200" w:lineRule="exact"/>
        <w:rPr>
          <w:sz w:val="20"/>
          <w:szCs w:val="20"/>
          <w:color w:val="auto"/>
        </w:rPr>
      </w:pPr>
    </w:p>
    <w:p>
      <w:pPr>
        <w:sectPr>
          <w:pgSz w:w="11900" w:h="16838" w:orient="portrait"/>
          <w:cols w:equalWidth="0" w:num="2">
            <w:col w:w="740" w:space="560"/>
            <w:col w:w="10120"/>
          </w:cols>
          <w:pgMar w:left="240" w:top="140" w:right="23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Webcast: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www.thetorocompany.com</w:t>
      </w:r>
    </w:p>
    <w:p>
      <w:pPr>
        <w:spacing w:after="0" w:line="200" w:lineRule="exact"/>
        <w:rPr>
          <w:sz w:val="20"/>
          <w:szCs w:val="20"/>
          <w:color w:val="auto"/>
        </w:rPr>
      </w:pPr>
    </w:p>
    <w:p>
      <w:pPr>
        <w:sectPr>
          <w:pgSz w:w="11900" w:h="16838" w:orient="portrait"/>
          <w:cols w:equalWidth="0" w:num="2">
            <w:col w:w="720" w:space="580"/>
            <w:col w:w="10120"/>
          </w:cols>
          <w:pgMar w:left="240" w:top="140" w:right="239" w:bottom="1440" w:gutter="0" w:footer="0" w:header="0"/>
          <w:type w:val="continuous"/>
        </w:sectPr>
      </w:pPr>
    </w:p>
    <w:p>
      <w:pPr>
        <w:spacing w:after="0" w:line="106" w:lineRule="exact"/>
        <w:rPr>
          <w:sz w:val="20"/>
          <w:szCs w:val="20"/>
          <w:color w:val="auto"/>
        </w:rPr>
      </w:pPr>
    </w:p>
    <w:p>
      <w:pPr>
        <w:ind w:left="1300" w:right="220" w:hanging="1604"/>
        <w:spacing w:after="0" w:line="255" w:lineRule="auto"/>
        <w:tabs>
          <w:tab w:leader="none" w:pos="1280" w:val="left"/>
        </w:tabs>
        <w:rPr>
          <w:sz w:val="20"/>
          <w:szCs w:val="20"/>
          <w:color w:val="auto"/>
        </w:rPr>
      </w:pPr>
      <w:r>
        <w:rPr>
          <w:rFonts w:ascii="Arial" w:cs="Arial" w:eastAsia="Arial" w:hAnsi="Arial"/>
          <w:sz w:val="16"/>
          <w:szCs w:val="16"/>
          <w:b w:val="1"/>
          <w:bCs w:val="1"/>
          <w:color w:val="auto"/>
        </w:rPr>
        <w:t>Agenda:</w:t>
      </w:r>
      <w:r>
        <w:rPr>
          <w:sz w:val="20"/>
          <w:szCs w:val="20"/>
          <w:color w:val="auto"/>
        </w:rPr>
        <w:tab/>
      </w:r>
      <w:r>
        <w:rPr>
          <w:rFonts w:ascii="Arial" w:cs="Arial" w:eastAsia="Arial" w:hAnsi="Arial"/>
          <w:sz w:val="16"/>
          <w:szCs w:val="16"/>
          <w:color w:val="C00000"/>
        </w:rPr>
        <w:t xml:space="preserve">1. </w:t>
      </w:r>
      <w:r>
        <w:rPr>
          <w:rFonts w:ascii="Arial" w:cs="Arial" w:eastAsia="Arial" w:hAnsi="Arial"/>
          <w:sz w:val="16"/>
          <w:szCs w:val="16"/>
          <w:color w:val="000000"/>
        </w:rPr>
        <w:t>To elect as directors the three nominees named in the attached proxy statement, each to serve for a term of three years ending at the</w:t>
      </w:r>
      <w:r>
        <w:rPr>
          <w:rFonts w:ascii="Arial" w:cs="Arial" w:eastAsia="Arial" w:hAnsi="Arial"/>
          <w:sz w:val="16"/>
          <w:szCs w:val="16"/>
          <w:color w:val="C00000"/>
        </w:rPr>
        <w:t xml:space="preserve"> </w:t>
      </w:r>
      <w:r>
        <w:rPr>
          <w:rFonts w:ascii="Arial" w:cs="Arial" w:eastAsia="Arial" w:hAnsi="Arial"/>
          <w:sz w:val="16"/>
          <w:szCs w:val="16"/>
          <w:color w:val="000000"/>
        </w:rPr>
        <w:t>2023 Annual Meeting of Shareholders;</w:t>
      </w:r>
    </w:p>
    <w:p>
      <w:pPr>
        <w:spacing w:after="0" w:line="58" w:lineRule="exact"/>
        <w:rPr>
          <w:sz w:val="20"/>
          <w:szCs w:val="20"/>
          <w:color w:val="auto"/>
        </w:rPr>
      </w:pPr>
    </w:p>
    <w:p>
      <w:pPr>
        <w:ind w:left="1580" w:hanging="271"/>
        <w:spacing w:after="0"/>
        <w:tabs>
          <w:tab w:leader="none" w:pos="1580" w:val="left"/>
        </w:tabs>
        <w:numPr>
          <w:ilvl w:val="0"/>
          <w:numId w:val="4"/>
        </w:numPr>
        <w:rPr>
          <w:rFonts w:ascii="Arial" w:cs="Arial" w:eastAsia="Arial" w:hAnsi="Arial"/>
          <w:sz w:val="16"/>
          <w:szCs w:val="16"/>
          <w:color w:val="C00000"/>
        </w:rPr>
      </w:pPr>
      <w:r>
        <w:rPr>
          <w:rFonts w:ascii="Arial" w:cs="Arial" w:eastAsia="Arial" w:hAnsi="Arial"/>
          <w:sz w:val="16"/>
          <w:szCs w:val="16"/>
          <w:color w:val="auto"/>
        </w:rPr>
        <w:t>To ratify the selection of KPMG LLP as our independent registered public accounting firm for our fiscal year ending October 31, 2020;</w:t>
      </w:r>
    </w:p>
    <w:p>
      <w:pPr>
        <w:spacing w:after="0" w:line="73" w:lineRule="exact"/>
        <w:rPr>
          <w:rFonts w:ascii="Arial" w:cs="Arial" w:eastAsia="Arial" w:hAnsi="Arial"/>
          <w:sz w:val="16"/>
          <w:szCs w:val="16"/>
          <w:color w:val="C00000"/>
        </w:rPr>
      </w:pPr>
    </w:p>
    <w:p>
      <w:pPr>
        <w:ind w:left="1580" w:hanging="271"/>
        <w:spacing w:after="0"/>
        <w:tabs>
          <w:tab w:leader="none" w:pos="1580" w:val="left"/>
        </w:tabs>
        <w:numPr>
          <w:ilvl w:val="0"/>
          <w:numId w:val="4"/>
        </w:numPr>
        <w:rPr>
          <w:rFonts w:ascii="Arial" w:cs="Arial" w:eastAsia="Arial" w:hAnsi="Arial"/>
          <w:sz w:val="16"/>
          <w:szCs w:val="16"/>
          <w:color w:val="C00000"/>
        </w:rPr>
      </w:pPr>
      <w:r>
        <w:rPr>
          <w:rFonts w:ascii="Arial" w:cs="Arial" w:eastAsia="Arial" w:hAnsi="Arial"/>
          <w:sz w:val="16"/>
          <w:szCs w:val="16"/>
          <w:color w:val="auto"/>
        </w:rPr>
        <w:t>To approve, on an advisory basis, our executive compensation; and</w:t>
      </w:r>
    </w:p>
    <w:p>
      <w:pPr>
        <w:spacing w:after="0" w:line="73" w:lineRule="exact"/>
        <w:rPr>
          <w:rFonts w:ascii="Arial" w:cs="Arial" w:eastAsia="Arial" w:hAnsi="Arial"/>
          <w:sz w:val="16"/>
          <w:szCs w:val="16"/>
          <w:color w:val="C00000"/>
        </w:rPr>
      </w:pPr>
    </w:p>
    <w:p>
      <w:pPr>
        <w:ind w:left="1580" w:hanging="271"/>
        <w:spacing w:after="0"/>
        <w:tabs>
          <w:tab w:leader="none" w:pos="1580" w:val="left"/>
        </w:tabs>
        <w:numPr>
          <w:ilvl w:val="0"/>
          <w:numId w:val="4"/>
        </w:numPr>
        <w:rPr>
          <w:rFonts w:ascii="Arial" w:cs="Arial" w:eastAsia="Arial" w:hAnsi="Arial"/>
          <w:sz w:val="16"/>
          <w:szCs w:val="16"/>
          <w:color w:val="C00000"/>
        </w:rPr>
      </w:pPr>
      <w:r>
        <w:rPr>
          <w:rFonts w:ascii="Arial" w:cs="Arial" w:eastAsia="Arial" w:hAnsi="Arial"/>
          <w:sz w:val="16"/>
          <w:szCs w:val="16"/>
          <w:color w:val="auto"/>
        </w:rPr>
        <w:t>To transact any other business properly brought before the annual meeting or any adjournment or postponement of the annual meeting.</w:t>
      </w:r>
    </w:p>
    <w:p>
      <w:pPr>
        <w:spacing w:after="0" w:line="122" w:lineRule="exact"/>
        <w:rPr>
          <w:sz w:val="20"/>
          <w:szCs w:val="20"/>
          <w:color w:val="auto"/>
        </w:rPr>
      </w:pPr>
    </w:p>
    <w:p>
      <w:pPr>
        <w:jc w:val="both"/>
        <w:ind w:right="160" w:firstLine="408"/>
        <w:spacing w:after="0" w:line="244" w:lineRule="auto"/>
        <w:rPr>
          <w:sz w:val="20"/>
          <w:szCs w:val="20"/>
          <w:color w:val="auto"/>
        </w:rPr>
      </w:pPr>
      <w:r>
        <w:rPr>
          <w:rFonts w:ascii="Arial" w:cs="Arial" w:eastAsia="Arial" w:hAnsi="Arial"/>
          <w:sz w:val="16"/>
          <w:szCs w:val="16"/>
          <w:color w:val="auto"/>
        </w:rPr>
        <w:t>We currently are not aware of any other business to be brought before the annual meeting. Shareholders of record at the close of business on January 21, 2020, the record date, will be entitled to vote at the annual meeting or at any adjournment or postponement of the annual meeting. A shareholder list will be available at our corporate offices beginning March 6, 2020, during our normal business hours for examination by any shareholder registered on our stock ledger as of the record date for any purpose germane to the annual meeting.</w:t>
      </w:r>
    </w:p>
    <w:p>
      <w:pPr>
        <w:spacing w:after="0" w:line="85" w:lineRule="exact"/>
        <w:rPr>
          <w:sz w:val="20"/>
          <w:szCs w:val="20"/>
          <w:color w:val="auto"/>
        </w:rPr>
      </w:pPr>
    </w:p>
    <w:p>
      <w:pPr>
        <w:ind w:firstLine="408"/>
        <w:spacing w:after="0" w:line="244" w:lineRule="auto"/>
        <w:rPr>
          <w:sz w:val="20"/>
          <w:szCs w:val="20"/>
          <w:color w:val="auto"/>
        </w:rPr>
      </w:pPr>
      <w:r>
        <w:rPr>
          <w:rFonts w:ascii="Arial" w:cs="Arial" w:eastAsia="Arial" w:hAnsi="Arial"/>
          <w:sz w:val="16"/>
          <w:szCs w:val="16"/>
          <w:color w:val="auto"/>
        </w:rPr>
        <w:t>Your vote is important. A majority of the outstanding shares of our common stock must be represented either in person or by proxy to constitute a quorum for the conduct of business. Please promptly vote your shares by following the instructions for voting contained in the Notice Regarding the Availability of Proxy Materials or, if you received a paper or electronic copy of our proxy materials, by completing, signing, dating and returning your proxy card or by Internet, telephone or mobile device voting as described on your proxy card.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February 4, 2020</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132715</wp:posOffset>
            </wp:positionV>
            <wp:extent cx="1229360" cy="396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29360"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color w:val="C00000"/>
        </w:rPr>
        <w:t>AMY E. DAHL</w:t>
      </w:r>
    </w:p>
    <w:p>
      <w:pPr>
        <w:ind w:left="20"/>
        <w:spacing w:after="0"/>
        <w:rPr>
          <w:sz w:val="20"/>
          <w:szCs w:val="20"/>
          <w:color w:val="auto"/>
        </w:rPr>
      </w:pPr>
      <w:r>
        <w:rPr>
          <w:rFonts w:ascii="Arial" w:cs="Arial" w:eastAsia="Arial" w:hAnsi="Arial"/>
          <w:sz w:val="16"/>
          <w:szCs w:val="16"/>
          <w:color w:val="auto"/>
        </w:rPr>
        <w:t>Vice President, Human Resources, Distributor Development and</w:t>
      </w:r>
    </w:p>
    <w:p>
      <w:pPr>
        <w:ind w:left="320"/>
        <w:spacing w:after="0"/>
        <w:rPr>
          <w:sz w:val="20"/>
          <w:szCs w:val="20"/>
          <w:color w:val="auto"/>
        </w:rPr>
      </w:pPr>
      <w:r>
        <w:rPr>
          <w:rFonts w:ascii="Arial" w:cs="Arial" w:eastAsia="Arial" w:hAnsi="Arial"/>
          <w:sz w:val="16"/>
          <w:szCs w:val="16"/>
          <w:color w:val="auto"/>
        </w:rPr>
        <w:t>General Counsel and Corporate Secretary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Borders>
              <w:bottom w:val="single" w:sz="8" w:color="0000EE"/>
            </w:tcBorders>
            <w:gridSpan w:val="1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LETTER TO SHAREHOLDERS</w:t>
              </w:r>
            </w:hyperlink>
          </w:p>
        </w:tc>
        <w:tc>
          <w:tcPr>
            <w:tcW w:w="8220" w:type="dxa"/>
            <w:vAlign w:val="bottom"/>
            <w:gridSpan w:val="28"/>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i</w:t>
            </w:r>
          </w:p>
        </w:tc>
      </w:tr>
      <w:tr>
        <w:trPr>
          <w:trHeight w:val="225"/>
        </w:trPr>
        <w:tc>
          <w:tcPr>
            <w:tcW w:w="10520" w:type="dxa"/>
            <w:vAlign w:val="bottom"/>
            <w:gridSpan w:val="3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NOTICE OF 2020 ANNUAL MEETING OF SHAREHOLDERS</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iii</w:t>
            </w:r>
          </w:p>
        </w:tc>
      </w:tr>
      <w:tr>
        <w:trPr>
          <w:trHeight w:val="20"/>
        </w:trPr>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5"/>
        </w:trPr>
        <w:tc>
          <w:tcPr>
            <w:tcW w:w="10520" w:type="dxa"/>
            <w:vAlign w:val="bottom"/>
            <w:gridSpan w:val="3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THE TORO COMPANY HIGHLIGHTS AND PROXY STATEMENT EXECUTIVE SUMMARY</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vii</w:t>
            </w:r>
          </w:p>
        </w:tc>
      </w:tr>
      <w:tr>
        <w:trPr>
          <w:trHeight w:val="225"/>
        </w:trPr>
        <w:tc>
          <w:tcPr>
            <w:tcW w:w="15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9"/>
              </w:rPr>
            </w:pPr>
            <w:hyperlink w:anchor="page13">
              <w:r>
                <w:rPr>
                  <w:rFonts w:ascii="Arial" w:cs="Arial" w:eastAsia="Arial" w:hAnsi="Arial"/>
                  <w:sz w:val="16"/>
                  <w:szCs w:val="16"/>
                  <w:color w:val="0000EE"/>
                  <w:w w:val="99"/>
                </w:rPr>
                <w:t>PROXY STATEMENT</w:t>
              </w:r>
            </w:hyperlink>
          </w:p>
        </w:tc>
        <w:tc>
          <w:tcPr>
            <w:tcW w:w="5020" w:type="dxa"/>
            <w:vAlign w:val="bottom"/>
            <w:tcBorders>
              <w:top w:val="single" w:sz="8" w:color="0000EE"/>
            </w:tcBorders>
            <w:gridSpan w:val="30"/>
          </w:tcPr>
          <w:p>
            <w:pPr>
              <w:spacing w:after="0"/>
              <w:rPr>
                <w:sz w:val="19"/>
                <w:szCs w:val="19"/>
                <w:color w:val="auto"/>
              </w:rPr>
            </w:pPr>
          </w:p>
        </w:tc>
        <w:tc>
          <w:tcPr>
            <w:tcW w:w="3920" w:type="dxa"/>
            <w:vAlign w:val="bottom"/>
            <w:gridSpan w:val="6"/>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25"/>
        </w:trPr>
        <w:tc>
          <w:tcPr>
            <w:tcW w:w="10520" w:type="dxa"/>
            <w:vAlign w:val="bottom"/>
            <w:gridSpan w:val="3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GENERAL INFORMATION ABOUT THE 2020 ANNUAL MEETING AND VOTING</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0"/>
        </w:trPr>
        <w:tc>
          <w:tcPr>
            <w:tcW w:w="3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9460" w:type="dxa"/>
            <w:vAlign w:val="bottom"/>
            <w:tcBorders>
              <w:bottom w:val="single" w:sz="8" w:color="0000EE"/>
            </w:tcBorders>
            <w:gridSpan w:val="36"/>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Important Notice Regarding the Availability of Proxy Materials for the Shareholder Meeting To Be Held on Tuesday, March 17, 2020</w:t>
              </w:r>
            </w:hyperlink>
          </w:p>
        </w:tc>
        <w:tc>
          <w:tcPr>
            <w:tcW w:w="7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When and Where Will the Annual Meeting Be Held?</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13"/>
        </w:trPr>
        <w:tc>
          <w:tcPr>
            <w:tcW w:w="320" w:type="dxa"/>
            <w:vAlign w:val="bottom"/>
          </w:tcPr>
          <w:p>
            <w:pPr>
              <w:spacing w:after="0"/>
              <w:rPr>
                <w:sz w:val="18"/>
                <w:szCs w:val="18"/>
                <w:color w:val="auto"/>
              </w:rPr>
            </w:pPr>
          </w:p>
        </w:tc>
        <w:tc>
          <w:tcPr>
            <w:tcW w:w="3420" w:type="dxa"/>
            <w:vAlign w:val="bottom"/>
            <w:tcBorders>
              <w:top w:val="single" w:sz="8" w:color="0000EE"/>
              <w:bottom w:val="single" w:sz="8" w:color="0000EE"/>
            </w:tcBorders>
            <w:gridSpan w:val="23"/>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What Are the Purposes of the Annual Meeting?</w:t>
              </w:r>
            </w:hyperlink>
          </w:p>
        </w:tc>
        <w:tc>
          <w:tcPr>
            <w:tcW w:w="320" w:type="dxa"/>
            <w:vAlign w:val="bottom"/>
            <w:tcBorders>
              <w:top w:val="single" w:sz="8" w:color="0000EE"/>
            </w:tcBorders>
            <w:gridSpan w:val="2"/>
          </w:tcPr>
          <w:p>
            <w:pPr>
              <w:spacing w:after="0"/>
              <w:rPr>
                <w:sz w:val="18"/>
                <w:szCs w:val="18"/>
                <w:color w:val="auto"/>
              </w:rPr>
            </w:pPr>
          </w:p>
        </w:tc>
        <w:tc>
          <w:tcPr>
            <w:tcW w:w="6460" w:type="dxa"/>
            <w:vAlign w:val="bottom"/>
            <w:gridSpan w:val="1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13"/>
        </w:trPr>
        <w:tc>
          <w:tcPr>
            <w:tcW w:w="320" w:type="dxa"/>
            <w:vAlign w:val="bottom"/>
          </w:tcPr>
          <w:p>
            <w:pPr>
              <w:spacing w:after="0"/>
              <w:rPr>
                <w:sz w:val="18"/>
                <w:szCs w:val="18"/>
                <w:color w:val="auto"/>
              </w:rPr>
            </w:pPr>
          </w:p>
        </w:tc>
        <w:tc>
          <w:tcPr>
            <w:tcW w:w="7860" w:type="dxa"/>
            <w:vAlign w:val="bottom"/>
            <w:tcBorders>
              <w:bottom w:val="single" w:sz="8" w:color="0000EE"/>
            </w:tcBorders>
            <w:gridSpan w:val="35"/>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Are There Any Matters To Be Voted On at the Annual Meeting that Are Not Included in this Proxy Statement?</w:t>
              </w:r>
            </w:hyperlink>
          </w:p>
        </w:tc>
        <w:tc>
          <w:tcPr>
            <w:tcW w:w="234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Who Is Entitled to Vote and How Many Shares Must Be Present to Hold the Annual Meeting?</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1</w:t>
            </w:r>
          </w:p>
        </w:tc>
      </w:tr>
      <w:tr>
        <w:trPr>
          <w:trHeight w:val="213"/>
        </w:trPr>
        <w:tc>
          <w:tcPr>
            <w:tcW w:w="320" w:type="dxa"/>
            <w:vAlign w:val="bottom"/>
          </w:tcPr>
          <w:p>
            <w:pPr>
              <w:spacing w:after="0"/>
              <w:rPr>
                <w:sz w:val="18"/>
                <w:szCs w:val="18"/>
                <w:color w:val="auto"/>
              </w:rPr>
            </w:pPr>
          </w:p>
        </w:tc>
        <w:tc>
          <w:tcPr>
            <w:tcW w:w="196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How Do I Vote My Shares?</w:t>
              </w:r>
            </w:hyperlink>
          </w:p>
        </w:tc>
        <w:tc>
          <w:tcPr>
            <w:tcW w:w="4740" w:type="dxa"/>
            <w:vAlign w:val="bottom"/>
            <w:tcBorders>
              <w:top w:val="single" w:sz="8" w:color="0000EE"/>
            </w:tcBorders>
            <w:gridSpan w:val="25"/>
          </w:tcPr>
          <w:p>
            <w:pPr>
              <w:spacing w:after="0"/>
              <w:rPr>
                <w:sz w:val="18"/>
                <w:szCs w:val="18"/>
                <w:color w:val="auto"/>
              </w:rPr>
            </w:pPr>
          </w:p>
        </w:tc>
        <w:tc>
          <w:tcPr>
            <w:tcW w:w="3500" w:type="dxa"/>
            <w:vAlign w:val="bottom"/>
            <w:gridSpan w:val="4"/>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2</w:t>
            </w:r>
          </w:p>
        </w:tc>
      </w:tr>
      <w:tr>
        <w:trPr>
          <w:trHeight w:val="213"/>
        </w:trPr>
        <w:tc>
          <w:tcPr>
            <w:tcW w:w="320" w:type="dxa"/>
            <w:vAlign w:val="bottom"/>
          </w:tcPr>
          <w:p>
            <w:pPr>
              <w:spacing w:after="0"/>
              <w:rPr>
                <w:sz w:val="18"/>
                <w:szCs w:val="18"/>
                <w:color w:val="auto"/>
              </w:rPr>
            </w:pPr>
          </w:p>
        </w:tc>
        <w:tc>
          <w:tcPr>
            <w:tcW w:w="6680" w:type="dxa"/>
            <w:vAlign w:val="bottom"/>
            <w:tcBorders>
              <w:bottom w:val="single" w:sz="8" w:color="0000EE"/>
            </w:tcBorders>
            <w:gridSpan w:val="32"/>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How Does the Board Recommend that I Vote and What Vote is Required for Each Proposal?</w:t>
              </w:r>
            </w:hyperlink>
          </w:p>
        </w:tc>
        <w:tc>
          <w:tcPr>
            <w:tcW w:w="3520" w:type="dxa"/>
            <w:vAlign w:val="bottom"/>
            <w:gridSpan w:val="5"/>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2</w:t>
            </w:r>
          </w:p>
        </w:tc>
      </w:tr>
      <w:tr>
        <w:trPr>
          <w:trHeight w:val="213"/>
        </w:trPr>
        <w:tc>
          <w:tcPr>
            <w:tcW w:w="320" w:type="dxa"/>
            <w:vAlign w:val="bottom"/>
          </w:tcPr>
          <w:p>
            <w:pPr>
              <w:spacing w:after="0"/>
              <w:rPr>
                <w:sz w:val="18"/>
                <w:szCs w:val="18"/>
                <w:color w:val="auto"/>
              </w:rPr>
            </w:pPr>
          </w:p>
        </w:tc>
        <w:tc>
          <w:tcPr>
            <w:tcW w:w="2260" w:type="dxa"/>
            <w:vAlign w:val="bottom"/>
            <w:tcBorders>
              <w:bottom w:val="single" w:sz="8" w:color="0000EE"/>
            </w:tcBorders>
            <w:gridSpan w:val="13"/>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How Will My Shares Be Voted?</w:t>
              </w:r>
            </w:hyperlink>
          </w:p>
        </w:tc>
        <w:tc>
          <w:tcPr>
            <w:tcW w:w="7940" w:type="dxa"/>
            <w:vAlign w:val="bottom"/>
            <w:gridSpan w:val="24"/>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3</w:t>
            </w:r>
          </w:p>
        </w:tc>
      </w:tr>
      <w:tr>
        <w:trPr>
          <w:trHeight w:val="213"/>
        </w:trPr>
        <w:tc>
          <w:tcPr>
            <w:tcW w:w="320" w:type="dxa"/>
            <w:vAlign w:val="bottom"/>
          </w:tcPr>
          <w:p>
            <w:pPr>
              <w:spacing w:after="0"/>
              <w:rPr>
                <w:sz w:val="18"/>
                <w:szCs w:val="18"/>
                <w:color w:val="auto"/>
              </w:rPr>
            </w:pPr>
          </w:p>
        </w:tc>
        <w:tc>
          <w:tcPr>
            <w:tcW w:w="5880" w:type="dxa"/>
            <w:vAlign w:val="bottom"/>
            <w:tcBorders>
              <w:bottom w:val="single" w:sz="8" w:color="0000EE"/>
            </w:tcBorders>
            <w:gridSpan w:val="30"/>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What Does It Mean If I Receive More Than One Notice or Set of Proxy Materials?</w:t>
              </w:r>
            </w:hyperlink>
          </w:p>
        </w:tc>
        <w:tc>
          <w:tcPr>
            <w:tcW w:w="4320" w:type="dxa"/>
            <w:vAlign w:val="bottom"/>
            <w:gridSpan w:val="7"/>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3</w:t>
            </w:r>
          </w:p>
        </w:tc>
      </w:tr>
      <w:tr>
        <w:trPr>
          <w:trHeight w:val="213"/>
        </w:trPr>
        <w:tc>
          <w:tcPr>
            <w:tcW w:w="320" w:type="dxa"/>
            <w:vAlign w:val="bottom"/>
          </w:tcPr>
          <w:p>
            <w:pPr>
              <w:spacing w:after="0"/>
              <w:rPr>
                <w:sz w:val="18"/>
                <w:szCs w:val="18"/>
                <w:color w:val="auto"/>
              </w:rPr>
            </w:pPr>
          </w:p>
        </w:tc>
        <w:tc>
          <w:tcPr>
            <w:tcW w:w="2900" w:type="dxa"/>
            <w:vAlign w:val="bottom"/>
            <w:tcBorders>
              <w:bottom w:val="single" w:sz="8" w:color="0000EE"/>
            </w:tcBorders>
            <w:gridSpan w:val="19"/>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How Can I Revoke or Change My Vote?</w:t>
              </w:r>
            </w:hyperlink>
          </w:p>
        </w:tc>
        <w:tc>
          <w:tcPr>
            <w:tcW w:w="7300" w:type="dxa"/>
            <w:vAlign w:val="bottom"/>
            <w:gridSpan w:val="18"/>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3</w:t>
            </w:r>
          </w:p>
        </w:tc>
      </w:tr>
      <w:tr>
        <w:trPr>
          <w:trHeight w:val="213"/>
        </w:trPr>
        <w:tc>
          <w:tcPr>
            <w:tcW w:w="320" w:type="dxa"/>
            <w:vAlign w:val="bottom"/>
          </w:tcPr>
          <w:p>
            <w:pPr>
              <w:spacing w:after="0"/>
              <w:rPr>
                <w:sz w:val="18"/>
                <w:szCs w:val="18"/>
                <w:color w:val="auto"/>
              </w:rPr>
            </w:pPr>
          </w:p>
        </w:tc>
        <w:tc>
          <w:tcPr>
            <w:tcW w:w="1940" w:type="dxa"/>
            <w:vAlign w:val="bottom"/>
            <w:tcBorders>
              <w:bottom w:val="single" w:sz="8" w:color="0000EE"/>
            </w:tcBorders>
            <w:gridSpan w:val="7"/>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Who Will Count the Votes?</w:t>
              </w:r>
            </w:hyperlink>
          </w:p>
        </w:tc>
        <w:tc>
          <w:tcPr>
            <w:tcW w:w="8260" w:type="dxa"/>
            <w:vAlign w:val="bottom"/>
            <w:gridSpan w:val="30"/>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4</w:t>
            </w: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How Will Business Be Conducted at the Annual Meeting?</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4</w:t>
            </w:r>
          </w:p>
        </w:tc>
      </w:tr>
      <w:tr>
        <w:trPr>
          <w:trHeight w:val="213"/>
        </w:trPr>
        <w:tc>
          <w:tcPr>
            <w:tcW w:w="320" w:type="dxa"/>
            <w:vAlign w:val="bottom"/>
          </w:tcPr>
          <w:p>
            <w:pPr>
              <w:spacing w:after="0"/>
              <w:rPr>
                <w:sz w:val="18"/>
                <w:szCs w:val="18"/>
                <w:color w:val="auto"/>
              </w:rPr>
            </w:pPr>
          </w:p>
        </w:tc>
        <w:tc>
          <w:tcPr>
            <w:tcW w:w="2820" w:type="dxa"/>
            <w:vAlign w:val="bottom"/>
            <w:tcBorders>
              <w:top w:val="single" w:sz="8" w:color="0000EE"/>
              <w:bottom w:val="single" w:sz="8" w:color="0000EE"/>
            </w:tcBorders>
            <w:gridSpan w:val="18"/>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How Can I Attend the Annual Meeting?</w:t>
              </w:r>
            </w:hyperlink>
          </w:p>
        </w:tc>
        <w:tc>
          <w:tcPr>
            <w:tcW w:w="1320" w:type="dxa"/>
            <w:vAlign w:val="bottom"/>
            <w:tcBorders>
              <w:top w:val="single" w:sz="8" w:color="0000EE"/>
            </w:tcBorders>
            <w:gridSpan w:val="9"/>
          </w:tcPr>
          <w:p>
            <w:pPr>
              <w:spacing w:after="0"/>
              <w:rPr>
                <w:sz w:val="18"/>
                <w:szCs w:val="18"/>
                <w:color w:val="auto"/>
              </w:rPr>
            </w:pPr>
          </w:p>
        </w:tc>
        <w:tc>
          <w:tcPr>
            <w:tcW w:w="6060" w:type="dxa"/>
            <w:vAlign w:val="bottom"/>
            <w:gridSpan w:val="10"/>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4</w:t>
            </w:r>
          </w:p>
        </w:tc>
      </w:tr>
      <w:tr>
        <w:trPr>
          <w:trHeight w:val="225"/>
        </w:trPr>
        <w:tc>
          <w:tcPr>
            <w:tcW w:w="3560" w:type="dxa"/>
            <w:vAlign w:val="bottom"/>
            <w:tcBorders>
              <w:bottom w:val="single" w:sz="8" w:color="0000EE"/>
            </w:tcBorders>
            <w:gridSpan w:val="22"/>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PROPOSAL ONE—ELECTION OF DIRECTORS</w:t>
              </w:r>
            </w:hyperlink>
          </w:p>
        </w:tc>
        <w:tc>
          <w:tcPr>
            <w:tcW w:w="6960" w:type="dxa"/>
            <w:vAlign w:val="bottom"/>
            <w:gridSpan w:val="16"/>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5</w:t>
            </w:r>
          </w:p>
        </w:tc>
      </w:tr>
      <w:tr>
        <w:trPr>
          <w:trHeight w:val="213"/>
        </w:trPr>
        <w:tc>
          <w:tcPr>
            <w:tcW w:w="320" w:type="dxa"/>
            <w:vAlign w:val="bottom"/>
          </w:tcPr>
          <w:p>
            <w:pPr>
              <w:spacing w:after="0"/>
              <w:rPr>
                <w:sz w:val="18"/>
                <w:szCs w:val="18"/>
                <w:color w:val="auto"/>
              </w:rPr>
            </w:pPr>
          </w:p>
        </w:tc>
        <w:tc>
          <w:tcPr>
            <w:tcW w:w="2700" w:type="dxa"/>
            <w:vAlign w:val="bottom"/>
            <w:tcBorders>
              <w:bottom w:val="single" w:sz="8" w:color="0000EE"/>
            </w:tcBorders>
            <w:gridSpan w:val="16"/>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Number of Directors; Board Structure</w:t>
              </w:r>
            </w:hyperlink>
          </w:p>
        </w:tc>
        <w:tc>
          <w:tcPr>
            <w:tcW w:w="7500" w:type="dxa"/>
            <w:vAlign w:val="bottom"/>
            <w:gridSpan w:val="21"/>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5</w:t>
            </w: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Nominees for Director</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5</w:t>
            </w:r>
          </w:p>
        </w:tc>
      </w:tr>
      <w:tr>
        <w:trPr>
          <w:trHeight w:val="20"/>
        </w:trPr>
        <w:tc>
          <w:tcPr>
            <w:tcW w:w="3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1760" w:type="dxa"/>
            <w:vAlign w:val="bottom"/>
            <w:tcBorders>
              <w:bottom w:val="single" w:sz="8" w:color="0000EE"/>
            </w:tcBorders>
            <w:gridSpan w:val="5"/>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Board Recommendation</w:t>
              </w:r>
            </w:hyperlink>
          </w:p>
        </w:tc>
        <w:tc>
          <w:tcPr>
            <w:tcW w:w="8440" w:type="dxa"/>
            <w:vAlign w:val="bottom"/>
            <w:gridSpan w:val="3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5</w:t>
            </w: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Information About Director Nominees and Continuing Directors</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6</w:t>
            </w:r>
          </w:p>
        </w:tc>
      </w:tr>
      <w:tr>
        <w:trPr>
          <w:trHeight w:val="20"/>
        </w:trPr>
        <w:tc>
          <w:tcPr>
            <w:tcW w:w="3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5"/>
        </w:trPr>
        <w:tc>
          <w:tcPr>
            <w:tcW w:w="10520" w:type="dxa"/>
            <w:vAlign w:val="bottom"/>
            <w:gridSpan w:val="38"/>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CORPORATE GOVERNANCE</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13</w:t>
            </w:r>
          </w:p>
        </w:tc>
      </w:tr>
      <w:tr>
        <w:trPr>
          <w:trHeight w:val="20"/>
        </w:trPr>
        <w:tc>
          <w:tcPr>
            <w:tcW w:w="3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2480" w:type="dxa"/>
            <w:vAlign w:val="bottom"/>
            <w:tcBorders>
              <w:bottom w:val="single" w:sz="8" w:color="0000EE"/>
            </w:tcBorders>
            <w:gridSpan w:val="15"/>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Corporate Governance Guidelines</w:t>
              </w:r>
            </w:hyperlink>
          </w:p>
        </w:tc>
        <w:tc>
          <w:tcPr>
            <w:tcW w:w="7720" w:type="dxa"/>
            <w:vAlign w:val="bottom"/>
            <w:gridSpan w:val="2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13</w:t>
            </w:r>
          </w:p>
        </w:tc>
      </w:tr>
      <w:tr>
        <w:trPr>
          <w:trHeight w:val="213"/>
        </w:trPr>
        <w:tc>
          <w:tcPr>
            <w:tcW w:w="320" w:type="dxa"/>
            <w:vAlign w:val="bottom"/>
          </w:tcPr>
          <w:p>
            <w:pPr>
              <w:spacing w:after="0"/>
              <w:rPr>
                <w:sz w:val="18"/>
                <w:szCs w:val="18"/>
                <w:color w:val="auto"/>
              </w:rPr>
            </w:pPr>
          </w:p>
        </w:tc>
        <w:tc>
          <w:tcPr>
            <w:tcW w:w="2000" w:type="dxa"/>
            <w:vAlign w:val="bottom"/>
            <w:tcBorders>
              <w:bottom w:val="single" w:sz="8" w:color="0000EE"/>
            </w:tcBorders>
            <w:gridSpan w:val="10"/>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Board Leadership Structure</w:t>
              </w:r>
            </w:hyperlink>
          </w:p>
        </w:tc>
        <w:tc>
          <w:tcPr>
            <w:tcW w:w="8200" w:type="dxa"/>
            <w:vAlign w:val="bottom"/>
            <w:gridSpan w:val="27"/>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13</w:t>
            </w: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Director Independence</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14</w:t>
            </w:r>
          </w:p>
        </w:tc>
      </w:tr>
      <w:tr>
        <w:trPr>
          <w:trHeight w:val="20"/>
        </w:trPr>
        <w:tc>
          <w:tcPr>
            <w:tcW w:w="3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Director Attendance; Executive Sessions</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14</w:t>
            </w:r>
          </w:p>
        </w:tc>
      </w:tr>
      <w:tr>
        <w:trPr>
          <w:trHeight w:val="213"/>
        </w:trPr>
        <w:tc>
          <w:tcPr>
            <w:tcW w:w="320" w:type="dxa"/>
            <w:vAlign w:val="bottom"/>
          </w:tcPr>
          <w:p>
            <w:pPr>
              <w:spacing w:after="0"/>
              <w:rPr>
                <w:sz w:val="18"/>
                <w:szCs w:val="18"/>
                <w:color w:val="auto"/>
              </w:rPr>
            </w:pPr>
          </w:p>
        </w:tc>
        <w:tc>
          <w:tcPr>
            <w:tcW w:w="2940" w:type="dxa"/>
            <w:vAlign w:val="bottom"/>
            <w:tcBorders>
              <w:top w:val="single" w:sz="8" w:color="0000EE"/>
            </w:tcBorders>
            <w:gridSpan w:val="20"/>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Board Committees</w:t>
              </w:r>
            </w:hyperlink>
          </w:p>
        </w:tc>
        <w:tc>
          <w:tcPr>
            <w:tcW w:w="7260" w:type="dxa"/>
            <w:vAlign w:val="bottom"/>
            <w:gridSpan w:val="17"/>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14</w:t>
            </w:r>
          </w:p>
        </w:tc>
      </w:tr>
      <w:tr>
        <w:trPr>
          <w:trHeight w:val="20"/>
        </w:trPr>
        <w:tc>
          <w:tcPr>
            <w:tcW w:w="3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Board’s Role in Risk Oversight</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16</w:t>
            </w:r>
          </w:p>
        </w:tc>
      </w:tr>
      <w:tr>
        <w:trPr>
          <w:trHeight w:val="20"/>
        </w:trPr>
        <w:tc>
          <w:tcPr>
            <w:tcW w:w="320" w:type="dxa"/>
            <w:vAlign w:val="bottom"/>
          </w:tcPr>
          <w:p>
            <w:pPr>
              <w:spacing w:after="0" w:line="20" w:lineRule="exact"/>
              <w:rPr>
                <w:sz w:val="1"/>
                <w:szCs w:val="1"/>
                <w:color w:val="auto"/>
              </w:rPr>
            </w:pPr>
          </w:p>
        </w:tc>
        <w:tc>
          <w:tcPr>
            <w:tcW w:w="164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2440" w:type="dxa"/>
            <w:vAlign w:val="bottom"/>
            <w:tcBorders>
              <w:bottom w:val="single" w:sz="8" w:color="0000EE"/>
            </w:tcBorders>
            <w:gridSpan w:val="14"/>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Executive Compensation Process</w:t>
              </w:r>
            </w:hyperlink>
          </w:p>
        </w:tc>
        <w:tc>
          <w:tcPr>
            <w:tcW w:w="7760" w:type="dxa"/>
            <w:vAlign w:val="bottom"/>
            <w:gridSpan w:val="2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17</w:t>
            </w:r>
          </w:p>
        </w:tc>
      </w:tr>
      <w:tr>
        <w:trPr>
          <w:trHeight w:val="213"/>
        </w:trPr>
        <w:tc>
          <w:tcPr>
            <w:tcW w:w="320" w:type="dxa"/>
            <w:vAlign w:val="bottom"/>
          </w:tcPr>
          <w:p>
            <w:pPr>
              <w:spacing w:after="0"/>
              <w:rPr>
                <w:sz w:val="18"/>
                <w:szCs w:val="18"/>
                <w:color w:val="auto"/>
              </w:rPr>
            </w:pPr>
          </w:p>
        </w:tc>
        <w:tc>
          <w:tcPr>
            <w:tcW w:w="3380" w:type="dxa"/>
            <w:vAlign w:val="bottom"/>
            <w:tcBorders>
              <w:bottom w:val="single" w:sz="8" w:color="0000EE"/>
            </w:tcBorders>
            <w:gridSpan w:val="22"/>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Director Nomination and Refreshment Process</w:t>
              </w:r>
            </w:hyperlink>
          </w:p>
        </w:tc>
        <w:tc>
          <w:tcPr>
            <w:tcW w:w="6820" w:type="dxa"/>
            <w:vAlign w:val="bottom"/>
            <w:gridSpan w:val="15"/>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18</w:t>
            </w: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Related Person Transactions and Policies and Procedures Regarding Related Person Transactions</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18</w:t>
            </w:r>
          </w:p>
        </w:tc>
      </w:tr>
      <w:tr>
        <w:trPr>
          <w:trHeight w:val="213"/>
        </w:trPr>
        <w:tc>
          <w:tcPr>
            <w:tcW w:w="320" w:type="dxa"/>
            <w:vAlign w:val="bottom"/>
          </w:tcPr>
          <w:p>
            <w:pPr>
              <w:spacing w:after="0"/>
              <w:rPr>
                <w:sz w:val="18"/>
                <w:szCs w:val="18"/>
                <w:color w:val="auto"/>
              </w:rPr>
            </w:pPr>
          </w:p>
        </w:tc>
        <w:tc>
          <w:tcPr>
            <w:tcW w:w="7160" w:type="dxa"/>
            <w:vAlign w:val="bottom"/>
            <w:tcBorders>
              <w:top w:val="single" w:sz="8" w:color="0000EE"/>
            </w:tcBorders>
            <w:gridSpan w:val="34"/>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Board of Directors Business Ethics Policy Statement</w:t>
              </w:r>
            </w:hyperlink>
          </w:p>
        </w:tc>
        <w:tc>
          <w:tcPr>
            <w:tcW w:w="3040" w:type="dxa"/>
            <w:vAlign w:val="bottom"/>
            <w:gridSpan w:val="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19</w:t>
            </w:r>
          </w:p>
        </w:tc>
      </w:tr>
      <w:tr>
        <w:trPr>
          <w:trHeight w:val="20"/>
        </w:trPr>
        <w:tc>
          <w:tcPr>
            <w:tcW w:w="320" w:type="dxa"/>
            <w:vAlign w:val="bottom"/>
          </w:tcPr>
          <w:p>
            <w:pPr>
              <w:spacing w:after="0" w:line="20" w:lineRule="exact"/>
              <w:rPr>
                <w:sz w:val="1"/>
                <w:szCs w:val="1"/>
                <w:color w:val="auto"/>
              </w:rPr>
            </w:pPr>
          </w:p>
        </w:tc>
        <w:tc>
          <w:tcPr>
            <w:tcW w:w="164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5880" w:type="dxa"/>
            <w:vAlign w:val="bottom"/>
            <w:tcBorders>
              <w:bottom w:val="single" w:sz="8" w:color="0000EE"/>
            </w:tcBorders>
            <w:gridSpan w:val="30"/>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Code of Conduct and Code of Ethics for our CEO and Senior Financial Personnel</w:t>
              </w:r>
            </w:hyperlink>
          </w:p>
        </w:tc>
        <w:tc>
          <w:tcPr>
            <w:tcW w:w="4320" w:type="dxa"/>
            <w:vAlign w:val="bottom"/>
            <w:gridSpan w:val="7"/>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19</w:t>
            </w: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Communications with Directors</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19</w:t>
            </w:r>
          </w:p>
        </w:tc>
      </w:tr>
      <w:tr>
        <w:trPr>
          <w:trHeight w:val="213"/>
        </w:trPr>
        <w:tc>
          <w:tcPr>
            <w:tcW w:w="320" w:type="dxa"/>
            <w:vAlign w:val="bottom"/>
          </w:tcPr>
          <w:p>
            <w:pPr>
              <w:spacing w:after="0"/>
              <w:rPr>
                <w:sz w:val="18"/>
                <w:szCs w:val="18"/>
                <w:color w:val="auto"/>
              </w:rPr>
            </w:pPr>
          </w:p>
        </w:tc>
        <w:tc>
          <w:tcPr>
            <w:tcW w:w="1640" w:type="dxa"/>
            <w:vAlign w:val="bottom"/>
            <w:tcBorders>
              <w:top w:val="single" w:sz="8" w:color="0000EE"/>
              <w:bottom w:val="single" w:sz="8" w:color="0000EE"/>
            </w:tcBorders>
            <w:gridSpan w:val="4"/>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Complaint Procedures</w:t>
              </w:r>
            </w:hyperlink>
          </w:p>
        </w:tc>
        <w:tc>
          <w:tcPr>
            <w:tcW w:w="600" w:type="dxa"/>
            <w:vAlign w:val="bottom"/>
            <w:tcBorders>
              <w:top w:val="single" w:sz="8" w:color="0000EE"/>
            </w:tcBorders>
            <w:gridSpan w:val="8"/>
          </w:tcPr>
          <w:p>
            <w:pPr>
              <w:spacing w:after="0"/>
              <w:rPr>
                <w:sz w:val="18"/>
                <w:szCs w:val="18"/>
                <w:color w:val="auto"/>
              </w:rPr>
            </w:pPr>
          </w:p>
        </w:tc>
        <w:tc>
          <w:tcPr>
            <w:tcW w:w="7960" w:type="dxa"/>
            <w:vAlign w:val="bottom"/>
            <w:gridSpan w:val="25"/>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19</w:t>
            </w:r>
          </w:p>
        </w:tc>
      </w:tr>
      <w:tr>
        <w:trPr>
          <w:trHeight w:val="213"/>
        </w:trPr>
        <w:tc>
          <w:tcPr>
            <w:tcW w:w="10520" w:type="dxa"/>
            <w:vAlign w:val="bottom"/>
            <w:gridSpan w:val="38"/>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DIRECTOR COMPENSATION</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20</w:t>
            </w:r>
          </w:p>
        </w:tc>
      </w:tr>
      <w:tr>
        <w:trPr>
          <w:trHeight w:val="20"/>
        </w:trPr>
        <w:tc>
          <w:tcPr>
            <w:tcW w:w="320" w:type="dxa"/>
            <w:vAlign w:val="bottom"/>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674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3460" w:type="dxa"/>
            <w:vAlign w:val="bottom"/>
            <w:tcBorders>
              <w:bottom w:val="single" w:sz="8" w:color="0000EE"/>
            </w:tcBorders>
            <w:gridSpan w:val="24"/>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Director Compensation Program for Fiscal 2019</w:t>
              </w:r>
            </w:hyperlink>
          </w:p>
        </w:tc>
        <w:tc>
          <w:tcPr>
            <w:tcW w:w="6740" w:type="dxa"/>
            <w:vAlign w:val="bottom"/>
            <w:gridSpan w:val="1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C00000"/>
              </w:rPr>
              <w:t>20</w:t>
            </w:r>
          </w:p>
        </w:tc>
      </w:tr>
      <w:tr>
        <w:trPr>
          <w:trHeight w:val="213"/>
        </w:trPr>
        <w:tc>
          <w:tcPr>
            <w:tcW w:w="320" w:type="dxa"/>
            <w:vAlign w:val="bottom"/>
          </w:tcPr>
          <w:p>
            <w:pPr>
              <w:spacing w:after="0"/>
              <w:rPr>
                <w:sz w:val="18"/>
                <w:szCs w:val="18"/>
                <w:color w:val="auto"/>
              </w:rPr>
            </w:pPr>
          </w:p>
        </w:tc>
        <w:tc>
          <w:tcPr>
            <w:tcW w:w="10200" w:type="dxa"/>
            <w:vAlign w:val="bottom"/>
            <w:gridSpan w:val="37"/>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Director Compensation for Fiscal 2019</w:t>
              </w:r>
            </w:hyperlink>
          </w:p>
        </w:tc>
        <w:tc>
          <w:tcPr>
            <w:tcW w:w="920" w:type="dxa"/>
            <w:vAlign w:val="bottom"/>
          </w:tcPr>
          <w:p>
            <w:pPr>
              <w:jc w:val="right"/>
              <w:spacing w:after="0"/>
              <w:rPr>
                <w:sz w:val="20"/>
                <w:szCs w:val="20"/>
                <w:color w:val="auto"/>
              </w:rPr>
            </w:pPr>
            <w:r>
              <w:rPr>
                <w:rFonts w:ascii="Arial" w:cs="Arial" w:eastAsia="Arial" w:hAnsi="Arial"/>
                <w:sz w:val="16"/>
                <w:szCs w:val="16"/>
                <w:color w:val="C00000"/>
              </w:rPr>
              <w:t>22</w:t>
            </w: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9960" w:type="dxa"/>
            <w:vAlign w:val="bottom"/>
            <w:gridSpan w:val="3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Table of Contents</w:t>
              </w:r>
            </w:hyperlink>
          </w:p>
        </w:tc>
        <w:tc>
          <w:tcPr>
            <w:tcW w:w="1480" w:type="dxa"/>
            <w:vAlign w:val="bottom"/>
          </w:tcPr>
          <w:p>
            <w:pPr>
              <w:spacing w:after="0"/>
              <w:rPr>
                <w:sz w:val="16"/>
                <w:szCs w:val="16"/>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19"/>
        </w:trPr>
        <w:tc>
          <w:tcPr>
            <w:tcW w:w="8660" w:type="dxa"/>
            <w:vAlign w:val="bottom"/>
            <w:tcBorders>
              <w:bottom w:val="single" w:sz="8" w:color="0000EE"/>
            </w:tcBorders>
            <w:gridSpan w:val="31"/>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PROPOSAL TWO—RATIFICATION OF SELECTION OF INDEPENDENT REGISTERED PUBLIC ACCOUNTING FIRM</w:t>
              </w:r>
            </w:hyperlink>
          </w:p>
        </w:tc>
        <w:tc>
          <w:tcPr>
            <w:tcW w:w="1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24</w:t>
            </w:r>
          </w:p>
        </w:tc>
      </w:tr>
      <w:tr>
        <w:trPr>
          <w:trHeight w:val="213"/>
        </w:trPr>
        <w:tc>
          <w:tcPr>
            <w:tcW w:w="320" w:type="dxa"/>
            <w:vAlign w:val="bottom"/>
          </w:tcPr>
          <w:p>
            <w:pPr>
              <w:spacing w:after="0"/>
              <w:rPr>
                <w:sz w:val="18"/>
                <w:szCs w:val="18"/>
                <w:color w:val="auto"/>
              </w:rPr>
            </w:pPr>
          </w:p>
        </w:tc>
        <w:tc>
          <w:tcPr>
            <w:tcW w:w="4360" w:type="dxa"/>
            <w:vAlign w:val="bottom"/>
            <w:tcBorders>
              <w:bottom w:val="single" w:sz="8" w:color="0000EE"/>
            </w:tcBorders>
            <w:gridSpan w:val="27"/>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Selection of Independent Registered Public Accounting Firm</w:t>
              </w:r>
            </w:hyperlink>
          </w:p>
        </w:tc>
        <w:tc>
          <w:tcPr>
            <w:tcW w:w="5280" w:type="dxa"/>
            <w:vAlign w:val="bottom"/>
            <w:gridSpan w:val="4"/>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24</w:t>
            </w:r>
          </w:p>
        </w:tc>
      </w:tr>
      <w:tr>
        <w:trPr>
          <w:trHeight w:val="213"/>
        </w:trPr>
        <w:tc>
          <w:tcPr>
            <w:tcW w:w="320" w:type="dxa"/>
            <w:vAlign w:val="bottom"/>
          </w:tcPr>
          <w:p>
            <w:pPr>
              <w:spacing w:after="0"/>
              <w:rPr>
                <w:sz w:val="18"/>
                <w:szCs w:val="18"/>
                <w:color w:val="auto"/>
              </w:rPr>
            </w:pPr>
          </w:p>
        </w:tc>
        <w:tc>
          <w:tcPr>
            <w:tcW w:w="2980" w:type="dxa"/>
            <w:vAlign w:val="bottom"/>
            <w:tcBorders>
              <w:bottom w:val="single" w:sz="8" w:color="0000EE"/>
            </w:tcBorders>
            <w:gridSpan w:val="18"/>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Audit, Audit-Related, Tax and Other Fees</w:t>
              </w:r>
            </w:hyperlink>
          </w:p>
        </w:tc>
        <w:tc>
          <w:tcPr>
            <w:tcW w:w="6660" w:type="dxa"/>
            <w:vAlign w:val="bottom"/>
            <w:gridSpan w:val="13"/>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24</w:t>
            </w:r>
          </w:p>
        </w:tc>
      </w:tr>
      <w:tr>
        <w:trPr>
          <w:trHeight w:val="213"/>
        </w:trPr>
        <w:tc>
          <w:tcPr>
            <w:tcW w:w="320" w:type="dxa"/>
            <w:vAlign w:val="bottom"/>
          </w:tcPr>
          <w:p>
            <w:pPr>
              <w:spacing w:after="0"/>
              <w:rPr>
                <w:sz w:val="18"/>
                <w:szCs w:val="18"/>
                <w:color w:val="auto"/>
              </w:rPr>
            </w:pPr>
          </w:p>
        </w:tc>
        <w:tc>
          <w:tcPr>
            <w:tcW w:w="2760" w:type="dxa"/>
            <w:vAlign w:val="bottom"/>
            <w:tcBorders>
              <w:bottom w:val="single" w:sz="8" w:color="0000EE"/>
            </w:tcBorders>
            <w:gridSpan w:val="14"/>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Pre-Approval Policies and Procedures</w:t>
              </w:r>
            </w:hyperlink>
          </w:p>
        </w:tc>
        <w:tc>
          <w:tcPr>
            <w:tcW w:w="6880" w:type="dxa"/>
            <w:vAlign w:val="bottom"/>
            <w:gridSpan w:val="17"/>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24</w:t>
            </w:r>
          </w:p>
        </w:tc>
      </w:tr>
      <w:tr>
        <w:trPr>
          <w:trHeight w:val="213"/>
        </w:trPr>
        <w:tc>
          <w:tcPr>
            <w:tcW w:w="320" w:type="dxa"/>
            <w:vAlign w:val="bottom"/>
          </w:tcPr>
          <w:p>
            <w:pPr>
              <w:spacing w:after="0"/>
              <w:rPr>
                <w:sz w:val="18"/>
                <w:szCs w:val="18"/>
                <w:color w:val="auto"/>
              </w:rPr>
            </w:pPr>
          </w:p>
        </w:tc>
        <w:tc>
          <w:tcPr>
            <w:tcW w:w="1760" w:type="dxa"/>
            <w:vAlign w:val="bottom"/>
            <w:tcBorders>
              <w:bottom w:val="single" w:sz="8" w:color="0000EE"/>
            </w:tcBorders>
            <w:gridSpan w:val="7"/>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Board Recommendation</w:t>
              </w:r>
            </w:hyperlink>
          </w:p>
        </w:tc>
        <w:tc>
          <w:tcPr>
            <w:tcW w:w="7880" w:type="dxa"/>
            <w:vAlign w:val="bottom"/>
            <w:gridSpan w:val="24"/>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24</w:t>
            </w:r>
          </w:p>
        </w:tc>
      </w:tr>
      <w:tr>
        <w:trPr>
          <w:trHeight w:val="213"/>
        </w:trPr>
        <w:tc>
          <w:tcPr>
            <w:tcW w:w="320" w:type="dxa"/>
            <w:vAlign w:val="bottom"/>
          </w:tcPr>
          <w:p>
            <w:pPr>
              <w:spacing w:after="0"/>
              <w:rPr>
                <w:sz w:val="18"/>
                <w:szCs w:val="18"/>
                <w:color w:val="auto"/>
              </w:rPr>
            </w:pPr>
          </w:p>
        </w:tc>
        <w:tc>
          <w:tcPr>
            <w:tcW w:w="1740" w:type="dxa"/>
            <w:vAlign w:val="bottom"/>
            <w:tcBorders>
              <w:bottom w:val="single" w:sz="8" w:color="0000EE"/>
            </w:tcBorders>
            <w:gridSpan w:val="6"/>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Audit Committee Report</w:t>
              </w:r>
            </w:hyperlink>
          </w:p>
        </w:tc>
        <w:tc>
          <w:tcPr>
            <w:tcW w:w="7900" w:type="dxa"/>
            <w:vAlign w:val="bottom"/>
            <w:gridSpan w:val="25"/>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25</w:t>
            </w:r>
          </w:p>
        </w:tc>
      </w:tr>
      <w:tr>
        <w:trPr>
          <w:trHeight w:val="225"/>
        </w:trPr>
        <w:tc>
          <w:tcPr>
            <w:tcW w:w="9960" w:type="dxa"/>
            <w:vAlign w:val="bottom"/>
            <w:gridSpan w:val="32"/>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PROPOSAL THREE—ADVISORY APPROVAL OF OUR EXECUTIVE COMPENSATION</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26</w:t>
            </w:r>
          </w:p>
        </w:tc>
      </w:tr>
      <w:tr>
        <w:trPr>
          <w:trHeight w:val="213"/>
        </w:trPr>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0000EE"/>
              <w:bottom w:val="single" w:sz="8" w:color="0000EE"/>
            </w:tcBorders>
            <w:gridSpan w:val="7"/>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Board Recommendation</w:t>
              </w:r>
            </w:hyperlink>
          </w:p>
        </w:tc>
        <w:tc>
          <w:tcPr>
            <w:tcW w:w="4340" w:type="dxa"/>
            <w:vAlign w:val="bottom"/>
            <w:tcBorders>
              <w:top w:val="single" w:sz="8" w:color="0000EE"/>
            </w:tcBorders>
            <w:gridSpan w:val="22"/>
          </w:tcPr>
          <w:p>
            <w:pPr>
              <w:spacing w:after="0"/>
              <w:rPr>
                <w:sz w:val="18"/>
                <w:szCs w:val="18"/>
                <w:color w:val="auto"/>
              </w:rPr>
            </w:pPr>
          </w:p>
        </w:tc>
        <w:tc>
          <w:tcPr>
            <w:tcW w:w="3540" w:type="dxa"/>
            <w:vAlign w:val="bottom"/>
            <w:gridSpan w:val="2"/>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27</w:t>
            </w:r>
          </w:p>
        </w:tc>
      </w:tr>
      <w:tr>
        <w:trPr>
          <w:trHeight w:val="225"/>
        </w:trPr>
        <w:tc>
          <w:tcPr>
            <w:tcW w:w="9960" w:type="dxa"/>
            <w:vAlign w:val="bottom"/>
            <w:gridSpan w:val="32"/>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EXECUTIVE COMPENSATION</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28</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3980" w:type="dxa"/>
            <w:vAlign w:val="bottom"/>
            <w:tcBorders>
              <w:bottom w:val="single" w:sz="8" w:color="0000EE"/>
            </w:tcBorders>
            <w:gridSpan w:val="24"/>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Compensation &amp; Human Resources Committee Report</w:t>
              </w:r>
            </w:hyperlink>
          </w:p>
        </w:tc>
        <w:tc>
          <w:tcPr>
            <w:tcW w:w="5660" w:type="dxa"/>
            <w:vAlign w:val="bottom"/>
            <w:gridSpan w:val="7"/>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28</w:t>
            </w:r>
          </w:p>
        </w:tc>
      </w:tr>
      <w:tr>
        <w:trPr>
          <w:trHeight w:val="213"/>
        </w:trPr>
        <w:tc>
          <w:tcPr>
            <w:tcW w:w="320" w:type="dxa"/>
            <w:vAlign w:val="bottom"/>
          </w:tcPr>
          <w:p>
            <w:pPr>
              <w:spacing w:after="0"/>
              <w:rPr>
                <w:sz w:val="18"/>
                <w:szCs w:val="18"/>
                <w:color w:val="auto"/>
              </w:rPr>
            </w:pPr>
          </w:p>
        </w:tc>
        <w:tc>
          <w:tcPr>
            <w:tcW w:w="2860" w:type="dxa"/>
            <w:vAlign w:val="bottom"/>
            <w:tcBorders>
              <w:bottom w:val="single" w:sz="8" w:color="0000EE"/>
            </w:tcBorders>
            <w:gridSpan w:val="16"/>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Compensation Discussion and Analysis</w:t>
              </w:r>
            </w:hyperlink>
          </w:p>
        </w:tc>
        <w:tc>
          <w:tcPr>
            <w:tcW w:w="6780" w:type="dxa"/>
            <w:vAlign w:val="bottom"/>
            <w:gridSpan w:val="15"/>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28</w:t>
            </w:r>
          </w:p>
        </w:tc>
      </w:tr>
      <w:tr>
        <w:trPr>
          <w:trHeight w:val="213"/>
        </w:trPr>
        <w:tc>
          <w:tcPr>
            <w:tcW w:w="320" w:type="dxa"/>
            <w:vAlign w:val="bottom"/>
          </w:tcPr>
          <w:p>
            <w:pPr>
              <w:spacing w:after="0"/>
              <w:rPr>
                <w:sz w:val="18"/>
                <w:szCs w:val="18"/>
                <w:color w:val="auto"/>
              </w:rPr>
            </w:pPr>
          </w:p>
        </w:tc>
        <w:tc>
          <w:tcPr>
            <w:tcW w:w="4080" w:type="dxa"/>
            <w:vAlign w:val="bottom"/>
            <w:tcBorders>
              <w:bottom w:val="single" w:sz="8" w:color="0000EE"/>
            </w:tcBorders>
            <w:gridSpan w:val="25"/>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Assessment of Risk Related to Compensation Programs</w:t>
              </w:r>
            </w:hyperlink>
          </w:p>
        </w:tc>
        <w:tc>
          <w:tcPr>
            <w:tcW w:w="5560" w:type="dxa"/>
            <w:vAlign w:val="bottom"/>
            <w:gridSpan w:val="6"/>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43</w:t>
            </w:r>
          </w:p>
        </w:tc>
      </w:tr>
      <w:tr>
        <w:trPr>
          <w:trHeight w:val="213"/>
        </w:trPr>
        <w:tc>
          <w:tcPr>
            <w:tcW w:w="32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Summary Compensation Table</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44</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All Other Compensation for Fiscal 2019</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45</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Grants of Plan-Based Awards for Fiscal 2019</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46</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Outstanding Equity Awards at Fiscal Year-End for 2019</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48</w:t>
            </w:r>
          </w:p>
        </w:tc>
      </w:tr>
      <w:tr>
        <w:trPr>
          <w:trHeight w:val="213"/>
        </w:trPr>
        <w:tc>
          <w:tcPr>
            <w:tcW w:w="320" w:type="dxa"/>
            <w:vAlign w:val="bottom"/>
          </w:tcPr>
          <w:p>
            <w:pPr>
              <w:spacing w:after="0"/>
              <w:rPr>
                <w:sz w:val="18"/>
                <w:szCs w:val="18"/>
                <w:color w:val="auto"/>
              </w:rPr>
            </w:pPr>
          </w:p>
        </w:tc>
        <w:tc>
          <w:tcPr>
            <w:tcW w:w="3980" w:type="dxa"/>
            <w:vAlign w:val="bottom"/>
            <w:tcBorders>
              <w:top w:val="single" w:sz="8" w:color="0000EE"/>
            </w:tcBorders>
            <w:gridSpan w:val="24"/>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Option Exercises and Stock Vested for Fiscal 2019</w:t>
              </w:r>
            </w:hyperlink>
          </w:p>
        </w:tc>
        <w:tc>
          <w:tcPr>
            <w:tcW w:w="5660" w:type="dxa"/>
            <w:vAlign w:val="bottom"/>
            <w:gridSpan w:val="7"/>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49</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Nonqualified Deferred Compensation for Fiscal 2019</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50</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4300" w:type="dxa"/>
            <w:vAlign w:val="bottom"/>
            <w:tcBorders>
              <w:bottom w:val="single" w:sz="8" w:color="0000EE"/>
            </w:tcBorders>
            <w:gridSpan w:val="26"/>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Potential Payments Upon Termination or Change In Control</w:t>
              </w:r>
            </w:hyperlink>
          </w:p>
        </w:tc>
        <w:tc>
          <w:tcPr>
            <w:tcW w:w="5340" w:type="dxa"/>
            <w:vAlign w:val="bottom"/>
            <w:gridSpan w:val="5"/>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53</w:t>
            </w:r>
          </w:p>
        </w:tc>
      </w:tr>
      <w:tr>
        <w:trPr>
          <w:trHeight w:val="213"/>
        </w:trPr>
        <w:tc>
          <w:tcPr>
            <w:tcW w:w="320" w:type="dxa"/>
            <w:vAlign w:val="bottom"/>
          </w:tcPr>
          <w:p>
            <w:pPr>
              <w:spacing w:after="0"/>
              <w:rPr>
                <w:sz w:val="18"/>
                <w:szCs w:val="18"/>
                <w:color w:val="auto"/>
              </w:rPr>
            </w:pPr>
          </w:p>
        </w:tc>
        <w:tc>
          <w:tcPr>
            <w:tcW w:w="1520" w:type="dxa"/>
            <w:vAlign w:val="bottom"/>
            <w:tcBorders>
              <w:bottom w:val="single" w:sz="8" w:color="0000EE"/>
            </w:tcBorders>
            <w:gridSpan w:val="5"/>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Pay Ratio Disclosure</w:t>
              </w:r>
            </w:hyperlink>
          </w:p>
        </w:tc>
        <w:tc>
          <w:tcPr>
            <w:tcW w:w="8120" w:type="dxa"/>
            <w:vAlign w:val="bottom"/>
            <w:gridSpan w:val="26"/>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58</w:t>
            </w:r>
          </w:p>
        </w:tc>
      </w:tr>
      <w:tr>
        <w:trPr>
          <w:trHeight w:val="225"/>
        </w:trPr>
        <w:tc>
          <w:tcPr>
            <w:tcW w:w="1620" w:type="dxa"/>
            <w:vAlign w:val="bottom"/>
            <w:tcBorders>
              <w:bottom w:val="single" w:sz="8" w:color="0000EE"/>
            </w:tcBorders>
            <w:gridSpan w:val="4"/>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STOCK OWNERSHIP</w:t>
              </w:r>
            </w:hyperlink>
          </w:p>
        </w:tc>
        <w:tc>
          <w:tcPr>
            <w:tcW w:w="8340" w:type="dxa"/>
            <w:vAlign w:val="bottom"/>
            <w:gridSpan w:val="28"/>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60</w:t>
            </w:r>
          </w:p>
        </w:tc>
      </w:tr>
      <w:tr>
        <w:trPr>
          <w:trHeight w:val="213"/>
        </w:trPr>
        <w:tc>
          <w:tcPr>
            <w:tcW w:w="320" w:type="dxa"/>
            <w:vAlign w:val="bottom"/>
          </w:tcPr>
          <w:p>
            <w:pPr>
              <w:spacing w:after="0"/>
              <w:rPr>
                <w:sz w:val="18"/>
                <w:szCs w:val="18"/>
                <w:color w:val="auto"/>
              </w:rPr>
            </w:pPr>
          </w:p>
        </w:tc>
        <w:tc>
          <w:tcPr>
            <w:tcW w:w="2120" w:type="dxa"/>
            <w:vAlign w:val="bottom"/>
            <w:tcBorders>
              <w:bottom w:val="single" w:sz="8" w:color="0000EE"/>
            </w:tcBorders>
            <w:gridSpan w:val="10"/>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Significant Beneficial Owners</w:t>
              </w:r>
            </w:hyperlink>
          </w:p>
        </w:tc>
        <w:tc>
          <w:tcPr>
            <w:tcW w:w="7520" w:type="dxa"/>
            <w:vAlign w:val="bottom"/>
            <w:gridSpan w:val="21"/>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60</w:t>
            </w:r>
          </w:p>
        </w:tc>
      </w:tr>
      <w:tr>
        <w:trPr>
          <w:trHeight w:val="213"/>
        </w:trPr>
        <w:tc>
          <w:tcPr>
            <w:tcW w:w="32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Directors and Executive Officers</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61</w:t>
            </w:r>
          </w:p>
        </w:tc>
      </w:tr>
      <w:tr>
        <w:trPr>
          <w:trHeight w:val="213"/>
        </w:trPr>
        <w:tc>
          <w:tcPr>
            <w:tcW w:w="320" w:type="dxa"/>
            <w:vAlign w:val="bottom"/>
          </w:tcPr>
          <w:p>
            <w:pPr>
              <w:spacing w:after="0"/>
              <w:rPr>
                <w:sz w:val="18"/>
                <w:szCs w:val="18"/>
                <w:color w:val="auto"/>
              </w:rPr>
            </w:pPr>
          </w:p>
        </w:tc>
        <w:tc>
          <w:tcPr>
            <w:tcW w:w="2320" w:type="dxa"/>
            <w:vAlign w:val="bottom"/>
            <w:tcBorders>
              <w:top w:val="single" w:sz="8" w:color="0000EE"/>
            </w:tcBorders>
            <w:gridSpan w:val="13"/>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Stock Ownership Guidelines</w:t>
              </w:r>
            </w:hyperlink>
          </w:p>
        </w:tc>
        <w:tc>
          <w:tcPr>
            <w:tcW w:w="7320" w:type="dxa"/>
            <w:vAlign w:val="bottom"/>
            <w:gridSpan w:val="18"/>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63</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Anti-Hedging and Anti-Pledging Policies</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63</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5"/>
        </w:trPr>
        <w:tc>
          <w:tcPr>
            <w:tcW w:w="3620" w:type="dxa"/>
            <w:vAlign w:val="bottom"/>
            <w:tcBorders>
              <w:bottom w:val="single" w:sz="8" w:color="0000EE"/>
            </w:tcBorders>
            <w:gridSpan w:val="22"/>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EQUITY COMPENSATION PLAN INFORMATION</w:t>
              </w:r>
            </w:hyperlink>
          </w:p>
        </w:tc>
        <w:tc>
          <w:tcPr>
            <w:tcW w:w="6340" w:type="dxa"/>
            <w:vAlign w:val="bottom"/>
            <w:gridSpan w:val="10"/>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64</w:t>
            </w:r>
          </w:p>
        </w:tc>
      </w:tr>
      <w:tr>
        <w:trPr>
          <w:trHeight w:val="225"/>
        </w:trPr>
        <w:tc>
          <w:tcPr>
            <w:tcW w:w="9960" w:type="dxa"/>
            <w:vAlign w:val="bottom"/>
            <w:gridSpan w:val="32"/>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OTHER INFORMATION</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64</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9640" w:type="dxa"/>
            <w:vAlign w:val="bottom"/>
            <w:gridSpan w:val="31"/>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Shareholder Proposals and Director Nominations for the 2021 Annual Meeting</w:t>
              </w:r>
            </w:hyperlink>
          </w:p>
        </w:tc>
        <w:tc>
          <w:tcPr>
            <w:tcW w:w="1480" w:type="dxa"/>
            <w:vAlign w:val="bottom"/>
          </w:tcPr>
          <w:p>
            <w:pPr>
              <w:jc w:val="right"/>
              <w:spacing w:after="0"/>
              <w:rPr>
                <w:sz w:val="20"/>
                <w:szCs w:val="20"/>
                <w:color w:val="auto"/>
              </w:rPr>
            </w:pPr>
            <w:r>
              <w:rPr>
                <w:rFonts w:ascii="Arial" w:cs="Arial" w:eastAsia="Arial" w:hAnsi="Arial"/>
                <w:sz w:val="16"/>
                <w:szCs w:val="16"/>
                <w:color w:val="C00000"/>
              </w:rPr>
              <w:t>64</w:t>
            </w:r>
          </w:p>
        </w:tc>
      </w:tr>
      <w:tr>
        <w:trPr>
          <w:trHeight w:val="213"/>
        </w:trPr>
        <w:tc>
          <w:tcPr>
            <w:tcW w:w="320" w:type="dxa"/>
            <w:vAlign w:val="bottom"/>
          </w:tcPr>
          <w:p>
            <w:pPr>
              <w:spacing w:after="0"/>
              <w:rPr>
                <w:sz w:val="18"/>
                <w:szCs w:val="18"/>
                <w:color w:val="auto"/>
              </w:rPr>
            </w:pPr>
          </w:p>
        </w:tc>
        <w:tc>
          <w:tcPr>
            <w:tcW w:w="5640" w:type="dxa"/>
            <w:vAlign w:val="bottom"/>
            <w:tcBorders>
              <w:top w:val="single" w:sz="8" w:color="0000EE"/>
            </w:tcBorders>
            <w:gridSpan w:val="28"/>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Householding of Annual Meeting Materials</w:t>
              </w:r>
            </w:hyperlink>
          </w:p>
        </w:tc>
        <w:tc>
          <w:tcPr>
            <w:tcW w:w="4000" w:type="dxa"/>
            <w:vAlign w:val="bottom"/>
            <w:gridSpan w:val="3"/>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65</w:t>
            </w:r>
          </w:p>
        </w:tc>
      </w:tr>
      <w:tr>
        <w:trPr>
          <w:trHeight w:val="213"/>
        </w:trPr>
        <w:tc>
          <w:tcPr>
            <w:tcW w:w="320" w:type="dxa"/>
            <w:vAlign w:val="bottom"/>
          </w:tcPr>
          <w:p>
            <w:pPr>
              <w:spacing w:after="0"/>
              <w:rPr>
                <w:sz w:val="18"/>
                <w:szCs w:val="18"/>
                <w:color w:val="auto"/>
              </w:rPr>
            </w:pPr>
          </w:p>
        </w:tc>
        <w:tc>
          <w:tcPr>
            <w:tcW w:w="3060" w:type="dxa"/>
            <w:vAlign w:val="bottom"/>
            <w:tcBorders>
              <w:top w:val="single" w:sz="8" w:color="0000EE"/>
            </w:tcBorders>
            <w:gridSpan w:val="19"/>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Annual Report</w:t>
              </w:r>
            </w:hyperlink>
          </w:p>
        </w:tc>
        <w:tc>
          <w:tcPr>
            <w:tcW w:w="6580" w:type="dxa"/>
            <w:vAlign w:val="bottom"/>
            <w:gridSpan w:val="12"/>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65</w:t>
            </w:r>
          </w:p>
        </w:tc>
      </w:tr>
      <w:tr>
        <w:trPr>
          <w:trHeight w:val="20"/>
        </w:trPr>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7380" w:type="dxa"/>
            <w:vAlign w:val="bottom"/>
            <w:gridSpan w:val="19"/>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2260" w:type="dxa"/>
            <w:vAlign w:val="bottom"/>
            <w:tcBorders>
              <w:bottom w:val="single" w:sz="8" w:color="0000EE"/>
            </w:tcBorders>
            <w:gridSpan w:val="12"/>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Cost and Method of Solicitation</w:t>
              </w:r>
            </w:hyperlink>
          </w:p>
        </w:tc>
        <w:tc>
          <w:tcPr>
            <w:tcW w:w="7380" w:type="dxa"/>
            <w:vAlign w:val="bottom"/>
            <w:gridSpan w:val="19"/>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C00000"/>
              </w:rPr>
              <w:t>65</w:t>
            </w:r>
          </w:p>
        </w:tc>
      </w:tr>
    </w:tbl>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C00000"/>
        </w:rPr>
        <w:t>FORWARD-LOOKING INFORMATION</w:t>
      </w:r>
    </w:p>
    <w:p>
      <w:pPr>
        <w:spacing w:after="0" w:line="118" w:lineRule="exact"/>
        <w:rPr>
          <w:sz w:val="20"/>
          <w:szCs w:val="20"/>
          <w:color w:val="auto"/>
        </w:rPr>
      </w:pPr>
    </w:p>
    <w:p>
      <w:pPr>
        <w:ind w:right="40" w:firstLine="408"/>
        <w:spacing w:after="0" w:line="241" w:lineRule="auto"/>
        <w:rPr>
          <w:sz w:val="20"/>
          <w:szCs w:val="20"/>
          <w:color w:val="auto"/>
        </w:rPr>
      </w:pPr>
      <w:r>
        <w:rPr>
          <w:rFonts w:ascii="Arial" w:cs="Arial" w:eastAsia="Arial" w:hAnsi="Arial"/>
          <w:sz w:val="16"/>
          <w:szCs w:val="16"/>
          <w:color w:val="auto"/>
        </w:rPr>
        <w:t>Statements in this proxy statement not based on historical facts are intended to constitute “forward-looking” statements in connection with the “safe harbor” provisions of the Private Securities Litigation Reform Act of 1995. Forward-looking statements can be identified in this proxy statement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Although such statements have been made in good faith and are based on reasonable assumptions, there is no assurance that the expected results will be achieved. Accordingly, such statements involve risks and uncertainties that could cause actual results to differ materially from those projected or implied. Reference is made to our most recent Annual Report on Form 10-K filed with the Securities and Exchange Commission, or SEC, on December 20, 2019, and any subsequent Quarterly Report on Form 10-Q or Current Report on Form 8-K filed with the SEC, for a list of such factors.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59320" cy="186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THE TORO COMPANY HIGHLIGHTS AND PROXY STATEMENT EXECUTIVE SUMMARY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Business Overview</w:t>
      </w:r>
    </w:p>
    <w:p>
      <w:pPr>
        <w:spacing w:after="0" w:line="112"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The Toro Company (the “Company,” “Toro,” “we,” “us” and “our”), is a leading worldwide provider of innovative solutions for the outdoor environment including turf and landscape maintenance, snow and ice management, underground utility construction, rental and specialty construction, and irrigation and outdoor lighting solutions. The Toro Company’s global presence extends to more than 125 countries through a family of brands that includes Toro, Ditch Witch, Exmark, BOSS Snowplow, American Augers, Subsite Electronics, HammerHead, Trencor, Unique Lighting Systems, Irritrol, Hayter, Pope, Lawn-Boy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w:t>
      </w:r>
    </w:p>
    <w:p>
      <w:pPr>
        <w:spacing w:after="0" w:line="165" w:lineRule="exact"/>
        <w:rPr>
          <w:sz w:val="20"/>
          <w:szCs w:val="20"/>
          <w:color w:val="auto"/>
        </w:rPr>
      </w:pPr>
    </w:p>
    <w:tbl>
      <w:tblPr>
        <w:tblLayout w:type="fixed"/>
        <w:tblInd w:w="1730" w:type="dxa"/>
        <w:tblCellMar>
          <w:top w:w="0" w:type="dxa"/>
          <w:left w:w="0" w:type="dxa"/>
          <w:bottom w:w="0" w:type="dxa"/>
          <w:right w:w="0" w:type="dxa"/>
        </w:tblCellMar>
      </w:tblPr>
      <w:tr>
        <w:trPr>
          <w:trHeight w:val="256"/>
        </w:trPr>
        <w:tc>
          <w:tcPr>
            <w:tcW w:w="25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OUR PURPOSE</w:t>
            </w:r>
          </w:p>
        </w:tc>
        <w:tc>
          <w:tcPr>
            <w:tcW w:w="80" w:type="dxa"/>
            <w:vAlign w:val="bottom"/>
            <w:tcBorders>
              <w:right w:val="single" w:sz="8" w:color="auto"/>
            </w:tcBorders>
          </w:tcPr>
          <w:p>
            <w:pPr>
              <w:spacing w:after="0"/>
              <w:rPr>
                <w:sz w:val="22"/>
                <w:szCs w:val="22"/>
                <w:color w:val="auto"/>
              </w:rPr>
            </w:pPr>
          </w:p>
        </w:tc>
        <w:tc>
          <w:tcPr>
            <w:tcW w:w="27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OUR VISION</w:t>
            </w:r>
          </w:p>
        </w:tc>
        <w:tc>
          <w:tcPr>
            <w:tcW w:w="8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OUR MISSION</w:t>
            </w:r>
          </w:p>
        </w:tc>
      </w:tr>
      <w:tr>
        <w:trPr>
          <w:trHeight w:val="209"/>
        </w:trPr>
        <w:tc>
          <w:tcPr>
            <w:tcW w:w="2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To help our</w:t>
            </w:r>
          </w:p>
        </w:tc>
        <w:tc>
          <w:tcPr>
            <w:tcW w:w="8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To be the most trusted</w:t>
            </w:r>
          </w:p>
        </w:tc>
        <w:tc>
          <w:tcPr>
            <w:tcW w:w="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To deliver superior</w:t>
            </w:r>
          </w:p>
        </w:tc>
      </w:tr>
      <w:tr>
        <w:trPr>
          <w:trHeight w:val="184"/>
        </w:trPr>
        <w:tc>
          <w:tcPr>
            <w:tcW w:w="2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customers enrich the</w:t>
            </w:r>
          </w:p>
        </w:tc>
        <w:tc>
          <w:tcPr>
            <w:tcW w:w="8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leader in solutions for the</w:t>
            </w:r>
          </w:p>
        </w:tc>
        <w:tc>
          <w:tcPr>
            <w:tcW w:w="8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innovation and to</w:t>
            </w:r>
          </w:p>
        </w:tc>
      </w:tr>
      <w:tr>
        <w:trPr>
          <w:trHeight w:val="184"/>
        </w:trPr>
        <w:tc>
          <w:tcPr>
            <w:tcW w:w="2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beauty, productivity</w:t>
            </w:r>
          </w:p>
        </w:tc>
        <w:tc>
          <w:tcPr>
            <w:tcW w:w="8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outdoor environment.</w:t>
            </w:r>
          </w:p>
        </w:tc>
        <w:tc>
          <w:tcPr>
            <w:tcW w:w="8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deliver superior</w:t>
            </w:r>
          </w:p>
        </w:tc>
      </w:tr>
      <w:tr>
        <w:trPr>
          <w:trHeight w:val="184"/>
        </w:trPr>
        <w:tc>
          <w:tcPr>
            <w:tcW w:w="2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and sustainability</w:t>
            </w:r>
          </w:p>
        </w:tc>
        <w:tc>
          <w:tcPr>
            <w:tcW w:w="8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Every day.</w:t>
            </w:r>
          </w:p>
        </w:tc>
        <w:tc>
          <w:tcPr>
            <w:tcW w:w="8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customer care.</w:t>
            </w:r>
          </w:p>
        </w:tc>
      </w:tr>
      <w:tr>
        <w:trPr>
          <w:trHeight w:val="202"/>
        </w:trPr>
        <w:tc>
          <w:tcPr>
            <w:tcW w:w="25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of the land.</w:t>
            </w:r>
          </w:p>
        </w:tc>
        <w:tc>
          <w:tcPr>
            <w:tcW w:w="80" w:type="dxa"/>
            <w:vAlign w:val="bottom"/>
            <w:tcBorders>
              <w:right w:val="single" w:sz="8" w:color="auto"/>
            </w:tcBorders>
          </w:tcPr>
          <w:p>
            <w:pPr>
              <w:spacing w:after="0"/>
              <w:rPr>
                <w:sz w:val="17"/>
                <w:szCs w:val="17"/>
                <w:color w:val="auto"/>
              </w:rPr>
            </w:pPr>
          </w:p>
        </w:tc>
        <w:tc>
          <w:tcPr>
            <w:tcW w:w="27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Everywhere.</w:t>
            </w:r>
          </w:p>
        </w:tc>
        <w:tc>
          <w:tcPr>
            <w:tcW w:w="80" w:type="dxa"/>
            <w:vAlign w:val="bottom"/>
            <w:tcBorders>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shd w:val="clear" w:color="auto" w:fill="D9D9D9"/>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38735</wp:posOffset>
            </wp:positionV>
            <wp:extent cx="5080635" cy="739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80635" cy="739140"/>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C00000"/>
        </w:rPr>
        <w:t>OUR GUIDING PRINCIPLES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Toro Company’s success is founded on a long history of caring relationships based on trust and integrity.</w:t>
      </w:r>
    </w:p>
    <w:p>
      <w:pPr>
        <w:jc w:val="center"/>
        <w:spacing w:after="0"/>
        <w:rPr>
          <w:sz w:val="20"/>
          <w:szCs w:val="20"/>
          <w:color w:val="auto"/>
        </w:rPr>
      </w:pPr>
      <w:r>
        <w:rPr>
          <w:rFonts w:ascii="Arial" w:cs="Arial" w:eastAsia="Arial" w:hAnsi="Arial"/>
          <w:sz w:val="16"/>
          <w:szCs w:val="16"/>
          <w:color w:val="auto"/>
        </w:rPr>
        <w:t>These relationships are the foundation on which we build market leadership with the best in innovative</w:t>
      </w:r>
    </w:p>
    <w:p>
      <w:pPr>
        <w:jc w:val="right"/>
        <w:ind w:right="3000"/>
        <w:spacing w:after="0"/>
        <w:rPr>
          <w:sz w:val="20"/>
          <w:szCs w:val="20"/>
          <w:color w:val="auto"/>
        </w:rPr>
      </w:pPr>
      <w:r>
        <w:rPr>
          <w:rFonts w:ascii="Arial" w:cs="Arial" w:eastAsia="Arial" w:hAnsi="Arial"/>
          <w:sz w:val="16"/>
          <w:szCs w:val="16"/>
          <w:color w:val="auto"/>
        </w:rPr>
        <w:t>products and solutions to make outdoor environments beautiful, productive,</w:t>
      </w:r>
    </w:p>
    <w:p>
      <w:pPr>
        <w:jc w:val="right"/>
        <w:ind w:right="3040"/>
        <w:spacing w:after="0"/>
        <w:rPr>
          <w:sz w:val="20"/>
          <w:szCs w:val="20"/>
          <w:color w:val="auto"/>
        </w:rPr>
      </w:pPr>
      <w:r>
        <w:rPr>
          <w:rFonts w:ascii="Arial" w:cs="Arial" w:eastAsia="Arial" w:hAnsi="Arial"/>
          <w:sz w:val="16"/>
          <w:szCs w:val="16"/>
          <w:color w:val="auto"/>
        </w:rPr>
        <w:t>and sustainable. We are entrusted to strengthen this legacy of excellence.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Quick Facts About The Toro Company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820" w:type="dxa"/>
            <w:vAlign w:val="bottom"/>
            <w:tcBorders>
              <w:top w:val="single" w:sz="8" w:color="auto"/>
              <w:right w:val="single" w:sz="8" w:color="D9D9D9"/>
            </w:tcBorders>
            <w:shd w:val="clear" w:color="auto" w:fill="D9D9D9"/>
          </w:tcPr>
          <w:p>
            <w:pPr>
              <w:jc w:val="center"/>
              <w:ind w:left="258"/>
              <w:spacing w:after="0"/>
              <w:rPr>
                <w:sz w:val="20"/>
                <w:szCs w:val="20"/>
                <w:color w:val="auto"/>
              </w:rPr>
            </w:pPr>
            <w:r>
              <w:rPr>
                <w:rFonts w:ascii="Arial" w:cs="Arial" w:eastAsia="Arial" w:hAnsi="Arial"/>
                <w:sz w:val="16"/>
                <w:szCs w:val="16"/>
                <w:b w:val="1"/>
                <w:bCs w:val="1"/>
                <w:color w:val="C00000"/>
              </w:rPr>
              <w:t>Founded</w:t>
            </w:r>
          </w:p>
        </w:tc>
        <w:tc>
          <w:tcPr>
            <w:tcW w:w="120" w:type="dxa"/>
            <w:vAlign w:val="bottom"/>
            <w:tcBorders>
              <w:top w:val="single" w:sz="8" w:color="auto"/>
              <w:right w:val="single" w:sz="8" w:color="D9D9D9"/>
            </w:tcBorders>
            <w:shd w:val="clear" w:color="auto" w:fill="D9D9D9"/>
          </w:tcPr>
          <w:p>
            <w:pPr>
              <w:spacing w:after="0"/>
              <w:rPr>
                <w:sz w:val="17"/>
                <w:szCs w:val="17"/>
                <w:color w:val="auto"/>
              </w:rPr>
            </w:pPr>
          </w:p>
        </w:tc>
        <w:tc>
          <w:tcPr>
            <w:tcW w:w="240" w:type="dxa"/>
            <w:vAlign w:val="bottom"/>
            <w:tcBorders>
              <w:top w:val="single" w:sz="8" w:color="auto"/>
              <w:right w:val="single" w:sz="8" w:color="auto"/>
            </w:tcBorders>
            <w:shd w:val="clear" w:color="auto" w:fill="D9D9D9"/>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9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Fiscal 2019 Net Sales</w:t>
            </w:r>
          </w:p>
        </w:tc>
        <w:tc>
          <w:tcPr>
            <w:tcW w:w="140" w:type="dxa"/>
            <w:vAlign w:val="bottom"/>
            <w:tcBorders>
              <w:right w:val="single" w:sz="8" w:color="auto"/>
            </w:tcBorders>
          </w:tcPr>
          <w:p>
            <w:pPr>
              <w:spacing w:after="0"/>
              <w:rPr>
                <w:sz w:val="17"/>
                <w:szCs w:val="17"/>
                <w:color w:val="auto"/>
              </w:rPr>
            </w:pPr>
          </w:p>
        </w:tc>
        <w:tc>
          <w:tcPr>
            <w:tcW w:w="420" w:type="dxa"/>
            <w:vAlign w:val="bottom"/>
            <w:tcBorders>
              <w:top w:val="single" w:sz="8" w:color="auto"/>
              <w:right w:val="single" w:sz="8" w:color="D9D9D9"/>
            </w:tcBorders>
            <w:shd w:val="clear" w:color="auto" w:fill="D9D9D9"/>
          </w:tcPr>
          <w:p>
            <w:pPr>
              <w:spacing w:after="0"/>
              <w:rPr>
                <w:sz w:val="17"/>
                <w:szCs w:val="17"/>
                <w:color w:val="auto"/>
              </w:rPr>
            </w:pPr>
          </w:p>
        </w:tc>
        <w:tc>
          <w:tcPr>
            <w:tcW w:w="140" w:type="dxa"/>
            <w:vAlign w:val="bottom"/>
            <w:tcBorders>
              <w:top w:val="single" w:sz="8" w:color="auto"/>
              <w:right w:val="single" w:sz="8" w:color="D9D9D9"/>
            </w:tcBorders>
            <w:shd w:val="clear" w:color="auto" w:fill="D9D9D9"/>
          </w:tcPr>
          <w:p>
            <w:pPr>
              <w:spacing w:after="0"/>
              <w:rPr>
                <w:sz w:val="17"/>
                <w:szCs w:val="17"/>
                <w:color w:val="auto"/>
              </w:rPr>
            </w:pPr>
          </w:p>
        </w:tc>
        <w:tc>
          <w:tcPr>
            <w:tcW w:w="2800" w:type="dxa"/>
            <w:vAlign w:val="bottom"/>
            <w:tcBorders>
              <w:top w:val="single" w:sz="8" w:color="auto"/>
              <w:right w:val="single" w:sz="8" w:color="auto"/>
            </w:tcBorders>
            <w:shd w:val="clear" w:color="auto" w:fill="D9D9D9"/>
          </w:tcPr>
          <w:p>
            <w:pPr>
              <w:jc w:val="center"/>
              <w:ind w:right="518"/>
              <w:spacing w:after="0"/>
              <w:rPr>
                <w:sz w:val="20"/>
                <w:szCs w:val="20"/>
                <w:color w:val="auto"/>
              </w:rPr>
            </w:pPr>
            <w:r>
              <w:rPr>
                <w:rFonts w:ascii="Arial" w:cs="Arial" w:eastAsia="Arial" w:hAnsi="Arial"/>
                <w:sz w:val="16"/>
                <w:szCs w:val="16"/>
                <w:b w:val="1"/>
                <w:bCs w:val="1"/>
                <w:color w:val="C00000"/>
              </w:rPr>
              <w:t>Worldwide Headquarters</w:t>
            </w:r>
          </w:p>
        </w:tc>
        <w:tc>
          <w:tcPr>
            <w:tcW w:w="840" w:type="dxa"/>
            <w:vAlign w:val="bottom"/>
          </w:tcPr>
          <w:p>
            <w:pPr>
              <w:spacing w:after="0"/>
              <w:rPr>
                <w:sz w:val="17"/>
                <w:szCs w:val="17"/>
                <w:color w:val="auto"/>
              </w:rPr>
            </w:pPr>
          </w:p>
        </w:tc>
      </w:tr>
      <w:tr>
        <w:trPr>
          <w:trHeight w:val="262"/>
        </w:trPr>
        <w:tc>
          <w:tcPr>
            <w:tcW w:w="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2820" w:type="dxa"/>
            <w:vAlign w:val="bottom"/>
            <w:tcBorders>
              <w:bottom w:val="single" w:sz="8" w:color="D9D9D9"/>
              <w:right w:val="single" w:sz="8" w:color="D9D9D9"/>
            </w:tcBorders>
            <w:shd w:val="clear" w:color="auto" w:fill="D9D9D9"/>
          </w:tcPr>
          <w:p>
            <w:pPr>
              <w:jc w:val="center"/>
              <w:ind w:left="258"/>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D9D9D9"/>
              <w:right w:val="single" w:sz="8" w:color="D9D9D9"/>
            </w:tcBorders>
            <w:shd w:val="clear" w:color="auto" w:fill="D9D9D9"/>
          </w:tcPr>
          <w:p>
            <w:pPr>
              <w:spacing w:after="0"/>
              <w:rPr>
                <w:sz w:val="22"/>
                <w:szCs w:val="22"/>
                <w:color w:val="auto"/>
              </w:rPr>
            </w:pPr>
          </w:p>
        </w:tc>
        <w:tc>
          <w:tcPr>
            <w:tcW w:w="240" w:type="dxa"/>
            <w:vAlign w:val="bottom"/>
            <w:tcBorders>
              <w:bottom w:val="single" w:sz="8" w:color="D9D9D9"/>
              <w:right w:val="single" w:sz="8" w:color="auto"/>
            </w:tcBorders>
            <w:shd w:val="clear" w:color="auto" w:fill="D9D9D9"/>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29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$3.138 billion</w:t>
            </w:r>
          </w:p>
        </w:tc>
        <w:tc>
          <w:tcPr>
            <w:tcW w:w="140" w:type="dxa"/>
            <w:vAlign w:val="bottom"/>
            <w:tcBorders>
              <w:right w:val="single" w:sz="8" w:color="auto"/>
            </w:tcBorders>
          </w:tcPr>
          <w:p>
            <w:pPr>
              <w:spacing w:after="0"/>
              <w:rPr>
                <w:sz w:val="22"/>
                <w:szCs w:val="22"/>
                <w:color w:val="auto"/>
              </w:rPr>
            </w:pPr>
          </w:p>
        </w:tc>
        <w:tc>
          <w:tcPr>
            <w:tcW w:w="420" w:type="dxa"/>
            <w:vAlign w:val="bottom"/>
            <w:tcBorders>
              <w:bottom w:val="single" w:sz="8" w:color="D9D9D9"/>
              <w:right w:val="single" w:sz="8" w:color="D9D9D9"/>
            </w:tcBorders>
            <w:shd w:val="clear" w:color="auto" w:fill="D9D9D9"/>
          </w:tcPr>
          <w:p>
            <w:pPr>
              <w:spacing w:after="0"/>
              <w:rPr>
                <w:sz w:val="22"/>
                <w:szCs w:val="22"/>
                <w:color w:val="auto"/>
              </w:rPr>
            </w:pPr>
          </w:p>
        </w:tc>
        <w:tc>
          <w:tcPr>
            <w:tcW w:w="140" w:type="dxa"/>
            <w:vAlign w:val="bottom"/>
            <w:tcBorders>
              <w:bottom w:val="single" w:sz="8" w:color="D9D9D9"/>
              <w:right w:val="single" w:sz="8" w:color="D9D9D9"/>
            </w:tcBorders>
            <w:shd w:val="clear" w:color="auto" w:fill="D9D9D9"/>
          </w:tcPr>
          <w:p>
            <w:pPr>
              <w:spacing w:after="0"/>
              <w:rPr>
                <w:sz w:val="22"/>
                <w:szCs w:val="22"/>
                <w:color w:val="auto"/>
              </w:rPr>
            </w:pPr>
          </w:p>
        </w:tc>
        <w:tc>
          <w:tcPr>
            <w:tcW w:w="2800" w:type="dxa"/>
            <w:vAlign w:val="bottom"/>
            <w:tcBorders>
              <w:bottom w:val="single" w:sz="8" w:color="D9D9D9"/>
              <w:right w:val="single" w:sz="8" w:color="auto"/>
            </w:tcBorders>
            <w:shd w:val="clear" w:color="auto" w:fill="D9D9D9"/>
          </w:tcPr>
          <w:p>
            <w:pPr>
              <w:jc w:val="center"/>
              <w:ind w:right="518"/>
              <w:spacing w:after="0"/>
              <w:rPr>
                <w:sz w:val="20"/>
                <w:szCs w:val="20"/>
                <w:color w:val="auto"/>
              </w:rPr>
            </w:pPr>
            <w:r>
              <w:rPr>
                <w:rFonts w:ascii="Arial" w:cs="Arial" w:eastAsia="Arial" w:hAnsi="Arial"/>
                <w:sz w:val="16"/>
                <w:szCs w:val="16"/>
                <w:color w:val="auto"/>
              </w:rPr>
              <w:t>Bloomington, Minnesota</w:t>
            </w:r>
          </w:p>
        </w:tc>
        <w:tc>
          <w:tcPr>
            <w:tcW w:w="840" w:type="dxa"/>
            <w:vAlign w:val="bottom"/>
          </w:tcPr>
          <w:p>
            <w:pPr>
              <w:spacing w:after="0"/>
              <w:rPr>
                <w:sz w:val="22"/>
                <w:szCs w:val="22"/>
                <w:color w:val="auto"/>
              </w:rPr>
            </w:pPr>
          </w:p>
        </w:tc>
      </w:tr>
      <w:tr>
        <w:trPr>
          <w:trHeight w:val="568"/>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tcBorders>
              <w:top w:val="single" w:sz="8" w:color="auto"/>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800" w:type="dxa"/>
            <w:vAlign w:val="bottom"/>
            <w:tcBorders>
              <w:top w:val="single" w:sz="8" w:color="auto"/>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192"/>
        </w:trPr>
        <w:tc>
          <w:tcPr>
            <w:tcW w:w="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820" w:type="dxa"/>
            <w:vAlign w:val="bottom"/>
            <w:tcBorders>
              <w:right w:val="single" w:sz="8" w:color="D9D9D9"/>
            </w:tcBorders>
            <w:shd w:val="clear" w:color="auto" w:fill="D9D9D9"/>
          </w:tcPr>
          <w:p>
            <w:pPr>
              <w:jc w:val="center"/>
              <w:ind w:left="258"/>
              <w:spacing w:after="0"/>
              <w:rPr>
                <w:sz w:val="20"/>
                <w:szCs w:val="20"/>
                <w:color w:val="auto"/>
              </w:rPr>
            </w:pPr>
            <w:r>
              <w:rPr>
                <w:rFonts w:ascii="Arial" w:cs="Arial" w:eastAsia="Arial" w:hAnsi="Arial"/>
                <w:sz w:val="16"/>
                <w:szCs w:val="16"/>
                <w:b w:val="1"/>
                <w:bCs w:val="1"/>
                <w:color w:val="C00000"/>
              </w:rPr>
              <w:t>Fiscal 2019 Net Earnings</w:t>
            </w:r>
          </w:p>
        </w:tc>
        <w:tc>
          <w:tcPr>
            <w:tcW w:w="120" w:type="dxa"/>
            <w:vAlign w:val="bottom"/>
            <w:tcBorders>
              <w:right w:val="single" w:sz="8" w:color="D9D9D9"/>
            </w:tcBorders>
            <w:shd w:val="clear" w:color="auto" w:fill="D9D9D9"/>
          </w:tcPr>
          <w:p>
            <w:pPr>
              <w:spacing w:after="0"/>
              <w:rPr>
                <w:sz w:val="16"/>
                <w:szCs w:val="16"/>
                <w:color w:val="auto"/>
              </w:rPr>
            </w:pPr>
          </w:p>
        </w:tc>
        <w:tc>
          <w:tcPr>
            <w:tcW w:w="240" w:type="dxa"/>
            <w:vAlign w:val="bottom"/>
            <w:tcBorders>
              <w:right w:val="single" w:sz="8" w:color="auto"/>
            </w:tcBorders>
            <w:shd w:val="clear" w:color="auto" w:fill="D9D9D9"/>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Fiscal 2019 Net Sales</w:t>
            </w:r>
          </w:p>
        </w:tc>
        <w:tc>
          <w:tcPr>
            <w:tcW w:w="140" w:type="dxa"/>
            <w:vAlign w:val="bottom"/>
            <w:tcBorders>
              <w:right w:val="single" w:sz="8" w:color="auto"/>
            </w:tcBorders>
          </w:tcPr>
          <w:p>
            <w:pPr>
              <w:spacing w:after="0"/>
              <w:rPr>
                <w:sz w:val="16"/>
                <w:szCs w:val="16"/>
                <w:color w:val="auto"/>
              </w:rPr>
            </w:pPr>
          </w:p>
        </w:tc>
        <w:tc>
          <w:tcPr>
            <w:tcW w:w="420" w:type="dxa"/>
            <w:vAlign w:val="bottom"/>
            <w:tcBorders>
              <w:right w:val="single" w:sz="8" w:color="D9D9D9"/>
            </w:tcBorders>
            <w:shd w:val="clear" w:color="auto" w:fill="D9D9D9"/>
          </w:tcPr>
          <w:p>
            <w:pPr>
              <w:spacing w:after="0"/>
              <w:rPr>
                <w:sz w:val="16"/>
                <w:szCs w:val="16"/>
                <w:color w:val="auto"/>
              </w:rPr>
            </w:pPr>
          </w:p>
        </w:tc>
        <w:tc>
          <w:tcPr>
            <w:tcW w:w="140" w:type="dxa"/>
            <w:vAlign w:val="bottom"/>
            <w:tcBorders>
              <w:right w:val="single" w:sz="8" w:color="D9D9D9"/>
            </w:tcBorders>
            <w:shd w:val="clear" w:color="auto" w:fill="D9D9D9"/>
          </w:tcPr>
          <w:p>
            <w:pPr>
              <w:spacing w:after="0"/>
              <w:rPr>
                <w:sz w:val="16"/>
                <w:szCs w:val="16"/>
                <w:color w:val="auto"/>
              </w:rPr>
            </w:pPr>
          </w:p>
        </w:tc>
        <w:tc>
          <w:tcPr>
            <w:tcW w:w="2800" w:type="dxa"/>
            <w:vAlign w:val="bottom"/>
            <w:tcBorders>
              <w:right w:val="single" w:sz="8" w:color="auto"/>
            </w:tcBorders>
            <w:shd w:val="clear" w:color="auto" w:fill="D9D9D9"/>
          </w:tcPr>
          <w:p>
            <w:pPr>
              <w:jc w:val="center"/>
              <w:ind w:right="518"/>
              <w:spacing w:after="0"/>
              <w:rPr>
                <w:sz w:val="20"/>
                <w:szCs w:val="20"/>
                <w:color w:val="auto"/>
              </w:rPr>
            </w:pPr>
            <w:r>
              <w:rPr>
                <w:rFonts w:ascii="Arial" w:cs="Arial" w:eastAsia="Arial" w:hAnsi="Arial"/>
                <w:sz w:val="16"/>
                <w:szCs w:val="16"/>
                <w:b w:val="1"/>
                <w:bCs w:val="1"/>
                <w:color w:val="C00000"/>
              </w:rPr>
              <w:t>Fiscal 2019 % Net Sales</w:t>
            </w:r>
          </w:p>
        </w:tc>
        <w:tc>
          <w:tcPr>
            <w:tcW w:w="8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820" w:type="dxa"/>
            <w:vAlign w:val="bottom"/>
            <w:tcBorders>
              <w:right w:val="single" w:sz="8" w:color="D9D9D9"/>
            </w:tcBorders>
            <w:shd w:val="clear" w:color="auto" w:fill="D9D9D9"/>
          </w:tcPr>
          <w:p>
            <w:pPr>
              <w:jc w:val="center"/>
              <w:ind w:left="258"/>
              <w:spacing w:after="0"/>
              <w:rPr>
                <w:sz w:val="20"/>
                <w:szCs w:val="20"/>
                <w:color w:val="auto"/>
              </w:rPr>
            </w:pPr>
            <w:r>
              <w:rPr>
                <w:rFonts w:ascii="Arial" w:cs="Arial" w:eastAsia="Arial" w:hAnsi="Arial"/>
                <w:sz w:val="16"/>
                <w:szCs w:val="16"/>
                <w:color w:val="auto"/>
              </w:rPr>
              <w:t>$274 million</w:t>
            </w:r>
          </w:p>
        </w:tc>
        <w:tc>
          <w:tcPr>
            <w:tcW w:w="120" w:type="dxa"/>
            <w:vAlign w:val="bottom"/>
            <w:tcBorders>
              <w:right w:val="single" w:sz="8" w:color="D9D9D9"/>
            </w:tcBorders>
            <w:shd w:val="clear" w:color="auto" w:fill="D9D9D9"/>
          </w:tcPr>
          <w:p>
            <w:pPr>
              <w:spacing w:after="0"/>
              <w:rPr>
                <w:sz w:val="17"/>
                <w:szCs w:val="17"/>
                <w:color w:val="auto"/>
              </w:rPr>
            </w:pPr>
          </w:p>
        </w:tc>
        <w:tc>
          <w:tcPr>
            <w:tcW w:w="240" w:type="dxa"/>
            <w:vAlign w:val="bottom"/>
            <w:tcBorders>
              <w:right w:val="single" w:sz="8" w:color="auto"/>
            </w:tcBorders>
            <w:shd w:val="clear" w:color="auto" w:fill="D9D9D9"/>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U.S.A. – 77%</w:t>
            </w:r>
          </w:p>
        </w:tc>
        <w:tc>
          <w:tcPr>
            <w:tcW w:w="140" w:type="dxa"/>
            <w:vAlign w:val="bottom"/>
            <w:tcBorders>
              <w:right w:val="single" w:sz="8" w:color="auto"/>
            </w:tcBorders>
          </w:tcPr>
          <w:p>
            <w:pPr>
              <w:spacing w:after="0"/>
              <w:rPr>
                <w:sz w:val="17"/>
                <w:szCs w:val="17"/>
                <w:color w:val="auto"/>
              </w:rPr>
            </w:pPr>
          </w:p>
        </w:tc>
        <w:tc>
          <w:tcPr>
            <w:tcW w:w="420" w:type="dxa"/>
            <w:vAlign w:val="bottom"/>
            <w:tcBorders>
              <w:right w:val="single" w:sz="8" w:color="D9D9D9"/>
            </w:tcBorders>
            <w:shd w:val="clear" w:color="auto" w:fill="D9D9D9"/>
          </w:tcPr>
          <w:p>
            <w:pPr>
              <w:spacing w:after="0"/>
              <w:rPr>
                <w:sz w:val="17"/>
                <w:szCs w:val="17"/>
                <w:color w:val="auto"/>
              </w:rPr>
            </w:pPr>
          </w:p>
        </w:tc>
        <w:tc>
          <w:tcPr>
            <w:tcW w:w="140" w:type="dxa"/>
            <w:vAlign w:val="bottom"/>
            <w:tcBorders>
              <w:right w:val="single" w:sz="8" w:color="D9D9D9"/>
            </w:tcBorders>
            <w:shd w:val="clear" w:color="auto" w:fill="D9D9D9"/>
          </w:tcPr>
          <w:p>
            <w:pPr>
              <w:spacing w:after="0"/>
              <w:rPr>
                <w:sz w:val="17"/>
                <w:szCs w:val="17"/>
                <w:color w:val="auto"/>
              </w:rPr>
            </w:pPr>
          </w:p>
        </w:tc>
        <w:tc>
          <w:tcPr>
            <w:tcW w:w="2800" w:type="dxa"/>
            <w:vAlign w:val="bottom"/>
            <w:tcBorders>
              <w:right w:val="single" w:sz="8" w:color="auto"/>
            </w:tcBorders>
            <w:shd w:val="clear" w:color="auto" w:fill="D9D9D9"/>
          </w:tcPr>
          <w:p>
            <w:pPr>
              <w:jc w:val="center"/>
              <w:ind w:right="498"/>
              <w:spacing w:after="0"/>
              <w:rPr>
                <w:sz w:val="20"/>
                <w:szCs w:val="20"/>
                <w:color w:val="auto"/>
              </w:rPr>
            </w:pPr>
            <w:r>
              <w:rPr>
                <w:rFonts w:ascii="Arial" w:cs="Arial" w:eastAsia="Arial" w:hAnsi="Arial"/>
                <w:sz w:val="16"/>
                <w:szCs w:val="16"/>
                <w:b w:val="1"/>
                <w:bCs w:val="1"/>
                <w:color w:val="C00000"/>
              </w:rPr>
              <w:t>from New Products</w:t>
            </w:r>
          </w:p>
        </w:tc>
        <w:tc>
          <w:tcPr>
            <w:tcW w:w="840" w:type="dxa"/>
            <w:vAlign w:val="bottom"/>
          </w:tcPr>
          <w:p>
            <w:pPr>
              <w:spacing w:after="0"/>
              <w:rPr>
                <w:sz w:val="17"/>
                <w:szCs w:val="17"/>
                <w:color w:val="auto"/>
              </w:rPr>
            </w:pPr>
          </w:p>
        </w:tc>
      </w:tr>
      <w:tr>
        <w:trPr>
          <w:trHeight w:val="226"/>
        </w:trPr>
        <w:tc>
          <w:tcPr>
            <w:tcW w:w="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820" w:type="dxa"/>
            <w:vAlign w:val="bottom"/>
            <w:tcBorders>
              <w:bottom w:val="single" w:sz="8" w:color="D9D9D9"/>
              <w:right w:val="single" w:sz="8" w:color="D9D9D9"/>
            </w:tcBorders>
            <w:shd w:val="clear" w:color="auto" w:fill="D9D9D9"/>
          </w:tcPr>
          <w:p>
            <w:pPr>
              <w:spacing w:after="0"/>
              <w:rPr>
                <w:sz w:val="19"/>
                <w:szCs w:val="19"/>
                <w:color w:val="auto"/>
              </w:rPr>
            </w:pPr>
          </w:p>
        </w:tc>
        <w:tc>
          <w:tcPr>
            <w:tcW w:w="120" w:type="dxa"/>
            <w:vAlign w:val="bottom"/>
            <w:tcBorders>
              <w:bottom w:val="single" w:sz="8" w:color="D9D9D9"/>
              <w:right w:val="single" w:sz="8" w:color="D9D9D9"/>
            </w:tcBorders>
            <w:shd w:val="clear" w:color="auto" w:fill="D9D9D9"/>
          </w:tcPr>
          <w:p>
            <w:pPr>
              <w:spacing w:after="0"/>
              <w:rPr>
                <w:sz w:val="19"/>
                <w:szCs w:val="19"/>
                <w:color w:val="auto"/>
              </w:rPr>
            </w:pPr>
          </w:p>
        </w:tc>
        <w:tc>
          <w:tcPr>
            <w:tcW w:w="240" w:type="dxa"/>
            <w:vAlign w:val="bottom"/>
            <w:tcBorders>
              <w:bottom w:val="single" w:sz="8" w:color="D9D9D9"/>
              <w:right w:val="single" w:sz="8" w:color="auto"/>
            </w:tcBorders>
            <w:shd w:val="clear" w:color="auto" w:fill="D9D9D9"/>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29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International – 23%</w:t>
            </w:r>
          </w:p>
        </w:tc>
        <w:tc>
          <w:tcPr>
            <w:tcW w:w="140" w:type="dxa"/>
            <w:vAlign w:val="bottom"/>
            <w:tcBorders>
              <w:right w:val="single" w:sz="8" w:color="auto"/>
            </w:tcBorders>
          </w:tcPr>
          <w:p>
            <w:pPr>
              <w:spacing w:after="0"/>
              <w:rPr>
                <w:sz w:val="19"/>
                <w:szCs w:val="19"/>
                <w:color w:val="auto"/>
              </w:rPr>
            </w:pPr>
          </w:p>
        </w:tc>
        <w:tc>
          <w:tcPr>
            <w:tcW w:w="420" w:type="dxa"/>
            <w:vAlign w:val="bottom"/>
            <w:tcBorders>
              <w:bottom w:val="single" w:sz="8" w:color="D9D9D9"/>
              <w:right w:val="single" w:sz="8" w:color="D9D9D9"/>
            </w:tcBorders>
            <w:shd w:val="clear" w:color="auto" w:fill="D9D9D9"/>
          </w:tcPr>
          <w:p>
            <w:pPr>
              <w:spacing w:after="0"/>
              <w:rPr>
                <w:sz w:val="19"/>
                <w:szCs w:val="19"/>
                <w:color w:val="auto"/>
              </w:rPr>
            </w:pPr>
          </w:p>
        </w:tc>
        <w:tc>
          <w:tcPr>
            <w:tcW w:w="2940" w:type="dxa"/>
            <w:vAlign w:val="bottom"/>
            <w:tcBorders>
              <w:bottom w:val="single" w:sz="8" w:color="D9D9D9"/>
              <w:right w:val="single" w:sz="8" w:color="auto"/>
            </w:tcBorders>
            <w:gridSpan w:val="2"/>
            <w:shd w:val="clear" w:color="auto" w:fill="D9D9D9"/>
          </w:tcPr>
          <w:p>
            <w:pPr>
              <w:jc w:val="center"/>
              <w:ind w:right="378"/>
              <w:spacing w:after="0"/>
              <w:rPr>
                <w:sz w:val="20"/>
                <w:szCs w:val="20"/>
                <w:color w:val="auto"/>
              </w:rPr>
            </w:pPr>
            <w:r>
              <w:rPr>
                <w:rFonts w:ascii="Arial" w:cs="Arial" w:eastAsia="Arial" w:hAnsi="Arial"/>
                <w:sz w:val="16"/>
                <w:szCs w:val="16"/>
                <w:color w:val="auto"/>
                <w:w w:val="99"/>
              </w:rPr>
              <w:t>34%</w:t>
            </w:r>
          </w:p>
        </w:tc>
        <w:tc>
          <w:tcPr>
            <w:tcW w:w="840" w:type="dxa"/>
            <w:vAlign w:val="bottom"/>
          </w:tcPr>
          <w:p>
            <w:pPr>
              <w:spacing w:after="0"/>
              <w:rPr>
                <w:sz w:val="19"/>
                <w:szCs w:val="19"/>
                <w:color w:val="auto"/>
              </w:rPr>
            </w:pPr>
          </w:p>
        </w:tc>
      </w:tr>
      <w:tr>
        <w:trPr>
          <w:trHeight w:val="127"/>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800" w:type="dxa"/>
            <w:vAlign w:val="bottom"/>
            <w:tcBorders>
              <w:top w:val="single" w:sz="8" w:color="auto"/>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r>
      <w:tr>
        <w:trPr>
          <w:trHeight w:val="212"/>
        </w:trPr>
        <w:tc>
          <w:tcPr>
            <w:tcW w:w="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820" w:type="dxa"/>
            <w:vAlign w:val="bottom"/>
            <w:tcBorders>
              <w:right w:val="single" w:sz="8" w:color="D9D9D9"/>
            </w:tcBorders>
            <w:shd w:val="clear" w:color="auto" w:fill="D9D9D9"/>
          </w:tcPr>
          <w:p>
            <w:pPr>
              <w:jc w:val="center"/>
              <w:ind w:left="238"/>
              <w:spacing w:after="0"/>
              <w:rPr>
                <w:sz w:val="20"/>
                <w:szCs w:val="20"/>
                <w:color w:val="auto"/>
              </w:rPr>
            </w:pPr>
            <w:r>
              <w:rPr>
                <w:rFonts w:ascii="Arial" w:cs="Arial" w:eastAsia="Arial" w:hAnsi="Arial"/>
                <w:sz w:val="16"/>
                <w:szCs w:val="16"/>
                <w:b w:val="1"/>
                <w:bCs w:val="1"/>
                <w:color w:val="C00000"/>
              </w:rPr>
              <w:t>Fiscal 2019 Products</w:t>
            </w:r>
          </w:p>
        </w:tc>
        <w:tc>
          <w:tcPr>
            <w:tcW w:w="120" w:type="dxa"/>
            <w:vAlign w:val="bottom"/>
            <w:tcBorders>
              <w:right w:val="single" w:sz="8" w:color="D9D9D9"/>
            </w:tcBorders>
            <w:shd w:val="clear" w:color="auto" w:fill="D9D9D9"/>
          </w:tcPr>
          <w:p>
            <w:pPr>
              <w:spacing w:after="0"/>
              <w:rPr>
                <w:sz w:val="18"/>
                <w:szCs w:val="18"/>
                <w:color w:val="auto"/>
              </w:rPr>
            </w:pPr>
          </w:p>
        </w:tc>
        <w:tc>
          <w:tcPr>
            <w:tcW w:w="240" w:type="dxa"/>
            <w:vAlign w:val="bottom"/>
            <w:tcBorders>
              <w:right w:val="single" w:sz="8" w:color="auto"/>
            </w:tcBorders>
            <w:shd w:val="clear" w:color="auto" w:fill="D9D9D9"/>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Fiscal 2019 Segments</w:t>
            </w:r>
          </w:p>
        </w:tc>
        <w:tc>
          <w:tcPr>
            <w:tcW w:w="140" w:type="dxa"/>
            <w:vAlign w:val="bottom"/>
            <w:tcBorders>
              <w:right w:val="single" w:sz="8" w:color="auto"/>
            </w:tcBorders>
          </w:tcPr>
          <w:p>
            <w:pPr>
              <w:spacing w:after="0"/>
              <w:rPr>
                <w:sz w:val="18"/>
                <w:szCs w:val="18"/>
                <w:color w:val="auto"/>
              </w:rPr>
            </w:pPr>
          </w:p>
        </w:tc>
        <w:tc>
          <w:tcPr>
            <w:tcW w:w="420" w:type="dxa"/>
            <w:vAlign w:val="bottom"/>
            <w:tcBorders>
              <w:right w:val="single" w:sz="8" w:color="D9D9D9"/>
            </w:tcBorders>
            <w:shd w:val="clear" w:color="auto" w:fill="D9D9D9"/>
          </w:tcPr>
          <w:p>
            <w:pPr>
              <w:spacing w:after="0"/>
              <w:rPr>
                <w:sz w:val="18"/>
                <w:szCs w:val="18"/>
                <w:color w:val="auto"/>
              </w:rPr>
            </w:pPr>
          </w:p>
        </w:tc>
        <w:tc>
          <w:tcPr>
            <w:tcW w:w="140" w:type="dxa"/>
            <w:vAlign w:val="bottom"/>
            <w:tcBorders>
              <w:right w:val="single" w:sz="8" w:color="D9D9D9"/>
            </w:tcBorders>
            <w:shd w:val="clear" w:color="auto" w:fill="D9D9D9"/>
          </w:tcPr>
          <w:p>
            <w:pPr>
              <w:spacing w:after="0"/>
              <w:rPr>
                <w:sz w:val="18"/>
                <w:szCs w:val="18"/>
                <w:color w:val="auto"/>
              </w:rPr>
            </w:pPr>
          </w:p>
        </w:tc>
        <w:tc>
          <w:tcPr>
            <w:tcW w:w="2800" w:type="dxa"/>
            <w:vAlign w:val="bottom"/>
            <w:tcBorders>
              <w:right w:val="single" w:sz="8" w:color="auto"/>
            </w:tcBorders>
            <w:shd w:val="clear" w:color="auto" w:fill="D9D9D9"/>
          </w:tcPr>
          <w:p>
            <w:pPr>
              <w:jc w:val="center"/>
              <w:ind w:right="498"/>
              <w:spacing w:after="0"/>
              <w:rPr>
                <w:sz w:val="20"/>
                <w:szCs w:val="20"/>
                <w:color w:val="auto"/>
              </w:rPr>
            </w:pPr>
            <w:r>
              <w:rPr>
                <w:rFonts w:ascii="Arial" w:cs="Arial" w:eastAsia="Arial" w:hAnsi="Arial"/>
                <w:sz w:val="16"/>
                <w:szCs w:val="16"/>
                <w:b w:val="1"/>
                <w:bCs w:val="1"/>
                <w:color w:val="C00000"/>
              </w:rPr>
              <w:t>Manufacturing Locations</w:t>
            </w:r>
          </w:p>
        </w:tc>
        <w:tc>
          <w:tcPr>
            <w:tcW w:w="840" w:type="dxa"/>
            <w:vAlign w:val="bottom"/>
          </w:tcPr>
          <w:p>
            <w:pPr>
              <w:spacing w:after="0"/>
              <w:rPr>
                <w:sz w:val="18"/>
                <w:szCs w:val="18"/>
                <w:color w:val="auto"/>
              </w:rPr>
            </w:pPr>
          </w:p>
        </w:tc>
      </w:tr>
      <w:tr>
        <w:trPr>
          <w:trHeight w:val="184"/>
        </w:trPr>
        <w:tc>
          <w:tcPr>
            <w:tcW w:w="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820" w:type="dxa"/>
            <w:vAlign w:val="bottom"/>
            <w:tcBorders>
              <w:right w:val="single" w:sz="8" w:color="D9D9D9"/>
            </w:tcBorders>
            <w:shd w:val="clear" w:color="auto" w:fill="D9D9D9"/>
          </w:tcPr>
          <w:p>
            <w:pPr>
              <w:jc w:val="center"/>
              <w:ind w:left="258"/>
              <w:spacing w:after="0"/>
              <w:rPr>
                <w:sz w:val="20"/>
                <w:szCs w:val="20"/>
                <w:color w:val="auto"/>
              </w:rPr>
            </w:pPr>
            <w:r>
              <w:rPr>
                <w:rFonts w:ascii="Arial" w:cs="Arial" w:eastAsia="Arial" w:hAnsi="Arial"/>
                <w:sz w:val="16"/>
                <w:szCs w:val="16"/>
                <w:color w:val="auto"/>
              </w:rPr>
              <w:t>Equipment – 88%</w:t>
            </w:r>
          </w:p>
        </w:tc>
        <w:tc>
          <w:tcPr>
            <w:tcW w:w="120" w:type="dxa"/>
            <w:vAlign w:val="bottom"/>
            <w:tcBorders>
              <w:right w:val="single" w:sz="8" w:color="D9D9D9"/>
            </w:tcBorders>
            <w:shd w:val="clear" w:color="auto" w:fill="D9D9D9"/>
          </w:tcPr>
          <w:p>
            <w:pPr>
              <w:spacing w:after="0"/>
              <w:rPr>
                <w:sz w:val="15"/>
                <w:szCs w:val="15"/>
                <w:color w:val="auto"/>
              </w:rPr>
            </w:pPr>
          </w:p>
        </w:tc>
        <w:tc>
          <w:tcPr>
            <w:tcW w:w="240" w:type="dxa"/>
            <w:vAlign w:val="bottom"/>
            <w:tcBorders>
              <w:right w:val="single" w:sz="8" w:color="auto"/>
            </w:tcBorders>
            <w:shd w:val="clear" w:color="auto" w:fill="D9D9D9"/>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Professional – 78%</w:t>
            </w:r>
          </w:p>
        </w:tc>
        <w:tc>
          <w:tcPr>
            <w:tcW w:w="140" w:type="dxa"/>
            <w:vAlign w:val="bottom"/>
            <w:tcBorders>
              <w:right w:val="single" w:sz="8" w:color="auto"/>
            </w:tcBorders>
          </w:tcPr>
          <w:p>
            <w:pPr>
              <w:spacing w:after="0"/>
              <w:rPr>
                <w:sz w:val="15"/>
                <w:szCs w:val="15"/>
                <w:color w:val="auto"/>
              </w:rPr>
            </w:pPr>
          </w:p>
        </w:tc>
        <w:tc>
          <w:tcPr>
            <w:tcW w:w="420" w:type="dxa"/>
            <w:vAlign w:val="bottom"/>
            <w:tcBorders>
              <w:right w:val="single" w:sz="8" w:color="D9D9D9"/>
            </w:tcBorders>
            <w:shd w:val="clear" w:color="auto" w:fill="D9D9D9"/>
          </w:tcPr>
          <w:p>
            <w:pPr>
              <w:spacing w:after="0"/>
              <w:rPr>
                <w:sz w:val="15"/>
                <w:szCs w:val="15"/>
                <w:color w:val="auto"/>
              </w:rPr>
            </w:pPr>
          </w:p>
        </w:tc>
        <w:tc>
          <w:tcPr>
            <w:tcW w:w="140" w:type="dxa"/>
            <w:vAlign w:val="bottom"/>
            <w:tcBorders>
              <w:right w:val="single" w:sz="8" w:color="D9D9D9"/>
            </w:tcBorders>
            <w:shd w:val="clear" w:color="auto" w:fill="D9D9D9"/>
          </w:tcPr>
          <w:p>
            <w:pPr>
              <w:spacing w:after="0"/>
              <w:rPr>
                <w:sz w:val="15"/>
                <w:szCs w:val="15"/>
                <w:color w:val="auto"/>
              </w:rPr>
            </w:pPr>
          </w:p>
        </w:tc>
        <w:tc>
          <w:tcPr>
            <w:tcW w:w="2800" w:type="dxa"/>
            <w:vAlign w:val="bottom"/>
            <w:tcBorders>
              <w:right w:val="single" w:sz="8" w:color="auto"/>
            </w:tcBorders>
            <w:shd w:val="clear" w:color="auto" w:fill="D9D9D9"/>
          </w:tcPr>
          <w:p>
            <w:pPr>
              <w:jc w:val="center"/>
              <w:ind w:right="518"/>
              <w:spacing w:after="0"/>
              <w:rPr>
                <w:sz w:val="20"/>
                <w:szCs w:val="20"/>
                <w:color w:val="auto"/>
              </w:rPr>
            </w:pPr>
            <w:r>
              <w:rPr>
                <w:rFonts w:ascii="Arial" w:cs="Arial" w:eastAsia="Arial" w:hAnsi="Arial"/>
                <w:sz w:val="16"/>
                <w:szCs w:val="16"/>
                <w:color w:val="auto"/>
              </w:rPr>
              <w:t>U.S.A. – 14</w:t>
            </w:r>
          </w:p>
        </w:tc>
        <w:tc>
          <w:tcPr>
            <w:tcW w:w="840" w:type="dxa"/>
            <w:vAlign w:val="bottom"/>
          </w:tcPr>
          <w:p>
            <w:pPr>
              <w:spacing w:after="0"/>
              <w:rPr>
                <w:sz w:val="15"/>
                <w:szCs w:val="15"/>
                <w:color w:val="auto"/>
              </w:rPr>
            </w:pPr>
          </w:p>
        </w:tc>
      </w:tr>
      <w:tr>
        <w:trPr>
          <w:trHeight w:val="184"/>
        </w:trPr>
        <w:tc>
          <w:tcPr>
            <w:tcW w:w="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820" w:type="dxa"/>
            <w:vAlign w:val="bottom"/>
            <w:tcBorders>
              <w:right w:val="single" w:sz="8" w:color="D9D9D9"/>
            </w:tcBorders>
            <w:shd w:val="clear" w:color="auto" w:fill="D9D9D9"/>
          </w:tcPr>
          <w:p>
            <w:pPr>
              <w:jc w:val="center"/>
              <w:ind w:left="238"/>
              <w:spacing w:after="0"/>
              <w:rPr>
                <w:sz w:val="20"/>
                <w:szCs w:val="20"/>
                <w:color w:val="auto"/>
              </w:rPr>
            </w:pPr>
            <w:r>
              <w:rPr>
                <w:rFonts w:ascii="Arial" w:cs="Arial" w:eastAsia="Arial" w:hAnsi="Arial"/>
                <w:sz w:val="16"/>
                <w:szCs w:val="16"/>
                <w:color w:val="auto"/>
              </w:rPr>
              <w:t>Irrigation – 12%</w:t>
            </w:r>
          </w:p>
        </w:tc>
        <w:tc>
          <w:tcPr>
            <w:tcW w:w="120" w:type="dxa"/>
            <w:vAlign w:val="bottom"/>
            <w:tcBorders>
              <w:right w:val="single" w:sz="8" w:color="D9D9D9"/>
            </w:tcBorders>
            <w:shd w:val="clear" w:color="auto" w:fill="D9D9D9"/>
          </w:tcPr>
          <w:p>
            <w:pPr>
              <w:spacing w:after="0"/>
              <w:rPr>
                <w:sz w:val="15"/>
                <w:szCs w:val="15"/>
                <w:color w:val="auto"/>
              </w:rPr>
            </w:pPr>
          </w:p>
        </w:tc>
        <w:tc>
          <w:tcPr>
            <w:tcW w:w="240" w:type="dxa"/>
            <w:vAlign w:val="bottom"/>
            <w:tcBorders>
              <w:right w:val="single" w:sz="8" w:color="auto"/>
            </w:tcBorders>
            <w:shd w:val="clear" w:color="auto" w:fill="D9D9D9"/>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Residential – 21%</w:t>
            </w:r>
          </w:p>
        </w:tc>
        <w:tc>
          <w:tcPr>
            <w:tcW w:w="140" w:type="dxa"/>
            <w:vAlign w:val="bottom"/>
            <w:tcBorders>
              <w:right w:val="single" w:sz="8" w:color="auto"/>
            </w:tcBorders>
          </w:tcPr>
          <w:p>
            <w:pPr>
              <w:spacing w:after="0"/>
              <w:rPr>
                <w:sz w:val="15"/>
                <w:szCs w:val="15"/>
                <w:color w:val="auto"/>
              </w:rPr>
            </w:pPr>
          </w:p>
        </w:tc>
        <w:tc>
          <w:tcPr>
            <w:tcW w:w="420" w:type="dxa"/>
            <w:vAlign w:val="bottom"/>
            <w:tcBorders>
              <w:right w:val="single" w:sz="8" w:color="D9D9D9"/>
            </w:tcBorders>
            <w:shd w:val="clear" w:color="auto" w:fill="D9D9D9"/>
          </w:tcPr>
          <w:p>
            <w:pPr>
              <w:spacing w:after="0"/>
              <w:rPr>
                <w:sz w:val="15"/>
                <w:szCs w:val="15"/>
                <w:color w:val="auto"/>
              </w:rPr>
            </w:pPr>
          </w:p>
        </w:tc>
        <w:tc>
          <w:tcPr>
            <w:tcW w:w="140" w:type="dxa"/>
            <w:vAlign w:val="bottom"/>
            <w:tcBorders>
              <w:right w:val="single" w:sz="8" w:color="D9D9D9"/>
            </w:tcBorders>
            <w:shd w:val="clear" w:color="auto" w:fill="D9D9D9"/>
          </w:tcPr>
          <w:p>
            <w:pPr>
              <w:spacing w:after="0"/>
              <w:rPr>
                <w:sz w:val="15"/>
                <w:szCs w:val="15"/>
                <w:color w:val="auto"/>
              </w:rPr>
            </w:pPr>
          </w:p>
        </w:tc>
        <w:tc>
          <w:tcPr>
            <w:tcW w:w="2800" w:type="dxa"/>
            <w:vAlign w:val="bottom"/>
            <w:tcBorders>
              <w:right w:val="single" w:sz="8" w:color="auto"/>
            </w:tcBorders>
            <w:shd w:val="clear" w:color="auto" w:fill="D9D9D9"/>
          </w:tcPr>
          <w:p>
            <w:pPr>
              <w:jc w:val="center"/>
              <w:ind w:right="498"/>
              <w:spacing w:after="0"/>
              <w:rPr>
                <w:sz w:val="20"/>
                <w:szCs w:val="20"/>
                <w:color w:val="auto"/>
              </w:rPr>
            </w:pPr>
            <w:r>
              <w:rPr>
                <w:rFonts w:ascii="Arial" w:cs="Arial" w:eastAsia="Arial" w:hAnsi="Arial"/>
                <w:sz w:val="16"/>
                <w:szCs w:val="16"/>
                <w:color w:val="auto"/>
              </w:rPr>
              <w:t>International – 10</w:t>
            </w:r>
          </w:p>
        </w:tc>
        <w:tc>
          <w:tcPr>
            <w:tcW w:w="840" w:type="dxa"/>
            <w:vAlign w:val="bottom"/>
          </w:tcPr>
          <w:p>
            <w:pPr>
              <w:spacing w:after="0"/>
              <w:rPr>
                <w:sz w:val="15"/>
                <w:szCs w:val="15"/>
                <w:color w:val="auto"/>
              </w:rPr>
            </w:pPr>
          </w:p>
        </w:tc>
      </w:tr>
      <w:tr>
        <w:trPr>
          <w:trHeight w:val="201"/>
        </w:trPr>
        <w:tc>
          <w:tcPr>
            <w:tcW w:w="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820" w:type="dxa"/>
            <w:vAlign w:val="bottom"/>
            <w:tcBorders>
              <w:bottom w:val="single" w:sz="8" w:color="D9D9D9"/>
              <w:right w:val="single" w:sz="8" w:color="D9D9D9"/>
            </w:tcBorders>
            <w:shd w:val="clear" w:color="auto" w:fill="D9D9D9"/>
          </w:tcPr>
          <w:p>
            <w:pPr>
              <w:spacing w:after="0"/>
              <w:rPr>
                <w:sz w:val="17"/>
                <w:szCs w:val="17"/>
                <w:color w:val="auto"/>
              </w:rPr>
            </w:pPr>
          </w:p>
        </w:tc>
        <w:tc>
          <w:tcPr>
            <w:tcW w:w="120" w:type="dxa"/>
            <w:vAlign w:val="bottom"/>
            <w:tcBorders>
              <w:bottom w:val="single" w:sz="8" w:color="D9D9D9"/>
              <w:right w:val="single" w:sz="8" w:color="D9D9D9"/>
            </w:tcBorders>
            <w:shd w:val="clear" w:color="auto" w:fill="D9D9D9"/>
          </w:tcPr>
          <w:p>
            <w:pPr>
              <w:spacing w:after="0"/>
              <w:rPr>
                <w:sz w:val="17"/>
                <w:szCs w:val="17"/>
                <w:color w:val="auto"/>
              </w:rPr>
            </w:pPr>
          </w:p>
        </w:tc>
        <w:tc>
          <w:tcPr>
            <w:tcW w:w="240" w:type="dxa"/>
            <w:vAlign w:val="bottom"/>
            <w:tcBorders>
              <w:bottom w:val="single" w:sz="8" w:color="D9D9D9"/>
              <w:right w:val="single" w:sz="8" w:color="auto"/>
            </w:tcBorders>
            <w:shd w:val="clear" w:color="auto" w:fill="D9D9D9"/>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9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Other – 1%</w:t>
            </w:r>
          </w:p>
        </w:tc>
        <w:tc>
          <w:tcPr>
            <w:tcW w:w="140" w:type="dxa"/>
            <w:vAlign w:val="bottom"/>
            <w:tcBorders>
              <w:right w:val="single" w:sz="8" w:color="auto"/>
            </w:tcBorders>
          </w:tcPr>
          <w:p>
            <w:pPr>
              <w:spacing w:after="0"/>
              <w:rPr>
                <w:sz w:val="17"/>
                <w:szCs w:val="17"/>
                <w:color w:val="auto"/>
              </w:rPr>
            </w:pPr>
          </w:p>
        </w:tc>
        <w:tc>
          <w:tcPr>
            <w:tcW w:w="420" w:type="dxa"/>
            <w:vAlign w:val="bottom"/>
            <w:tcBorders>
              <w:bottom w:val="single" w:sz="8" w:color="D9D9D9"/>
              <w:right w:val="single" w:sz="8" w:color="D9D9D9"/>
            </w:tcBorders>
            <w:shd w:val="clear" w:color="auto" w:fill="D9D9D9"/>
          </w:tcPr>
          <w:p>
            <w:pPr>
              <w:spacing w:after="0"/>
              <w:rPr>
                <w:sz w:val="17"/>
                <w:szCs w:val="17"/>
                <w:color w:val="auto"/>
              </w:rPr>
            </w:pPr>
          </w:p>
        </w:tc>
        <w:tc>
          <w:tcPr>
            <w:tcW w:w="140" w:type="dxa"/>
            <w:vAlign w:val="bottom"/>
            <w:tcBorders>
              <w:bottom w:val="single" w:sz="8" w:color="D9D9D9"/>
              <w:right w:val="single" w:sz="8" w:color="D9D9D9"/>
            </w:tcBorders>
            <w:shd w:val="clear" w:color="auto" w:fill="D9D9D9"/>
          </w:tcPr>
          <w:p>
            <w:pPr>
              <w:spacing w:after="0"/>
              <w:rPr>
                <w:sz w:val="17"/>
                <w:szCs w:val="17"/>
                <w:color w:val="auto"/>
              </w:rPr>
            </w:pPr>
          </w:p>
        </w:tc>
        <w:tc>
          <w:tcPr>
            <w:tcW w:w="2800" w:type="dxa"/>
            <w:vAlign w:val="bottom"/>
            <w:tcBorders>
              <w:bottom w:val="single" w:sz="8" w:color="D9D9D9"/>
              <w:right w:val="single" w:sz="8" w:color="auto"/>
            </w:tcBorders>
            <w:shd w:val="clear" w:color="auto" w:fill="D9D9D9"/>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8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02"/>
        </w:trPr>
        <w:tc>
          <w:tcPr>
            <w:tcW w:w="7640" w:type="dxa"/>
            <w:vAlign w:val="bottom"/>
            <w:gridSpan w:val="9"/>
          </w:tcPr>
          <w:p>
            <w:pPr>
              <w:spacing w:after="0"/>
              <w:rPr>
                <w:sz w:val="20"/>
                <w:szCs w:val="20"/>
                <w:color w:val="auto"/>
              </w:rPr>
            </w:pPr>
            <w:r>
              <w:rPr>
                <w:rFonts w:ascii="Arial" w:cs="Arial" w:eastAsia="Arial" w:hAnsi="Arial"/>
                <w:sz w:val="18"/>
                <w:szCs w:val="18"/>
                <w:b w:val="1"/>
                <w:bCs w:val="1"/>
                <w:color w:val="C00000"/>
              </w:rPr>
              <w:t>The Toro Company’s Commitment to Corporate Responsibility</w:t>
            </w: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1"/>
        </w:trPr>
        <w:tc>
          <w:tcPr>
            <w:tcW w:w="60" w:type="dxa"/>
            <w:vAlign w:val="bottom"/>
          </w:tcPr>
          <w:p>
            <w:pPr>
              <w:spacing w:after="0"/>
              <w:rPr>
                <w:sz w:val="7"/>
                <w:szCs w:val="7"/>
                <w:color w:val="auto"/>
              </w:rPr>
            </w:pPr>
          </w:p>
        </w:tc>
        <w:tc>
          <w:tcPr>
            <w:tcW w:w="364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3820" w:type="dxa"/>
            <w:vAlign w:val="bottom"/>
            <w:tcBorders>
              <w:bottom w:val="single" w:sz="8" w:color="auto"/>
            </w:tcBorders>
            <w:gridSpan w:val="5"/>
          </w:tcPr>
          <w:p>
            <w:pPr>
              <w:spacing w:after="0"/>
              <w:rPr>
                <w:sz w:val="7"/>
                <w:szCs w:val="7"/>
                <w:color w:val="auto"/>
              </w:rPr>
            </w:pPr>
          </w:p>
        </w:tc>
        <w:tc>
          <w:tcPr>
            <w:tcW w:w="140" w:type="dxa"/>
            <w:vAlign w:val="bottom"/>
          </w:tcPr>
          <w:p>
            <w:pPr>
              <w:spacing w:after="0"/>
              <w:rPr>
                <w:sz w:val="7"/>
                <w:szCs w:val="7"/>
                <w:color w:val="auto"/>
              </w:rPr>
            </w:pPr>
          </w:p>
        </w:tc>
        <w:tc>
          <w:tcPr>
            <w:tcW w:w="3640" w:type="dxa"/>
            <w:vAlign w:val="bottom"/>
            <w:tcBorders>
              <w:bottom w:val="single" w:sz="8" w:color="auto"/>
            </w:tcBorders>
            <w:gridSpan w:val="2"/>
          </w:tcPr>
          <w:p>
            <w:pPr>
              <w:spacing w:after="0"/>
              <w:rPr>
                <w:sz w:val="7"/>
                <w:szCs w:val="7"/>
                <w:color w:val="auto"/>
              </w:rPr>
            </w:pPr>
          </w:p>
        </w:tc>
      </w:tr>
      <w:tr>
        <w:trPr>
          <w:trHeight w:val="168"/>
        </w:trPr>
        <w:tc>
          <w:tcPr>
            <w:tcW w:w="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gridSpan w:val="2"/>
            <w:shd w:val="clear" w:color="auto" w:fill="D9D9D9"/>
          </w:tcPr>
          <w:p>
            <w:pPr>
              <w:jc w:val="center"/>
              <w:spacing w:after="0" w:line="168" w:lineRule="exact"/>
              <w:rPr>
                <w:sz w:val="20"/>
                <w:szCs w:val="20"/>
                <w:color w:val="auto"/>
              </w:rPr>
            </w:pPr>
            <w:r>
              <w:rPr>
                <w:rFonts w:ascii="Arial" w:cs="Arial" w:eastAsia="Arial" w:hAnsi="Arial"/>
                <w:sz w:val="16"/>
                <w:szCs w:val="16"/>
                <w:color w:val="auto"/>
              </w:rPr>
              <w:t>We seek to improve our energy efficiency and</w:t>
            </w:r>
          </w:p>
        </w:tc>
        <w:tc>
          <w:tcPr>
            <w:tcW w:w="120" w:type="dxa"/>
            <w:vAlign w:val="bottom"/>
            <w:tcBorders>
              <w:right w:val="single" w:sz="8" w:color="auto"/>
            </w:tcBorders>
          </w:tcPr>
          <w:p>
            <w:pPr>
              <w:spacing w:after="0"/>
              <w:rPr>
                <w:sz w:val="14"/>
                <w:szCs w:val="14"/>
                <w:color w:val="auto"/>
              </w:rPr>
            </w:pPr>
          </w:p>
        </w:tc>
        <w:tc>
          <w:tcPr>
            <w:tcW w:w="3820" w:type="dxa"/>
            <w:vAlign w:val="bottom"/>
            <w:tcBorders>
              <w:right w:val="single" w:sz="8" w:color="auto"/>
            </w:tcBorders>
            <w:gridSpan w:val="5"/>
            <w:shd w:val="clear" w:color="auto" w:fill="D9D9D9"/>
          </w:tcPr>
          <w:p>
            <w:pPr>
              <w:jc w:val="center"/>
              <w:ind w:right="40"/>
              <w:spacing w:after="0" w:line="168" w:lineRule="exact"/>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C00000"/>
              </w:rPr>
              <w:t>values-based culture</w:t>
            </w:r>
            <w:r>
              <w:rPr>
                <w:rFonts w:ascii="Arial" w:cs="Arial" w:eastAsia="Arial" w:hAnsi="Arial"/>
                <w:sz w:val="16"/>
                <w:szCs w:val="16"/>
                <w:color w:val="auto"/>
              </w:rPr>
              <w:t xml:space="preserve"> governs how our people</w:t>
            </w:r>
          </w:p>
        </w:tc>
        <w:tc>
          <w:tcPr>
            <w:tcW w:w="14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gridSpan w:val="2"/>
            <w:shd w:val="clear" w:color="auto" w:fill="D9D9D9"/>
          </w:tcPr>
          <w:p>
            <w:pPr>
              <w:jc w:val="center"/>
              <w:ind w:right="40"/>
              <w:spacing w:after="0" w:line="168" w:lineRule="exact"/>
              <w:rPr>
                <w:sz w:val="20"/>
                <w:szCs w:val="20"/>
                <w:color w:val="auto"/>
              </w:rPr>
            </w:pPr>
            <w:r>
              <w:rPr>
                <w:rFonts w:ascii="Arial" w:cs="Arial" w:eastAsia="Arial" w:hAnsi="Arial"/>
                <w:sz w:val="16"/>
                <w:szCs w:val="16"/>
                <w:color w:val="auto"/>
              </w:rPr>
              <w:t>We were founded on an unwavering conviction to</w:t>
            </w:r>
          </w:p>
        </w:tc>
      </w:tr>
      <w:tr>
        <w:trPr>
          <w:trHeight w:val="184"/>
        </w:trPr>
        <w:tc>
          <w:tcPr>
            <w:tcW w:w="6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b w:val="1"/>
                <w:bCs w:val="1"/>
                <w:color w:val="C00000"/>
              </w:rPr>
              <w:t xml:space="preserve">reduce the environmental footprint </w:t>
            </w:r>
            <w:r>
              <w:rPr>
                <w:rFonts w:ascii="Arial" w:cs="Arial" w:eastAsia="Arial" w:hAnsi="Arial"/>
                <w:sz w:val="16"/>
                <w:szCs w:val="16"/>
                <w:color w:val="000000"/>
              </w:rPr>
              <w:t>of our</w:t>
            </w:r>
          </w:p>
        </w:tc>
        <w:tc>
          <w:tcPr>
            <w:tcW w:w="12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gridSpan w:val="5"/>
            <w:shd w:val="clear" w:color="auto" w:fill="D9D9D9"/>
          </w:tcPr>
          <w:p>
            <w:pPr>
              <w:jc w:val="center"/>
              <w:ind w:right="80"/>
              <w:spacing w:after="0"/>
              <w:rPr>
                <w:sz w:val="20"/>
                <w:szCs w:val="20"/>
                <w:color w:val="auto"/>
              </w:rPr>
            </w:pPr>
            <w:r>
              <w:rPr>
                <w:rFonts w:ascii="Arial" w:cs="Arial" w:eastAsia="Arial" w:hAnsi="Arial"/>
                <w:sz w:val="16"/>
                <w:szCs w:val="16"/>
                <w:color w:val="auto"/>
              </w:rPr>
              <w:t>conduct business, interact with each other, and</w:t>
            </w:r>
          </w:p>
        </w:tc>
        <w:tc>
          <w:tcPr>
            <w:tcW w:w="14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color w:val="auto"/>
              </w:rPr>
              <w:t xml:space="preserve">conduct business according to the </w:t>
            </w:r>
            <w:r>
              <w:rPr>
                <w:rFonts w:ascii="Arial" w:cs="Arial" w:eastAsia="Arial" w:hAnsi="Arial"/>
                <w:sz w:val="16"/>
                <w:szCs w:val="16"/>
                <w:b w:val="1"/>
                <w:bCs w:val="1"/>
                <w:color w:val="C00000"/>
              </w:rPr>
              <w:t>highest</w:t>
            </w:r>
          </w:p>
        </w:tc>
      </w:tr>
      <w:tr>
        <w:trPr>
          <w:trHeight w:val="271"/>
        </w:trPr>
        <w:tc>
          <w:tcPr>
            <w:tcW w:w="60" w:type="dxa"/>
            <w:vAlign w:val="bottom"/>
            <w:tcBorders>
              <w:right w:val="single" w:sz="8" w:color="auto"/>
            </w:tcBorders>
          </w:tcPr>
          <w:p>
            <w:pPr>
              <w:spacing w:after="0"/>
              <w:rPr>
                <w:sz w:val="23"/>
                <w:szCs w:val="23"/>
                <w:color w:val="auto"/>
              </w:rPr>
            </w:pPr>
          </w:p>
        </w:tc>
        <w:tc>
          <w:tcPr>
            <w:tcW w:w="3640" w:type="dxa"/>
            <w:vAlign w:val="bottom"/>
            <w:tcBorders>
              <w:bottom w:val="single" w:sz="8" w:color="D9D9D9"/>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color w:val="auto"/>
              </w:rPr>
              <w:t>global manufacturing facilities.</w:t>
            </w:r>
          </w:p>
        </w:tc>
        <w:tc>
          <w:tcPr>
            <w:tcW w:w="120" w:type="dxa"/>
            <w:vAlign w:val="bottom"/>
            <w:tcBorders>
              <w:right w:val="single" w:sz="8" w:color="auto"/>
            </w:tcBorders>
          </w:tcPr>
          <w:p>
            <w:pPr>
              <w:spacing w:after="0"/>
              <w:rPr>
                <w:sz w:val="23"/>
                <w:szCs w:val="23"/>
                <w:color w:val="auto"/>
              </w:rPr>
            </w:pPr>
          </w:p>
        </w:tc>
        <w:tc>
          <w:tcPr>
            <w:tcW w:w="240" w:type="dxa"/>
            <w:vAlign w:val="bottom"/>
            <w:tcBorders>
              <w:bottom w:val="single" w:sz="8" w:color="D9D9D9"/>
              <w:right w:val="single" w:sz="8" w:color="D9D9D9"/>
            </w:tcBorders>
            <w:shd w:val="clear" w:color="auto" w:fill="D9D9D9"/>
          </w:tcPr>
          <w:p>
            <w:pPr>
              <w:spacing w:after="0"/>
              <w:rPr>
                <w:sz w:val="23"/>
                <w:szCs w:val="23"/>
                <w:color w:val="auto"/>
              </w:rPr>
            </w:pPr>
          </w:p>
        </w:tc>
        <w:tc>
          <w:tcPr>
            <w:tcW w:w="80" w:type="dxa"/>
            <w:vAlign w:val="bottom"/>
            <w:tcBorders>
              <w:bottom w:val="single" w:sz="8" w:color="D9D9D9"/>
              <w:right w:val="single" w:sz="8" w:color="D9D9D9"/>
            </w:tcBorders>
            <w:shd w:val="clear" w:color="auto" w:fill="D9D9D9"/>
          </w:tcPr>
          <w:p>
            <w:pPr>
              <w:spacing w:after="0"/>
              <w:rPr>
                <w:sz w:val="23"/>
                <w:szCs w:val="23"/>
                <w:color w:val="auto"/>
              </w:rPr>
            </w:pPr>
          </w:p>
        </w:tc>
        <w:tc>
          <w:tcPr>
            <w:tcW w:w="3500" w:type="dxa"/>
            <w:vAlign w:val="bottom"/>
            <w:tcBorders>
              <w:bottom w:val="single" w:sz="8" w:color="D9D9D9"/>
              <w:right w:val="single" w:sz="8" w:color="auto"/>
            </w:tcBorders>
            <w:gridSpan w:val="3"/>
            <w:shd w:val="clear" w:color="auto" w:fill="D9D9D9"/>
          </w:tcPr>
          <w:p>
            <w:pPr>
              <w:jc w:val="center"/>
              <w:ind w:right="360"/>
              <w:spacing w:after="0"/>
              <w:rPr>
                <w:sz w:val="20"/>
                <w:szCs w:val="20"/>
                <w:color w:val="auto"/>
              </w:rPr>
            </w:pPr>
            <w:r>
              <w:rPr>
                <w:rFonts w:ascii="Arial" w:cs="Arial" w:eastAsia="Arial" w:hAnsi="Arial"/>
                <w:sz w:val="16"/>
                <w:szCs w:val="16"/>
                <w:color w:val="auto"/>
              </w:rPr>
              <w:t>support our customers.</w:t>
            </w:r>
          </w:p>
        </w:tc>
        <w:tc>
          <w:tcPr>
            <w:tcW w:w="140" w:type="dxa"/>
            <w:vAlign w:val="bottom"/>
            <w:tcBorders>
              <w:right w:val="single" w:sz="8" w:color="auto"/>
            </w:tcBorders>
          </w:tcPr>
          <w:p>
            <w:pPr>
              <w:spacing w:after="0"/>
              <w:rPr>
                <w:sz w:val="23"/>
                <w:szCs w:val="23"/>
                <w:color w:val="auto"/>
              </w:rPr>
            </w:pPr>
          </w:p>
        </w:tc>
        <w:tc>
          <w:tcPr>
            <w:tcW w:w="3640" w:type="dxa"/>
            <w:vAlign w:val="bottom"/>
            <w:tcBorders>
              <w:bottom w:val="single" w:sz="8" w:color="D9D9D9"/>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b w:val="1"/>
                <w:bCs w:val="1"/>
                <w:color w:val="C00000"/>
              </w:rPr>
              <w:t>standards of ethical behavior</w:t>
            </w:r>
            <w:r>
              <w:rPr>
                <w:rFonts w:ascii="Arial" w:cs="Arial" w:eastAsia="Arial" w:hAnsi="Arial"/>
                <w:sz w:val="16"/>
                <w:szCs w:val="16"/>
                <w:color w:val="000000"/>
              </w:rPr>
              <w:t>.</w:t>
            </w:r>
          </w:p>
        </w:tc>
      </w:tr>
      <w:tr>
        <w:trPr>
          <w:trHeight w:val="78"/>
        </w:trPr>
        <w:tc>
          <w:tcPr>
            <w:tcW w:w="60" w:type="dxa"/>
            <w:vAlign w:val="bottom"/>
          </w:tcPr>
          <w:p>
            <w:pPr>
              <w:spacing w:after="0"/>
              <w:rPr>
                <w:sz w:val="6"/>
                <w:szCs w:val="6"/>
                <w:color w:val="auto"/>
              </w:rPr>
            </w:pPr>
          </w:p>
        </w:tc>
        <w:tc>
          <w:tcPr>
            <w:tcW w:w="820" w:type="dxa"/>
            <w:vAlign w:val="bottom"/>
            <w:tcBorders>
              <w:top w:val="single" w:sz="8" w:color="auto"/>
              <w:bottom w:val="single" w:sz="8" w:color="auto"/>
            </w:tcBorders>
          </w:tcPr>
          <w:p>
            <w:pPr>
              <w:spacing w:after="0"/>
              <w:rPr>
                <w:sz w:val="6"/>
                <w:szCs w:val="6"/>
                <w:color w:val="auto"/>
              </w:rPr>
            </w:pPr>
          </w:p>
        </w:tc>
        <w:tc>
          <w:tcPr>
            <w:tcW w:w="2820" w:type="dxa"/>
            <w:vAlign w:val="bottom"/>
            <w:tcBorders>
              <w:top w:val="single" w:sz="8" w:color="auto"/>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94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tcBorders>
              <w:top w:val="single" w:sz="8" w:color="auto"/>
              <w:bottom w:val="single" w:sz="8" w:color="auto"/>
            </w:tcBorders>
          </w:tcPr>
          <w:p>
            <w:pPr>
              <w:spacing w:after="0"/>
              <w:rPr>
                <w:sz w:val="6"/>
                <w:szCs w:val="6"/>
                <w:color w:val="auto"/>
              </w:rPr>
            </w:pPr>
          </w:p>
        </w:tc>
        <w:tc>
          <w:tcPr>
            <w:tcW w:w="840" w:type="dxa"/>
            <w:vAlign w:val="bottom"/>
            <w:tcBorders>
              <w:top w:val="single" w:sz="8" w:color="auto"/>
              <w:bottom w:val="single" w:sz="8" w:color="auto"/>
            </w:tcBorders>
          </w:tcPr>
          <w:p>
            <w:pPr>
              <w:spacing w:after="0"/>
              <w:rPr>
                <w:sz w:val="6"/>
                <w:szCs w:val="6"/>
                <w:color w:val="auto"/>
              </w:rPr>
            </w:pPr>
          </w:p>
        </w:tc>
      </w:tr>
      <w:tr>
        <w:trPr>
          <w:trHeight w:val="168"/>
        </w:trPr>
        <w:tc>
          <w:tcPr>
            <w:tcW w:w="6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gridSpan w:val="2"/>
            <w:shd w:val="clear" w:color="auto" w:fill="D9D9D9"/>
          </w:tcPr>
          <w:p>
            <w:pPr>
              <w:jc w:val="center"/>
              <w:spacing w:after="0" w:line="168" w:lineRule="exact"/>
              <w:rPr>
                <w:sz w:val="20"/>
                <w:szCs w:val="20"/>
                <w:color w:val="auto"/>
              </w:rPr>
            </w:pPr>
            <w:r>
              <w:rPr>
                <w:rFonts w:ascii="Arial" w:cs="Arial" w:eastAsia="Arial" w:hAnsi="Arial"/>
                <w:sz w:val="16"/>
                <w:szCs w:val="16"/>
                <w:color w:val="auto"/>
              </w:rPr>
              <w:t>We believe that along with our industry</w:t>
            </w:r>
          </w:p>
        </w:tc>
        <w:tc>
          <w:tcPr>
            <w:tcW w:w="120" w:type="dxa"/>
            <w:vAlign w:val="bottom"/>
            <w:tcBorders>
              <w:right w:val="single" w:sz="8" w:color="auto"/>
            </w:tcBorders>
          </w:tcPr>
          <w:p>
            <w:pPr>
              <w:spacing w:after="0"/>
              <w:rPr>
                <w:sz w:val="14"/>
                <w:szCs w:val="14"/>
                <w:color w:val="auto"/>
              </w:rPr>
            </w:pPr>
          </w:p>
        </w:tc>
        <w:tc>
          <w:tcPr>
            <w:tcW w:w="240" w:type="dxa"/>
            <w:vAlign w:val="bottom"/>
            <w:tcBorders>
              <w:right w:val="single" w:sz="8" w:color="D9D9D9"/>
            </w:tcBorders>
            <w:shd w:val="clear" w:color="auto" w:fill="D9D9D9"/>
          </w:tcPr>
          <w:p>
            <w:pPr>
              <w:spacing w:after="0"/>
              <w:rPr>
                <w:sz w:val="14"/>
                <w:szCs w:val="14"/>
                <w:color w:val="auto"/>
              </w:rPr>
            </w:pPr>
          </w:p>
        </w:tc>
        <w:tc>
          <w:tcPr>
            <w:tcW w:w="80" w:type="dxa"/>
            <w:vAlign w:val="bottom"/>
            <w:tcBorders>
              <w:right w:val="single" w:sz="8" w:color="D9D9D9"/>
            </w:tcBorders>
            <w:shd w:val="clear" w:color="auto" w:fill="D9D9D9"/>
          </w:tcPr>
          <w:p>
            <w:pPr>
              <w:spacing w:after="0"/>
              <w:rPr>
                <w:sz w:val="14"/>
                <w:szCs w:val="14"/>
                <w:color w:val="auto"/>
              </w:rPr>
            </w:pPr>
          </w:p>
        </w:tc>
        <w:tc>
          <w:tcPr>
            <w:tcW w:w="3500" w:type="dxa"/>
            <w:vAlign w:val="bottom"/>
            <w:tcBorders>
              <w:right w:val="single" w:sz="8" w:color="auto"/>
            </w:tcBorders>
            <w:gridSpan w:val="3"/>
            <w:shd w:val="clear" w:color="auto" w:fill="D9D9D9"/>
          </w:tcPr>
          <w:p>
            <w:pPr>
              <w:jc w:val="center"/>
              <w:ind w:right="400"/>
              <w:spacing w:after="0" w:line="168" w:lineRule="exact"/>
              <w:rPr>
                <w:sz w:val="20"/>
                <w:szCs w:val="20"/>
                <w:color w:val="auto"/>
              </w:rPr>
            </w:pPr>
            <w:r>
              <w:rPr>
                <w:rFonts w:ascii="Arial" w:cs="Arial" w:eastAsia="Arial" w:hAnsi="Arial"/>
                <w:sz w:val="16"/>
                <w:szCs w:val="16"/>
                <w:color w:val="auto"/>
              </w:rPr>
              <w:t>As we strive to attract and retain</w:t>
            </w:r>
          </w:p>
        </w:tc>
        <w:tc>
          <w:tcPr>
            <w:tcW w:w="140" w:type="dxa"/>
            <w:vAlign w:val="bottom"/>
            <w:tcBorders>
              <w:right w:val="single" w:sz="8" w:color="auto"/>
            </w:tcBorders>
          </w:tcPr>
          <w:p>
            <w:pPr>
              <w:spacing w:after="0"/>
              <w:rPr>
                <w:sz w:val="14"/>
                <w:szCs w:val="14"/>
                <w:color w:val="auto"/>
              </w:rPr>
            </w:pPr>
          </w:p>
        </w:tc>
        <w:tc>
          <w:tcPr>
            <w:tcW w:w="3640" w:type="dxa"/>
            <w:vAlign w:val="bottom"/>
            <w:tcBorders>
              <w:right w:val="single" w:sz="8" w:color="auto"/>
            </w:tcBorders>
            <w:gridSpan w:val="2"/>
            <w:shd w:val="clear" w:color="auto" w:fill="D9D9D9"/>
          </w:tcPr>
          <w:p>
            <w:pPr>
              <w:jc w:val="center"/>
              <w:ind w:right="40"/>
              <w:spacing w:after="0" w:line="168" w:lineRule="exact"/>
              <w:rPr>
                <w:sz w:val="20"/>
                <w:szCs w:val="20"/>
                <w:color w:val="auto"/>
              </w:rPr>
            </w:pPr>
            <w:r>
              <w:rPr>
                <w:rFonts w:ascii="Arial" w:cs="Arial" w:eastAsia="Arial" w:hAnsi="Arial"/>
                <w:sz w:val="16"/>
                <w:szCs w:val="16"/>
                <w:color w:val="auto"/>
              </w:rPr>
              <w:t xml:space="preserve">We are committed to developing </w:t>
            </w:r>
            <w:r>
              <w:rPr>
                <w:rFonts w:ascii="Arial" w:cs="Arial" w:eastAsia="Arial" w:hAnsi="Arial"/>
                <w:sz w:val="16"/>
                <w:szCs w:val="16"/>
                <w:b w:val="1"/>
                <w:bCs w:val="1"/>
                <w:color w:val="C00000"/>
              </w:rPr>
              <w:t>innovative and</w:t>
            </w:r>
          </w:p>
        </w:tc>
      </w:tr>
      <w:tr>
        <w:trPr>
          <w:trHeight w:val="184"/>
        </w:trPr>
        <w:tc>
          <w:tcPr>
            <w:tcW w:w="6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color w:val="auto"/>
              </w:rPr>
              <w:t>leadership and financial success comes a</w:t>
            </w:r>
          </w:p>
        </w:tc>
        <w:tc>
          <w:tcPr>
            <w:tcW w:w="120" w:type="dxa"/>
            <w:vAlign w:val="bottom"/>
            <w:tcBorders>
              <w:right w:val="single" w:sz="8" w:color="auto"/>
            </w:tcBorders>
          </w:tcPr>
          <w:p>
            <w:pPr>
              <w:spacing w:after="0"/>
              <w:rPr>
                <w:sz w:val="15"/>
                <w:szCs w:val="15"/>
                <w:color w:val="auto"/>
              </w:rPr>
            </w:pPr>
          </w:p>
        </w:tc>
        <w:tc>
          <w:tcPr>
            <w:tcW w:w="240" w:type="dxa"/>
            <w:vAlign w:val="bottom"/>
            <w:tcBorders>
              <w:right w:val="single" w:sz="8" w:color="D9D9D9"/>
            </w:tcBorders>
            <w:shd w:val="clear" w:color="auto" w:fill="D9D9D9"/>
          </w:tcPr>
          <w:p>
            <w:pPr>
              <w:spacing w:after="0"/>
              <w:rPr>
                <w:sz w:val="15"/>
                <w:szCs w:val="15"/>
                <w:color w:val="auto"/>
              </w:rPr>
            </w:pPr>
          </w:p>
        </w:tc>
        <w:tc>
          <w:tcPr>
            <w:tcW w:w="3580" w:type="dxa"/>
            <w:vAlign w:val="bottom"/>
            <w:tcBorders>
              <w:right w:val="single" w:sz="8" w:color="auto"/>
            </w:tcBorders>
            <w:gridSpan w:val="4"/>
            <w:shd w:val="clear" w:color="auto" w:fill="D9D9D9"/>
          </w:tcPr>
          <w:p>
            <w:pPr>
              <w:jc w:val="center"/>
              <w:ind w:right="260"/>
              <w:spacing w:after="0"/>
              <w:rPr>
                <w:sz w:val="20"/>
                <w:szCs w:val="20"/>
                <w:color w:val="auto"/>
              </w:rPr>
            </w:pPr>
            <w:r>
              <w:rPr>
                <w:rFonts w:ascii="Arial" w:cs="Arial" w:eastAsia="Arial" w:hAnsi="Arial"/>
                <w:sz w:val="16"/>
                <w:szCs w:val="16"/>
                <w:color w:val="auto"/>
              </w:rPr>
              <w:t>the very best employees, we are committed to</w:t>
            </w:r>
          </w:p>
        </w:tc>
        <w:tc>
          <w:tcPr>
            <w:tcW w:w="14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b w:val="1"/>
                <w:bCs w:val="1"/>
                <w:color w:val="C00000"/>
              </w:rPr>
              <w:t>safe products</w:t>
            </w:r>
          </w:p>
        </w:tc>
      </w:tr>
      <w:tr>
        <w:trPr>
          <w:trHeight w:val="204"/>
        </w:trPr>
        <w:tc>
          <w:tcPr>
            <w:tcW w:w="6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color w:val="auto"/>
              </w:rPr>
              <w:t xml:space="preserve">responsibility to </w:t>
            </w:r>
            <w:r>
              <w:rPr>
                <w:rFonts w:ascii="Arial" w:cs="Arial" w:eastAsia="Arial" w:hAnsi="Arial"/>
                <w:sz w:val="16"/>
                <w:szCs w:val="16"/>
                <w:b w:val="1"/>
                <w:bCs w:val="1"/>
                <w:color w:val="C00000"/>
              </w:rPr>
              <w:t>give back to the communities</w:t>
            </w:r>
          </w:p>
        </w:tc>
        <w:tc>
          <w:tcPr>
            <w:tcW w:w="12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5"/>
            <w:shd w:val="clear" w:color="auto" w:fill="D9D9D9"/>
          </w:tcPr>
          <w:p>
            <w:pPr>
              <w:jc w:val="center"/>
              <w:ind w:right="20"/>
              <w:spacing w:after="0"/>
              <w:rPr>
                <w:sz w:val="20"/>
                <w:szCs w:val="20"/>
                <w:color w:val="auto"/>
              </w:rPr>
            </w:pPr>
            <w:r>
              <w:rPr>
                <w:rFonts w:ascii="Arial" w:cs="Arial" w:eastAsia="Arial" w:hAnsi="Arial"/>
                <w:sz w:val="16"/>
                <w:szCs w:val="16"/>
                <w:color w:val="auto"/>
              </w:rPr>
              <w:t xml:space="preserve">fostering an atmosphere that </w:t>
            </w:r>
            <w:r>
              <w:rPr>
                <w:rFonts w:ascii="Arial" w:cs="Arial" w:eastAsia="Arial" w:hAnsi="Arial"/>
                <w:sz w:val="16"/>
                <w:szCs w:val="16"/>
                <w:b w:val="1"/>
                <w:bCs w:val="1"/>
                <w:color w:val="C00000"/>
              </w:rPr>
              <w:t>embraces diversity</w:t>
            </w:r>
          </w:p>
        </w:tc>
        <w:tc>
          <w:tcPr>
            <w:tcW w:w="14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color w:val="auto"/>
              </w:rPr>
              <w:t>that yield performance, productivity and</w:t>
            </w:r>
          </w:p>
        </w:tc>
      </w:tr>
      <w:tr>
        <w:trPr>
          <w:trHeight w:val="184"/>
        </w:trPr>
        <w:tc>
          <w:tcPr>
            <w:tcW w:w="6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color w:val="auto"/>
              </w:rPr>
              <w:t>in which our employees live and work.</w:t>
            </w:r>
          </w:p>
        </w:tc>
        <w:tc>
          <w:tcPr>
            <w:tcW w:w="12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gridSpan w:val="5"/>
            <w:shd w:val="clear" w:color="auto" w:fill="D9D9D9"/>
          </w:tcPr>
          <w:p>
            <w:pPr>
              <w:jc w:val="center"/>
              <w:ind w:right="40"/>
              <w:spacing w:after="0"/>
              <w:rPr>
                <w:sz w:val="20"/>
                <w:szCs w:val="20"/>
                <w:color w:val="auto"/>
              </w:rPr>
            </w:pPr>
            <w:r>
              <w:rPr>
                <w:rFonts w:ascii="Arial" w:cs="Arial" w:eastAsia="Arial" w:hAnsi="Arial"/>
                <w:sz w:val="16"/>
                <w:szCs w:val="16"/>
                <w:color w:val="auto"/>
              </w:rPr>
              <w:t>and supports Toro’s programs and policies related</w:t>
            </w:r>
          </w:p>
        </w:tc>
        <w:tc>
          <w:tcPr>
            <w:tcW w:w="140" w:type="dxa"/>
            <w:vAlign w:val="bottom"/>
            <w:tcBorders>
              <w:right w:val="single" w:sz="8" w:color="auto"/>
            </w:tcBorders>
          </w:tcPr>
          <w:p>
            <w:pPr>
              <w:spacing w:after="0"/>
              <w:rPr>
                <w:sz w:val="15"/>
                <w:szCs w:val="15"/>
                <w:color w:val="auto"/>
              </w:rPr>
            </w:pPr>
          </w:p>
        </w:tc>
        <w:tc>
          <w:tcPr>
            <w:tcW w:w="3640" w:type="dxa"/>
            <w:vAlign w:val="bottom"/>
            <w:tcBorders>
              <w:right w:val="single" w:sz="8" w:color="auto"/>
            </w:tcBorders>
            <w:gridSpan w:val="2"/>
            <w:shd w:val="clear" w:color="auto" w:fill="D9D9D9"/>
          </w:tcPr>
          <w:p>
            <w:pPr>
              <w:jc w:val="center"/>
              <w:ind w:right="80"/>
              <w:spacing w:after="0"/>
              <w:rPr>
                <w:sz w:val="20"/>
                <w:szCs w:val="20"/>
                <w:color w:val="auto"/>
              </w:rPr>
            </w:pPr>
            <w:r>
              <w:rPr>
                <w:rFonts w:ascii="Arial" w:cs="Arial" w:eastAsia="Arial" w:hAnsi="Arial"/>
                <w:sz w:val="16"/>
                <w:szCs w:val="16"/>
                <w:color w:val="auto"/>
              </w:rPr>
              <w:t>environmental benefits for</w:t>
            </w:r>
          </w:p>
        </w:tc>
      </w:tr>
      <w:tr>
        <w:trPr>
          <w:trHeight w:val="226"/>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D9D9D9"/>
              <w:right w:val="single" w:sz="8" w:color="D9D9D9"/>
            </w:tcBorders>
            <w:shd w:val="clear" w:color="auto" w:fill="D9D9D9"/>
          </w:tcPr>
          <w:p>
            <w:pPr>
              <w:spacing w:after="0"/>
              <w:rPr>
                <w:sz w:val="19"/>
                <w:szCs w:val="19"/>
                <w:color w:val="auto"/>
              </w:rPr>
            </w:pPr>
          </w:p>
        </w:tc>
        <w:tc>
          <w:tcPr>
            <w:tcW w:w="2820" w:type="dxa"/>
            <w:vAlign w:val="bottom"/>
            <w:tcBorders>
              <w:bottom w:val="single" w:sz="8" w:color="D9D9D9"/>
              <w:right w:val="single" w:sz="8" w:color="auto"/>
            </w:tcBorders>
            <w:shd w:val="clear" w:color="auto" w:fill="D9D9D9"/>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Borders>
              <w:bottom w:val="single" w:sz="8" w:color="D9D9D9"/>
              <w:right w:val="single" w:sz="8" w:color="D9D9D9"/>
            </w:tcBorders>
            <w:shd w:val="clear" w:color="auto" w:fill="D9D9D9"/>
          </w:tcPr>
          <w:p>
            <w:pPr>
              <w:spacing w:after="0"/>
              <w:rPr>
                <w:sz w:val="19"/>
                <w:szCs w:val="19"/>
                <w:color w:val="auto"/>
              </w:rPr>
            </w:pPr>
          </w:p>
        </w:tc>
        <w:tc>
          <w:tcPr>
            <w:tcW w:w="80" w:type="dxa"/>
            <w:vAlign w:val="bottom"/>
            <w:tcBorders>
              <w:bottom w:val="single" w:sz="8" w:color="D9D9D9"/>
              <w:right w:val="single" w:sz="8" w:color="D9D9D9"/>
            </w:tcBorders>
            <w:shd w:val="clear" w:color="auto" w:fill="D9D9D9"/>
          </w:tcPr>
          <w:p>
            <w:pPr>
              <w:spacing w:after="0"/>
              <w:rPr>
                <w:sz w:val="19"/>
                <w:szCs w:val="19"/>
                <w:color w:val="auto"/>
              </w:rPr>
            </w:pPr>
          </w:p>
        </w:tc>
        <w:tc>
          <w:tcPr>
            <w:tcW w:w="3500" w:type="dxa"/>
            <w:vAlign w:val="bottom"/>
            <w:tcBorders>
              <w:bottom w:val="single" w:sz="8" w:color="D9D9D9"/>
              <w:right w:val="single" w:sz="8" w:color="auto"/>
            </w:tcBorders>
            <w:gridSpan w:val="3"/>
            <w:shd w:val="clear" w:color="auto" w:fill="D9D9D9"/>
          </w:tcPr>
          <w:p>
            <w:pPr>
              <w:jc w:val="center"/>
              <w:ind w:right="360"/>
              <w:spacing w:after="0"/>
              <w:rPr>
                <w:sz w:val="20"/>
                <w:szCs w:val="20"/>
                <w:color w:val="auto"/>
              </w:rPr>
            </w:pPr>
            <w:r>
              <w:rPr>
                <w:rFonts w:ascii="Arial" w:cs="Arial" w:eastAsia="Arial" w:hAnsi="Arial"/>
                <w:sz w:val="16"/>
                <w:szCs w:val="16"/>
                <w:color w:val="auto"/>
              </w:rPr>
              <w:t>to equal opportunity.</w:t>
            </w:r>
          </w:p>
        </w:tc>
        <w:tc>
          <w:tcPr>
            <w:tcW w:w="140" w:type="dxa"/>
            <w:vAlign w:val="bottom"/>
            <w:tcBorders>
              <w:right w:val="single" w:sz="8" w:color="auto"/>
            </w:tcBorders>
          </w:tcPr>
          <w:p>
            <w:pPr>
              <w:spacing w:after="0"/>
              <w:rPr>
                <w:sz w:val="19"/>
                <w:szCs w:val="19"/>
                <w:color w:val="auto"/>
              </w:rPr>
            </w:pPr>
          </w:p>
        </w:tc>
        <w:tc>
          <w:tcPr>
            <w:tcW w:w="3640" w:type="dxa"/>
            <w:vAlign w:val="bottom"/>
            <w:tcBorders>
              <w:bottom w:val="single" w:sz="8" w:color="D9D9D9"/>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6"/>
                <w:szCs w:val="16"/>
                <w:color w:val="auto"/>
              </w:rPr>
              <w:t>our customers.</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2020 Annual Meeting of Shareholders</w:t>
      </w:r>
    </w:p>
    <w:p>
      <w:pPr>
        <w:spacing w:after="0" w:line="105" w:lineRule="exact"/>
        <w:rPr>
          <w:sz w:val="20"/>
          <w:szCs w:val="20"/>
          <w:color w:val="auto"/>
        </w:rPr>
      </w:pPr>
    </w:p>
    <w:tbl>
      <w:tblPr>
        <w:tblLayout w:type="fixed"/>
        <w:tblInd w:w="1410" w:type="dxa"/>
        <w:tblCellMar>
          <w:top w:w="0" w:type="dxa"/>
          <w:left w:w="0" w:type="dxa"/>
          <w:bottom w:w="0" w:type="dxa"/>
          <w:right w:w="0" w:type="dxa"/>
        </w:tblCellMar>
      </w:tblPr>
      <w:tr>
        <w:trPr>
          <w:trHeight w:val="257"/>
        </w:trPr>
        <w:tc>
          <w:tcPr>
            <w:tcW w:w="292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6"/>
                <w:szCs w:val="16"/>
                <w:b w:val="1"/>
                <w:bCs w:val="1"/>
                <w:color w:val="C00000"/>
              </w:rPr>
              <w:t>Date and Time</w:t>
            </w:r>
          </w:p>
        </w:tc>
        <w:tc>
          <w:tcPr>
            <w:tcW w:w="140" w:type="dxa"/>
            <w:vAlign w:val="bottom"/>
            <w:tcBorders>
              <w:right w:val="single" w:sz="8" w:color="auto"/>
            </w:tcBorders>
          </w:tcPr>
          <w:p>
            <w:pPr>
              <w:spacing w:after="0"/>
              <w:rPr>
                <w:sz w:val="22"/>
                <w:szCs w:val="22"/>
                <w:color w:val="auto"/>
              </w:rPr>
            </w:pPr>
          </w:p>
        </w:tc>
        <w:tc>
          <w:tcPr>
            <w:tcW w:w="326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b w:val="1"/>
                <w:bCs w:val="1"/>
                <w:color w:val="C00000"/>
              </w:rPr>
              <w:t>Location</w:t>
            </w:r>
          </w:p>
        </w:tc>
        <w:tc>
          <w:tcPr>
            <w:tcW w:w="120" w:type="dxa"/>
            <w:vAlign w:val="bottom"/>
            <w:tcBorders>
              <w:right w:val="single" w:sz="8" w:color="auto"/>
            </w:tcBorders>
          </w:tcPr>
          <w:p>
            <w:pPr>
              <w:spacing w:after="0"/>
              <w:rPr>
                <w:sz w:val="22"/>
                <w:szCs w:val="22"/>
                <w:color w:val="auto"/>
              </w:rPr>
            </w:pPr>
          </w:p>
        </w:tc>
        <w:tc>
          <w:tcPr>
            <w:tcW w:w="220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b w:val="1"/>
                <w:bCs w:val="1"/>
                <w:color w:val="C00000"/>
              </w:rPr>
              <w:t>Record Date</w:t>
            </w:r>
          </w:p>
        </w:tc>
      </w:tr>
      <w:tr>
        <w:trPr>
          <w:trHeight w:val="184"/>
        </w:trPr>
        <w:tc>
          <w:tcPr>
            <w:tcW w:w="292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6"/>
                <w:szCs w:val="16"/>
                <w:color w:val="auto"/>
              </w:rPr>
              <w:t>Tuesday, March 17, 2020</w:t>
            </w:r>
          </w:p>
        </w:tc>
        <w:tc>
          <w:tcPr>
            <w:tcW w:w="14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Worldwide Headquarters</w:t>
            </w:r>
          </w:p>
        </w:tc>
        <w:tc>
          <w:tcPr>
            <w:tcW w:w="12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January 21, 2020</w:t>
            </w:r>
          </w:p>
        </w:tc>
      </w:tr>
      <w:tr>
        <w:trPr>
          <w:trHeight w:val="184"/>
        </w:trPr>
        <w:tc>
          <w:tcPr>
            <w:tcW w:w="292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6"/>
                <w:szCs w:val="16"/>
                <w:color w:val="auto"/>
              </w:rPr>
              <w:t>1:30 p.m. CDT</w:t>
            </w:r>
          </w:p>
        </w:tc>
        <w:tc>
          <w:tcPr>
            <w:tcW w:w="14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8111 Lyndale Avenue South</w:t>
            </w:r>
          </w:p>
        </w:tc>
        <w:tc>
          <w:tcPr>
            <w:tcW w:w="12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shd w:val="clear" w:color="auto" w:fill="D9D9D9"/>
          </w:tcPr>
          <w:p>
            <w:pPr>
              <w:spacing w:after="0"/>
              <w:rPr>
                <w:sz w:val="15"/>
                <w:szCs w:val="15"/>
                <w:color w:val="auto"/>
              </w:rPr>
            </w:pPr>
          </w:p>
        </w:tc>
      </w:tr>
      <w:tr>
        <w:trPr>
          <w:trHeight w:val="196"/>
        </w:trPr>
        <w:tc>
          <w:tcPr>
            <w:tcW w:w="292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6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Bloomington, Minnesota</w:t>
            </w:r>
          </w:p>
        </w:tc>
        <w:tc>
          <w:tcPr>
            <w:tcW w:w="120" w:type="dxa"/>
            <w:vAlign w:val="bottom"/>
            <w:tcBorders>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shd w:val="clear" w:color="auto" w:fill="D9D9D9"/>
          </w:tcPr>
          <w:p>
            <w:pPr>
              <w:spacing w:after="0"/>
              <w:rPr>
                <w:sz w:val="17"/>
                <w:szCs w:val="17"/>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Meeting Agenda Voting Matters and Recommendations</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8760" w:type="dxa"/>
            <w:vAlign w:val="bottom"/>
            <w:tcBorders>
              <w:top w:val="single" w:sz="8" w:color="auto"/>
              <w:lef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C00000"/>
              </w:rPr>
              <w:t>Proposal One</w:t>
            </w:r>
          </w:p>
        </w:tc>
        <w:tc>
          <w:tcPr>
            <w:tcW w:w="1340" w:type="dxa"/>
            <w:vAlign w:val="bottom"/>
            <w:tcBorders>
              <w:top w:val="single" w:sz="8" w:color="auto"/>
            </w:tcBorders>
            <w:vMerge w:val="restart"/>
            <w:shd w:val="clear" w:color="auto" w:fill="D9D9D9"/>
          </w:tcPr>
          <w:p>
            <w:pPr>
              <w:ind w:left="20"/>
              <w:spacing w:after="0" w:line="518" w:lineRule="exact"/>
              <w:rPr>
                <w:sz w:val="20"/>
                <w:szCs w:val="20"/>
                <w:color w:val="auto"/>
              </w:rPr>
            </w:pPr>
            <w:r>
              <w:rPr>
                <w:rFonts w:ascii="MS PGothic" w:cs="MS PGothic" w:eastAsia="MS PGothic" w:hAnsi="MS PGothic"/>
                <w:sz w:val="45"/>
                <w:szCs w:val="45"/>
                <w:color w:val="C00000"/>
              </w:rPr>
              <w:t>☑</w:t>
            </w:r>
            <w:r>
              <w:rPr>
                <w:rFonts w:ascii="Arial" w:cs="Arial" w:eastAsia="Arial" w:hAnsi="Arial"/>
                <w:sz w:val="16"/>
                <w:szCs w:val="16"/>
                <w:color w:val="auto"/>
              </w:rPr>
              <w:t>FOR</w:t>
            </w:r>
          </w:p>
        </w:tc>
        <w:tc>
          <w:tcPr>
            <w:tcW w:w="1340" w:type="dxa"/>
            <w:vAlign w:val="bottom"/>
            <w:tcBorders>
              <w:top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760" w:type="dxa"/>
            <w:vAlign w:val="bottom"/>
            <w:tcBorders>
              <w:lef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To elect as directors the three nominees named in this proxy statement, each to serve for a term of three years ending at</w:t>
            </w:r>
          </w:p>
        </w:tc>
        <w:tc>
          <w:tcPr>
            <w:tcW w:w="1340" w:type="dxa"/>
            <w:vAlign w:val="bottom"/>
            <w:vMerge w:val="continue"/>
            <w:shd w:val="clear" w:color="auto" w:fill="D9D9D9"/>
          </w:tcPr>
          <w:p>
            <w:pPr>
              <w:spacing w:after="0"/>
              <w:rPr>
                <w:sz w:val="17"/>
                <w:szCs w:val="17"/>
                <w:color w:val="auto"/>
              </w:rPr>
            </w:pPr>
          </w:p>
        </w:tc>
        <w:tc>
          <w:tcPr>
            <w:tcW w:w="1340" w:type="dxa"/>
            <w:vAlign w:val="bottom"/>
            <w:tcBorders>
              <w:right w:val="single" w:sz="8" w:color="auto"/>
            </w:tcBorders>
            <w:shd w:val="clear" w:color="auto" w:fill="D9D9D9"/>
          </w:tcPr>
          <w:p>
            <w:pPr>
              <w:ind w:left="300"/>
              <w:spacing w:after="0"/>
              <w:rPr>
                <w:sz w:val="20"/>
                <w:szCs w:val="20"/>
                <w:color w:val="auto"/>
              </w:rPr>
            </w:pPr>
            <w:r>
              <w:rPr>
                <w:rFonts w:ascii="Arial" w:cs="Arial" w:eastAsia="Arial" w:hAnsi="Arial"/>
                <w:sz w:val="16"/>
                <w:szCs w:val="16"/>
                <w:color w:val="auto"/>
              </w:rPr>
              <w:t>Page 5</w:t>
            </w:r>
          </w:p>
        </w:tc>
        <w:tc>
          <w:tcPr>
            <w:tcW w:w="0" w:type="dxa"/>
            <w:vAlign w:val="bottom"/>
          </w:tcPr>
          <w:p>
            <w:pPr>
              <w:spacing w:after="0"/>
              <w:rPr>
                <w:sz w:val="1"/>
                <w:szCs w:val="1"/>
                <w:color w:val="auto"/>
              </w:rPr>
            </w:pPr>
          </w:p>
        </w:tc>
      </w:tr>
      <w:tr>
        <w:trPr>
          <w:trHeight w:val="148"/>
        </w:trPr>
        <w:tc>
          <w:tcPr>
            <w:tcW w:w="8760" w:type="dxa"/>
            <w:vAlign w:val="bottom"/>
            <w:tcBorders>
              <w:left w:val="single" w:sz="8" w:color="auto"/>
            </w:tcBorders>
            <w:shd w:val="clear" w:color="auto" w:fill="D9D9D9"/>
          </w:tcPr>
          <w:p>
            <w:pPr>
              <w:ind w:left="40"/>
              <w:spacing w:after="0" w:line="148" w:lineRule="exact"/>
              <w:rPr>
                <w:sz w:val="20"/>
                <w:szCs w:val="20"/>
                <w:color w:val="auto"/>
              </w:rPr>
            </w:pPr>
            <w:r>
              <w:rPr>
                <w:rFonts w:ascii="Arial" w:cs="Arial" w:eastAsia="Arial" w:hAnsi="Arial"/>
                <w:sz w:val="16"/>
                <w:szCs w:val="16"/>
                <w:color w:val="auto"/>
              </w:rPr>
              <w:t>the 2023 Annual Meeting of Shareholders.</w:t>
            </w:r>
          </w:p>
        </w:tc>
        <w:tc>
          <w:tcPr>
            <w:tcW w:w="1340" w:type="dxa"/>
            <w:vAlign w:val="bottom"/>
            <w:vMerge w:val="continue"/>
            <w:shd w:val="clear" w:color="auto" w:fill="D9D9D9"/>
          </w:tcPr>
          <w:p>
            <w:pPr>
              <w:spacing w:after="0"/>
              <w:rPr>
                <w:sz w:val="12"/>
                <w:szCs w:val="12"/>
                <w:color w:val="auto"/>
              </w:rPr>
            </w:pPr>
          </w:p>
        </w:tc>
        <w:tc>
          <w:tcPr>
            <w:tcW w:w="13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760" w:type="dxa"/>
            <w:vAlign w:val="bottom"/>
            <w:tcBorders>
              <w:left w:val="single" w:sz="8" w:color="auto"/>
              <w:bottom w:val="single" w:sz="8" w:color="auto"/>
            </w:tcBorders>
            <w:shd w:val="clear" w:color="auto" w:fill="D9D9D9"/>
          </w:tcPr>
          <w:p>
            <w:pPr>
              <w:spacing w:after="0"/>
              <w:rPr>
                <w:sz w:val="9"/>
                <w:szCs w:val="9"/>
                <w:color w:val="auto"/>
              </w:rPr>
            </w:pPr>
          </w:p>
        </w:tc>
        <w:tc>
          <w:tcPr>
            <w:tcW w:w="1340" w:type="dxa"/>
            <w:vAlign w:val="bottom"/>
            <w:tcBorders>
              <w:bottom w:val="single" w:sz="8" w:color="auto"/>
            </w:tcBorders>
            <w:shd w:val="clear" w:color="auto" w:fill="D9D9D9"/>
          </w:tcPr>
          <w:p>
            <w:pPr>
              <w:ind w:left="20"/>
              <w:spacing w:after="0" w:line="110" w:lineRule="exact"/>
              <w:rPr>
                <w:sz w:val="20"/>
                <w:szCs w:val="20"/>
                <w:color w:val="auto"/>
              </w:rPr>
            </w:pPr>
            <w:r>
              <w:rPr>
                <w:rFonts w:ascii="Arial" w:cs="Arial" w:eastAsia="Arial" w:hAnsi="Arial"/>
                <w:sz w:val="12"/>
                <w:szCs w:val="12"/>
                <w:color w:val="auto"/>
              </w:rPr>
              <w:t>each nominee</w:t>
            </w:r>
          </w:p>
        </w:tc>
        <w:tc>
          <w:tcPr>
            <w:tcW w:w="134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87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760" w:type="dxa"/>
            <w:vAlign w:val="bottom"/>
            <w:tcBorders>
              <w:lef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C00000"/>
              </w:rPr>
              <w:t>Proposal Two</w:t>
            </w:r>
          </w:p>
        </w:tc>
        <w:tc>
          <w:tcPr>
            <w:tcW w:w="1340" w:type="dxa"/>
            <w:vAlign w:val="bottom"/>
            <w:vMerge w:val="restart"/>
            <w:shd w:val="clear" w:color="auto" w:fill="D9D9D9"/>
          </w:tcPr>
          <w:p>
            <w:pPr>
              <w:ind w:left="20"/>
              <w:spacing w:after="0" w:line="518" w:lineRule="exact"/>
              <w:rPr>
                <w:sz w:val="20"/>
                <w:szCs w:val="20"/>
                <w:color w:val="auto"/>
              </w:rPr>
            </w:pPr>
            <w:r>
              <w:rPr>
                <w:rFonts w:ascii="MS PGothic" w:cs="MS PGothic" w:eastAsia="MS PGothic" w:hAnsi="MS PGothic"/>
                <w:sz w:val="45"/>
                <w:szCs w:val="45"/>
                <w:color w:val="C00000"/>
              </w:rPr>
              <w:t>☑</w:t>
            </w:r>
            <w:r>
              <w:rPr>
                <w:rFonts w:ascii="Arial" w:cs="Arial" w:eastAsia="Arial" w:hAnsi="Arial"/>
                <w:sz w:val="16"/>
                <w:szCs w:val="16"/>
                <w:color w:val="auto"/>
              </w:rPr>
              <w:t>FOR</w:t>
            </w:r>
          </w:p>
        </w:tc>
        <w:tc>
          <w:tcPr>
            <w:tcW w:w="134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760" w:type="dxa"/>
            <w:vAlign w:val="bottom"/>
            <w:tcBorders>
              <w:left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To ratify the selection of KPMG LLP as our independent registered public accounting firm for our fiscal year ending</w:t>
            </w:r>
          </w:p>
        </w:tc>
        <w:tc>
          <w:tcPr>
            <w:tcW w:w="1340" w:type="dxa"/>
            <w:vAlign w:val="bottom"/>
            <w:vMerge w:val="continue"/>
            <w:shd w:val="clear" w:color="auto" w:fill="D9D9D9"/>
          </w:tcPr>
          <w:p>
            <w:pPr>
              <w:spacing w:after="0"/>
              <w:rPr>
                <w:sz w:val="19"/>
                <w:szCs w:val="19"/>
                <w:color w:val="auto"/>
              </w:rPr>
            </w:pPr>
          </w:p>
        </w:tc>
        <w:tc>
          <w:tcPr>
            <w:tcW w:w="1340" w:type="dxa"/>
            <w:vAlign w:val="bottom"/>
            <w:tcBorders>
              <w:right w:val="single" w:sz="8" w:color="auto"/>
            </w:tcBorders>
            <w:shd w:val="clear" w:color="auto" w:fill="D9D9D9"/>
          </w:tcPr>
          <w:p>
            <w:pPr>
              <w:ind w:left="300"/>
              <w:spacing w:after="0"/>
              <w:rPr>
                <w:sz w:val="20"/>
                <w:szCs w:val="20"/>
                <w:color w:val="auto"/>
              </w:rPr>
            </w:pPr>
            <w:r>
              <w:rPr>
                <w:rFonts w:ascii="Arial" w:cs="Arial" w:eastAsia="Arial" w:hAnsi="Arial"/>
                <w:sz w:val="16"/>
                <w:szCs w:val="16"/>
                <w:color w:val="auto"/>
              </w:rPr>
              <w:t>Page 24</w:t>
            </w:r>
          </w:p>
        </w:tc>
        <w:tc>
          <w:tcPr>
            <w:tcW w:w="0" w:type="dxa"/>
            <w:vAlign w:val="bottom"/>
          </w:tcPr>
          <w:p>
            <w:pPr>
              <w:spacing w:after="0"/>
              <w:rPr>
                <w:sz w:val="1"/>
                <w:szCs w:val="1"/>
                <w:color w:val="auto"/>
              </w:rPr>
            </w:pPr>
          </w:p>
        </w:tc>
      </w:tr>
      <w:tr>
        <w:trPr>
          <w:trHeight w:val="234"/>
        </w:trPr>
        <w:tc>
          <w:tcPr>
            <w:tcW w:w="8760" w:type="dxa"/>
            <w:vAlign w:val="bottom"/>
            <w:tcBorders>
              <w:left w:val="single" w:sz="8" w:color="auto"/>
              <w:bottom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October 31, 2020.</w:t>
            </w:r>
          </w:p>
        </w:tc>
        <w:tc>
          <w:tcPr>
            <w:tcW w:w="1340" w:type="dxa"/>
            <w:vAlign w:val="bottom"/>
            <w:tcBorders>
              <w:bottom w:val="single" w:sz="8" w:color="auto"/>
            </w:tcBorders>
            <w:vMerge w:val="continue"/>
            <w:shd w:val="clear" w:color="auto" w:fill="D9D9D9"/>
          </w:tcPr>
          <w:p>
            <w:pPr>
              <w:spacing w:after="0"/>
              <w:rPr>
                <w:sz w:val="20"/>
                <w:szCs w:val="20"/>
                <w:color w:val="auto"/>
              </w:rPr>
            </w:pPr>
          </w:p>
        </w:tc>
        <w:tc>
          <w:tcPr>
            <w:tcW w:w="134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87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8760" w:type="dxa"/>
            <w:vAlign w:val="bottom"/>
            <w:tcBorders>
              <w:lef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C00000"/>
              </w:rPr>
              <w:t>Proposal Three</w:t>
            </w:r>
          </w:p>
        </w:tc>
        <w:tc>
          <w:tcPr>
            <w:tcW w:w="1340" w:type="dxa"/>
            <w:vAlign w:val="bottom"/>
            <w:vMerge w:val="restart"/>
            <w:shd w:val="clear" w:color="auto" w:fill="D9D9D9"/>
          </w:tcPr>
          <w:p>
            <w:pPr>
              <w:ind w:left="20"/>
              <w:spacing w:after="0" w:line="518" w:lineRule="exact"/>
              <w:rPr>
                <w:sz w:val="20"/>
                <w:szCs w:val="20"/>
                <w:color w:val="auto"/>
              </w:rPr>
            </w:pPr>
            <w:r>
              <w:rPr>
                <w:rFonts w:ascii="MS PGothic" w:cs="MS PGothic" w:eastAsia="MS PGothic" w:hAnsi="MS PGothic"/>
                <w:sz w:val="45"/>
                <w:szCs w:val="45"/>
                <w:color w:val="C00000"/>
              </w:rPr>
              <w:t>☑</w:t>
            </w:r>
            <w:r>
              <w:rPr>
                <w:rFonts w:ascii="Arial" w:cs="Arial" w:eastAsia="Arial" w:hAnsi="Arial"/>
                <w:sz w:val="16"/>
                <w:szCs w:val="16"/>
                <w:color w:val="auto"/>
              </w:rPr>
              <w:t>FOR</w:t>
            </w:r>
          </w:p>
        </w:tc>
        <w:tc>
          <w:tcPr>
            <w:tcW w:w="1340" w:type="dxa"/>
            <w:vAlign w:val="bottom"/>
            <w:tcBorders>
              <w:right w:val="single" w:sz="8" w:color="auto"/>
            </w:tcBorders>
            <w:vMerge w:val="restart"/>
            <w:shd w:val="clear" w:color="auto" w:fill="D9D9D9"/>
          </w:tcPr>
          <w:p>
            <w:pPr>
              <w:ind w:left="300"/>
              <w:spacing w:after="0"/>
              <w:rPr>
                <w:sz w:val="20"/>
                <w:szCs w:val="20"/>
                <w:color w:val="auto"/>
              </w:rPr>
            </w:pPr>
            <w:r>
              <w:rPr>
                <w:rFonts w:ascii="Arial" w:cs="Arial" w:eastAsia="Arial" w:hAnsi="Arial"/>
                <w:sz w:val="16"/>
                <w:szCs w:val="16"/>
                <w:color w:val="auto"/>
              </w:rPr>
              <w:t>Page 26</w:t>
            </w:r>
          </w:p>
        </w:tc>
        <w:tc>
          <w:tcPr>
            <w:tcW w:w="0" w:type="dxa"/>
            <w:vAlign w:val="bottom"/>
          </w:tcPr>
          <w:p>
            <w:pPr>
              <w:spacing w:after="0"/>
              <w:rPr>
                <w:sz w:val="1"/>
                <w:szCs w:val="1"/>
                <w:color w:val="auto"/>
              </w:rPr>
            </w:pPr>
          </w:p>
        </w:tc>
      </w:tr>
      <w:tr>
        <w:trPr>
          <w:trHeight w:val="147"/>
        </w:trPr>
        <w:tc>
          <w:tcPr>
            <w:tcW w:w="8760" w:type="dxa"/>
            <w:vAlign w:val="bottom"/>
            <w:tcBorders>
              <w:left w:val="single" w:sz="8" w:color="auto"/>
            </w:tcBorders>
            <w:vMerge w:val="restart"/>
            <w:shd w:val="clear" w:color="auto" w:fill="D9D9D9"/>
          </w:tcPr>
          <w:p>
            <w:pPr>
              <w:ind w:left="40"/>
              <w:spacing w:after="0"/>
              <w:rPr>
                <w:sz w:val="20"/>
                <w:szCs w:val="20"/>
                <w:color w:val="auto"/>
              </w:rPr>
            </w:pPr>
            <w:r>
              <w:rPr>
                <w:rFonts w:ascii="Arial" w:cs="Arial" w:eastAsia="Arial" w:hAnsi="Arial"/>
                <w:sz w:val="16"/>
                <w:szCs w:val="16"/>
                <w:color w:val="auto"/>
              </w:rPr>
              <w:t>To approve, on an advisory basis, our executive compensation.</w:t>
            </w:r>
          </w:p>
        </w:tc>
        <w:tc>
          <w:tcPr>
            <w:tcW w:w="1340" w:type="dxa"/>
            <w:vAlign w:val="bottom"/>
            <w:vMerge w:val="continue"/>
            <w:shd w:val="clear" w:color="auto" w:fill="D9D9D9"/>
          </w:tcPr>
          <w:p>
            <w:pPr>
              <w:spacing w:after="0"/>
              <w:rPr>
                <w:sz w:val="12"/>
                <w:szCs w:val="12"/>
                <w:color w:val="auto"/>
              </w:rPr>
            </w:pPr>
          </w:p>
        </w:tc>
        <w:tc>
          <w:tcPr>
            <w:tcW w:w="134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760" w:type="dxa"/>
            <w:vAlign w:val="bottom"/>
            <w:tcBorders>
              <w:left w:val="single" w:sz="8" w:color="auto"/>
              <w:bottom w:val="single" w:sz="8" w:color="auto"/>
            </w:tcBorders>
            <w:vMerge w:val="continue"/>
            <w:shd w:val="clear" w:color="auto" w:fill="D9D9D9"/>
          </w:tcPr>
          <w:p>
            <w:pPr>
              <w:spacing w:after="0"/>
              <w:rPr>
                <w:sz w:val="13"/>
                <w:szCs w:val="13"/>
                <w:color w:val="auto"/>
              </w:rPr>
            </w:pPr>
          </w:p>
        </w:tc>
        <w:tc>
          <w:tcPr>
            <w:tcW w:w="1340" w:type="dxa"/>
            <w:vAlign w:val="bottom"/>
            <w:tcBorders>
              <w:bottom w:val="single" w:sz="8" w:color="auto"/>
            </w:tcBorders>
            <w:vMerge w:val="continue"/>
            <w:shd w:val="clear" w:color="auto" w:fill="D9D9D9"/>
          </w:tcPr>
          <w:p>
            <w:pPr>
              <w:spacing w:after="0"/>
              <w:rPr>
                <w:sz w:val="13"/>
                <w:szCs w:val="13"/>
                <w:color w:val="auto"/>
              </w:rPr>
            </w:pPr>
          </w:p>
        </w:tc>
        <w:tc>
          <w:tcPr>
            <w:tcW w:w="134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to Cast Your Vote</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 xml:space="preserve">Your vote is important! </w:t>
      </w:r>
      <w:r>
        <w:rPr>
          <w:rFonts w:ascii="Arial" w:cs="Arial" w:eastAsia="Arial" w:hAnsi="Arial"/>
          <w:sz w:val="16"/>
          <w:szCs w:val="16"/>
          <w:color w:val="auto"/>
        </w:rPr>
        <w:t>Please vote your shares promptly using one of the methods listed below. See page 2 for additional voting information.</w:t>
      </w:r>
    </w:p>
    <w:p>
      <w:pPr>
        <w:spacing w:after="0" w:line="99" w:lineRule="exact"/>
        <w:rPr>
          <w:sz w:val="20"/>
          <w:szCs w:val="20"/>
          <w:color w:val="auto"/>
        </w:rPr>
      </w:pPr>
    </w:p>
    <w:tbl>
      <w:tblPr>
        <w:tblLayout w:type="fixed"/>
        <w:tblInd w:w="930" w:type="dxa"/>
        <w:tblCellMar>
          <w:top w:w="0" w:type="dxa"/>
          <w:left w:w="0" w:type="dxa"/>
          <w:bottom w:w="0" w:type="dxa"/>
          <w:right w:w="0" w:type="dxa"/>
        </w:tblCellMar>
      </w:tblPr>
      <w:tr>
        <w:trPr>
          <w:trHeight w:val="232"/>
        </w:trPr>
        <w:tc>
          <w:tcPr>
            <w:tcW w:w="234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6"/>
                <w:szCs w:val="16"/>
                <w:b w:val="1"/>
                <w:bCs w:val="1"/>
                <w:color w:val="C00000"/>
              </w:rPr>
              <w:t>By Internet</w:t>
            </w:r>
          </w:p>
        </w:tc>
        <w:tc>
          <w:tcPr>
            <w:tcW w:w="100" w:type="dxa"/>
            <w:vAlign w:val="bottom"/>
            <w:tcBorders>
              <w:right w:val="single" w:sz="8" w:color="auto"/>
            </w:tcBorders>
          </w:tcPr>
          <w:p>
            <w:pPr>
              <w:spacing w:after="0"/>
              <w:rPr>
                <w:sz w:val="20"/>
                <w:szCs w:val="20"/>
                <w:color w:val="auto"/>
              </w:rPr>
            </w:pPr>
          </w:p>
        </w:tc>
        <w:tc>
          <w:tcPr>
            <w:tcW w:w="17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C00000"/>
              </w:rPr>
              <w:t>By Phone</w:t>
            </w:r>
          </w:p>
        </w:tc>
        <w:tc>
          <w:tcPr>
            <w:tcW w:w="100" w:type="dxa"/>
            <w:vAlign w:val="bottom"/>
            <w:tcBorders>
              <w:right w:val="single" w:sz="8" w:color="auto"/>
            </w:tcBorders>
          </w:tcPr>
          <w:p>
            <w:pPr>
              <w:spacing w:after="0"/>
              <w:rPr>
                <w:sz w:val="20"/>
                <w:szCs w:val="20"/>
                <w:color w:val="auto"/>
              </w:rPr>
            </w:pPr>
          </w:p>
        </w:tc>
        <w:tc>
          <w:tcPr>
            <w:tcW w:w="212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C00000"/>
              </w:rPr>
              <w:t>By Mobile Device</w:t>
            </w:r>
          </w:p>
        </w:tc>
        <w:tc>
          <w:tcPr>
            <w:tcW w:w="60" w:type="dxa"/>
            <w:vAlign w:val="bottom"/>
            <w:tcBorders>
              <w:right w:val="single" w:sz="8" w:color="auto"/>
            </w:tcBorders>
          </w:tcPr>
          <w:p>
            <w:pPr>
              <w:spacing w:after="0"/>
              <w:rPr>
                <w:sz w:val="20"/>
                <w:szCs w:val="20"/>
                <w:color w:val="auto"/>
              </w:rPr>
            </w:pPr>
          </w:p>
        </w:tc>
        <w:tc>
          <w:tcPr>
            <w:tcW w:w="144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C00000"/>
              </w:rPr>
              <w:t>By Mail</w:t>
            </w:r>
          </w:p>
        </w:tc>
        <w:tc>
          <w:tcPr>
            <w:tcW w:w="100" w:type="dxa"/>
            <w:vAlign w:val="bottom"/>
            <w:tcBorders>
              <w:right w:val="single" w:sz="8" w:color="auto"/>
            </w:tcBorders>
          </w:tcPr>
          <w:p>
            <w:pPr>
              <w:spacing w:after="0"/>
              <w:rPr>
                <w:sz w:val="20"/>
                <w:szCs w:val="20"/>
                <w:color w:val="auto"/>
              </w:rPr>
            </w:pPr>
          </w:p>
        </w:tc>
        <w:tc>
          <w:tcPr>
            <w:tcW w:w="158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C00000"/>
              </w:rPr>
              <w:t>In Person</w:t>
            </w:r>
          </w:p>
        </w:tc>
      </w:tr>
      <w:tr>
        <w:trPr>
          <w:trHeight w:val="184"/>
        </w:trPr>
        <w:tc>
          <w:tcPr>
            <w:tcW w:w="23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6"/>
                <w:szCs w:val="16"/>
                <w:color w:val="auto"/>
              </w:rPr>
              <w:t>Go to</w:t>
            </w:r>
          </w:p>
        </w:tc>
        <w:tc>
          <w:tcPr>
            <w:tcW w:w="10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Call</w:t>
            </w:r>
          </w:p>
        </w:tc>
        <w:tc>
          <w:tcPr>
            <w:tcW w:w="10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Scan the QR code</w:t>
            </w:r>
          </w:p>
        </w:tc>
        <w:tc>
          <w:tcPr>
            <w:tcW w:w="6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Return your</w:t>
            </w:r>
          </w:p>
        </w:tc>
        <w:tc>
          <w:tcPr>
            <w:tcW w:w="10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Attend the</w:t>
            </w:r>
          </w:p>
        </w:tc>
      </w:tr>
      <w:tr>
        <w:trPr>
          <w:trHeight w:val="201"/>
        </w:trPr>
        <w:tc>
          <w:tcPr>
            <w:tcW w:w="234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16"/>
                <w:szCs w:val="16"/>
                <w:color w:val="auto"/>
              </w:rPr>
              <w:t>www.proxyvote.com</w:t>
            </w:r>
          </w:p>
        </w:tc>
        <w:tc>
          <w:tcPr>
            <w:tcW w:w="100" w:type="dxa"/>
            <w:vAlign w:val="bottom"/>
            <w:tcBorders>
              <w:right w:val="single" w:sz="8" w:color="auto"/>
            </w:tcBorders>
          </w:tcPr>
          <w:p>
            <w:pPr>
              <w:spacing w:after="0"/>
              <w:rPr>
                <w:sz w:val="17"/>
                <w:szCs w:val="17"/>
                <w:color w:val="auto"/>
              </w:rPr>
            </w:pPr>
          </w:p>
        </w:tc>
        <w:tc>
          <w:tcPr>
            <w:tcW w:w="176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800-690-6903</w:t>
            </w:r>
          </w:p>
        </w:tc>
        <w:tc>
          <w:tcPr>
            <w:tcW w:w="100" w:type="dxa"/>
            <w:vAlign w:val="bottom"/>
            <w:tcBorders>
              <w:right w:val="single" w:sz="8" w:color="auto"/>
            </w:tcBorders>
          </w:tcPr>
          <w:p>
            <w:pPr>
              <w:spacing w:after="0"/>
              <w:rPr>
                <w:sz w:val="17"/>
                <w:szCs w:val="17"/>
                <w:color w:val="auto"/>
              </w:rPr>
            </w:pPr>
          </w:p>
        </w:tc>
        <w:tc>
          <w:tcPr>
            <w:tcW w:w="2120" w:type="dxa"/>
            <w:vAlign w:val="bottom"/>
            <w:tcBorders>
              <w:bottom w:val="single" w:sz="8" w:color="D9D9D9"/>
              <w:right w:val="single" w:sz="8" w:color="auto"/>
            </w:tcBorders>
            <w:shd w:val="clear" w:color="auto" w:fill="D9D9D9"/>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44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proxy card</w:t>
            </w:r>
          </w:p>
        </w:tc>
        <w:tc>
          <w:tcPr>
            <w:tcW w:w="100" w:type="dxa"/>
            <w:vAlign w:val="bottom"/>
            <w:tcBorders>
              <w:right w:val="single" w:sz="8" w:color="auto"/>
            </w:tcBorders>
          </w:tcPr>
          <w:p>
            <w:pPr>
              <w:spacing w:after="0"/>
              <w:rPr>
                <w:sz w:val="17"/>
                <w:szCs w:val="17"/>
                <w:color w:val="auto"/>
              </w:rPr>
            </w:pPr>
          </w:p>
        </w:tc>
        <w:tc>
          <w:tcPr>
            <w:tcW w:w="158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meeting</w:t>
            </w:r>
          </w:p>
        </w:tc>
      </w:tr>
      <w:tr>
        <w:trPr>
          <w:trHeight w:val="20"/>
        </w:trPr>
        <w:tc>
          <w:tcPr>
            <w:tcW w:w="2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Corporate Governance Highlights</w:t>
      </w:r>
    </w:p>
    <w:p>
      <w:pPr>
        <w:spacing w:after="0" w:line="112" w:lineRule="exact"/>
        <w:rPr>
          <w:sz w:val="20"/>
          <w:szCs w:val="20"/>
          <w:color w:val="auto"/>
        </w:rPr>
      </w:pPr>
    </w:p>
    <w:p>
      <w:pPr>
        <w:ind w:right="600" w:firstLine="408"/>
        <w:spacing w:after="0" w:line="247" w:lineRule="auto"/>
        <w:rPr>
          <w:sz w:val="20"/>
          <w:szCs w:val="20"/>
          <w:color w:val="auto"/>
        </w:rPr>
      </w:pPr>
      <w:r>
        <w:rPr>
          <w:rFonts w:ascii="Arial" w:cs="Arial" w:eastAsia="Arial" w:hAnsi="Arial"/>
          <w:sz w:val="16"/>
          <w:szCs w:val="16"/>
          <w:color w:val="auto"/>
        </w:rPr>
        <w:t>Our Board provides oversight of critical matters such as our strategic plans, financial and other controls, risk management, merger and acquisition related activities, and management succession planning. The Board reviews our major governance documents, policies and processes regularly and thoughtfully determines the structures that are appropriate for our Company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52070</wp:posOffset>
            </wp:positionV>
            <wp:extent cx="7316470" cy="1120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6470" cy="1120140"/>
                    </a:xfrm>
                    <a:prstGeom prst="rect">
                      <a:avLst/>
                    </a:prstGeom>
                    <a:noFill/>
                  </pic:spPr>
                </pic:pic>
              </a:graphicData>
            </a:graphic>
          </wp:anchor>
        </w:drawing>
      </w:r>
    </w:p>
    <w:p>
      <w:pPr>
        <w:sectPr>
          <w:pgSz w:w="11900" w:h="16838" w:orient="portrait"/>
          <w:cols w:equalWidth="0" w:num="1">
            <w:col w:w="11520"/>
          </w:cols>
          <w:pgMar w:left="240" w:top="140" w:right="139" w:bottom="1440" w:gutter="0" w:footer="0" w:header="0"/>
        </w:sectPr>
      </w:pPr>
    </w:p>
    <w:p>
      <w:pPr>
        <w:spacing w:after="0" w:line="143" w:lineRule="exact"/>
        <w:rPr>
          <w:sz w:val="20"/>
          <w:szCs w:val="20"/>
          <w:color w:val="auto"/>
        </w:rPr>
      </w:pPr>
    </w:p>
    <w:p>
      <w:pPr>
        <w:ind w:left="200" w:hanging="154"/>
        <w:spacing w:after="0"/>
        <w:tabs>
          <w:tab w:leader="none" w:pos="200" w:val="left"/>
        </w:tabs>
        <w:numPr>
          <w:ilvl w:val="0"/>
          <w:numId w:val="5"/>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All directors are independent, other than CEO</w:t>
      </w:r>
    </w:p>
    <w:p>
      <w:pPr>
        <w:spacing w:after="0" w:line="113" w:lineRule="exact"/>
        <w:rPr>
          <w:rFonts w:ascii="MS PGothic" w:cs="MS PGothic" w:eastAsia="MS PGothic" w:hAnsi="MS PGothic"/>
          <w:sz w:val="15"/>
          <w:szCs w:val="15"/>
          <w:color w:val="auto"/>
          <w:shd w:val="clear" w:color="auto" w:fill="C00000"/>
        </w:rPr>
      </w:pPr>
    </w:p>
    <w:p>
      <w:pPr>
        <w:ind w:left="200" w:hanging="154"/>
        <w:spacing w:after="0"/>
        <w:tabs>
          <w:tab w:leader="none" w:pos="200" w:val="left"/>
        </w:tabs>
        <w:numPr>
          <w:ilvl w:val="0"/>
          <w:numId w:val="5"/>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Robust lead director structure</w:t>
      </w:r>
    </w:p>
    <w:p>
      <w:pPr>
        <w:spacing w:after="0" w:line="64" w:lineRule="exact"/>
        <w:rPr>
          <w:rFonts w:ascii="MS PGothic" w:cs="MS PGothic" w:eastAsia="MS PGothic" w:hAnsi="MS PGothic"/>
          <w:sz w:val="15"/>
          <w:szCs w:val="15"/>
          <w:color w:val="auto"/>
          <w:shd w:val="clear" w:color="auto" w:fill="C00000"/>
        </w:rPr>
      </w:pPr>
    </w:p>
    <w:p>
      <w:pPr>
        <w:ind w:left="200" w:hanging="154"/>
        <w:spacing w:after="0" w:line="204" w:lineRule="auto"/>
        <w:tabs>
          <w:tab w:leader="none" w:pos="200" w:val="left"/>
        </w:tabs>
        <w:numPr>
          <w:ilvl w:val="0"/>
          <w:numId w:val="5"/>
        </w:numPr>
        <w:rPr>
          <w:rFonts w:ascii="MS PGothic" w:cs="MS PGothic" w:eastAsia="MS PGothic" w:hAnsi="MS PGothic"/>
          <w:sz w:val="23"/>
          <w:szCs w:val="23"/>
          <w:color w:val="auto"/>
          <w:vertAlign w:val="subscript"/>
          <w:shd w:val="clear" w:color="auto" w:fill="C00000"/>
        </w:rPr>
      </w:pPr>
      <w:r>
        <w:rPr>
          <w:rFonts w:ascii="Arial" w:cs="Arial" w:eastAsia="Arial" w:hAnsi="Arial"/>
          <w:sz w:val="12"/>
          <w:szCs w:val="12"/>
          <w:color w:val="auto"/>
        </w:rPr>
        <w:t>Regular executive sessions of independent directors</w:t>
      </w:r>
    </w:p>
    <w:p>
      <w:pPr>
        <w:spacing w:after="0" w:line="235" w:lineRule="exact"/>
        <w:rPr>
          <w:rFonts w:ascii="MS PGothic" w:cs="MS PGothic" w:eastAsia="MS PGothic" w:hAnsi="MS PGothic"/>
          <w:sz w:val="23"/>
          <w:szCs w:val="23"/>
          <w:color w:val="auto"/>
          <w:vertAlign w:val="subscript"/>
          <w:shd w:val="clear" w:color="auto" w:fill="C00000"/>
        </w:rPr>
      </w:pPr>
    </w:p>
    <w:p>
      <w:pPr>
        <w:ind w:left="200" w:hanging="154"/>
        <w:spacing w:after="0"/>
        <w:tabs>
          <w:tab w:leader="none" w:pos="200" w:val="left"/>
        </w:tabs>
        <w:numPr>
          <w:ilvl w:val="0"/>
          <w:numId w:val="5"/>
        </w:numPr>
        <w:rPr>
          <w:rFonts w:ascii="MS PGothic" w:cs="MS PGothic" w:eastAsia="MS PGothic" w:hAnsi="MS PGothic"/>
          <w:sz w:val="23"/>
          <w:szCs w:val="23"/>
          <w:color w:val="auto"/>
          <w:vertAlign w:val="subscript"/>
          <w:shd w:val="clear" w:color="auto" w:fill="C00000"/>
        </w:rPr>
      </w:pPr>
      <w:r>
        <w:rPr>
          <w:rFonts w:ascii="Arial" w:cs="Arial" w:eastAsia="Arial" w:hAnsi="Arial"/>
          <w:sz w:val="12"/>
          <w:szCs w:val="12"/>
          <w:color w:val="auto"/>
        </w:rPr>
        <w:t>Anti-hedging and anti-pledging policy for Toro common stock</w:t>
      </w:r>
    </w:p>
    <w:p>
      <w:pPr>
        <w:spacing w:after="0" w:line="235" w:lineRule="exact"/>
        <w:rPr>
          <w:rFonts w:ascii="MS PGothic" w:cs="MS PGothic" w:eastAsia="MS PGothic" w:hAnsi="MS PGothic"/>
          <w:sz w:val="23"/>
          <w:szCs w:val="23"/>
          <w:color w:val="auto"/>
          <w:vertAlign w:val="subscript"/>
          <w:shd w:val="clear" w:color="auto" w:fill="C00000"/>
        </w:rPr>
      </w:pPr>
    </w:p>
    <w:p>
      <w:pPr>
        <w:ind w:left="200" w:hanging="154"/>
        <w:spacing w:after="0"/>
        <w:tabs>
          <w:tab w:leader="none" w:pos="200" w:val="left"/>
        </w:tabs>
        <w:numPr>
          <w:ilvl w:val="0"/>
          <w:numId w:val="5"/>
        </w:numPr>
        <w:rPr>
          <w:rFonts w:ascii="MS PGothic" w:cs="MS PGothic" w:eastAsia="MS PGothic" w:hAnsi="MS PGothic"/>
          <w:sz w:val="23"/>
          <w:szCs w:val="23"/>
          <w:color w:val="auto"/>
          <w:vertAlign w:val="subscript"/>
          <w:shd w:val="clear" w:color="auto" w:fill="C00000"/>
        </w:rPr>
      </w:pPr>
      <w:r>
        <w:rPr>
          <w:rFonts w:ascii="Arial" w:cs="Arial" w:eastAsia="Arial" w:hAnsi="Arial"/>
          <w:sz w:val="12"/>
          <w:szCs w:val="12"/>
          <w:color w:val="auto"/>
        </w:rPr>
        <w:t>Codes of Conduct and Ethics for directors, executive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101600</wp:posOffset>
            </wp:positionV>
            <wp:extent cx="6527800" cy="194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27800" cy="194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58" w:hanging="158"/>
        <w:spacing w:after="0"/>
        <w:tabs>
          <w:tab w:leader="none" w:pos="158" w:val="left"/>
        </w:tabs>
        <w:numPr>
          <w:ilvl w:val="0"/>
          <w:numId w:val="6"/>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Robust stock ownership guidelines for directors and executive officers</w:t>
      </w:r>
    </w:p>
    <w:p>
      <w:pPr>
        <w:spacing w:after="0" w:line="299" w:lineRule="exact"/>
        <w:rPr>
          <w:rFonts w:ascii="MS PGothic" w:cs="MS PGothic" w:eastAsia="MS PGothic" w:hAnsi="MS PGothic"/>
          <w:sz w:val="15"/>
          <w:szCs w:val="15"/>
          <w:color w:val="auto"/>
          <w:shd w:val="clear" w:color="auto" w:fill="C00000"/>
        </w:rPr>
      </w:pPr>
    </w:p>
    <w:p>
      <w:pPr>
        <w:ind w:left="158" w:hanging="158"/>
        <w:spacing w:after="0"/>
        <w:tabs>
          <w:tab w:leader="none" w:pos="158" w:val="left"/>
        </w:tabs>
        <w:numPr>
          <w:ilvl w:val="0"/>
          <w:numId w:val="6"/>
        </w:numPr>
        <w:rPr>
          <w:rFonts w:ascii="MS PGothic" w:cs="MS PGothic" w:eastAsia="MS PGothic" w:hAnsi="MS PGothic"/>
          <w:sz w:val="23"/>
          <w:szCs w:val="23"/>
          <w:color w:val="auto"/>
          <w:vertAlign w:val="subscript"/>
          <w:shd w:val="clear" w:color="auto" w:fill="C00000"/>
        </w:rPr>
      </w:pPr>
      <w:r>
        <w:rPr>
          <w:rFonts w:ascii="Arial" w:cs="Arial" w:eastAsia="Arial" w:hAnsi="Arial"/>
          <w:sz w:val="12"/>
          <w:szCs w:val="12"/>
          <w:color w:val="auto"/>
        </w:rPr>
        <w:t>Comprehensive strategy and risk oversight by the Board and its Committees</w:t>
      </w:r>
    </w:p>
    <w:p>
      <w:pPr>
        <w:spacing w:after="0" w:line="269" w:lineRule="exact"/>
        <w:rPr>
          <w:rFonts w:ascii="MS PGothic" w:cs="MS PGothic" w:eastAsia="MS PGothic" w:hAnsi="MS PGothic"/>
          <w:sz w:val="23"/>
          <w:szCs w:val="23"/>
          <w:color w:val="auto"/>
          <w:vertAlign w:val="subscript"/>
          <w:shd w:val="clear" w:color="auto" w:fill="C00000"/>
        </w:rPr>
      </w:pPr>
    </w:p>
    <w:p>
      <w:pPr>
        <w:ind w:left="158" w:hanging="158"/>
        <w:spacing w:after="0"/>
        <w:tabs>
          <w:tab w:leader="none" w:pos="158" w:val="left"/>
        </w:tabs>
        <w:numPr>
          <w:ilvl w:val="0"/>
          <w:numId w:val="6"/>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Annual Board and Committee self-evaluations</w:t>
      </w:r>
    </w:p>
    <w:p>
      <w:pPr>
        <w:spacing w:after="0" w:line="309" w:lineRule="exact"/>
        <w:rPr>
          <w:rFonts w:ascii="MS PGothic" w:cs="MS PGothic" w:eastAsia="MS PGothic" w:hAnsi="MS PGothic"/>
          <w:sz w:val="15"/>
          <w:szCs w:val="15"/>
          <w:color w:val="auto"/>
          <w:shd w:val="clear" w:color="auto" w:fill="C00000"/>
        </w:rPr>
      </w:pPr>
    </w:p>
    <w:p>
      <w:pPr>
        <w:ind w:left="158" w:hanging="158"/>
        <w:spacing w:after="0"/>
        <w:tabs>
          <w:tab w:leader="none" w:pos="158" w:val="left"/>
        </w:tabs>
        <w:numPr>
          <w:ilvl w:val="0"/>
          <w:numId w:val="6"/>
        </w:numPr>
        <w:rPr>
          <w:rFonts w:ascii="MS PGothic" w:cs="MS PGothic" w:eastAsia="MS PGothic" w:hAnsi="MS PGothic"/>
          <w:sz w:val="15"/>
          <w:szCs w:val="15"/>
          <w:color w:val="auto"/>
          <w:shd w:val="clear" w:color="auto" w:fill="C00000"/>
        </w:rPr>
      </w:pPr>
      <w:r>
        <w:rPr>
          <w:rFonts w:ascii="Arial" w:cs="Arial" w:eastAsia="Arial" w:hAnsi="Arial"/>
          <w:sz w:val="13"/>
          <w:szCs w:val="13"/>
          <w:color w:val="auto"/>
        </w:rPr>
        <w:t>Fiscal 2019 Board and Committee meeting attendance of 95%</w:t>
      </w:r>
    </w:p>
    <w:p>
      <w:pPr>
        <w:spacing w:after="0" w:line="239" w:lineRule="exact"/>
        <w:rPr>
          <w:sz w:val="20"/>
          <w:szCs w:val="20"/>
          <w:color w:val="auto"/>
        </w:rPr>
      </w:pPr>
    </w:p>
    <w:p>
      <w:pPr>
        <w:sectPr>
          <w:pgSz w:w="11900" w:h="16838" w:orient="portrait"/>
          <w:cols w:equalWidth="0" w:num="2">
            <w:col w:w="5740" w:space="102"/>
            <w:col w:w="5678"/>
          </w:cols>
          <w:pgMar w:left="240" w:top="140" w:right="139" w:bottom="1440" w:gutter="0" w:footer="0" w:header="0"/>
          <w:type w:val="continuous"/>
        </w:sectPr>
      </w:pPr>
    </w:p>
    <w:p>
      <w:pPr>
        <w:spacing w:after="0" w:line="1"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i w:val="1"/>
          <w:iCs w:val="1"/>
          <w:color w:val="C00000"/>
        </w:rPr>
        <w:t>Our Board currently has the following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98425</wp:posOffset>
            </wp:positionV>
            <wp:extent cx="3757930" cy="295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57930" cy="295910"/>
                    </a:xfrm>
                    <a:prstGeom prst="rect">
                      <a:avLst/>
                    </a:prstGeom>
                    <a:noFill/>
                  </pic:spPr>
                </pic:pic>
              </a:graphicData>
            </a:graphic>
          </wp:anchor>
        </w:drawing>
      </w:r>
    </w:p>
    <w:p>
      <w:pPr>
        <w:sectPr>
          <w:pgSz w:w="11900" w:h="16838" w:orient="portrait"/>
          <w:cols w:equalWidth="0" w:num="1">
            <w:col w:w="11520"/>
          </w:cols>
          <w:pgMar w:left="240" w:top="140" w:right="139" w:bottom="1440" w:gutter="0" w:footer="0" w:header="0"/>
          <w:type w:val="continuous"/>
        </w:sectPr>
      </w:pPr>
    </w:p>
    <w:p>
      <w:pPr>
        <w:spacing w:after="0" w:line="184" w:lineRule="exact"/>
        <w:rPr>
          <w:sz w:val="20"/>
          <w:szCs w:val="20"/>
          <w:color w:val="auto"/>
        </w:rPr>
      </w:pPr>
    </w:p>
    <w:p>
      <w:pPr>
        <w:jc w:val="center"/>
        <w:ind w:left="2810"/>
        <w:spacing w:after="0"/>
        <w:rPr>
          <w:sz w:val="20"/>
          <w:szCs w:val="20"/>
          <w:color w:val="auto"/>
        </w:rPr>
      </w:pPr>
      <w:r>
        <w:rPr>
          <w:rFonts w:ascii="Arial" w:cs="Arial" w:eastAsia="Arial" w:hAnsi="Arial"/>
          <w:sz w:val="16"/>
          <w:szCs w:val="16"/>
          <w:b w:val="1"/>
          <w:bCs w:val="1"/>
          <w:color w:val="C00000"/>
        </w:rPr>
        <w:t>Average Age</w:t>
      </w:r>
    </w:p>
    <w:p>
      <w:pPr>
        <w:spacing w:after="0" w:line="20" w:lineRule="exact"/>
        <w:rPr>
          <w:sz w:val="20"/>
          <w:szCs w:val="20"/>
          <w:color w:val="auto"/>
        </w:rPr>
      </w:pPr>
    </w:p>
    <w:p>
      <w:pPr>
        <w:jc w:val="center"/>
        <w:ind w:left="2810"/>
        <w:spacing w:after="0"/>
        <w:rPr>
          <w:sz w:val="20"/>
          <w:szCs w:val="20"/>
          <w:color w:val="auto"/>
        </w:rPr>
      </w:pPr>
      <w:r>
        <w:rPr>
          <w:rFonts w:ascii="Arial" w:cs="Arial" w:eastAsia="Arial" w:hAnsi="Arial"/>
          <w:sz w:val="16"/>
          <w:szCs w:val="16"/>
          <w:b w:val="1"/>
          <w:bCs w:val="1"/>
          <w:color w:val="auto"/>
        </w:rPr>
        <w:t>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85725</wp:posOffset>
            </wp:positionV>
            <wp:extent cx="1844040" cy="412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4040" cy="412115"/>
                    </a:xfrm>
                    <a:prstGeom prst="rect">
                      <a:avLst/>
                    </a:prstGeom>
                    <a:noFill/>
                  </pic:spPr>
                </pic:pic>
              </a:graphicData>
            </a:graphic>
          </wp:anchor>
        </w:drawing>
      </w:r>
    </w:p>
    <w:p>
      <w:pPr>
        <w:spacing w:after="0" w:line="144" w:lineRule="exact"/>
        <w:rPr>
          <w:sz w:val="20"/>
          <w:szCs w:val="20"/>
          <w:color w:val="auto"/>
        </w:rPr>
      </w:pPr>
    </w:p>
    <w:p>
      <w:pPr>
        <w:jc w:val="center"/>
        <w:ind w:left="2810"/>
        <w:spacing w:after="0"/>
        <w:rPr>
          <w:sz w:val="20"/>
          <w:szCs w:val="20"/>
          <w:color w:val="auto"/>
        </w:rPr>
      </w:pPr>
      <w:r>
        <w:rPr>
          <w:rFonts w:ascii="Arial" w:cs="Arial" w:eastAsia="Arial" w:hAnsi="Arial"/>
          <w:sz w:val="16"/>
          <w:szCs w:val="16"/>
          <w:b w:val="1"/>
          <w:bCs w:val="1"/>
          <w:color w:val="C00000"/>
        </w:rPr>
        <w:t>New Directors in the</w:t>
      </w:r>
    </w:p>
    <w:p>
      <w:pPr>
        <w:spacing w:after="0" w:line="20" w:lineRule="exact"/>
        <w:rPr>
          <w:sz w:val="20"/>
          <w:szCs w:val="20"/>
          <w:color w:val="auto"/>
        </w:rPr>
      </w:pPr>
    </w:p>
    <w:p>
      <w:pPr>
        <w:jc w:val="center"/>
        <w:ind w:left="2810"/>
        <w:spacing w:after="0"/>
        <w:rPr>
          <w:sz w:val="20"/>
          <w:szCs w:val="20"/>
          <w:color w:val="auto"/>
        </w:rPr>
      </w:pPr>
      <w:r>
        <w:rPr>
          <w:rFonts w:ascii="Arial" w:cs="Arial" w:eastAsia="Arial" w:hAnsi="Arial"/>
          <w:sz w:val="16"/>
          <w:szCs w:val="16"/>
          <w:b w:val="1"/>
          <w:bCs w:val="1"/>
          <w:color w:val="C00000"/>
        </w:rPr>
        <w:t>Last 5 Years</w:t>
      </w:r>
    </w:p>
    <w:p>
      <w:pPr>
        <w:ind w:left="4160"/>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3410"/>
        <w:spacing w:after="0"/>
        <w:rPr>
          <w:sz w:val="20"/>
          <w:szCs w:val="20"/>
          <w:color w:val="auto"/>
        </w:rPr>
      </w:pPr>
      <w:r>
        <w:rPr>
          <w:rFonts w:ascii="Arial" w:cs="Arial" w:eastAsia="Arial" w:hAnsi="Arial"/>
          <w:sz w:val="16"/>
          <w:szCs w:val="16"/>
          <w:b w:val="1"/>
          <w:bCs w:val="1"/>
          <w:color w:val="C00000"/>
        </w:rPr>
        <w:t>Average Tenure</w:t>
      </w:r>
    </w:p>
    <w:p>
      <w:pPr>
        <w:spacing w:after="0" w:line="20" w:lineRule="exact"/>
        <w:rPr>
          <w:sz w:val="20"/>
          <w:szCs w:val="20"/>
          <w:color w:val="auto"/>
        </w:rPr>
      </w:pPr>
    </w:p>
    <w:p>
      <w:pPr>
        <w:ind w:left="530"/>
        <w:spacing w:after="0"/>
        <w:rPr>
          <w:sz w:val="20"/>
          <w:szCs w:val="20"/>
          <w:color w:val="auto"/>
        </w:rPr>
      </w:pPr>
      <w:r>
        <w:rPr>
          <w:rFonts w:ascii="Arial" w:cs="Arial" w:eastAsia="Arial" w:hAnsi="Arial"/>
          <w:sz w:val="16"/>
          <w:szCs w:val="16"/>
          <w:b w:val="1"/>
          <w:bCs w:val="1"/>
          <w:color w:val="auto"/>
        </w:rPr>
        <w:t>9.4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85725</wp:posOffset>
            </wp:positionV>
            <wp:extent cx="1851660" cy="412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51660" cy="412115"/>
                    </a:xfrm>
                    <a:prstGeom prst="rect">
                      <a:avLst/>
                    </a:prstGeom>
                    <a:noFill/>
                  </pic:spPr>
                </pic:pic>
              </a:graphicData>
            </a:graphic>
          </wp:anchor>
        </w:drawing>
      </w:r>
    </w:p>
    <w:p>
      <w:pPr>
        <w:spacing w:after="0" w:line="144" w:lineRule="exact"/>
        <w:rPr>
          <w:sz w:val="20"/>
          <w:szCs w:val="20"/>
          <w:color w:val="auto"/>
        </w:rPr>
      </w:pPr>
    </w:p>
    <w:p>
      <w:pPr>
        <w:jc w:val="both"/>
        <w:ind w:left="10" w:right="3420" w:hanging="10"/>
        <w:spacing w:after="0" w:line="252" w:lineRule="auto"/>
        <w:tabs>
          <w:tab w:leader="none" w:pos="199" w:val="left"/>
        </w:tabs>
        <w:numPr>
          <w:ilvl w:val="0"/>
          <w:numId w:val="7"/>
        </w:numPr>
        <w:rPr>
          <w:rFonts w:ascii="Arial" w:cs="Arial" w:eastAsia="Arial" w:hAnsi="Arial"/>
          <w:sz w:val="16"/>
          <w:szCs w:val="16"/>
          <w:b w:val="1"/>
          <w:bCs w:val="1"/>
          <w:color w:val="C00000"/>
        </w:rPr>
      </w:pPr>
      <w:r>
        <w:rPr>
          <w:rFonts w:ascii="Arial" w:cs="Arial" w:eastAsia="Arial" w:hAnsi="Arial"/>
          <w:sz w:val="16"/>
          <w:szCs w:val="16"/>
          <w:b w:val="1"/>
          <w:bCs w:val="1"/>
          <w:color w:val="C00000"/>
        </w:rPr>
        <w:t>of Directors who are Diverse and/or Women</w:t>
      </w:r>
    </w:p>
    <w:p>
      <w:pPr>
        <w:spacing w:after="0" w:line="1" w:lineRule="exact"/>
        <w:rPr>
          <w:rFonts w:ascii="Arial" w:cs="Arial" w:eastAsia="Arial" w:hAnsi="Arial"/>
          <w:sz w:val="16"/>
          <w:szCs w:val="16"/>
          <w:b w:val="1"/>
          <w:bCs w:val="1"/>
          <w:color w:val="C00000"/>
        </w:rPr>
      </w:pPr>
    </w:p>
    <w:p>
      <w:pPr>
        <w:ind w:left="730"/>
        <w:spacing w:after="0"/>
        <w:rPr>
          <w:rFonts w:ascii="Arial" w:cs="Arial" w:eastAsia="Arial" w:hAnsi="Arial"/>
          <w:sz w:val="16"/>
          <w:szCs w:val="16"/>
          <w:b w:val="1"/>
          <w:bCs w:val="1"/>
          <w:color w:val="C00000"/>
        </w:rPr>
      </w:pPr>
      <w:r>
        <w:rPr>
          <w:rFonts w:ascii="Arial" w:cs="Arial" w:eastAsia="Arial" w:hAnsi="Arial"/>
          <w:sz w:val="16"/>
          <w:szCs w:val="16"/>
          <w:b w:val="1"/>
          <w:bCs w:val="1"/>
          <w:color w:val="auto"/>
        </w:rPr>
        <w:t>36%</w:t>
      </w:r>
    </w:p>
    <w:p>
      <w:pPr>
        <w:spacing w:after="0" w:line="200" w:lineRule="exact"/>
        <w:rPr>
          <w:sz w:val="20"/>
          <w:szCs w:val="20"/>
          <w:color w:val="auto"/>
        </w:rPr>
      </w:pPr>
    </w:p>
    <w:p>
      <w:pPr>
        <w:sectPr>
          <w:pgSz w:w="11900" w:h="16838" w:orient="portrait"/>
          <w:cols w:equalWidth="0" w:num="2">
            <w:col w:w="5610" w:space="720"/>
            <w:col w:w="5190"/>
          </w:cols>
          <w:pgMar w:left="240" w:top="140" w:right="139" w:bottom="1440" w:gutter="0" w:footer="0" w:header="0"/>
          <w:type w:val="continuous"/>
        </w:sectPr>
      </w:pP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29996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520"/>
          </w:cols>
          <w:pgMar w:left="240" w:top="140" w:right="1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Information About our Board of Directors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shd w:val="clear" w:color="auto" w:fill="C00000"/>
          </w:tcPr>
          <w:p>
            <w:pPr>
              <w:spacing w:after="0"/>
              <w:rPr>
                <w:sz w:val="17"/>
                <w:szCs w:val="17"/>
                <w:color w:val="auto"/>
              </w:rPr>
            </w:pPr>
          </w:p>
        </w:tc>
        <w:tc>
          <w:tcPr>
            <w:tcW w:w="160" w:type="dxa"/>
            <w:vAlign w:val="bottom"/>
            <w:shd w:val="clear" w:color="auto" w:fill="C00000"/>
          </w:tcPr>
          <w:p>
            <w:pPr>
              <w:spacing w:after="0"/>
              <w:rPr>
                <w:sz w:val="17"/>
                <w:szCs w:val="17"/>
                <w:color w:val="auto"/>
              </w:rPr>
            </w:pPr>
          </w:p>
        </w:tc>
        <w:tc>
          <w:tcPr>
            <w:tcW w:w="100" w:type="dxa"/>
            <w:vAlign w:val="bottom"/>
            <w:shd w:val="clear" w:color="auto" w:fill="C00000"/>
          </w:tcPr>
          <w:p>
            <w:pPr>
              <w:spacing w:after="0"/>
              <w:rPr>
                <w:sz w:val="17"/>
                <w:szCs w:val="17"/>
                <w:color w:val="auto"/>
              </w:rPr>
            </w:pPr>
          </w:p>
        </w:tc>
        <w:tc>
          <w:tcPr>
            <w:tcW w:w="2960" w:type="dxa"/>
            <w:vAlign w:val="bottom"/>
            <w:shd w:val="clear" w:color="auto" w:fill="C00000"/>
          </w:tcPr>
          <w:p>
            <w:pPr>
              <w:spacing w:after="0"/>
              <w:rPr>
                <w:sz w:val="17"/>
                <w:szCs w:val="17"/>
                <w:color w:val="auto"/>
              </w:rPr>
            </w:pPr>
          </w:p>
        </w:tc>
        <w:tc>
          <w:tcPr>
            <w:tcW w:w="800" w:type="dxa"/>
            <w:vAlign w:val="bottom"/>
            <w:shd w:val="clear" w:color="auto" w:fill="C00000"/>
          </w:tcPr>
          <w:p>
            <w:pPr>
              <w:spacing w:after="0"/>
              <w:rPr>
                <w:sz w:val="17"/>
                <w:szCs w:val="17"/>
                <w:color w:val="auto"/>
              </w:rPr>
            </w:pPr>
          </w:p>
        </w:tc>
        <w:tc>
          <w:tcPr>
            <w:tcW w:w="680" w:type="dxa"/>
            <w:vAlign w:val="bottom"/>
            <w:shd w:val="clear" w:color="auto" w:fill="C00000"/>
          </w:tcPr>
          <w:p>
            <w:pPr>
              <w:spacing w:after="0"/>
              <w:rPr>
                <w:sz w:val="17"/>
                <w:szCs w:val="17"/>
                <w:color w:val="auto"/>
              </w:rPr>
            </w:pPr>
          </w:p>
        </w:tc>
        <w:tc>
          <w:tcPr>
            <w:tcW w:w="1560" w:type="dxa"/>
            <w:vAlign w:val="bottom"/>
            <w:shd w:val="clear" w:color="auto" w:fill="C00000"/>
          </w:tcPr>
          <w:p>
            <w:pPr>
              <w:spacing w:after="0"/>
              <w:rPr>
                <w:sz w:val="17"/>
                <w:szCs w:val="17"/>
                <w:color w:val="auto"/>
              </w:rPr>
            </w:pPr>
          </w:p>
        </w:tc>
        <w:tc>
          <w:tcPr>
            <w:tcW w:w="620" w:type="dxa"/>
            <w:vAlign w:val="bottom"/>
            <w:shd w:val="clear" w:color="auto" w:fill="C00000"/>
          </w:tcPr>
          <w:p>
            <w:pPr>
              <w:spacing w:after="0"/>
              <w:rPr>
                <w:sz w:val="17"/>
                <w:szCs w:val="17"/>
                <w:color w:val="auto"/>
              </w:rPr>
            </w:pPr>
          </w:p>
        </w:tc>
        <w:tc>
          <w:tcPr>
            <w:tcW w:w="1820" w:type="dxa"/>
            <w:vAlign w:val="bottom"/>
            <w:gridSpan w:val="2"/>
            <w:shd w:val="clear" w:color="auto" w:fill="C00000"/>
          </w:tcPr>
          <w:p>
            <w:pPr>
              <w:ind w:left="180"/>
              <w:spacing w:after="0"/>
              <w:rPr>
                <w:sz w:val="20"/>
                <w:szCs w:val="20"/>
                <w:color w:val="auto"/>
              </w:rPr>
            </w:pPr>
            <w:r>
              <w:rPr>
                <w:rFonts w:ascii="Arial" w:cs="Arial" w:eastAsia="Arial" w:hAnsi="Arial"/>
                <w:sz w:val="13"/>
                <w:szCs w:val="13"/>
                <w:b w:val="1"/>
                <w:bCs w:val="1"/>
                <w:color w:val="FFFFFF"/>
              </w:rPr>
              <w:t>Committee Memberships</w:t>
            </w:r>
          </w:p>
        </w:tc>
        <w:tc>
          <w:tcPr>
            <w:tcW w:w="620" w:type="dxa"/>
            <w:vAlign w:val="bottom"/>
            <w:shd w:val="clear" w:color="auto" w:fill="C00000"/>
          </w:tcPr>
          <w:p>
            <w:pPr>
              <w:spacing w:after="0"/>
              <w:rPr>
                <w:sz w:val="17"/>
                <w:szCs w:val="17"/>
                <w:color w:val="auto"/>
              </w:rPr>
            </w:pPr>
          </w:p>
        </w:tc>
        <w:tc>
          <w:tcPr>
            <w:tcW w:w="74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Other</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00" w:type="dxa"/>
            <w:vAlign w:val="bottom"/>
            <w:shd w:val="clear" w:color="auto" w:fill="C00000"/>
          </w:tcPr>
          <w:p>
            <w:pPr>
              <w:spacing w:after="0"/>
              <w:rPr>
                <w:sz w:val="13"/>
                <w:szCs w:val="13"/>
                <w:color w:val="auto"/>
              </w:rPr>
            </w:pPr>
          </w:p>
        </w:tc>
        <w:tc>
          <w:tcPr>
            <w:tcW w:w="160" w:type="dxa"/>
            <w:vAlign w:val="bottom"/>
            <w:shd w:val="clear" w:color="auto" w:fill="C00000"/>
          </w:tcPr>
          <w:p>
            <w:pPr>
              <w:spacing w:after="0"/>
              <w:rPr>
                <w:sz w:val="13"/>
                <w:szCs w:val="13"/>
                <w:color w:val="auto"/>
              </w:rPr>
            </w:pPr>
          </w:p>
        </w:tc>
        <w:tc>
          <w:tcPr>
            <w:tcW w:w="100" w:type="dxa"/>
            <w:vAlign w:val="bottom"/>
            <w:shd w:val="clear" w:color="auto" w:fill="C00000"/>
          </w:tcPr>
          <w:p>
            <w:pPr>
              <w:spacing w:after="0"/>
              <w:rPr>
                <w:sz w:val="13"/>
                <w:szCs w:val="13"/>
                <w:color w:val="auto"/>
              </w:rPr>
            </w:pPr>
          </w:p>
        </w:tc>
        <w:tc>
          <w:tcPr>
            <w:tcW w:w="2960" w:type="dxa"/>
            <w:vAlign w:val="bottom"/>
            <w:shd w:val="clear" w:color="auto" w:fill="C00000"/>
          </w:tcPr>
          <w:p>
            <w:pPr>
              <w:spacing w:after="0"/>
              <w:rPr>
                <w:sz w:val="13"/>
                <w:szCs w:val="13"/>
                <w:color w:val="auto"/>
              </w:rPr>
            </w:pPr>
          </w:p>
        </w:tc>
        <w:tc>
          <w:tcPr>
            <w:tcW w:w="800" w:type="dxa"/>
            <w:vAlign w:val="bottom"/>
            <w:shd w:val="clear" w:color="auto" w:fill="C00000"/>
          </w:tcPr>
          <w:p>
            <w:pPr>
              <w:spacing w:after="0"/>
              <w:rPr>
                <w:sz w:val="13"/>
                <w:szCs w:val="13"/>
                <w:color w:val="auto"/>
              </w:rPr>
            </w:pPr>
          </w:p>
        </w:tc>
        <w:tc>
          <w:tcPr>
            <w:tcW w:w="2240" w:type="dxa"/>
            <w:vAlign w:val="bottom"/>
            <w:gridSpan w:val="2"/>
            <w:shd w:val="clear" w:color="auto" w:fill="C00000"/>
          </w:tcPr>
          <w:p>
            <w:pPr>
              <w:jc w:val="center"/>
              <w:ind w:right="1147"/>
              <w:spacing w:after="0"/>
              <w:rPr>
                <w:sz w:val="20"/>
                <w:szCs w:val="20"/>
                <w:color w:val="auto"/>
              </w:rPr>
            </w:pPr>
            <w:r>
              <w:rPr>
                <w:rFonts w:ascii="Arial" w:cs="Arial" w:eastAsia="Arial" w:hAnsi="Arial"/>
                <w:sz w:val="13"/>
                <w:szCs w:val="13"/>
                <w:b w:val="1"/>
                <w:bCs w:val="1"/>
                <w:color w:val="FFFFFF"/>
              </w:rPr>
              <w:t>Director</w:t>
            </w:r>
          </w:p>
        </w:tc>
        <w:tc>
          <w:tcPr>
            <w:tcW w:w="620" w:type="dxa"/>
            <w:vAlign w:val="bottom"/>
            <w:shd w:val="clear" w:color="auto" w:fill="C00000"/>
          </w:tcPr>
          <w:p>
            <w:pPr>
              <w:spacing w:after="0"/>
              <w:rPr>
                <w:sz w:val="13"/>
                <w:szCs w:val="13"/>
                <w:color w:val="auto"/>
              </w:rPr>
            </w:pPr>
          </w:p>
        </w:tc>
        <w:tc>
          <w:tcPr>
            <w:tcW w:w="900" w:type="dxa"/>
            <w:vAlign w:val="bottom"/>
            <w:shd w:val="clear" w:color="auto" w:fill="C00000"/>
          </w:tcPr>
          <w:p>
            <w:pPr>
              <w:spacing w:after="0"/>
              <w:rPr>
                <w:sz w:val="13"/>
                <w:szCs w:val="13"/>
                <w:color w:val="auto"/>
              </w:rPr>
            </w:pPr>
          </w:p>
        </w:tc>
        <w:tc>
          <w:tcPr>
            <w:tcW w:w="920" w:type="dxa"/>
            <w:vAlign w:val="bottom"/>
            <w:shd w:val="clear" w:color="auto" w:fill="C00000"/>
          </w:tcPr>
          <w:p>
            <w:pPr>
              <w:spacing w:after="0"/>
              <w:rPr>
                <w:sz w:val="13"/>
                <w:szCs w:val="13"/>
                <w:color w:val="auto"/>
              </w:rPr>
            </w:pPr>
          </w:p>
        </w:tc>
        <w:tc>
          <w:tcPr>
            <w:tcW w:w="620" w:type="dxa"/>
            <w:vAlign w:val="bottom"/>
            <w:shd w:val="clear" w:color="auto" w:fill="C00000"/>
          </w:tcPr>
          <w:p>
            <w:pPr>
              <w:spacing w:after="0"/>
              <w:rPr>
                <w:sz w:val="13"/>
                <w:szCs w:val="13"/>
                <w:color w:val="auto"/>
              </w:rPr>
            </w:pPr>
          </w:p>
        </w:tc>
        <w:tc>
          <w:tcPr>
            <w:tcW w:w="74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Public</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00" w:type="dxa"/>
            <w:vAlign w:val="bottom"/>
            <w:shd w:val="clear" w:color="auto" w:fill="C00000"/>
          </w:tcPr>
          <w:p>
            <w:pPr>
              <w:spacing w:after="0"/>
              <w:rPr>
                <w:sz w:val="13"/>
                <w:szCs w:val="13"/>
                <w:color w:val="auto"/>
              </w:rPr>
            </w:pPr>
          </w:p>
        </w:tc>
        <w:tc>
          <w:tcPr>
            <w:tcW w:w="160" w:type="dxa"/>
            <w:vAlign w:val="bottom"/>
            <w:shd w:val="clear" w:color="auto" w:fill="C00000"/>
          </w:tcPr>
          <w:p>
            <w:pPr>
              <w:spacing w:after="0"/>
              <w:rPr>
                <w:sz w:val="13"/>
                <w:szCs w:val="13"/>
                <w:color w:val="auto"/>
              </w:rPr>
            </w:pPr>
          </w:p>
        </w:tc>
        <w:tc>
          <w:tcPr>
            <w:tcW w:w="100" w:type="dxa"/>
            <w:vAlign w:val="bottom"/>
            <w:shd w:val="clear" w:color="auto" w:fill="C00000"/>
          </w:tcPr>
          <w:p>
            <w:pPr>
              <w:spacing w:after="0"/>
              <w:rPr>
                <w:sz w:val="13"/>
                <w:szCs w:val="13"/>
                <w:color w:val="auto"/>
              </w:rPr>
            </w:pPr>
          </w:p>
        </w:tc>
        <w:tc>
          <w:tcPr>
            <w:tcW w:w="2960" w:type="dxa"/>
            <w:vAlign w:val="bottom"/>
            <w:shd w:val="clear" w:color="auto" w:fill="C00000"/>
          </w:tcPr>
          <w:p>
            <w:pPr>
              <w:ind w:left="220"/>
              <w:spacing w:after="0"/>
              <w:rPr>
                <w:sz w:val="20"/>
                <w:szCs w:val="20"/>
                <w:color w:val="auto"/>
              </w:rPr>
            </w:pPr>
            <w:r>
              <w:rPr>
                <w:rFonts w:ascii="Arial" w:cs="Arial" w:eastAsia="Arial" w:hAnsi="Arial"/>
                <w:sz w:val="13"/>
                <w:szCs w:val="13"/>
                <w:b w:val="1"/>
                <w:bCs w:val="1"/>
                <w:color w:val="FFFFFF"/>
              </w:rPr>
              <w:t>Name and Title</w:t>
            </w:r>
          </w:p>
        </w:tc>
        <w:tc>
          <w:tcPr>
            <w:tcW w:w="800" w:type="dxa"/>
            <w:vAlign w:val="bottom"/>
            <w:shd w:val="clear" w:color="auto" w:fill="C00000"/>
          </w:tcPr>
          <w:p>
            <w:pPr>
              <w:jc w:val="right"/>
              <w:ind w:right="207"/>
              <w:spacing w:after="0"/>
              <w:rPr>
                <w:sz w:val="20"/>
                <w:szCs w:val="20"/>
                <w:color w:val="auto"/>
              </w:rPr>
            </w:pPr>
            <w:r>
              <w:rPr>
                <w:rFonts w:ascii="Arial" w:cs="Arial" w:eastAsia="Arial" w:hAnsi="Arial"/>
                <w:sz w:val="13"/>
                <w:szCs w:val="13"/>
                <w:b w:val="1"/>
                <w:bCs w:val="1"/>
                <w:color w:val="FFFFFF"/>
              </w:rPr>
              <w:t>Age</w:t>
            </w:r>
          </w:p>
        </w:tc>
        <w:tc>
          <w:tcPr>
            <w:tcW w:w="680" w:type="dxa"/>
            <w:vAlign w:val="bottom"/>
            <w:shd w:val="clear" w:color="auto" w:fill="C00000"/>
          </w:tcPr>
          <w:p>
            <w:pPr>
              <w:jc w:val="center"/>
              <w:ind w:left="268"/>
              <w:spacing w:after="0"/>
              <w:rPr>
                <w:sz w:val="20"/>
                <w:szCs w:val="20"/>
                <w:color w:val="auto"/>
              </w:rPr>
            </w:pPr>
            <w:r>
              <w:rPr>
                <w:rFonts w:ascii="Arial" w:cs="Arial" w:eastAsia="Arial" w:hAnsi="Arial"/>
                <w:sz w:val="13"/>
                <w:szCs w:val="13"/>
                <w:b w:val="1"/>
                <w:bCs w:val="1"/>
                <w:color w:val="FFFFFF"/>
                <w:w w:val="97"/>
              </w:rPr>
              <w:t>Since</w:t>
            </w:r>
          </w:p>
        </w:tc>
        <w:tc>
          <w:tcPr>
            <w:tcW w:w="1560" w:type="dxa"/>
            <w:vAlign w:val="bottom"/>
            <w:shd w:val="clear" w:color="auto" w:fill="C00000"/>
          </w:tcPr>
          <w:p>
            <w:pPr>
              <w:jc w:val="center"/>
              <w:ind w:left="247"/>
              <w:spacing w:after="0"/>
              <w:rPr>
                <w:sz w:val="20"/>
                <w:szCs w:val="20"/>
                <w:color w:val="auto"/>
              </w:rPr>
            </w:pPr>
            <w:r>
              <w:rPr>
                <w:rFonts w:ascii="Arial" w:cs="Arial" w:eastAsia="Arial" w:hAnsi="Arial"/>
                <w:sz w:val="13"/>
                <w:szCs w:val="13"/>
                <w:b w:val="1"/>
                <w:bCs w:val="1"/>
                <w:color w:val="FFFFFF"/>
                <w:w w:val="98"/>
              </w:rPr>
              <w:t>Independent</w:t>
            </w:r>
          </w:p>
        </w:tc>
        <w:tc>
          <w:tcPr>
            <w:tcW w:w="620" w:type="dxa"/>
            <w:vAlign w:val="bottom"/>
            <w:shd w:val="clear" w:color="auto" w:fill="C00000"/>
          </w:tcPr>
          <w:p>
            <w:pPr>
              <w:ind w:left="340"/>
              <w:spacing w:after="0"/>
              <w:rPr>
                <w:sz w:val="20"/>
                <w:szCs w:val="20"/>
                <w:color w:val="auto"/>
              </w:rPr>
            </w:pPr>
            <w:r>
              <w:rPr>
                <w:rFonts w:ascii="Arial" w:cs="Arial" w:eastAsia="Arial" w:hAnsi="Arial"/>
                <w:sz w:val="13"/>
                <w:szCs w:val="13"/>
                <w:b w:val="1"/>
                <w:bCs w:val="1"/>
                <w:color w:val="FFFFFF"/>
              </w:rPr>
              <w:t>A</w:t>
            </w:r>
          </w:p>
        </w:tc>
        <w:tc>
          <w:tcPr>
            <w:tcW w:w="900" w:type="dxa"/>
            <w:vAlign w:val="bottom"/>
            <w:shd w:val="clear" w:color="auto" w:fill="C00000"/>
          </w:tcPr>
          <w:p>
            <w:pPr>
              <w:ind w:left="480"/>
              <w:spacing w:after="0"/>
              <w:rPr>
                <w:sz w:val="20"/>
                <w:szCs w:val="20"/>
                <w:color w:val="auto"/>
              </w:rPr>
            </w:pPr>
            <w:r>
              <w:rPr>
                <w:rFonts w:ascii="Arial" w:cs="Arial" w:eastAsia="Arial" w:hAnsi="Arial"/>
                <w:sz w:val="13"/>
                <w:szCs w:val="13"/>
                <w:b w:val="1"/>
                <w:bCs w:val="1"/>
                <w:color w:val="FFFFFF"/>
              </w:rPr>
              <w:t>F</w:t>
            </w:r>
          </w:p>
        </w:tc>
        <w:tc>
          <w:tcPr>
            <w:tcW w:w="920" w:type="dxa"/>
            <w:vAlign w:val="bottom"/>
            <w:shd w:val="clear" w:color="auto" w:fill="C00000"/>
          </w:tcPr>
          <w:p>
            <w:pPr>
              <w:ind w:left="300"/>
              <w:spacing w:after="0"/>
              <w:rPr>
                <w:sz w:val="20"/>
                <w:szCs w:val="20"/>
                <w:color w:val="auto"/>
              </w:rPr>
            </w:pPr>
            <w:r>
              <w:rPr>
                <w:rFonts w:ascii="Arial" w:cs="Arial" w:eastAsia="Arial" w:hAnsi="Arial"/>
                <w:sz w:val="13"/>
                <w:szCs w:val="13"/>
                <w:b w:val="1"/>
                <w:bCs w:val="1"/>
                <w:color w:val="FFFFFF"/>
              </w:rPr>
              <w:t>N&amp;G</w:t>
            </w:r>
          </w:p>
        </w:tc>
        <w:tc>
          <w:tcPr>
            <w:tcW w:w="620" w:type="dxa"/>
            <w:vAlign w:val="bottom"/>
            <w:shd w:val="clear" w:color="auto" w:fill="C00000"/>
          </w:tcPr>
          <w:p>
            <w:pPr>
              <w:ind w:left="100"/>
              <w:spacing w:after="0"/>
              <w:rPr>
                <w:sz w:val="20"/>
                <w:szCs w:val="20"/>
                <w:color w:val="auto"/>
              </w:rPr>
            </w:pPr>
            <w:r>
              <w:rPr>
                <w:rFonts w:ascii="Arial" w:cs="Arial" w:eastAsia="Arial" w:hAnsi="Arial"/>
                <w:sz w:val="13"/>
                <w:szCs w:val="13"/>
                <w:b w:val="1"/>
                <w:bCs w:val="1"/>
                <w:color w:val="FFFFFF"/>
              </w:rPr>
              <w:t>C&amp;HR</w:t>
            </w:r>
          </w:p>
        </w:tc>
        <w:tc>
          <w:tcPr>
            <w:tcW w:w="74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8"/>
              </w:rPr>
              <w:t>Boards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560" w:type="dxa"/>
            <w:vAlign w:val="bottom"/>
            <w:gridSpan w:val="3"/>
          </w:tcPr>
          <w:p>
            <w:pPr>
              <w:spacing w:after="0"/>
              <w:rPr>
                <w:sz w:val="20"/>
                <w:szCs w:val="20"/>
                <w:color w:val="auto"/>
              </w:rPr>
            </w:pPr>
            <w:r>
              <w:rPr>
                <w:rFonts w:ascii="Arial" w:cs="Arial" w:eastAsia="Arial" w:hAnsi="Arial"/>
                <w:sz w:val="15"/>
                <w:szCs w:val="15"/>
                <w:b w:val="1"/>
                <w:bCs w:val="1"/>
                <w:i w:val="1"/>
                <w:iCs w:val="1"/>
                <w:color w:val="C00000"/>
              </w:rPr>
              <w:t>Director Nominees</w:t>
            </w: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300" w:type="dxa"/>
            <w:vAlign w:val="bottom"/>
            <w:tcBorders>
              <w:top w:val="single" w:sz="8" w:color="C00000"/>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60" w:type="dxa"/>
            <w:vAlign w:val="bottom"/>
            <w:gridSpan w:val="3"/>
            <w:shd w:val="clear" w:color="auto" w:fill="D9D9D9"/>
          </w:tcPr>
          <w:p>
            <w:pPr>
              <w:spacing w:after="0"/>
              <w:rPr>
                <w:sz w:val="20"/>
                <w:szCs w:val="20"/>
                <w:color w:val="auto"/>
              </w:rPr>
            </w:pPr>
            <w:r>
              <w:rPr>
                <w:rFonts w:ascii="Arial" w:cs="Arial" w:eastAsia="Arial" w:hAnsi="Arial"/>
                <w:sz w:val="15"/>
                <w:szCs w:val="15"/>
                <w:b w:val="1"/>
                <w:bCs w:val="1"/>
                <w:color w:val="C00000"/>
              </w:rPr>
              <w:t>Jeffrey M. Ettinger</w:t>
            </w:r>
          </w:p>
        </w:tc>
        <w:tc>
          <w:tcPr>
            <w:tcW w:w="2960" w:type="dxa"/>
            <w:vAlign w:val="bottom"/>
            <w:shd w:val="clear" w:color="auto" w:fill="D9D9D9"/>
          </w:tcPr>
          <w:p>
            <w:pPr>
              <w:spacing w:after="0"/>
              <w:rPr>
                <w:sz w:val="18"/>
                <w:szCs w:val="18"/>
                <w:color w:val="auto"/>
              </w:rPr>
            </w:pPr>
          </w:p>
        </w:tc>
        <w:tc>
          <w:tcPr>
            <w:tcW w:w="800" w:type="dxa"/>
            <w:vAlign w:val="bottom"/>
            <w:shd w:val="clear" w:color="auto" w:fill="D9D9D9"/>
          </w:tcPr>
          <w:p>
            <w:pPr>
              <w:spacing w:after="0"/>
              <w:rPr>
                <w:sz w:val="18"/>
                <w:szCs w:val="18"/>
                <w:color w:val="auto"/>
              </w:rPr>
            </w:pPr>
          </w:p>
        </w:tc>
        <w:tc>
          <w:tcPr>
            <w:tcW w:w="680" w:type="dxa"/>
            <w:vAlign w:val="bottom"/>
            <w:shd w:val="clear" w:color="auto" w:fill="D9D9D9"/>
          </w:tcPr>
          <w:p>
            <w:pPr>
              <w:spacing w:after="0"/>
              <w:rPr>
                <w:sz w:val="18"/>
                <w:szCs w:val="18"/>
                <w:color w:val="auto"/>
              </w:rPr>
            </w:pPr>
          </w:p>
        </w:tc>
        <w:tc>
          <w:tcPr>
            <w:tcW w:w="1560" w:type="dxa"/>
            <w:vAlign w:val="bottom"/>
            <w:shd w:val="clear" w:color="auto" w:fill="D9D9D9"/>
          </w:tcPr>
          <w:p>
            <w:pPr>
              <w:spacing w:after="0"/>
              <w:rPr>
                <w:sz w:val="18"/>
                <w:szCs w:val="18"/>
                <w:color w:val="auto"/>
              </w:rPr>
            </w:pPr>
          </w:p>
        </w:tc>
        <w:tc>
          <w:tcPr>
            <w:tcW w:w="6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62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40" w:type="dxa"/>
            <w:vAlign w:val="bottom"/>
            <w:shd w:val="clear" w:color="auto" w:fill="D9D9D9"/>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Retired Chairman and Chief Executive</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61</w:t>
            </w:r>
          </w:p>
        </w:tc>
        <w:tc>
          <w:tcPr>
            <w:tcW w:w="680" w:type="dxa"/>
            <w:vAlign w:val="bottom"/>
            <w:shd w:val="clear" w:color="auto" w:fill="D9D9D9"/>
          </w:tcPr>
          <w:p>
            <w:pPr>
              <w:jc w:val="center"/>
              <w:ind w:left="248"/>
              <w:spacing w:after="0"/>
              <w:rPr>
                <w:sz w:val="20"/>
                <w:szCs w:val="20"/>
                <w:color w:val="auto"/>
              </w:rPr>
            </w:pPr>
            <w:r>
              <w:rPr>
                <w:rFonts w:ascii="Arial" w:cs="Arial" w:eastAsia="Arial" w:hAnsi="Arial"/>
                <w:sz w:val="15"/>
                <w:szCs w:val="15"/>
                <w:color w:val="auto"/>
                <w:w w:val="95"/>
              </w:rPr>
              <w:t>2010</w:t>
            </w:r>
          </w:p>
        </w:tc>
        <w:tc>
          <w:tcPr>
            <w:tcW w:w="1560" w:type="dxa"/>
            <w:vAlign w:val="bottom"/>
            <w:shd w:val="clear" w:color="auto" w:fill="D9D9D9"/>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920" w:type="dxa"/>
            <w:vAlign w:val="bottom"/>
            <w:shd w:val="clear" w:color="auto" w:fill="D9D9D9"/>
          </w:tcPr>
          <w:p>
            <w:pPr>
              <w:jc w:val="center"/>
              <w:spacing w:after="0"/>
              <w:rPr>
                <w:sz w:val="20"/>
                <w:szCs w:val="20"/>
                <w:color w:val="auto"/>
              </w:rPr>
            </w:pPr>
            <w:r>
              <w:rPr>
                <w:rFonts w:ascii="Arial" w:cs="Arial" w:eastAsia="Arial" w:hAnsi="Arial"/>
                <w:sz w:val="15"/>
                <w:szCs w:val="15"/>
                <w:b w:val="1"/>
                <w:bCs w:val="1"/>
                <w:color w:val="C00000"/>
                <w:w w:val="87"/>
              </w:rPr>
              <w:t>●</w:t>
            </w:r>
          </w:p>
        </w:tc>
        <w:tc>
          <w:tcPr>
            <w:tcW w:w="620" w:type="dxa"/>
            <w:vAlign w:val="bottom"/>
            <w:vMerge w:val="continue"/>
            <w:shd w:val="clear" w:color="auto" w:fill="D9D9D9"/>
          </w:tcPr>
          <w:p>
            <w:pPr>
              <w:spacing w:after="0"/>
              <w:rPr>
                <w:sz w:val="17"/>
                <w:szCs w:val="17"/>
                <w:color w:val="auto"/>
              </w:rPr>
            </w:pPr>
          </w:p>
        </w:tc>
        <w:tc>
          <w:tcPr>
            <w:tcW w:w="740" w:type="dxa"/>
            <w:vAlign w:val="bottom"/>
            <w:shd w:val="clear" w:color="auto" w:fill="D9D9D9"/>
          </w:tcPr>
          <w:p>
            <w:pPr>
              <w:jc w:val="right"/>
              <w:ind w:right="168"/>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Officer, Hormel Foods Corporation</w:t>
            </w:r>
          </w:p>
        </w:tc>
        <w:tc>
          <w:tcPr>
            <w:tcW w:w="800" w:type="dxa"/>
            <w:vAlign w:val="bottom"/>
            <w:shd w:val="clear" w:color="auto" w:fill="D9D9D9"/>
          </w:tcPr>
          <w:p>
            <w:pPr>
              <w:spacing w:after="0"/>
              <w:rPr>
                <w:sz w:val="16"/>
                <w:szCs w:val="16"/>
                <w:color w:val="auto"/>
              </w:rPr>
            </w:pPr>
          </w:p>
        </w:tc>
        <w:tc>
          <w:tcPr>
            <w:tcW w:w="680" w:type="dxa"/>
            <w:vAlign w:val="bottom"/>
            <w:shd w:val="clear" w:color="auto" w:fill="D9D9D9"/>
          </w:tcPr>
          <w:p>
            <w:pPr>
              <w:spacing w:after="0"/>
              <w:rPr>
                <w:sz w:val="16"/>
                <w:szCs w:val="16"/>
                <w:color w:val="auto"/>
              </w:rPr>
            </w:pPr>
          </w:p>
        </w:tc>
        <w:tc>
          <w:tcPr>
            <w:tcW w:w="156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gridSpan w:val="3"/>
          </w:tcPr>
          <w:p>
            <w:pPr>
              <w:spacing w:after="0"/>
              <w:rPr>
                <w:sz w:val="20"/>
                <w:szCs w:val="20"/>
                <w:color w:val="auto"/>
              </w:rPr>
            </w:pPr>
            <w:r>
              <w:rPr>
                <w:rFonts w:ascii="Arial" w:cs="Arial" w:eastAsia="Arial" w:hAnsi="Arial"/>
                <w:sz w:val="15"/>
                <w:szCs w:val="15"/>
                <w:b w:val="1"/>
                <w:bCs w:val="1"/>
                <w:color w:val="C00000"/>
              </w:rPr>
              <w:t>Katherine J. Harless</w:t>
            </w:r>
          </w:p>
        </w:tc>
        <w:tc>
          <w:tcPr>
            <w:tcW w:w="2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vMerge w:val="restart"/>
          </w:tcPr>
          <w:p>
            <w:pPr>
              <w:jc w:val="center"/>
              <w:ind w:left="81"/>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00" w:type="dxa"/>
            <w:vAlign w:val="bottom"/>
            <w:vMerge w:val="restart"/>
          </w:tcPr>
          <w:p>
            <w:pPr>
              <w:jc w:val="center"/>
              <w:ind w:left="8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gridSpan w:val="4"/>
          </w:tcPr>
          <w:p>
            <w:pPr>
              <w:ind w:left="220"/>
              <w:spacing w:after="0"/>
              <w:rPr>
                <w:sz w:val="20"/>
                <w:szCs w:val="20"/>
                <w:color w:val="auto"/>
              </w:rPr>
            </w:pPr>
            <w:r>
              <w:rPr>
                <w:rFonts w:ascii="Arial" w:cs="Arial" w:eastAsia="Arial" w:hAnsi="Arial"/>
                <w:sz w:val="15"/>
                <w:szCs w:val="15"/>
                <w:color w:val="auto"/>
              </w:rPr>
              <w:t>Retired President and Chief Executive</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68</w:t>
            </w:r>
          </w:p>
        </w:tc>
        <w:tc>
          <w:tcPr>
            <w:tcW w:w="680" w:type="dxa"/>
            <w:vAlign w:val="bottom"/>
          </w:tcPr>
          <w:p>
            <w:pPr>
              <w:jc w:val="center"/>
              <w:ind w:left="248"/>
              <w:spacing w:after="0"/>
              <w:rPr>
                <w:sz w:val="20"/>
                <w:szCs w:val="20"/>
                <w:color w:val="auto"/>
              </w:rPr>
            </w:pPr>
            <w:r>
              <w:rPr>
                <w:rFonts w:ascii="Arial" w:cs="Arial" w:eastAsia="Arial" w:hAnsi="Arial"/>
                <w:sz w:val="15"/>
                <w:szCs w:val="15"/>
                <w:color w:val="auto"/>
                <w:w w:val="95"/>
              </w:rPr>
              <w:t>2000</w:t>
            </w:r>
          </w:p>
        </w:tc>
        <w:tc>
          <w:tcPr>
            <w:tcW w:w="1560" w:type="dxa"/>
            <w:vAlign w:val="bottom"/>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560" w:type="dxa"/>
            <w:vAlign w:val="bottom"/>
            <w:gridSpan w:val="3"/>
          </w:tcPr>
          <w:p>
            <w:pPr>
              <w:ind w:left="220"/>
              <w:spacing w:after="0"/>
              <w:rPr>
                <w:sz w:val="20"/>
                <w:szCs w:val="20"/>
                <w:color w:val="auto"/>
              </w:rPr>
            </w:pPr>
            <w:r>
              <w:rPr>
                <w:rFonts w:ascii="Arial" w:cs="Arial" w:eastAsia="Arial" w:hAnsi="Arial"/>
                <w:sz w:val="15"/>
                <w:szCs w:val="15"/>
                <w:color w:val="auto"/>
              </w:rPr>
              <w:t>Officer, Idearc Inc.</w:t>
            </w:r>
          </w:p>
        </w:tc>
        <w:tc>
          <w:tcPr>
            <w:tcW w:w="2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60" w:type="dxa"/>
            <w:vAlign w:val="bottom"/>
            <w:gridSpan w:val="3"/>
            <w:shd w:val="clear" w:color="auto" w:fill="D9D9D9"/>
          </w:tcPr>
          <w:p>
            <w:pPr>
              <w:spacing w:after="0"/>
              <w:rPr>
                <w:sz w:val="20"/>
                <w:szCs w:val="20"/>
                <w:color w:val="auto"/>
              </w:rPr>
            </w:pPr>
            <w:r>
              <w:rPr>
                <w:rFonts w:ascii="Arial" w:cs="Arial" w:eastAsia="Arial" w:hAnsi="Arial"/>
                <w:sz w:val="15"/>
                <w:szCs w:val="15"/>
                <w:b w:val="1"/>
                <w:bCs w:val="1"/>
                <w:color w:val="C00000"/>
              </w:rPr>
              <w:t>D. Christian Koch</w:t>
            </w:r>
          </w:p>
        </w:tc>
        <w:tc>
          <w:tcPr>
            <w:tcW w:w="2960" w:type="dxa"/>
            <w:vAlign w:val="bottom"/>
            <w:shd w:val="clear" w:color="auto" w:fill="D9D9D9"/>
          </w:tcPr>
          <w:p>
            <w:pPr>
              <w:spacing w:after="0"/>
              <w:rPr>
                <w:sz w:val="19"/>
                <w:szCs w:val="19"/>
                <w:color w:val="auto"/>
              </w:rPr>
            </w:pPr>
          </w:p>
        </w:tc>
        <w:tc>
          <w:tcPr>
            <w:tcW w:w="800" w:type="dxa"/>
            <w:vAlign w:val="bottom"/>
            <w:shd w:val="clear" w:color="auto" w:fill="D9D9D9"/>
          </w:tcPr>
          <w:p>
            <w:pPr>
              <w:spacing w:after="0"/>
              <w:rPr>
                <w:sz w:val="19"/>
                <w:szCs w:val="19"/>
                <w:color w:val="auto"/>
              </w:rPr>
            </w:pPr>
          </w:p>
        </w:tc>
        <w:tc>
          <w:tcPr>
            <w:tcW w:w="680" w:type="dxa"/>
            <w:vAlign w:val="bottom"/>
            <w:shd w:val="clear" w:color="auto" w:fill="D9D9D9"/>
          </w:tcPr>
          <w:p>
            <w:pPr>
              <w:spacing w:after="0"/>
              <w:rPr>
                <w:sz w:val="19"/>
                <w:szCs w:val="19"/>
                <w:color w:val="auto"/>
              </w:rPr>
            </w:pPr>
          </w:p>
        </w:tc>
        <w:tc>
          <w:tcPr>
            <w:tcW w:w="1560" w:type="dxa"/>
            <w:vAlign w:val="bottom"/>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900" w:type="dxa"/>
            <w:vAlign w:val="bottom"/>
            <w:shd w:val="clear" w:color="auto" w:fill="D9D9D9"/>
          </w:tcPr>
          <w:p>
            <w:pPr>
              <w:spacing w:after="0"/>
              <w:rPr>
                <w:sz w:val="19"/>
                <w:szCs w:val="19"/>
                <w:color w:val="auto"/>
              </w:rPr>
            </w:pPr>
          </w:p>
        </w:tc>
        <w:tc>
          <w:tcPr>
            <w:tcW w:w="92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62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40" w:type="dxa"/>
            <w:vAlign w:val="bottom"/>
            <w:shd w:val="clear" w:color="auto" w:fill="D9D9D9"/>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President and Chief Executive Officer,</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55</w:t>
            </w:r>
          </w:p>
        </w:tc>
        <w:tc>
          <w:tcPr>
            <w:tcW w:w="680" w:type="dxa"/>
            <w:vAlign w:val="bottom"/>
            <w:shd w:val="clear" w:color="auto" w:fill="D9D9D9"/>
          </w:tcPr>
          <w:p>
            <w:pPr>
              <w:jc w:val="center"/>
              <w:ind w:left="248"/>
              <w:spacing w:after="0"/>
              <w:rPr>
                <w:sz w:val="20"/>
                <w:szCs w:val="20"/>
                <w:color w:val="auto"/>
              </w:rPr>
            </w:pPr>
            <w:r>
              <w:rPr>
                <w:rFonts w:ascii="Arial" w:cs="Arial" w:eastAsia="Arial" w:hAnsi="Arial"/>
                <w:sz w:val="15"/>
                <w:szCs w:val="15"/>
                <w:color w:val="auto"/>
                <w:w w:val="95"/>
              </w:rPr>
              <w:t>2016</w:t>
            </w:r>
          </w:p>
        </w:tc>
        <w:tc>
          <w:tcPr>
            <w:tcW w:w="1560" w:type="dxa"/>
            <w:vAlign w:val="bottom"/>
            <w:shd w:val="clear" w:color="auto" w:fill="D9D9D9"/>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920" w:type="dxa"/>
            <w:vAlign w:val="bottom"/>
            <w:vMerge w:val="continue"/>
            <w:shd w:val="clear" w:color="auto" w:fill="D9D9D9"/>
          </w:tcPr>
          <w:p>
            <w:pPr>
              <w:spacing w:after="0"/>
              <w:rPr>
                <w:sz w:val="17"/>
                <w:szCs w:val="17"/>
                <w:color w:val="auto"/>
              </w:rPr>
            </w:pPr>
          </w:p>
        </w:tc>
        <w:tc>
          <w:tcPr>
            <w:tcW w:w="620" w:type="dxa"/>
            <w:vAlign w:val="bottom"/>
            <w:vMerge w:val="continue"/>
            <w:shd w:val="clear" w:color="auto" w:fill="D9D9D9"/>
          </w:tcPr>
          <w:p>
            <w:pPr>
              <w:spacing w:after="0"/>
              <w:rPr>
                <w:sz w:val="17"/>
                <w:szCs w:val="17"/>
                <w:color w:val="auto"/>
              </w:rPr>
            </w:pPr>
          </w:p>
        </w:tc>
        <w:tc>
          <w:tcPr>
            <w:tcW w:w="740" w:type="dxa"/>
            <w:vAlign w:val="bottom"/>
            <w:shd w:val="clear" w:color="auto" w:fill="D9D9D9"/>
          </w:tcPr>
          <w:p>
            <w:pPr>
              <w:jc w:val="right"/>
              <w:ind w:right="168"/>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Carlisle Companies Incorporated</w:t>
            </w:r>
          </w:p>
        </w:tc>
        <w:tc>
          <w:tcPr>
            <w:tcW w:w="800" w:type="dxa"/>
            <w:vAlign w:val="bottom"/>
            <w:shd w:val="clear" w:color="auto" w:fill="D9D9D9"/>
          </w:tcPr>
          <w:p>
            <w:pPr>
              <w:spacing w:after="0"/>
              <w:rPr>
                <w:sz w:val="16"/>
                <w:szCs w:val="16"/>
                <w:color w:val="auto"/>
              </w:rPr>
            </w:pPr>
          </w:p>
        </w:tc>
        <w:tc>
          <w:tcPr>
            <w:tcW w:w="680" w:type="dxa"/>
            <w:vAlign w:val="bottom"/>
            <w:shd w:val="clear" w:color="auto" w:fill="D9D9D9"/>
          </w:tcPr>
          <w:p>
            <w:pPr>
              <w:spacing w:after="0"/>
              <w:rPr>
                <w:sz w:val="16"/>
                <w:szCs w:val="16"/>
                <w:color w:val="auto"/>
              </w:rPr>
            </w:pPr>
          </w:p>
        </w:tc>
        <w:tc>
          <w:tcPr>
            <w:tcW w:w="156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560" w:type="dxa"/>
            <w:vAlign w:val="bottom"/>
            <w:gridSpan w:val="3"/>
          </w:tcPr>
          <w:p>
            <w:pPr>
              <w:spacing w:after="0"/>
              <w:rPr>
                <w:sz w:val="20"/>
                <w:szCs w:val="20"/>
                <w:color w:val="auto"/>
              </w:rPr>
            </w:pPr>
            <w:r>
              <w:rPr>
                <w:rFonts w:ascii="Arial" w:cs="Arial" w:eastAsia="Arial" w:hAnsi="Arial"/>
                <w:sz w:val="15"/>
                <w:szCs w:val="15"/>
                <w:b w:val="1"/>
                <w:bCs w:val="1"/>
                <w:i w:val="1"/>
                <w:iCs w:val="1"/>
                <w:color w:val="C00000"/>
              </w:rPr>
              <w:t>Continuing Directors</w:t>
            </w: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300" w:type="dxa"/>
            <w:vAlign w:val="bottom"/>
            <w:tcBorders>
              <w:top w:val="single" w:sz="8" w:color="C00000"/>
            </w:tcBorders>
          </w:tcPr>
          <w:p>
            <w:pPr>
              <w:spacing w:after="0"/>
              <w:rPr>
                <w:sz w:val="4"/>
                <w:szCs w:val="4"/>
                <w:color w:val="auto"/>
              </w:rPr>
            </w:pPr>
          </w:p>
        </w:tc>
        <w:tc>
          <w:tcPr>
            <w:tcW w:w="160" w:type="dxa"/>
            <w:vAlign w:val="bottom"/>
            <w:tcBorders>
              <w:top w:val="single" w:sz="8" w:color="C00000"/>
            </w:tcBorders>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560" w:type="dxa"/>
            <w:vAlign w:val="bottom"/>
            <w:gridSpan w:val="3"/>
            <w:shd w:val="clear" w:color="auto" w:fill="D9D9D9"/>
          </w:tcPr>
          <w:p>
            <w:pPr>
              <w:spacing w:after="0"/>
              <w:rPr>
                <w:sz w:val="20"/>
                <w:szCs w:val="20"/>
                <w:color w:val="auto"/>
              </w:rPr>
            </w:pPr>
            <w:r>
              <w:rPr>
                <w:rFonts w:ascii="Arial" w:cs="Arial" w:eastAsia="Arial" w:hAnsi="Arial"/>
                <w:sz w:val="15"/>
                <w:szCs w:val="15"/>
                <w:b w:val="1"/>
                <w:bCs w:val="1"/>
                <w:color w:val="C00000"/>
              </w:rPr>
              <w:t>Janet K. Cooper</w:t>
            </w:r>
          </w:p>
        </w:tc>
        <w:tc>
          <w:tcPr>
            <w:tcW w:w="2960" w:type="dxa"/>
            <w:vAlign w:val="bottom"/>
            <w:shd w:val="clear" w:color="auto" w:fill="D9D9D9"/>
          </w:tcPr>
          <w:p>
            <w:pPr>
              <w:spacing w:after="0"/>
              <w:rPr>
                <w:sz w:val="19"/>
                <w:szCs w:val="19"/>
                <w:color w:val="auto"/>
              </w:rPr>
            </w:pPr>
          </w:p>
        </w:tc>
        <w:tc>
          <w:tcPr>
            <w:tcW w:w="800" w:type="dxa"/>
            <w:vAlign w:val="bottom"/>
            <w:shd w:val="clear" w:color="auto" w:fill="D9D9D9"/>
          </w:tcPr>
          <w:p>
            <w:pPr>
              <w:spacing w:after="0"/>
              <w:rPr>
                <w:sz w:val="19"/>
                <w:szCs w:val="19"/>
                <w:color w:val="auto"/>
              </w:rPr>
            </w:pPr>
          </w:p>
        </w:tc>
        <w:tc>
          <w:tcPr>
            <w:tcW w:w="680" w:type="dxa"/>
            <w:vAlign w:val="bottom"/>
            <w:shd w:val="clear" w:color="auto" w:fill="D9D9D9"/>
          </w:tcPr>
          <w:p>
            <w:pPr>
              <w:spacing w:after="0"/>
              <w:rPr>
                <w:sz w:val="19"/>
                <w:szCs w:val="19"/>
                <w:color w:val="auto"/>
              </w:rPr>
            </w:pPr>
          </w:p>
        </w:tc>
        <w:tc>
          <w:tcPr>
            <w:tcW w:w="1560" w:type="dxa"/>
            <w:vAlign w:val="bottom"/>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900" w:type="dxa"/>
            <w:vAlign w:val="bottom"/>
            <w:vMerge w:val="restart"/>
            <w:shd w:val="clear" w:color="auto" w:fill="D9D9D9"/>
          </w:tcPr>
          <w:p>
            <w:pPr>
              <w:jc w:val="center"/>
              <w:ind w:left="8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20" w:type="dxa"/>
            <w:vAlign w:val="bottom"/>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740" w:type="dxa"/>
            <w:vAlign w:val="bottom"/>
            <w:shd w:val="clear" w:color="auto" w:fill="D9D9D9"/>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Retired Senior Vice President and Treasurer,</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66</w:t>
            </w:r>
          </w:p>
        </w:tc>
        <w:tc>
          <w:tcPr>
            <w:tcW w:w="680" w:type="dxa"/>
            <w:vAlign w:val="bottom"/>
            <w:shd w:val="clear" w:color="auto" w:fill="D9D9D9"/>
          </w:tcPr>
          <w:p>
            <w:pPr>
              <w:jc w:val="center"/>
              <w:ind w:left="248"/>
              <w:spacing w:after="0"/>
              <w:rPr>
                <w:sz w:val="20"/>
                <w:szCs w:val="20"/>
                <w:color w:val="auto"/>
              </w:rPr>
            </w:pPr>
            <w:r>
              <w:rPr>
                <w:rFonts w:ascii="Arial" w:cs="Arial" w:eastAsia="Arial" w:hAnsi="Arial"/>
                <w:sz w:val="15"/>
                <w:szCs w:val="15"/>
                <w:color w:val="auto"/>
                <w:w w:val="95"/>
              </w:rPr>
              <w:t>1994</w:t>
            </w:r>
          </w:p>
        </w:tc>
        <w:tc>
          <w:tcPr>
            <w:tcW w:w="1560" w:type="dxa"/>
            <w:vAlign w:val="bottom"/>
            <w:shd w:val="clear" w:color="auto" w:fill="D9D9D9"/>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shd w:val="clear" w:color="auto" w:fill="D9D9D9"/>
          </w:tcPr>
          <w:p>
            <w:pPr>
              <w:jc w:val="center"/>
              <w:ind w:left="81"/>
              <w:spacing w:after="0"/>
              <w:rPr>
                <w:sz w:val="20"/>
                <w:szCs w:val="20"/>
                <w:color w:val="auto"/>
              </w:rPr>
            </w:pPr>
            <w:r>
              <w:rPr>
                <w:rFonts w:ascii="Arial" w:cs="Arial" w:eastAsia="Arial" w:hAnsi="Arial"/>
                <w:sz w:val="15"/>
                <w:szCs w:val="15"/>
                <w:b w:val="1"/>
                <w:bCs w:val="1"/>
                <w:color w:val="C00000"/>
              </w:rPr>
              <w:t>●</w:t>
            </w:r>
          </w:p>
        </w:tc>
        <w:tc>
          <w:tcPr>
            <w:tcW w:w="900" w:type="dxa"/>
            <w:vAlign w:val="bottom"/>
            <w:vMerge w:val="continue"/>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740" w:type="dxa"/>
            <w:vAlign w:val="bottom"/>
            <w:shd w:val="clear" w:color="auto" w:fill="D9D9D9"/>
          </w:tcPr>
          <w:p>
            <w:pPr>
              <w:jc w:val="right"/>
              <w:ind w:right="168"/>
              <w:spacing w:after="0"/>
              <w:rPr>
                <w:sz w:val="20"/>
                <w:szCs w:val="20"/>
                <w:color w:val="auto"/>
              </w:rPr>
            </w:pPr>
            <w:r>
              <w:rPr>
                <w:rFonts w:ascii="Arial" w:cs="Arial" w:eastAsia="Arial" w:hAnsi="Arial"/>
                <w:sz w:val="15"/>
                <w:szCs w:val="15"/>
                <w:color w:val="auto"/>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Qwest Communications International Inc.</w:t>
            </w:r>
          </w:p>
        </w:tc>
        <w:tc>
          <w:tcPr>
            <w:tcW w:w="800" w:type="dxa"/>
            <w:vAlign w:val="bottom"/>
            <w:shd w:val="clear" w:color="auto" w:fill="D9D9D9"/>
          </w:tcPr>
          <w:p>
            <w:pPr>
              <w:spacing w:after="0"/>
              <w:rPr>
                <w:sz w:val="18"/>
                <w:szCs w:val="18"/>
                <w:color w:val="auto"/>
              </w:rPr>
            </w:pPr>
          </w:p>
        </w:tc>
        <w:tc>
          <w:tcPr>
            <w:tcW w:w="680" w:type="dxa"/>
            <w:vAlign w:val="bottom"/>
            <w:shd w:val="clear" w:color="auto" w:fill="D9D9D9"/>
          </w:tcPr>
          <w:p>
            <w:pPr>
              <w:spacing w:after="0"/>
              <w:rPr>
                <w:sz w:val="18"/>
                <w:szCs w:val="18"/>
                <w:color w:val="auto"/>
              </w:rPr>
            </w:pPr>
          </w:p>
        </w:tc>
        <w:tc>
          <w:tcPr>
            <w:tcW w:w="1560" w:type="dxa"/>
            <w:vAlign w:val="bottom"/>
            <w:shd w:val="clear" w:color="auto" w:fill="D9D9D9"/>
          </w:tcPr>
          <w:p>
            <w:pPr>
              <w:spacing w:after="0"/>
              <w:rPr>
                <w:sz w:val="18"/>
                <w:szCs w:val="18"/>
                <w:color w:val="auto"/>
              </w:rPr>
            </w:pPr>
          </w:p>
        </w:tc>
        <w:tc>
          <w:tcPr>
            <w:tcW w:w="620" w:type="dxa"/>
            <w:vAlign w:val="bottom"/>
            <w:shd w:val="clear" w:color="auto" w:fill="D9D9D9"/>
          </w:tcPr>
          <w:p>
            <w:pPr>
              <w:jc w:val="center"/>
              <w:ind w:left="81"/>
              <w:spacing w:after="0"/>
              <w:rPr>
                <w:sz w:val="20"/>
                <w:szCs w:val="20"/>
                <w:color w:val="auto"/>
              </w:rPr>
            </w:pPr>
            <w:r>
              <w:rPr>
                <w:rFonts w:ascii="Arial" w:cs="Arial" w:eastAsia="Arial" w:hAnsi="Arial"/>
                <w:sz w:val="16"/>
                <w:szCs w:val="16"/>
                <w:b w:val="1"/>
                <w:bCs w:val="1"/>
                <w:color w:val="C00000"/>
              </w:rPr>
              <w:t>à</w:t>
            </w:r>
          </w:p>
        </w:tc>
        <w:tc>
          <w:tcPr>
            <w:tcW w:w="90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620" w:type="dxa"/>
            <w:vAlign w:val="bottom"/>
            <w:shd w:val="clear" w:color="auto" w:fill="D9D9D9"/>
          </w:tcPr>
          <w:p>
            <w:pPr>
              <w:spacing w:after="0"/>
              <w:rPr>
                <w:sz w:val="18"/>
                <w:szCs w:val="18"/>
                <w:color w:val="auto"/>
              </w:rPr>
            </w:pPr>
          </w:p>
        </w:tc>
        <w:tc>
          <w:tcPr>
            <w:tcW w:w="740" w:type="dxa"/>
            <w:vAlign w:val="bottom"/>
            <w:shd w:val="clear" w:color="auto" w:fill="D9D9D9"/>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4"/>
          </w:tcPr>
          <w:p>
            <w:pPr>
              <w:spacing w:after="0"/>
              <w:rPr>
                <w:sz w:val="20"/>
                <w:szCs w:val="20"/>
                <w:color w:val="auto"/>
              </w:rPr>
            </w:pPr>
            <w:r>
              <w:rPr>
                <w:rFonts w:ascii="Arial" w:cs="Arial" w:eastAsia="Arial" w:hAnsi="Arial"/>
                <w:sz w:val="15"/>
                <w:szCs w:val="15"/>
                <w:b w:val="1"/>
                <w:bCs w:val="1"/>
                <w:color w:val="C00000"/>
              </w:rPr>
              <w:t>Gary L. Ellis – Lead Director</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vMerge w:val="restart"/>
          </w:tcPr>
          <w:p>
            <w:pPr>
              <w:jc w:val="center"/>
              <w:ind w:left="81"/>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gridSpan w:val="4"/>
          </w:tcPr>
          <w:p>
            <w:pPr>
              <w:ind w:left="220"/>
              <w:spacing w:after="0"/>
              <w:rPr>
                <w:sz w:val="20"/>
                <w:szCs w:val="20"/>
                <w:color w:val="auto"/>
              </w:rPr>
            </w:pPr>
            <w:r>
              <w:rPr>
                <w:rFonts w:ascii="Arial" w:cs="Arial" w:eastAsia="Arial" w:hAnsi="Arial"/>
                <w:sz w:val="15"/>
                <w:szCs w:val="15"/>
                <w:color w:val="auto"/>
              </w:rPr>
              <w:t>Retired Executive Vice President and Chief</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63</w:t>
            </w:r>
          </w:p>
        </w:tc>
        <w:tc>
          <w:tcPr>
            <w:tcW w:w="680" w:type="dxa"/>
            <w:vAlign w:val="bottom"/>
          </w:tcPr>
          <w:p>
            <w:pPr>
              <w:jc w:val="center"/>
              <w:ind w:left="248"/>
              <w:spacing w:after="0"/>
              <w:rPr>
                <w:sz w:val="20"/>
                <w:szCs w:val="20"/>
                <w:color w:val="auto"/>
              </w:rPr>
            </w:pPr>
            <w:r>
              <w:rPr>
                <w:rFonts w:ascii="Arial" w:cs="Arial" w:eastAsia="Arial" w:hAnsi="Arial"/>
                <w:sz w:val="15"/>
                <w:szCs w:val="15"/>
                <w:color w:val="auto"/>
                <w:w w:val="95"/>
              </w:rPr>
              <w:t>2006</w:t>
            </w:r>
          </w:p>
        </w:tc>
        <w:tc>
          <w:tcPr>
            <w:tcW w:w="1560" w:type="dxa"/>
            <w:vAlign w:val="bottom"/>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vMerge w:val="continue"/>
          </w:tcPr>
          <w:p>
            <w:pPr>
              <w:spacing w:after="0"/>
              <w:rPr>
                <w:sz w:val="17"/>
                <w:szCs w:val="17"/>
                <w:color w:val="auto"/>
              </w:rPr>
            </w:pPr>
          </w:p>
        </w:tc>
        <w:tc>
          <w:tcPr>
            <w:tcW w:w="900" w:type="dxa"/>
            <w:vAlign w:val="bottom"/>
          </w:tcPr>
          <w:p>
            <w:pPr>
              <w:jc w:val="center"/>
              <w:ind w:left="64"/>
              <w:spacing w:after="0"/>
              <w:rPr>
                <w:sz w:val="20"/>
                <w:szCs w:val="20"/>
                <w:color w:val="auto"/>
              </w:rPr>
            </w:pPr>
            <w:r>
              <w:rPr>
                <w:rFonts w:ascii="Arial" w:cs="Arial" w:eastAsia="Arial" w:hAnsi="Arial"/>
                <w:sz w:val="15"/>
                <w:szCs w:val="15"/>
                <w:b w:val="1"/>
                <w:bCs w:val="1"/>
                <w:color w:val="C00000"/>
                <w:w w:val="87"/>
              </w:rPr>
              <w:t>●</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5"/>
                <w:szCs w:val="15"/>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20" w:type="dxa"/>
            <w:vAlign w:val="bottom"/>
            <w:gridSpan w:val="4"/>
          </w:tcPr>
          <w:p>
            <w:pPr>
              <w:ind w:left="220"/>
              <w:spacing w:after="0"/>
              <w:rPr>
                <w:sz w:val="20"/>
                <w:szCs w:val="20"/>
                <w:color w:val="auto"/>
              </w:rPr>
            </w:pPr>
            <w:r>
              <w:rPr>
                <w:rFonts w:ascii="Arial" w:cs="Arial" w:eastAsia="Arial" w:hAnsi="Arial"/>
                <w:sz w:val="15"/>
                <w:szCs w:val="15"/>
                <w:color w:val="auto"/>
              </w:rPr>
              <w:t>Financial Officer, Medtronic plc</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jc w:val="center"/>
              <w:ind w:left="81"/>
              <w:spacing w:after="0"/>
              <w:rPr>
                <w:sz w:val="20"/>
                <w:szCs w:val="20"/>
                <w:color w:val="auto"/>
              </w:rPr>
            </w:pPr>
            <w:r>
              <w:rPr>
                <w:rFonts w:ascii="Arial" w:cs="Arial" w:eastAsia="Arial" w:hAnsi="Arial"/>
                <w:sz w:val="16"/>
                <w:szCs w:val="16"/>
                <w:b w:val="1"/>
                <w:bCs w:val="1"/>
                <w:color w:val="C00000"/>
              </w:rPr>
              <w:t>à</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60" w:type="dxa"/>
            <w:vAlign w:val="bottom"/>
            <w:gridSpan w:val="3"/>
            <w:shd w:val="clear" w:color="auto" w:fill="D9D9D9"/>
          </w:tcPr>
          <w:p>
            <w:pPr>
              <w:spacing w:after="0"/>
              <w:rPr>
                <w:sz w:val="20"/>
                <w:szCs w:val="20"/>
                <w:color w:val="auto"/>
              </w:rPr>
            </w:pPr>
            <w:r>
              <w:rPr>
                <w:rFonts w:ascii="Arial" w:cs="Arial" w:eastAsia="Arial" w:hAnsi="Arial"/>
                <w:sz w:val="15"/>
                <w:szCs w:val="15"/>
                <w:b w:val="1"/>
                <w:bCs w:val="1"/>
                <w:color w:val="C00000"/>
              </w:rPr>
              <w:t>Jeffrey L. Harmening</w:t>
            </w:r>
          </w:p>
        </w:tc>
        <w:tc>
          <w:tcPr>
            <w:tcW w:w="2960" w:type="dxa"/>
            <w:vAlign w:val="bottom"/>
            <w:shd w:val="clear" w:color="auto" w:fill="D9D9D9"/>
          </w:tcPr>
          <w:p>
            <w:pPr>
              <w:spacing w:after="0"/>
              <w:rPr>
                <w:sz w:val="19"/>
                <w:szCs w:val="19"/>
                <w:color w:val="auto"/>
              </w:rPr>
            </w:pPr>
          </w:p>
        </w:tc>
        <w:tc>
          <w:tcPr>
            <w:tcW w:w="800" w:type="dxa"/>
            <w:vAlign w:val="bottom"/>
            <w:shd w:val="clear" w:color="auto" w:fill="D9D9D9"/>
          </w:tcPr>
          <w:p>
            <w:pPr>
              <w:spacing w:after="0"/>
              <w:rPr>
                <w:sz w:val="19"/>
                <w:szCs w:val="19"/>
                <w:color w:val="auto"/>
              </w:rPr>
            </w:pPr>
          </w:p>
        </w:tc>
        <w:tc>
          <w:tcPr>
            <w:tcW w:w="680" w:type="dxa"/>
            <w:vAlign w:val="bottom"/>
            <w:shd w:val="clear" w:color="auto" w:fill="D9D9D9"/>
          </w:tcPr>
          <w:p>
            <w:pPr>
              <w:spacing w:after="0"/>
              <w:rPr>
                <w:sz w:val="19"/>
                <w:szCs w:val="19"/>
                <w:color w:val="auto"/>
              </w:rPr>
            </w:pPr>
          </w:p>
        </w:tc>
        <w:tc>
          <w:tcPr>
            <w:tcW w:w="1560" w:type="dxa"/>
            <w:vAlign w:val="bottom"/>
            <w:shd w:val="clear" w:color="auto" w:fill="D9D9D9"/>
          </w:tcPr>
          <w:p>
            <w:pPr>
              <w:spacing w:after="0"/>
              <w:rPr>
                <w:sz w:val="19"/>
                <w:szCs w:val="19"/>
                <w:color w:val="auto"/>
              </w:rPr>
            </w:pPr>
          </w:p>
        </w:tc>
        <w:tc>
          <w:tcPr>
            <w:tcW w:w="620" w:type="dxa"/>
            <w:vAlign w:val="bottom"/>
            <w:vMerge w:val="restart"/>
            <w:shd w:val="clear" w:color="auto" w:fill="D9D9D9"/>
          </w:tcPr>
          <w:p>
            <w:pPr>
              <w:jc w:val="center"/>
              <w:ind w:left="81"/>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00" w:type="dxa"/>
            <w:vAlign w:val="bottom"/>
            <w:vMerge w:val="restart"/>
            <w:shd w:val="clear" w:color="auto" w:fill="D9D9D9"/>
          </w:tcPr>
          <w:p>
            <w:pPr>
              <w:jc w:val="center"/>
              <w:ind w:left="8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20" w:type="dxa"/>
            <w:vAlign w:val="bottom"/>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740" w:type="dxa"/>
            <w:vAlign w:val="bottom"/>
            <w:shd w:val="clear" w:color="auto" w:fill="D9D9D9"/>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Chairman and Chief Executive Officer,</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52</w:t>
            </w:r>
          </w:p>
        </w:tc>
        <w:tc>
          <w:tcPr>
            <w:tcW w:w="680" w:type="dxa"/>
            <w:vAlign w:val="bottom"/>
            <w:shd w:val="clear" w:color="auto" w:fill="D9D9D9"/>
          </w:tcPr>
          <w:p>
            <w:pPr>
              <w:jc w:val="center"/>
              <w:ind w:left="248"/>
              <w:spacing w:after="0"/>
              <w:rPr>
                <w:sz w:val="20"/>
                <w:szCs w:val="20"/>
                <w:color w:val="auto"/>
              </w:rPr>
            </w:pPr>
            <w:r>
              <w:rPr>
                <w:rFonts w:ascii="Arial" w:cs="Arial" w:eastAsia="Arial" w:hAnsi="Arial"/>
                <w:sz w:val="15"/>
                <w:szCs w:val="15"/>
                <w:color w:val="auto"/>
                <w:w w:val="95"/>
              </w:rPr>
              <w:t>2019</w:t>
            </w:r>
          </w:p>
        </w:tc>
        <w:tc>
          <w:tcPr>
            <w:tcW w:w="1560" w:type="dxa"/>
            <w:vAlign w:val="bottom"/>
            <w:shd w:val="clear" w:color="auto" w:fill="D9D9D9"/>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vMerge w:val="continue"/>
            <w:shd w:val="clear" w:color="auto" w:fill="D9D9D9"/>
          </w:tcPr>
          <w:p>
            <w:pPr>
              <w:spacing w:after="0"/>
              <w:rPr>
                <w:sz w:val="16"/>
                <w:szCs w:val="16"/>
                <w:color w:val="auto"/>
              </w:rPr>
            </w:pPr>
          </w:p>
        </w:tc>
        <w:tc>
          <w:tcPr>
            <w:tcW w:w="900" w:type="dxa"/>
            <w:vAlign w:val="bottom"/>
            <w:vMerge w:val="continue"/>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740" w:type="dxa"/>
            <w:vAlign w:val="bottom"/>
            <w:shd w:val="clear" w:color="auto" w:fill="D9D9D9"/>
          </w:tcPr>
          <w:p>
            <w:pPr>
              <w:jc w:val="right"/>
              <w:ind w:right="168"/>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gridSpan w:val="3"/>
            <w:shd w:val="clear" w:color="auto" w:fill="D9D9D9"/>
          </w:tcPr>
          <w:p>
            <w:pPr>
              <w:ind w:left="220"/>
              <w:spacing w:after="0"/>
              <w:rPr>
                <w:sz w:val="20"/>
                <w:szCs w:val="20"/>
                <w:color w:val="auto"/>
              </w:rPr>
            </w:pPr>
            <w:r>
              <w:rPr>
                <w:rFonts w:ascii="Arial" w:cs="Arial" w:eastAsia="Arial" w:hAnsi="Arial"/>
                <w:sz w:val="15"/>
                <w:szCs w:val="15"/>
                <w:color w:val="auto"/>
              </w:rPr>
              <w:t>General Mills, Inc.</w:t>
            </w:r>
          </w:p>
        </w:tc>
        <w:tc>
          <w:tcPr>
            <w:tcW w:w="2960" w:type="dxa"/>
            <w:vAlign w:val="bottom"/>
            <w:shd w:val="clear" w:color="auto" w:fill="D9D9D9"/>
          </w:tcPr>
          <w:p>
            <w:pPr>
              <w:spacing w:after="0"/>
              <w:rPr>
                <w:sz w:val="16"/>
                <w:szCs w:val="16"/>
                <w:color w:val="auto"/>
              </w:rPr>
            </w:pPr>
          </w:p>
        </w:tc>
        <w:tc>
          <w:tcPr>
            <w:tcW w:w="800" w:type="dxa"/>
            <w:vAlign w:val="bottom"/>
            <w:shd w:val="clear" w:color="auto" w:fill="D9D9D9"/>
          </w:tcPr>
          <w:p>
            <w:pPr>
              <w:spacing w:after="0"/>
              <w:rPr>
                <w:sz w:val="16"/>
                <w:szCs w:val="16"/>
                <w:color w:val="auto"/>
              </w:rPr>
            </w:pPr>
          </w:p>
        </w:tc>
        <w:tc>
          <w:tcPr>
            <w:tcW w:w="680" w:type="dxa"/>
            <w:vAlign w:val="bottom"/>
            <w:shd w:val="clear" w:color="auto" w:fill="D9D9D9"/>
          </w:tcPr>
          <w:p>
            <w:pPr>
              <w:spacing w:after="0"/>
              <w:rPr>
                <w:sz w:val="16"/>
                <w:szCs w:val="16"/>
                <w:color w:val="auto"/>
              </w:rPr>
            </w:pPr>
          </w:p>
        </w:tc>
        <w:tc>
          <w:tcPr>
            <w:tcW w:w="156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gridSpan w:val="3"/>
          </w:tcPr>
          <w:p>
            <w:pPr>
              <w:spacing w:after="0"/>
              <w:rPr>
                <w:sz w:val="20"/>
                <w:szCs w:val="20"/>
                <w:color w:val="auto"/>
              </w:rPr>
            </w:pPr>
            <w:r>
              <w:rPr>
                <w:rFonts w:ascii="Arial" w:cs="Arial" w:eastAsia="Arial" w:hAnsi="Arial"/>
                <w:sz w:val="15"/>
                <w:szCs w:val="15"/>
                <w:b w:val="1"/>
                <w:bCs w:val="1"/>
                <w:color w:val="C00000"/>
              </w:rPr>
              <w:t>Joyce A. Mullen</w:t>
            </w:r>
          </w:p>
        </w:tc>
        <w:tc>
          <w:tcPr>
            <w:tcW w:w="2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6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gridSpan w:val="4"/>
          </w:tcPr>
          <w:p>
            <w:pPr>
              <w:ind w:left="220"/>
              <w:spacing w:after="0"/>
              <w:rPr>
                <w:sz w:val="20"/>
                <w:szCs w:val="20"/>
                <w:color w:val="auto"/>
              </w:rPr>
            </w:pPr>
            <w:r>
              <w:rPr>
                <w:rFonts w:ascii="Arial" w:cs="Arial" w:eastAsia="Arial" w:hAnsi="Arial"/>
                <w:sz w:val="15"/>
                <w:szCs w:val="15"/>
                <w:color w:val="auto"/>
              </w:rPr>
              <w:t>President, Global Channel, OEM and IoT,</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57</w:t>
            </w:r>
          </w:p>
        </w:tc>
        <w:tc>
          <w:tcPr>
            <w:tcW w:w="680" w:type="dxa"/>
            <w:vAlign w:val="bottom"/>
          </w:tcPr>
          <w:p>
            <w:pPr>
              <w:jc w:val="center"/>
              <w:ind w:left="248"/>
              <w:spacing w:after="0"/>
              <w:rPr>
                <w:sz w:val="20"/>
                <w:szCs w:val="20"/>
                <w:color w:val="auto"/>
              </w:rPr>
            </w:pPr>
            <w:r>
              <w:rPr>
                <w:rFonts w:ascii="Arial" w:cs="Arial" w:eastAsia="Arial" w:hAnsi="Arial"/>
                <w:sz w:val="15"/>
                <w:szCs w:val="15"/>
                <w:color w:val="auto"/>
                <w:w w:val="95"/>
              </w:rPr>
              <w:t>2019</w:t>
            </w:r>
          </w:p>
        </w:tc>
        <w:tc>
          <w:tcPr>
            <w:tcW w:w="1560" w:type="dxa"/>
            <w:vAlign w:val="bottom"/>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560" w:type="dxa"/>
            <w:vAlign w:val="bottom"/>
            <w:gridSpan w:val="3"/>
          </w:tcPr>
          <w:p>
            <w:pPr>
              <w:ind w:left="220"/>
              <w:spacing w:after="0"/>
              <w:rPr>
                <w:sz w:val="20"/>
                <w:szCs w:val="20"/>
                <w:color w:val="auto"/>
              </w:rPr>
            </w:pPr>
            <w:r>
              <w:rPr>
                <w:rFonts w:ascii="Arial" w:cs="Arial" w:eastAsia="Arial" w:hAnsi="Arial"/>
                <w:sz w:val="15"/>
                <w:szCs w:val="15"/>
                <w:color w:val="auto"/>
              </w:rPr>
              <w:t>Dell Technologies</w:t>
            </w:r>
          </w:p>
        </w:tc>
        <w:tc>
          <w:tcPr>
            <w:tcW w:w="2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60" w:type="dxa"/>
            <w:vAlign w:val="bottom"/>
            <w:gridSpan w:val="3"/>
            <w:shd w:val="clear" w:color="auto" w:fill="D9D9D9"/>
          </w:tcPr>
          <w:p>
            <w:pPr>
              <w:spacing w:after="0"/>
              <w:rPr>
                <w:sz w:val="20"/>
                <w:szCs w:val="20"/>
                <w:color w:val="auto"/>
              </w:rPr>
            </w:pPr>
            <w:r>
              <w:rPr>
                <w:rFonts w:ascii="Arial" w:cs="Arial" w:eastAsia="Arial" w:hAnsi="Arial"/>
                <w:sz w:val="15"/>
                <w:szCs w:val="15"/>
                <w:b w:val="1"/>
                <w:bCs w:val="1"/>
                <w:color w:val="C00000"/>
              </w:rPr>
              <w:t>Richard M. Olson</w:t>
            </w:r>
          </w:p>
        </w:tc>
        <w:tc>
          <w:tcPr>
            <w:tcW w:w="2960" w:type="dxa"/>
            <w:vAlign w:val="bottom"/>
            <w:shd w:val="clear" w:color="auto" w:fill="D9D9D9"/>
          </w:tcPr>
          <w:p>
            <w:pPr>
              <w:spacing w:after="0"/>
              <w:rPr>
                <w:sz w:val="19"/>
                <w:szCs w:val="19"/>
                <w:color w:val="auto"/>
              </w:rPr>
            </w:pPr>
          </w:p>
        </w:tc>
        <w:tc>
          <w:tcPr>
            <w:tcW w:w="800" w:type="dxa"/>
            <w:vAlign w:val="bottom"/>
            <w:shd w:val="clear" w:color="auto" w:fill="D9D9D9"/>
          </w:tcPr>
          <w:p>
            <w:pPr>
              <w:spacing w:after="0"/>
              <w:rPr>
                <w:sz w:val="19"/>
                <w:szCs w:val="19"/>
                <w:color w:val="auto"/>
              </w:rPr>
            </w:pPr>
          </w:p>
        </w:tc>
        <w:tc>
          <w:tcPr>
            <w:tcW w:w="680" w:type="dxa"/>
            <w:vAlign w:val="bottom"/>
            <w:shd w:val="clear" w:color="auto" w:fill="D9D9D9"/>
          </w:tcPr>
          <w:p>
            <w:pPr>
              <w:spacing w:after="0"/>
              <w:rPr>
                <w:sz w:val="19"/>
                <w:szCs w:val="19"/>
                <w:color w:val="auto"/>
              </w:rPr>
            </w:pPr>
          </w:p>
        </w:tc>
        <w:tc>
          <w:tcPr>
            <w:tcW w:w="1560" w:type="dxa"/>
            <w:vAlign w:val="bottom"/>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900" w:type="dxa"/>
            <w:vAlign w:val="bottom"/>
            <w:shd w:val="clear" w:color="auto" w:fill="D9D9D9"/>
          </w:tcPr>
          <w:p>
            <w:pPr>
              <w:spacing w:after="0"/>
              <w:rPr>
                <w:sz w:val="19"/>
                <w:szCs w:val="19"/>
                <w:color w:val="auto"/>
              </w:rPr>
            </w:pPr>
          </w:p>
        </w:tc>
        <w:tc>
          <w:tcPr>
            <w:tcW w:w="920" w:type="dxa"/>
            <w:vAlign w:val="bottom"/>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740" w:type="dxa"/>
            <w:vAlign w:val="bottom"/>
            <w:shd w:val="clear" w:color="auto" w:fill="D9D9D9"/>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Chairman, President and Chief Executive</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56</w:t>
            </w:r>
          </w:p>
        </w:tc>
        <w:tc>
          <w:tcPr>
            <w:tcW w:w="680" w:type="dxa"/>
            <w:vAlign w:val="bottom"/>
            <w:shd w:val="clear" w:color="auto" w:fill="D9D9D9"/>
          </w:tcPr>
          <w:p>
            <w:pPr>
              <w:jc w:val="center"/>
              <w:ind w:left="248"/>
              <w:spacing w:after="0"/>
              <w:rPr>
                <w:sz w:val="20"/>
                <w:szCs w:val="20"/>
                <w:color w:val="auto"/>
              </w:rPr>
            </w:pPr>
            <w:r>
              <w:rPr>
                <w:rFonts w:ascii="Arial" w:cs="Arial" w:eastAsia="Arial" w:hAnsi="Arial"/>
                <w:sz w:val="15"/>
                <w:szCs w:val="15"/>
                <w:color w:val="auto"/>
                <w:w w:val="95"/>
              </w:rPr>
              <w:t>2016</w:t>
            </w:r>
          </w:p>
        </w:tc>
        <w:tc>
          <w:tcPr>
            <w:tcW w:w="1560" w:type="dxa"/>
            <w:vAlign w:val="bottom"/>
            <w:shd w:val="clear" w:color="auto" w:fill="D9D9D9"/>
          </w:tcPr>
          <w:p>
            <w:pPr>
              <w:jc w:val="center"/>
              <w:ind w:left="247"/>
              <w:spacing w:after="0"/>
              <w:rPr>
                <w:sz w:val="20"/>
                <w:szCs w:val="20"/>
                <w:color w:val="auto"/>
              </w:rPr>
            </w:pPr>
            <w:r>
              <w:rPr>
                <w:rFonts w:ascii="Arial" w:cs="Arial" w:eastAsia="Arial" w:hAnsi="Arial"/>
                <w:sz w:val="15"/>
                <w:szCs w:val="15"/>
                <w:color w:val="auto"/>
              </w:rPr>
              <w:t>No</w:t>
            </w:r>
          </w:p>
        </w:tc>
        <w:tc>
          <w:tcPr>
            <w:tcW w:w="62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920" w:type="dxa"/>
            <w:vAlign w:val="bottom"/>
            <w:shd w:val="clear" w:color="auto" w:fill="D9D9D9"/>
          </w:tcPr>
          <w:p>
            <w:pPr>
              <w:spacing w:after="0"/>
              <w:rPr>
                <w:sz w:val="17"/>
                <w:szCs w:val="17"/>
                <w:color w:val="auto"/>
              </w:rPr>
            </w:pPr>
          </w:p>
        </w:tc>
        <w:tc>
          <w:tcPr>
            <w:tcW w:w="620" w:type="dxa"/>
            <w:vAlign w:val="bottom"/>
            <w:shd w:val="clear" w:color="auto" w:fill="D9D9D9"/>
          </w:tcPr>
          <w:p>
            <w:pPr>
              <w:spacing w:after="0"/>
              <w:rPr>
                <w:sz w:val="17"/>
                <w:szCs w:val="17"/>
                <w:color w:val="auto"/>
              </w:rPr>
            </w:pPr>
          </w:p>
        </w:tc>
        <w:tc>
          <w:tcPr>
            <w:tcW w:w="740" w:type="dxa"/>
            <w:vAlign w:val="bottom"/>
            <w:shd w:val="clear" w:color="auto" w:fill="D9D9D9"/>
          </w:tcPr>
          <w:p>
            <w:pPr>
              <w:jc w:val="right"/>
              <w:ind w:right="168"/>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Officer, The Toro Company</w:t>
            </w:r>
          </w:p>
        </w:tc>
        <w:tc>
          <w:tcPr>
            <w:tcW w:w="800" w:type="dxa"/>
            <w:vAlign w:val="bottom"/>
            <w:shd w:val="clear" w:color="auto" w:fill="D9D9D9"/>
          </w:tcPr>
          <w:p>
            <w:pPr>
              <w:spacing w:after="0"/>
              <w:rPr>
                <w:sz w:val="16"/>
                <w:szCs w:val="16"/>
                <w:color w:val="auto"/>
              </w:rPr>
            </w:pPr>
          </w:p>
        </w:tc>
        <w:tc>
          <w:tcPr>
            <w:tcW w:w="680" w:type="dxa"/>
            <w:vAlign w:val="bottom"/>
            <w:shd w:val="clear" w:color="auto" w:fill="D9D9D9"/>
          </w:tcPr>
          <w:p>
            <w:pPr>
              <w:spacing w:after="0"/>
              <w:rPr>
                <w:sz w:val="16"/>
                <w:szCs w:val="16"/>
                <w:color w:val="auto"/>
              </w:rPr>
            </w:pPr>
          </w:p>
        </w:tc>
        <w:tc>
          <w:tcPr>
            <w:tcW w:w="156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gridSpan w:val="3"/>
          </w:tcPr>
          <w:p>
            <w:pPr>
              <w:spacing w:after="0"/>
              <w:rPr>
                <w:sz w:val="20"/>
                <w:szCs w:val="20"/>
                <w:color w:val="auto"/>
              </w:rPr>
            </w:pPr>
            <w:r>
              <w:rPr>
                <w:rFonts w:ascii="Arial" w:cs="Arial" w:eastAsia="Arial" w:hAnsi="Arial"/>
                <w:sz w:val="15"/>
                <w:szCs w:val="15"/>
                <w:b w:val="1"/>
                <w:bCs w:val="1"/>
                <w:color w:val="C00000"/>
              </w:rPr>
              <w:t>James C. O’Rourke</w:t>
            </w:r>
          </w:p>
        </w:tc>
        <w:tc>
          <w:tcPr>
            <w:tcW w:w="2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gridSpan w:val="4"/>
          </w:tcPr>
          <w:p>
            <w:pPr>
              <w:ind w:left="220"/>
              <w:spacing w:after="0"/>
              <w:rPr>
                <w:sz w:val="20"/>
                <w:szCs w:val="20"/>
                <w:color w:val="auto"/>
              </w:rPr>
            </w:pPr>
            <w:r>
              <w:rPr>
                <w:rFonts w:ascii="Arial" w:cs="Arial" w:eastAsia="Arial" w:hAnsi="Arial"/>
                <w:sz w:val="15"/>
                <w:szCs w:val="15"/>
                <w:color w:val="auto"/>
              </w:rPr>
              <w:t>President and Chief Executive Officer,</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59</w:t>
            </w:r>
          </w:p>
        </w:tc>
        <w:tc>
          <w:tcPr>
            <w:tcW w:w="680" w:type="dxa"/>
            <w:vAlign w:val="bottom"/>
          </w:tcPr>
          <w:p>
            <w:pPr>
              <w:jc w:val="center"/>
              <w:ind w:left="248"/>
              <w:spacing w:after="0"/>
              <w:rPr>
                <w:sz w:val="20"/>
                <w:szCs w:val="20"/>
                <w:color w:val="auto"/>
              </w:rPr>
            </w:pPr>
            <w:r>
              <w:rPr>
                <w:rFonts w:ascii="Arial" w:cs="Arial" w:eastAsia="Arial" w:hAnsi="Arial"/>
                <w:sz w:val="15"/>
                <w:szCs w:val="15"/>
                <w:color w:val="auto"/>
                <w:w w:val="95"/>
              </w:rPr>
              <w:t>2012</w:t>
            </w:r>
          </w:p>
        </w:tc>
        <w:tc>
          <w:tcPr>
            <w:tcW w:w="1560" w:type="dxa"/>
            <w:vAlign w:val="bottom"/>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5"/>
                <w:szCs w:val="15"/>
                <w:b w:val="1"/>
                <w:bCs w:val="1"/>
                <w:color w:val="C00000"/>
              </w:rPr>
              <w:t>●</w:t>
            </w:r>
          </w:p>
        </w:tc>
        <w:tc>
          <w:tcPr>
            <w:tcW w:w="740" w:type="dxa"/>
            <w:vAlign w:val="bottom"/>
          </w:tcPr>
          <w:p>
            <w:pPr>
              <w:jc w:val="right"/>
              <w:ind w:right="168"/>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20" w:type="dxa"/>
            <w:vAlign w:val="bottom"/>
            <w:gridSpan w:val="4"/>
          </w:tcPr>
          <w:p>
            <w:pPr>
              <w:ind w:left="220"/>
              <w:spacing w:after="0"/>
              <w:rPr>
                <w:sz w:val="20"/>
                <w:szCs w:val="20"/>
                <w:color w:val="auto"/>
              </w:rPr>
            </w:pPr>
            <w:r>
              <w:rPr>
                <w:rFonts w:ascii="Arial" w:cs="Arial" w:eastAsia="Arial" w:hAnsi="Arial"/>
                <w:sz w:val="15"/>
                <w:szCs w:val="15"/>
                <w:color w:val="auto"/>
              </w:rPr>
              <w:t>The Mosaic Company</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60" w:type="dxa"/>
            <w:vAlign w:val="bottom"/>
            <w:gridSpan w:val="3"/>
            <w:shd w:val="clear" w:color="auto" w:fill="D9D9D9"/>
          </w:tcPr>
          <w:p>
            <w:pPr>
              <w:spacing w:after="0"/>
              <w:rPr>
                <w:sz w:val="20"/>
                <w:szCs w:val="20"/>
                <w:color w:val="auto"/>
              </w:rPr>
            </w:pPr>
            <w:r>
              <w:rPr>
                <w:rFonts w:ascii="Arial" w:cs="Arial" w:eastAsia="Arial" w:hAnsi="Arial"/>
                <w:sz w:val="15"/>
                <w:szCs w:val="15"/>
                <w:b w:val="1"/>
                <w:bCs w:val="1"/>
                <w:color w:val="C00000"/>
              </w:rPr>
              <w:t>Gregg W. Steinhafel</w:t>
            </w:r>
          </w:p>
        </w:tc>
        <w:tc>
          <w:tcPr>
            <w:tcW w:w="2960" w:type="dxa"/>
            <w:vAlign w:val="bottom"/>
            <w:shd w:val="clear" w:color="auto" w:fill="D9D9D9"/>
          </w:tcPr>
          <w:p>
            <w:pPr>
              <w:spacing w:after="0"/>
              <w:rPr>
                <w:sz w:val="19"/>
                <w:szCs w:val="19"/>
                <w:color w:val="auto"/>
              </w:rPr>
            </w:pPr>
          </w:p>
        </w:tc>
        <w:tc>
          <w:tcPr>
            <w:tcW w:w="800" w:type="dxa"/>
            <w:vAlign w:val="bottom"/>
            <w:shd w:val="clear" w:color="auto" w:fill="D9D9D9"/>
          </w:tcPr>
          <w:p>
            <w:pPr>
              <w:spacing w:after="0"/>
              <w:rPr>
                <w:sz w:val="19"/>
                <w:szCs w:val="19"/>
                <w:color w:val="auto"/>
              </w:rPr>
            </w:pPr>
          </w:p>
        </w:tc>
        <w:tc>
          <w:tcPr>
            <w:tcW w:w="680" w:type="dxa"/>
            <w:vAlign w:val="bottom"/>
            <w:shd w:val="clear" w:color="auto" w:fill="D9D9D9"/>
          </w:tcPr>
          <w:p>
            <w:pPr>
              <w:spacing w:after="0"/>
              <w:rPr>
                <w:sz w:val="19"/>
                <w:szCs w:val="19"/>
                <w:color w:val="auto"/>
              </w:rPr>
            </w:pPr>
          </w:p>
        </w:tc>
        <w:tc>
          <w:tcPr>
            <w:tcW w:w="1560" w:type="dxa"/>
            <w:vAlign w:val="bottom"/>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900" w:type="dxa"/>
            <w:vAlign w:val="bottom"/>
            <w:shd w:val="clear" w:color="auto" w:fill="D9D9D9"/>
          </w:tcPr>
          <w:p>
            <w:pPr>
              <w:spacing w:after="0"/>
              <w:rPr>
                <w:sz w:val="19"/>
                <w:szCs w:val="19"/>
                <w:color w:val="auto"/>
              </w:rPr>
            </w:pPr>
          </w:p>
        </w:tc>
        <w:tc>
          <w:tcPr>
            <w:tcW w:w="92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62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40" w:type="dxa"/>
            <w:vAlign w:val="bottom"/>
            <w:shd w:val="clear" w:color="auto" w:fill="D9D9D9"/>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Former Chairman, President and Chief</w:t>
            </w:r>
          </w:p>
        </w:tc>
        <w:tc>
          <w:tcPr>
            <w:tcW w:w="800" w:type="dxa"/>
            <w:vAlign w:val="bottom"/>
            <w:shd w:val="clear" w:color="auto" w:fill="D9D9D9"/>
          </w:tcPr>
          <w:p>
            <w:pPr>
              <w:jc w:val="right"/>
              <w:ind w:right="207"/>
              <w:spacing w:after="0"/>
              <w:rPr>
                <w:sz w:val="20"/>
                <w:szCs w:val="20"/>
                <w:color w:val="auto"/>
              </w:rPr>
            </w:pPr>
            <w:r>
              <w:rPr>
                <w:rFonts w:ascii="Arial" w:cs="Arial" w:eastAsia="Arial" w:hAnsi="Arial"/>
                <w:sz w:val="15"/>
                <w:szCs w:val="15"/>
                <w:color w:val="auto"/>
              </w:rPr>
              <w:t>65</w:t>
            </w:r>
          </w:p>
        </w:tc>
        <w:tc>
          <w:tcPr>
            <w:tcW w:w="680" w:type="dxa"/>
            <w:vAlign w:val="bottom"/>
            <w:shd w:val="clear" w:color="auto" w:fill="D9D9D9"/>
          </w:tcPr>
          <w:p>
            <w:pPr>
              <w:jc w:val="center"/>
              <w:ind w:left="248"/>
              <w:spacing w:after="0"/>
              <w:rPr>
                <w:sz w:val="20"/>
                <w:szCs w:val="20"/>
                <w:color w:val="auto"/>
              </w:rPr>
            </w:pPr>
            <w:r>
              <w:rPr>
                <w:rFonts w:ascii="Arial" w:cs="Arial" w:eastAsia="Arial" w:hAnsi="Arial"/>
                <w:sz w:val="15"/>
                <w:szCs w:val="15"/>
                <w:color w:val="auto"/>
                <w:w w:val="95"/>
              </w:rPr>
              <w:t>1999</w:t>
            </w:r>
          </w:p>
        </w:tc>
        <w:tc>
          <w:tcPr>
            <w:tcW w:w="1560" w:type="dxa"/>
            <w:vAlign w:val="bottom"/>
            <w:shd w:val="clear" w:color="auto" w:fill="D9D9D9"/>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shd w:val="clear" w:color="auto" w:fill="D9D9D9"/>
          </w:tcPr>
          <w:p>
            <w:pPr>
              <w:spacing w:after="0"/>
              <w:rPr>
                <w:sz w:val="17"/>
                <w:szCs w:val="17"/>
                <w:color w:val="auto"/>
              </w:rPr>
            </w:pPr>
          </w:p>
        </w:tc>
        <w:tc>
          <w:tcPr>
            <w:tcW w:w="900" w:type="dxa"/>
            <w:vAlign w:val="bottom"/>
            <w:shd w:val="clear" w:color="auto" w:fill="D9D9D9"/>
          </w:tcPr>
          <w:p>
            <w:pPr>
              <w:spacing w:after="0"/>
              <w:rPr>
                <w:sz w:val="17"/>
                <w:szCs w:val="17"/>
                <w:color w:val="auto"/>
              </w:rPr>
            </w:pPr>
          </w:p>
        </w:tc>
        <w:tc>
          <w:tcPr>
            <w:tcW w:w="920" w:type="dxa"/>
            <w:vAlign w:val="bottom"/>
            <w:vMerge w:val="continue"/>
            <w:shd w:val="clear" w:color="auto" w:fill="D9D9D9"/>
          </w:tcPr>
          <w:p>
            <w:pPr>
              <w:spacing w:after="0"/>
              <w:rPr>
                <w:sz w:val="17"/>
                <w:szCs w:val="17"/>
                <w:color w:val="auto"/>
              </w:rPr>
            </w:pPr>
          </w:p>
        </w:tc>
        <w:tc>
          <w:tcPr>
            <w:tcW w:w="620" w:type="dxa"/>
            <w:vAlign w:val="bottom"/>
            <w:vMerge w:val="continue"/>
            <w:shd w:val="clear" w:color="auto" w:fill="D9D9D9"/>
          </w:tcPr>
          <w:p>
            <w:pPr>
              <w:spacing w:after="0"/>
              <w:rPr>
                <w:sz w:val="17"/>
                <w:szCs w:val="17"/>
                <w:color w:val="auto"/>
              </w:rPr>
            </w:pPr>
          </w:p>
        </w:tc>
        <w:tc>
          <w:tcPr>
            <w:tcW w:w="740" w:type="dxa"/>
            <w:vAlign w:val="bottom"/>
            <w:shd w:val="clear" w:color="auto" w:fill="D9D9D9"/>
          </w:tcPr>
          <w:p>
            <w:pPr>
              <w:jc w:val="right"/>
              <w:ind w:right="168"/>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20" w:type="dxa"/>
            <w:vAlign w:val="bottom"/>
            <w:gridSpan w:val="4"/>
            <w:shd w:val="clear" w:color="auto" w:fill="D9D9D9"/>
          </w:tcPr>
          <w:p>
            <w:pPr>
              <w:ind w:left="220"/>
              <w:spacing w:after="0"/>
              <w:rPr>
                <w:sz w:val="20"/>
                <w:szCs w:val="20"/>
                <w:color w:val="auto"/>
              </w:rPr>
            </w:pPr>
            <w:r>
              <w:rPr>
                <w:rFonts w:ascii="Arial" w:cs="Arial" w:eastAsia="Arial" w:hAnsi="Arial"/>
                <w:sz w:val="15"/>
                <w:szCs w:val="15"/>
                <w:color w:val="auto"/>
              </w:rPr>
              <w:t>Executive Officer, Target Corporation</w:t>
            </w:r>
          </w:p>
        </w:tc>
        <w:tc>
          <w:tcPr>
            <w:tcW w:w="800" w:type="dxa"/>
            <w:vAlign w:val="bottom"/>
            <w:shd w:val="clear" w:color="auto" w:fill="D9D9D9"/>
          </w:tcPr>
          <w:p>
            <w:pPr>
              <w:spacing w:after="0"/>
              <w:rPr>
                <w:sz w:val="16"/>
                <w:szCs w:val="16"/>
                <w:color w:val="auto"/>
              </w:rPr>
            </w:pPr>
          </w:p>
        </w:tc>
        <w:tc>
          <w:tcPr>
            <w:tcW w:w="680" w:type="dxa"/>
            <w:vAlign w:val="bottom"/>
            <w:shd w:val="clear" w:color="auto" w:fill="D9D9D9"/>
          </w:tcPr>
          <w:p>
            <w:pPr>
              <w:spacing w:after="0"/>
              <w:rPr>
                <w:sz w:val="16"/>
                <w:szCs w:val="16"/>
                <w:color w:val="auto"/>
              </w:rPr>
            </w:pPr>
          </w:p>
        </w:tc>
        <w:tc>
          <w:tcPr>
            <w:tcW w:w="156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60" w:type="dxa"/>
            <w:vAlign w:val="bottom"/>
            <w:gridSpan w:val="3"/>
          </w:tcPr>
          <w:p>
            <w:pPr>
              <w:spacing w:after="0"/>
              <w:rPr>
                <w:sz w:val="20"/>
                <w:szCs w:val="20"/>
                <w:color w:val="auto"/>
              </w:rPr>
            </w:pPr>
            <w:r>
              <w:rPr>
                <w:rFonts w:ascii="Arial" w:cs="Arial" w:eastAsia="Arial" w:hAnsi="Arial"/>
                <w:sz w:val="15"/>
                <w:szCs w:val="15"/>
                <w:b w:val="1"/>
                <w:bCs w:val="1"/>
                <w:color w:val="C00000"/>
                <w:w w:val="98"/>
              </w:rPr>
              <w:t>Michael G. Vale, Ph.D.</w:t>
            </w: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0" w:type="dxa"/>
            <w:vAlign w:val="bottom"/>
            <w:vMerge w:val="restart"/>
          </w:tcPr>
          <w:p>
            <w:pPr>
              <w:jc w:val="center"/>
              <w:ind w:left="81"/>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00" w:type="dxa"/>
            <w:vAlign w:val="bottom"/>
            <w:vMerge w:val="restart"/>
          </w:tcPr>
          <w:p>
            <w:pPr>
              <w:jc w:val="center"/>
              <w:ind w:left="8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520" w:type="dxa"/>
            <w:vAlign w:val="bottom"/>
            <w:gridSpan w:val="4"/>
          </w:tcPr>
          <w:p>
            <w:pPr>
              <w:ind w:left="220"/>
              <w:spacing w:after="0"/>
              <w:rPr>
                <w:sz w:val="20"/>
                <w:szCs w:val="20"/>
                <w:color w:val="auto"/>
              </w:rPr>
            </w:pPr>
            <w:r>
              <w:rPr>
                <w:rFonts w:ascii="Arial" w:cs="Arial" w:eastAsia="Arial" w:hAnsi="Arial"/>
                <w:sz w:val="15"/>
                <w:szCs w:val="15"/>
                <w:color w:val="auto"/>
              </w:rPr>
              <w:t>Executive Vice President, Safety &amp; Industrial</w:t>
            </w:r>
          </w:p>
        </w:tc>
        <w:tc>
          <w:tcPr>
            <w:tcW w:w="800" w:type="dxa"/>
            <w:vAlign w:val="bottom"/>
          </w:tcPr>
          <w:p>
            <w:pPr>
              <w:jc w:val="right"/>
              <w:ind w:right="207"/>
              <w:spacing w:after="0"/>
              <w:rPr>
                <w:sz w:val="20"/>
                <w:szCs w:val="20"/>
                <w:color w:val="auto"/>
              </w:rPr>
            </w:pPr>
            <w:r>
              <w:rPr>
                <w:rFonts w:ascii="Arial" w:cs="Arial" w:eastAsia="Arial" w:hAnsi="Arial"/>
                <w:sz w:val="15"/>
                <w:szCs w:val="15"/>
                <w:color w:val="auto"/>
              </w:rPr>
              <w:t>53</w:t>
            </w:r>
          </w:p>
        </w:tc>
        <w:tc>
          <w:tcPr>
            <w:tcW w:w="680" w:type="dxa"/>
            <w:vAlign w:val="bottom"/>
          </w:tcPr>
          <w:p>
            <w:pPr>
              <w:jc w:val="center"/>
              <w:ind w:left="248"/>
              <w:spacing w:after="0"/>
              <w:rPr>
                <w:sz w:val="20"/>
                <w:szCs w:val="20"/>
                <w:color w:val="auto"/>
              </w:rPr>
            </w:pPr>
            <w:r>
              <w:rPr>
                <w:rFonts w:ascii="Arial" w:cs="Arial" w:eastAsia="Arial" w:hAnsi="Arial"/>
                <w:sz w:val="15"/>
                <w:szCs w:val="15"/>
                <w:color w:val="auto"/>
                <w:w w:val="95"/>
              </w:rPr>
              <w:t>2018</w:t>
            </w:r>
          </w:p>
        </w:tc>
        <w:tc>
          <w:tcPr>
            <w:tcW w:w="1560" w:type="dxa"/>
            <w:vAlign w:val="bottom"/>
          </w:tcPr>
          <w:p>
            <w:pPr>
              <w:jc w:val="center"/>
              <w:ind w:left="247"/>
              <w:spacing w:after="0"/>
              <w:rPr>
                <w:sz w:val="20"/>
                <w:szCs w:val="20"/>
                <w:color w:val="auto"/>
              </w:rPr>
            </w:pPr>
            <w:r>
              <w:rPr>
                <w:rFonts w:ascii="Arial" w:cs="Arial" w:eastAsia="Arial" w:hAnsi="Arial"/>
                <w:sz w:val="15"/>
                <w:szCs w:val="15"/>
                <w:color w:val="auto"/>
                <w:w w:val="92"/>
              </w:rPr>
              <w:t>Yes</w:t>
            </w:r>
          </w:p>
        </w:tc>
        <w:tc>
          <w:tcPr>
            <w:tcW w:w="6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5"/>
                <w:szCs w:val="15"/>
                <w:color w:val="auto"/>
              </w:rPr>
              <w:t>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20" w:type="dxa"/>
            <w:vAlign w:val="bottom"/>
            <w:gridSpan w:val="4"/>
          </w:tcPr>
          <w:p>
            <w:pPr>
              <w:ind w:left="220"/>
              <w:spacing w:after="0"/>
              <w:rPr>
                <w:sz w:val="20"/>
                <w:szCs w:val="20"/>
                <w:color w:val="auto"/>
              </w:rPr>
            </w:pPr>
            <w:r>
              <w:rPr>
                <w:rFonts w:ascii="Arial" w:cs="Arial" w:eastAsia="Arial" w:hAnsi="Arial"/>
                <w:sz w:val="15"/>
                <w:szCs w:val="15"/>
                <w:color w:val="auto"/>
              </w:rPr>
              <w:t>Business Group, 3M Company</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300" w:type="dxa"/>
            <w:vAlign w:val="bottom"/>
            <w:tcBorders>
              <w:bottom w:val="single" w:sz="8" w:color="C00000"/>
            </w:tcBorders>
          </w:tcPr>
          <w:p>
            <w:pPr>
              <w:spacing w:after="0"/>
              <w:rPr>
                <w:sz w:val="5"/>
                <w:szCs w:val="5"/>
                <w:color w:val="auto"/>
              </w:rPr>
            </w:pPr>
          </w:p>
        </w:tc>
        <w:tc>
          <w:tcPr>
            <w:tcW w:w="160" w:type="dxa"/>
            <w:vAlign w:val="bottom"/>
            <w:tcBorders>
              <w:bottom w:val="single" w:sz="8" w:color="C00000"/>
            </w:tcBorders>
          </w:tcPr>
          <w:p>
            <w:pPr>
              <w:spacing w:after="0"/>
              <w:rPr>
                <w:sz w:val="5"/>
                <w:szCs w:val="5"/>
                <w:color w:val="auto"/>
              </w:rPr>
            </w:pPr>
          </w:p>
        </w:tc>
        <w:tc>
          <w:tcPr>
            <w:tcW w:w="100" w:type="dxa"/>
            <w:vAlign w:val="bottom"/>
            <w:tcBorders>
              <w:bottom w:val="single" w:sz="8" w:color="C00000"/>
            </w:tcBorders>
          </w:tcPr>
          <w:p>
            <w:pPr>
              <w:spacing w:after="0"/>
              <w:rPr>
                <w:sz w:val="5"/>
                <w:szCs w:val="5"/>
                <w:color w:val="auto"/>
              </w:rPr>
            </w:pPr>
          </w:p>
        </w:tc>
        <w:tc>
          <w:tcPr>
            <w:tcW w:w="2960" w:type="dxa"/>
            <w:vAlign w:val="bottom"/>
            <w:tcBorders>
              <w:bottom w:val="single" w:sz="8" w:color="C00000"/>
            </w:tcBorders>
          </w:tcPr>
          <w:p>
            <w:pPr>
              <w:spacing w:after="0"/>
              <w:rPr>
                <w:sz w:val="5"/>
                <w:szCs w:val="5"/>
                <w:color w:val="auto"/>
              </w:rPr>
            </w:pPr>
          </w:p>
        </w:tc>
        <w:tc>
          <w:tcPr>
            <w:tcW w:w="800" w:type="dxa"/>
            <w:vAlign w:val="bottom"/>
            <w:tcBorders>
              <w:bottom w:val="single" w:sz="8" w:color="C00000"/>
            </w:tcBorders>
          </w:tcPr>
          <w:p>
            <w:pPr>
              <w:spacing w:after="0"/>
              <w:rPr>
                <w:sz w:val="5"/>
                <w:szCs w:val="5"/>
                <w:color w:val="auto"/>
              </w:rPr>
            </w:pPr>
          </w:p>
        </w:tc>
        <w:tc>
          <w:tcPr>
            <w:tcW w:w="680" w:type="dxa"/>
            <w:vAlign w:val="bottom"/>
            <w:tcBorders>
              <w:bottom w:val="single" w:sz="8" w:color="C00000"/>
            </w:tcBorders>
          </w:tcPr>
          <w:p>
            <w:pPr>
              <w:spacing w:after="0"/>
              <w:rPr>
                <w:sz w:val="5"/>
                <w:szCs w:val="5"/>
                <w:color w:val="auto"/>
              </w:rPr>
            </w:pPr>
          </w:p>
        </w:tc>
        <w:tc>
          <w:tcPr>
            <w:tcW w:w="1560" w:type="dxa"/>
            <w:vAlign w:val="bottom"/>
            <w:tcBorders>
              <w:bottom w:val="single" w:sz="8" w:color="C00000"/>
            </w:tcBorders>
          </w:tcPr>
          <w:p>
            <w:pPr>
              <w:spacing w:after="0"/>
              <w:rPr>
                <w:sz w:val="5"/>
                <w:szCs w:val="5"/>
                <w:color w:val="auto"/>
              </w:rPr>
            </w:pPr>
          </w:p>
        </w:tc>
        <w:tc>
          <w:tcPr>
            <w:tcW w:w="3060" w:type="dxa"/>
            <w:vAlign w:val="bottom"/>
            <w:tcBorders>
              <w:bottom w:val="single" w:sz="8" w:color="C00000"/>
            </w:tcBorders>
            <w:gridSpan w:val="4"/>
          </w:tcPr>
          <w:p>
            <w:pPr>
              <w:spacing w:after="0"/>
              <w:rPr>
                <w:sz w:val="5"/>
                <w:szCs w:val="5"/>
                <w:color w:val="auto"/>
              </w:rPr>
            </w:pPr>
          </w:p>
        </w:tc>
        <w:tc>
          <w:tcPr>
            <w:tcW w:w="740" w:type="dxa"/>
            <w:vAlign w:val="bottom"/>
            <w:tcBorders>
              <w:bottom w:val="single" w:sz="8" w:color="C00000"/>
            </w:tcBorders>
          </w:tcPr>
          <w:p>
            <w:pPr>
              <w:spacing w:after="0"/>
              <w:rPr>
                <w:sz w:val="5"/>
                <w:szCs w:val="5"/>
                <w:color w:val="auto"/>
              </w:rPr>
            </w:pPr>
          </w:p>
        </w:tc>
        <w:tc>
          <w:tcPr>
            <w:tcW w:w="60" w:type="dxa"/>
            <w:vAlign w:val="bottom"/>
            <w:tcBorders>
              <w:bottom w:val="single" w:sz="8" w:color="C00000"/>
            </w:tcBorders>
          </w:tcPr>
          <w:p>
            <w:pPr>
              <w:spacing w:after="0"/>
              <w:rPr>
                <w:sz w:val="5"/>
                <w:szCs w:val="5"/>
                <w:color w:val="auto"/>
              </w:rPr>
            </w:pPr>
          </w:p>
        </w:tc>
        <w:tc>
          <w:tcPr>
            <w:tcW w:w="0" w:type="dxa"/>
            <w:vAlign w:val="bottom"/>
          </w:tcPr>
          <w:p>
            <w:pPr>
              <w:spacing w:after="0"/>
              <w:rPr>
                <w:sz w:val="1"/>
                <w:szCs w:val="1"/>
                <w:color w:val="auto"/>
              </w:rPr>
            </w:pPr>
          </w:p>
        </w:tc>
      </w:tr>
      <w:tr>
        <w:trPr>
          <w:trHeight w:val="396"/>
        </w:trPr>
        <w:tc>
          <w:tcPr>
            <w:tcW w:w="1560" w:type="dxa"/>
            <w:vAlign w:val="bottom"/>
            <w:gridSpan w:val="3"/>
          </w:tcPr>
          <w:p>
            <w:pPr>
              <w:spacing w:after="0"/>
              <w:rPr>
                <w:sz w:val="20"/>
                <w:szCs w:val="20"/>
                <w:color w:val="auto"/>
              </w:rPr>
            </w:pPr>
            <w:r>
              <w:rPr>
                <w:rFonts w:ascii="Arial" w:cs="Arial" w:eastAsia="Arial" w:hAnsi="Arial"/>
                <w:sz w:val="15"/>
                <w:szCs w:val="15"/>
                <w:b w:val="1"/>
                <w:bCs w:val="1"/>
                <w:color w:val="C00000"/>
              </w:rPr>
              <w:t xml:space="preserve">A: </w:t>
            </w:r>
            <w:r>
              <w:rPr>
                <w:rFonts w:ascii="Arial" w:cs="Arial" w:eastAsia="Arial" w:hAnsi="Arial"/>
                <w:sz w:val="15"/>
                <w:szCs w:val="15"/>
                <w:color w:val="C00000"/>
              </w:rPr>
              <w:t>Audit</w:t>
            </w:r>
          </w:p>
        </w:tc>
        <w:tc>
          <w:tcPr>
            <w:tcW w:w="2960" w:type="dxa"/>
            <w:vAlign w:val="bottom"/>
          </w:tcPr>
          <w:p>
            <w:pPr>
              <w:ind w:left="120"/>
              <w:spacing w:after="0"/>
              <w:rPr>
                <w:sz w:val="20"/>
                <w:szCs w:val="20"/>
                <w:color w:val="auto"/>
              </w:rPr>
            </w:pPr>
            <w:r>
              <w:rPr>
                <w:rFonts w:ascii="Arial" w:cs="Arial" w:eastAsia="Arial" w:hAnsi="Arial"/>
                <w:sz w:val="15"/>
                <w:szCs w:val="15"/>
                <w:b w:val="1"/>
                <w:bCs w:val="1"/>
                <w:color w:val="C00000"/>
              </w:rPr>
              <w:t xml:space="preserve">N&amp;G: </w:t>
            </w:r>
            <w:r>
              <w:rPr>
                <w:rFonts w:ascii="Arial" w:cs="Arial" w:eastAsia="Arial" w:hAnsi="Arial"/>
                <w:sz w:val="15"/>
                <w:szCs w:val="15"/>
                <w:color w:val="000000"/>
              </w:rPr>
              <w:t>Nominating &amp; Governance</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line="173" w:lineRule="exact"/>
              <w:rPr>
                <w:sz w:val="20"/>
                <w:szCs w:val="20"/>
                <w:color w:val="auto"/>
              </w:rPr>
            </w:pPr>
            <w:r>
              <w:rPr>
                <w:rFonts w:ascii="MS PGothic" w:cs="MS PGothic" w:eastAsia="MS PGothic" w:hAnsi="MS PGothic"/>
                <w:sz w:val="15"/>
                <w:szCs w:val="15"/>
                <w:color w:val="000000"/>
                <w:shd w:val="clear" w:color="auto" w:fill="C00000"/>
              </w:rPr>
              <w:t>✓</w:t>
            </w:r>
            <w:r>
              <w:rPr>
                <w:rFonts w:ascii="Arial" w:cs="Arial" w:eastAsia="Arial" w:hAnsi="Arial"/>
                <w:sz w:val="15"/>
                <w:szCs w:val="15"/>
                <w:b w:val="1"/>
                <w:bCs w:val="1"/>
                <w:color w:val="C00000"/>
              </w:rPr>
              <w:t xml:space="preserve">: </w:t>
            </w:r>
            <w:r>
              <w:rPr>
                <w:rFonts w:ascii="Arial" w:cs="Arial" w:eastAsia="Arial" w:hAnsi="Arial"/>
                <w:sz w:val="15"/>
                <w:szCs w:val="15"/>
                <w:color w:val="C00000"/>
              </w:rPr>
              <w:t>Member</w:t>
            </w:r>
          </w:p>
        </w:tc>
        <w:tc>
          <w:tcPr>
            <w:tcW w:w="3060" w:type="dxa"/>
            <w:vAlign w:val="bottom"/>
            <w:gridSpan w:val="4"/>
          </w:tcPr>
          <w:p>
            <w:pPr>
              <w:ind w:left="220"/>
              <w:spacing w:after="0"/>
              <w:rPr>
                <w:sz w:val="20"/>
                <w:szCs w:val="20"/>
                <w:color w:val="auto"/>
              </w:rPr>
            </w:pPr>
            <w:r>
              <w:rPr>
                <w:rFonts w:ascii="Arial" w:cs="Arial" w:eastAsia="Arial" w:hAnsi="Arial"/>
                <w:sz w:val="16"/>
                <w:szCs w:val="16"/>
                <w:b w:val="1"/>
                <w:bCs w:val="1"/>
                <w:color w:val="C00000"/>
              </w:rPr>
              <w:t>à</w:t>
            </w:r>
            <w:r>
              <w:rPr>
                <w:rFonts w:ascii="Arial" w:cs="Arial" w:eastAsia="Arial" w:hAnsi="Arial"/>
                <w:sz w:val="14"/>
                <w:szCs w:val="14"/>
                <w:b w:val="1"/>
                <w:bCs w:val="1"/>
                <w:color w:val="000000"/>
              </w:rPr>
              <w:t>:</w:t>
            </w:r>
            <w:r>
              <w:rPr>
                <w:rFonts w:ascii="Arial" w:cs="Arial" w:eastAsia="Arial" w:hAnsi="Arial"/>
                <w:sz w:val="16"/>
                <w:szCs w:val="16"/>
                <w:b w:val="1"/>
                <w:bCs w:val="1"/>
                <w:color w:val="C00000"/>
              </w:rPr>
              <w:t xml:space="preserve"> </w:t>
            </w:r>
            <w:r>
              <w:rPr>
                <w:rFonts w:ascii="Arial" w:cs="Arial" w:eastAsia="Arial" w:hAnsi="Arial"/>
                <w:sz w:val="14"/>
                <w:szCs w:val="14"/>
                <w:color w:val="000000"/>
              </w:rPr>
              <w:t>Audit Committee Financial Expert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60" w:type="dxa"/>
            <w:vAlign w:val="bottom"/>
            <w:gridSpan w:val="3"/>
          </w:tcPr>
          <w:p>
            <w:pPr>
              <w:spacing w:after="0"/>
              <w:rPr>
                <w:sz w:val="20"/>
                <w:szCs w:val="20"/>
                <w:color w:val="auto"/>
              </w:rPr>
            </w:pPr>
            <w:r>
              <w:rPr>
                <w:rFonts w:ascii="Arial" w:cs="Arial" w:eastAsia="Arial" w:hAnsi="Arial"/>
                <w:sz w:val="15"/>
                <w:szCs w:val="15"/>
                <w:b w:val="1"/>
                <w:bCs w:val="1"/>
                <w:color w:val="C00000"/>
              </w:rPr>
              <w:t xml:space="preserve">F: </w:t>
            </w:r>
            <w:r>
              <w:rPr>
                <w:rFonts w:ascii="Arial" w:cs="Arial" w:eastAsia="Arial" w:hAnsi="Arial"/>
                <w:sz w:val="15"/>
                <w:szCs w:val="15"/>
                <w:color w:val="C00000"/>
              </w:rPr>
              <w:t>Finance</w:t>
            </w:r>
          </w:p>
        </w:tc>
        <w:tc>
          <w:tcPr>
            <w:tcW w:w="2960" w:type="dxa"/>
            <w:vAlign w:val="bottom"/>
          </w:tcPr>
          <w:p>
            <w:pPr>
              <w:ind w:left="20"/>
              <w:spacing w:after="0"/>
              <w:rPr>
                <w:sz w:val="20"/>
                <w:szCs w:val="20"/>
                <w:color w:val="auto"/>
              </w:rPr>
            </w:pPr>
            <w:r>
              <w:rPr>
                <w:rFonts w:ascii="Arial" w:cs="Arial" w:eastAsia="Arial" w:hAnsi="Arial"/>
                <w:sz w:val="15"/>
                <w:szCs w:val="15"/>
                <w:b w:val="1"/>
                <w:bCs w:val="1"/>
                <w:color w:val="C00000"/>
              </w:rPr>
              <w:t xml:space="preserve">C&amp;HR: </w:t>
            </w:r>
            <w:r>
              <w:rPr>
                <w:rFonts w:ascii="Arial" w:cs="Arial" w:eastAsia="Arial" w:hAnsi="Arial"/>
                <w:sz w:val="15"/>
                <w:szCs w:val="15"/>
                <w:color w:val="000000"/>
              </w:rPr>
              <w:t>Compensation &amp; Human Resources</w:t>
            </w: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5"/>
                <w:szCs w:val="15"/>
                <w:b w:val="1"/>
                <w:bCs w:val="1"/>
                <w:color w:val="C00000"/>
              </w:rPr>
              <w:t xml:space="preserve">●: </w:t>
            </w:r>
            <w:r>
              <w:rPr>
                <w:rFonts w:ascii="Arial" w:cs="Arial" w:eastAsia="Arial" w:hAnsi="Arial"/>
                <w:sz w:val="15"/>
                <w:szCs w:val="15"/>
                <w:color w:val="C00000"/>
              </w:rPr>
              <w:t>Chair</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-2781935</wp:posOffset>
            </wp:positionV>
            <wp:extent cx="43884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8848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-3583305</wp:posOffset>
            </wp:positionV>
            <wp:extent cx="72593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-5325745</wp:posOffset>
            </wp:positionV>
            <wp:extent cx="18751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751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79375</wp:posOffset>
            </wp:positionV>
            <wp:extent cx="6170295" cy="4591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0295" cy="459105"/>
                    </a:xfrm>
                    <a:prstGeom prst="rect">
                      <a:avLst/>
                    </a:prstGeom>
                    <a:noFill/>
                  </pic:spPr>
                </pic:pic>
              </a:graphicData>
            </a:graphic>
          </wp:anchor>
        </w:drawing>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C00000"/>
        </w:rPr>
        <w:t>Executive Compensation Program Objectives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Our executive compensation philosophy is to maintain a program that allows us to attract,</w:t>
      </w:r>
    </w:p>
    <w:p>
      <w:pPr>
        <w:jc w:val="center"/>
        <w:ind w:right="40"/>
        <w:spacing w:after="0"/>
        <w:rPr>
          <w:sz w:val="20"/>
          <w:szCs w:val="20"/>
          <w:color w:val="auto"/>
        </w:rPr>
      </w:pPr>
      <w:r>
        <w:rPr>
          <w:rFonts w:ascii="Arial" w:cs="Arial" w:eastAsia="Arial" w:hAnsi="Arial"/>
          <w:sz w:val="16"/>
          <w:szCs w:val="16"/>
          <w:color w:val="auto"/>
        </w:rPr>
        <w:t>retain, motivate and reward highly qualified and talented executive officers.</w:t>
      </w:r>
    </w:p>
    <w:p>
      <w:pPr>
        <w:spacing w:after="0" w:line="115" w:lineRule="exact"/>
        <w:rPr>
          <w:sz w:val="20"/>
          <w:szCs w:val="20"/>
          <w:color w:val="auto"/>
        </w:rPr>
      </w:pPr>
    </w:p>
    <w:tbl>
      <w:tblPr>
        <w:tblLayout w:type="fixed"/>
        <w:tblInd w:w="870" w:type="dxa"/>
        <w:tblCellMar>
          <w:top w:w="0" w:type="dxa"/>
          <w:left w:w="0" w:type="dxa"/>
          <w:bottom w:w="0" w:type="dxa"/>
          <w:right w:w="0" w:type="dxa"/>
        </w:tblCellMar>
      </w:tblPr>
      <w:tr>
        <w:trPr>
          <w:trHeight w:val="224"/>
        </w:trPr>
        <w:tc>
          <w:tcPr>
            <w:tcW w:w="37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Align interests of executive</w:t>
            </w:r>
          </w:p>
        </w:tc>
        <w:tc>
          <w:tcPr>
            <w:tcW w:w="140" w:type="dxa"/>
            <w:vAlign w:val="bottom"/>
            <w:tcBorders>
              <w:right w:val="single" w:sz="8" w:color="auto"/>
            </w:tcBorders>
          </w:tcPr>
          <w:p>
            <w:pPr>
              <w:spacing w:after="0"/>
              <w:rPr>
                <w:sz w:val="19"/>
                <w:szCs w:val="19"/>
                <w:color w:val="auto"/>
              </w:rPr>
            </w:pPr>
          </w:p>
        </w:tc>
        <w:tc>
          <w:tcPr>
            <w:tcW w:w="19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Link pay to</w:t>
            </w:r>
          </w:p>
        </w:tc>
        <w:tc>
          <w:tcPr>
            <w:tcW w:w="120" w:type="dxa"/>
            <w:vAlign w:val="bottom"/>
            <w:tcBorders>
              <w:right w:val="single" w:sz="8" w:color="auto"/>
            </w:tcBorders>
          </w:tcPr>
          <w:p>
            <w:pPr>
              <w:spacing w:after="0"/>
              <w:rPr>
                <w:sz w:val="19"/>
                <w:szCs w:val="19"/>
                <w:color w:val="auto"/>
              </w:rPr>
            </w:pPr>
          </w:p>
        </w:tc>
        <w:tc>
          <w:tcPr>
            <w:tcW w:w="37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Provide competitive target</w:t>
            </w:r>
          </w:p>
        </w:tc>
      </w:tr>
      <w:tr>
        <w:trPr>
          <w:trHeight w:val="184"/>
        </w:trPr>
        <w:tc>
          <w:tcPr>
            <w:tcW w:w="37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officers with shareholder</w:t>
            </w:r>
          </w:p>
        </w:tc>
        <w:tc>
          <w:tcPr>
            <w:tcW w:w="1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performance</w:t>
            </w:r>
          </w:p>
        </w:tc>
        <w:tc>
          <w:tcPr>
            <w:tcW w:w="12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total direct compensation</w:t>
            </w:r>
          </w:p>
        </w:tc>
      </w:tr>
      <w:tr>
        <w:trPr>
          <w:trHeight w:val="234"/>
        </w:trPr>
        <w:tc>
          <w:tcPr>
            <w:tcW w:w="378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interests</w:t>
            </w:r>
          </w:p>
        </w:tc>
        <w:tc>
          <w:tcPr>
            <w:tcW w:w="140" w:type="dxa"/>
            <w:vAlign w:val="bottom"/>
            <w:tcBorders>
              <w:right w:val="single" w:sz="8" w:color="auto"/>
            </w:tcBorders>
          </w:tcPr>
          <w:p>
            <w:pPr>
              <w:spacing w:after="0"/>
              <w:rPr>
                <w:sz w:val="20"/>
                <w:szCs w:val="20"/>
                <w:color w:val="auto"/>
              </w:rPr>
            </w:pPr>
          </w:p>
        </w:tc>
        <w:tc>
          <w:tcPr>
            <w:tcW w:w="1940" w:type="dxa"/>
            <w:vAlign w:val="bottom"/>
            <w:tcBorders>
              <w:bottom w:val="single" w:sz="8" w:color="D9D9D9"/>
              <w:right w:val="single" w:sz="8" w:color="auto"/>
            </w:tcBorders>
            <w:shd w:val="clear" w:color="auto" w:fill="D9D9D9"/>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7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C00000"/>
              </w:rPr>
              <w:t>opportunities</w:t>
            </w:r>
          </w:p>
        </w:tc>
      </w:tr>
      <w:tr>
        <w:trPr>
          <w:trHeight w:val="20"/>
        </w:trPr>
        <w:tc>
          <w:tcPr>
            <w:tcW w:w="3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2019 Executive Compensation Summary</w:t>
      </w:r>
    </w:p>
    <w:p>
      <w:pPr>
        <w:spacing w:after="0" w:line="112" w:lineRule="exact"/>
        <w:rPr>
          <w:sz w:val="20"/>
          <w:szCs w:val="20"/>
          <w:color w:val="auto"/>
        </w:rPr>
      </w:pPr>
    </w:p>
    <w:p>
      <w:pPr>
        <w:ind w:right="340" w:firstLine="408"/>
        <w:spacing w:after="0" w:line="247" w:lineRule="auto"/>
        <w:rPr>
          <w:sz w:val="20"/>
          <w:szCs w:val="20"/>
          <w:color w:val="auto"/>
        </w:rPr>
      </w:pPr>
      <w:r>
        <w:rPr>
          <w:rFonts w:ascii="Arial" w:cs="Arial" w:eastAsia="Arial" w:hAnsi="Arial"/>
          <w:sz w:val="16"/>
          <w:szCs w:val="16"/>
          <w:color w:val="auto"/>
        </w:rPr>
        <w:t>A significant portion of our executive officers’ target total direct compensation is comprised of short- and long-term variable performance-based, or at risk, compensation to directly link their pay to performance. Short-term variable compensation is in the form of annual cash incentive awards. Long-term variable compensation is in the form of stock options that vest over three years and three-year performance share awards. For fiscal 2019:</w:t>
      </w:r>
    </w:p>
    <w:p>
      <w:pPr>
        <w:spacing w:after="0" w:line="115" w:lineRule="exact"/>
        <w:rPr>
          <w:sz w:val="20"/>
          <w:szCs w:val="20"/>
          <w:color w:val="auto"/>
        </w:rPr>
      </w:pPr>
    </w:p>
    <w:p>
      <w:pPr>
        <w:ind w:left="2420"/>
        <w:spacing w:after="0"/>
        <w:tabs>
          <w:tab w:leader="none" w:pos="7200" w:val="left"/>
        </w:tabs>
        <w:rPr>
          <w:sz w:val="20"/>
          <w:szCs w:val="20"/>
          <w:color w:val="auto"/>
        </w:rPr>
      </w:pPr>
      <w:r>
        <w:rPr>
          <w:rFonts w:ascii="Arial" w:cs="Arial" w:eastAsia="Arial" w:hAnsi="Arial"/>
          <w:sz w:val="15"/>
          <w:szCs w:val="15"/>
          <w:b w:val="1"/>
          <w:bCs w:val="1"/>
          <w:color w:val="C00000"/>
        </w:rPr>
        <w:t>Chairman and CEO</w:t>
      </w:r>
      <w:r>
        <w:rPr>
          <w:sz w:val="20"/>
          <w:szCs w:val="20"/>
          <w:color w:val="auto"/>
        </w:rPr>
        <w:tab/>
      </w:r>
      <w:r>
        <w:rPr>
          <w:rFonts w:ascii="Arial" w:cs="Arial" w:eastAsia="Arial" w:hAnsi="Arial"/>
          <w:sz w:val="14"/>
          <w:szCs w:val="14"/>
          <w:b w:val="1"/>
          <w:bCs w:val="1"/>
          <w:color w:val="C00000"/>
        </w:rPr>
        <w:t>Other Named Executive Officers</w:t>
      </w:r>
    </w:p>
    <w:p>
      <w:pPr>
        <w:spacing w:after="0" w:line="17" w:lineRule="exact"/>
        <w:rPr>
          <w:sz w:val="20"/>
          <w:szCs w:val="20"/>
          <w:color w:val="auto"/>
        </w:rPr>
      </w:pPr>
    </w:p>
    <w:p>
      <w:pPr>
        <w:ind w:left="1780"/>
        <w:spacing w:after="0"/>
        <w:tabs>
          <w:tab w:leader="none" w:pos="7000" w:val="left"/>
        </w:tabs>
        <w:rPr>
          <w:sz w:val="20"/>
          <w:szCs w:val="20"/>
          <w:color w:val="auto"/>
        </w:rPr>
      </w:pPr>
      <w:r>
        <w:rPr>
          <w:rFonts w:ascii="Arial" w:cs="Arial" w:eastAsia="Arial" w:hAnsi="Arial"/>
          <w:sz w:val="15"/>
          <w:szCs w:val="15"/>
          <w:b w:val="1"/>
          <w:bCs w:val="1"/>
          <w:color w:val="C00000"/>
        </w:rPr>
        <w:t>Target Total Direct Compensation Mix</w:t>
      </w:r>
      <w:r>
        <w:rPr>
          <w:sz w:val="20"/>
          <w:szCs w:val="20"/>
          <w:color w:val="auto"/>
        </w:rPr>
        <w:tab/>
      </w:r>
      <w:r>
        <w:rPr>
          <w:rFonts w:ascii="Arial" w:cs="Arial" w:eastAsia="Arial" w:hAnsi="Arial"/>
          <w:sz w:val="14"/>
          <w:szCs w:val="14"/>
          <w:b w:val="1"/>
          <w:bCs w:val="1"/>
          <w:color w:val="C0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37465</wp:posOffset>
            </wp:positionV>
            <wp:extent cx="5493385" cy="1633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93385" cy="163385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-640080</wp:posOffset>
            </wp:positionV>
            <wp:extent cx="1057910" cy="1626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57910" cy="162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FFFFF"/>
        </w:rPr>
        <w:t>What we</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FFFFFF"/>
        </w:rPr>
        <w:t>don’t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right="80" w:hanging="238"/>
        <w:spacing w:after="0" w:line="255" w:lineRule="auto"/>
        <w:tabs>
          <w:tab w:leader="none" w:pos="240" w:val="left"/>
        </w:tabs>
        <w:numPr>
          <w:ilvl w:val="0"/>
          <w:numId w:val="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Link a substantial portion of total executive compensation directly to performance and require that minimum, or threshold, levels of performance be met in order for there to be any payout</w:t>
      </w:r>
    </w:p>
    <w:p>
      <w:pPr>
        <w:spacing w:after="0" w:line="50" w:lineRule="exact"/>
        <w:rPr>
          <w:rFonts w:ascii="MS PGothic" w:cs="MS PGothic" w:eastAsia="MS PGothic" w:hAnsi="MS PGothic"/>
          <w:sz w:val="16"/>
          <w:szCs w:val="16"/>
          <w:color w:val="auto"/>
          <w:shd w:val="clear" w:color="auto" w:fill="C00000"/>
        </w:rPr>
      </w:pPr>
    </w:p>
    <w:p>
      <w:pPr>
        <w:ind w:left="240" w:right="320" w:hanging="238"/>
        <w:spacing w:after="0" w:line="255" w:lineRule="auto"/>
        <w:tabs>
          <w:tab w:leader="none" w:pos="240" w:val="left"/>
        </w:tabs>
        <w:numPr>
          <w:ilvl w:val="0"/>
          <w:numId w:val="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Utilize a mix of earnings, revenue and asset-based performance measures for our annual cash incentive awards and long-term performance share awards</w:t>
      </w:r>
    </w:p>
    <w:p>
      <w:pPr>
        <w:spacing w:after="0" w:line="50" w:lineRule="exact"/>
        <w:rPr>
          <w:rFonts w:ascii="MS PGothic" w:cs="MS PGothic" w:eastAsia="MS PGothic" w:hAnsi="MS PGothic"/>
          <w:sz w:val="16"/>
          <w:szCs w:val="16"/>
          <w:color w:val="auto"/>
          <w:shd w:val="clear" w:color="auto" w:fill="C00000"/>
        </w:rPr>
      </w:pPr>
    </w:p>
    <w:p>
      <w:pPr>
        <w:ind w:left="240" w:right="560" w:hanging="238"/>
        <w:spacing w:after="0" w:line="255" w:lineRule="auto"/>
        <w:tabs>
          <w:tab w:leader="none" w:pos="240" w:val="left"/>
        </w:tabs>
        <w:numPr>
          <w:ilvl w:val="0"/>
          <w:numId w:val="8"/>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Utilize three-year performance share awards, the payouts of which vary based on performance and are contingent upon the achievement of three-year performance goals</w:t>
      </w:r>
    </w:p>
    <w:p>
      <w:pPr>
        <w:ind w:left="240" w:hanging="238"/>
        <w:spacing w:after="0" w:line="213" w:lineRule="auto"/>
        <w:tabs>
          <w:tab w:leader="none" w:pos="240" w:val="left"/>
        </w:tabs>
        <w:numPr>
          <w:ilvl w:val="0"/>
          <w:numId w:val="8"/>
        </w:numPr>
        <w:rPr>
          <w:rFonts w:ascii="MS PGothic" w:cs="MS PGothic" w:eastAsia="MS PGothic" w:hAnsi="MS PGothic"/>
          <w:sz w:val="33"/>
          <w:szCs w:val="33"/>
          <w:color w:val="auto"/>
          <w:vertAlign w:val="superscript"/>
          <w:shd w:val="clear" w:color="auto" w:fill="C00000"/>
        </w:rPr>
      </w:pPr>
      <w:r>
        <w:rPr>
          <w:rFonts w:ascii="Arial" w:cs="Arial" w:eastAsia="Arial" w:hAnsi="Arial"/>
          <w:sz w:val="16"/>
          <w:szCs w:val="16"/>
          <w:color w:val="auto"/>
        </w:rPr>
        <w:t>Utilize stock options, the value of which is contingent upon long-term stock price performance</w:t>
      </w:r>
    </w:p>
    <w:p>
      <w:pPr>
        <w:spacing w:after="0" w:line="99" w:lineRule="exact"/>
        <w:rPr>
          <w:rFonts w:ascii="MS PGothic" w:cs="MS PGothic" w:eastAsia="MS PGothic" w:hAnsi="MS PGothic"/>
          <w:sz w:val="33"/>
          <w:szCs w:val="33"/>
          <w:color w:val="auto"/>
          <w:vertAlign w:val="superscript"/>
          <w:shd w:val="clear" w:color="auto" w:fill="C00000"/>
        </w:rPr>
      </w:pPr>
    </w:p>
    <w:p>
      <w:pPr>
        <w:ind w:left="240" w:hanging="238"/>
        <w:spacing w:after="0" w:line="180" w:lineRule="auto"/>
        <w:tabs>
          <w:tab w:leader="none" w:pos="240" w:val="left"/>
        </w:tabs>
        <w:numPr>
          <w:ilvl w:val="0"/>
          <w:numId w:val="8"/>
        </w:numPr>
        <w:rPr>
          <w:rFonts w:ascii="MS PGothic" w:cs="MS PGothic" w:eastAsia="MS PGothic" w:hAnsi="MS PGothic"/>
          <w:sz w:val="26"/>
          <w:szCs w:val="26"/>
          <w:color w:val="auto"/>
          <w:vertAlign w:val="superscript"/>
          <w:shd w:val="clear" w:color="auto" w:fill="C00000"/>
        </w:rPr>
      </w:pPr>
      <w:r>
        <w:rPr>
          <w:rFonts w:ascii="Arial" w:cs="Arial" w:eastAsia="Arial" w:hAnsi="Arial"/>
          <w:sz w:val="14"/>
          <w:szCs w:val="14"/>
          <w:color w:val="auto"/>
        </w:rPr>
        <w:t>Include clawback provisions within our annual cash incentive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-5715</wp:posOffset>
            </wp:positionV>
            <wp:extent cx="620141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01410" cy="1587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sz w:val="1"/>
          <w:szCs w:val="1"/>
          <w:color w:val="auto"/>
        </w:rPr>
        <w:drawing>
          <wp:inline distT="0" distB="0" distL="0" distR="0">
            <wp:extent cx="100965" cy="9334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965" cy="93345"/>
                    </a:xfrm>
                    <a:prstGeom prst="rect">
                      <a:avLst/>
                    </a:prstGeom>
                    <a:noFill/>
                    <a:ln>
                      <a:noFill/>
                    </a:ln>
                  </pic:spPr>
                </pic:pic>
              </a:graphicData>
            </a:graphic>
          </wp:inline>
        </w:drawing>
      </w:r>
      <w:r>
        <w:rPr>
          <w:rFonts w:ascii="Arial" w:cs="Arial" w:eastAsia="Arial" w:hAnsi="Arial"/>
          <w:sz w:val="16"/>
          <w:szCs w:val="16"/>
          <w:color w:val="auto"/>
        </w:rPr>
        <w:t xml:space="preserve"> Have individual employment agreements with our CEO or any other executive officer</w:t>
      </w:r>
    </w:p>
    <w:p>
      <w:pPr>
        <w:spacing w:after="0" w:line="37" w:lineRule="exact"/>
        <w:rPr>
          <w:sz w:val="20"/>
          <w:szCs w:val="20"/>
          <w:color w:val="auto"/>
        </w:rPr>
      </w:pPr>
    </w:p>
    <w:p>
      <w:pPr>
        <w:spacing w:after="0"/>
        <w:rPr>
          <w:sz w:val="20"/>
          <w:szCs w:val="20"/>
          <w:color w:val="auto"/>
        </w:rPr>
      </w:pPr>
      <w:r>
        <w:rPr>
          <w:sz w:val="1"/>
          <w:szCs w:val="1"/>
          <w:color w:val="auto"/>
        </w:rPr>
        <w:drawing>
          <wp:inline distT="0" distB="0" distL="0" distR="0">
            <wp:extent cx="100965" cy="9334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0965" cy="93345"/>
                    </a:xfrm>
                    <a:prstGeom prst="rect">
                      <a:avLst/>
                    </a:prstGeom>
                    <a:noFill/>
                    <a:ln>
                      <a:noFill/>
                    </a:ln>
                  </pic:spPr>
                </pic:pic>
              </a:graphicData>
            </a:graphic>
          </wp:inline>
        </w:drawing>
      </w:r>
      <w:r>
        <w:rPr>
          <w:rFonts w:ascii="Arial" w:cs="Arial" w:eastAsia="Arial" w:hAnsi="Arial"/>
          <w:sz w:val="16"/>
          <w:szCs w:val="16"/>
          <w:color w:val="auto"/>
        </w:rPr>
        <w:t xml:space="preserve"> Provide excessive perquisites</w:t>
      </w:r>
    </w:p>
    <w:p>
      <w:pPr>
        <w:spacing w:after="0" w:line="37" w:lineRule="exact"/>
        <w:rPr>
          <w:sz w:val="20"/>
          <w:szCs w:val="20"/>
          <w:color w:val="auto"/>
        </w:rPr>
      </w:pPr>
    </w:p>
    <w:p>
      <w:pPr>
        <w:spacing w:after="0"/>
        <w:rPr>
          <w:sz w:val="20"/>
          <w:szCs w:val="20"/>
          <w:color w:val="auto"/>
        </w:rPr>
      </w:pPr>
      <w:r>
        <w:rPr>
          <w:sz w:val="1"/>
          <w:szCs w:val="1"/>
          <w:color w:val="auto"/>
        </w:rPr>
        <w:drawing>
          <wp:inline distT="0" distB="0" distL="0" distR="0">
            <wp:extent cx="100965" cy="9334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0965" cy="93345"/>
                    </a:xfrm>
                    <a:prstGeom prst="rect">
                      <a:avLst/>
                    </a:prstGeom>
                    <a:noFill/>
                    <a:ln>
                      <a:noFill/>
                    </a:ln>
                  </pic:spPr>
                </pic:pic>
              </a:graphicData>
            </a:graphic>
          </wp:inline>
        </w:drawing>
      </w:r>
      <w:r>
        <w:rPr>
          <w:rFonts w:ascii="Arial" w:cs="Arial" w:eastAsia="Arial" w:hAnsi="Arial"/>
          <w:sz w:val="16"/>
          <w:szCs w:val="16"/>
          <w:color w:val="auto"/>
        </w:rPr>
        <w:t xml:space="preserve"> Provide gross-up payments to cover personal income taxes or excise taxes that pertain to executive or severance benefits</w:t>
      </w:r>
    </w:p>
    <w:p>
      <w:pPr>
        <w:spacing w:after="0" w:line="151" w:lineRule="exact"/>
        <w:rPr>
          <w:sz w:val="20"/>
          <w:szCs w:val="20"/>
          <w:color w:val="auto"/>
        </w:rPr>
      </w:pPr>
    </w:p>
    <w:p>
      <w:pPr>
        <w:sectPr>
          <w:pgSz w:w="11900" w:h="16838" w:orient="portrait"/>
          <w:cols w:equalWidth="0" w:num="2">
            <w:col w:w="1280" w:space="480"/>
            <w:col w:w="9700"/>
          </w:cols>
          <w:pgMar w:left="240" w:top="140" w:right="19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Our fiscal 2019 financial performance resulted in the following:</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9620" w:type="dxa"/>
            <w:vAlign w:val="bottom"/>
            <w:tcBorders>
              <w:top w:val="single" w:sz="8" w:color="auto"/>
              <w:left w:val="single" w:sz="8" w:color="auto"/>
              <w:bottom w:val="single" w:sz="8" w:color="auto"/>
            </w:tcBorders>
            <w:shd w:val="clear" w:color="auto" w:fill="D9D9D9"/>
          </w:tcPr>
          <w:p>
            <w:pPr>
              <w:ind w:left="40"/>
              <w:spacing w:after="0"/>
              <w:rPr>
                <w:sz w:val="20"/>
                <w:szCs w:val="20"/>
                <w:color w:val="auto"/>
              </w:rPr>
            </w:pPr>
            <w:r>
              <w:rPr>
                <w:rFonts w:ascii="Arial" w:cs="Arial" w:eastAsia="Arial" w:hAnsi="Arial"/>
                <w:sz w:val="16"/>
                <w:szCs w:val="16"/>
                <w:color w:val="auto"/>
              </w:rPr>
              <w:t>Annual cash incentives were paid at 59.65% of target.</w:t>
            </w:r>
          </w:p>
        </w:tc>
        <w:tc>
          <w:tcPr>
            <w:tcW w:w="1820" w:type="dxa"/>
            <w:vAlign w:val="bottom"/>
            <w:tcBorders>
              <w:top w:val="single" w:sz="8" w:color="auto"/>
              <w:bottom w:val="single" w:sz="8" w:color="auto"/>
              <w:right w:val="single" w:sz="8" w:color="auto"/>
            </w:tcBorders>
            <w:shd w:val="clear" w:color="auto" w:fill="D9D9D9"/>
          </w:tcPr>
          <w:p>
            <w:pPr>
              <w:ind w:left="1180"/>
              <w:spacing w:after="0"/>
              <w:rPr>
                <w:sz w:val="20"/>
                <w:szCs w:val="20"/>
                <w:color w:val="auto"/>
              </w:rPr>
            </w:pPr>
            <w:r>
              <w:rPr>
                <w:rFonts w:ascii="Arial" w:cs="Arial" w:eastAsia="Arial" w:hAnsi="Arial"/>
                <w:sz w:val="16"/>
                <w:szCs w:val="16"/>
                <w:color w:val="auto"/>
              </w:rPr>
              <w:t>Page 30</w:t>
            </w:r>
          </w:p>
        </w:tc>
        <w:tc>
          <w:tcPr>
            <w:tcW w:w="20" w:type="dxa"/>
            <w:vAlign w:val="bottom"/>
          </w:tcPr>
          <w:p>
            <w:pPr>
              <w:spacing w:after="0"/>
              <w:rPr>
                <w:sz w:val="23"/>
                <w:szCs w:val="23"/>
                <w:color w:val="auto"/>
              </w:rPr>
            </w:pPr>
          </w:p>
        </w:tc>
      </w:tr>
      <w:tr>
        <w:trPr>
          <w:trHeight w:val="72"/>
        </w:trPr>
        <w:tc>
          <w:tcPr>
            <w:tcW w:w="96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37"/>
        </w:trPr>
        <w:tc>
          <w:tcPr>
            <w:tcW w:w="9620" w:type="dxa"/>
            <w:vAlign w:val="bottom"/>
            <w:tcBorders>
              <w:left w:val="single" w:sz="8" w:color="auto"/>
              <w:bottom w:val="single" w:sz="8" w:color="auto"/>
            </w:tcBorders>
            <w:shd w:val="clear" w:color="auto" w:fill="D9D9D9"/>
          </w:tcPr>
          <w:p>
            <w:pPr>
              <w:ind w:left="20"/>
              <w:spacing w:after="0"/>
              <w:rPr>
                <w:sz w:val="20"/>
                <w:szCs w:val="20"/>
                <w:color w:val="auto"/>
              </w:rPr>
            </w:pPr>
            <w:r>
              <w:rPr>
                <w:rFonts w:ascii="Arial" w:cs="Arial" w:eastAsia="Arial" w:hAnsi="Arial"/>
                <w:sz w:val="16"/>
                <w:szCs w:val="16"/>
                <w:color w:val="auto"/>
              </w:rPr>
              <w:t>Three-year performance awards for the fiscal 2017 to fiscal 2019 performance period were paid at 122.06% of target.</w:t>
            </w:r>
          </w:p>
        </w:tc>
        <w:tc>
          <w:tcPr>
            <w:tcW w:w="1820" w:type="dxa"/>
            <w:vAlign w:val="bottom"/>
            <w:tcBorders>
              <w:bottom w:val="single" w:sz="8" w:color="auto"/>
              <w:right w:val="single" w:sz="8" w:color="auto"/>
            </w:tcBorders>
            <w:shd w:val="clear" w:color="auto" w:fill="D9D9D9"/>
          </w:tcPr>
          <w:p>
            <w:pPr>
              <w:ind w:left="1180"/>
              <w:spacing w:after="0"/>
              <w:rPr>
                <w:sz w:val="20"/>
                <w:szCs w:val="20"/>
                <w:color w:val="auto"/>
              </w:rPr>
            </w:pPr>
            <w:r>
              <w:rPr>
                <w:rFonts w:ascii="Arial" w:cs="Arial" w:eastAsia="Arial" w:hAnsi="Arial"/>
                <w:sz w:val="16"/>
                <w:szCs w:val="16"/>
                <w:color w:val="auto"/>
              </w:rPr>
              <w:t>Page 30</w:t>
            </w:r>
          </w:p>
        </w:tc>
        <w:tc>
          <w:tcPr>
            <w:tcW w:w="20" w:type="dxa"/>
            <w:vAlign w:val="bottom"/>
          </w:tcPr>
          <w:p>
            <w:pPr>
              <w:spacing w:after="0"/>
              <w:rPr>
                <w:sz w:val="20"/>
                <w:szCs w:val="20"/>
                <w:color w:val="auto"/>
              </w:rPr>
            </w:pPr>
          </w:p>
        </w:tc>
      </w:tr>
      <w:tr>
        <w:trPr>
          <w:trHeight w:val="702"/>
        </w:trPr>
        <w:tc>
          <w:tcPr>
            <w:tcW w:w="9620" w:type="dxa"/>
            <w:vAlign w:val="bottom"/>
          </w:tcPr>
          <w:p>
            <w:pPr>
              <w:ind w:left="5680"/>
              <w:spacing w:after="0"/>
              <w:rPr>
                <w:sz w:val="20"/>
                <w:szCs w:val="20"/>
                <w:color w:val="auto"/>
              </w:rPr>
            </w:pPr>
            <w:r>
              <w:rPr>
                <w:rFonts w:ascii="Arial" w:cs="Arial" w:eastAsia="Arial" w:hAnsi="Arial"/>
                <w:sz w:val="16"/>
                <w:szCs w:val="16"/>
                <w:color w:val="auto"/>
              </w:rPr>
              <w:t>x</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96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C00000"/>
        </w:rPr>
        <w:t>THE TORO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8111 Lyndale Avenue South</w:t>
      </w:r>
    </w:p>
    <w:p>
      <w:pPr>
        <w:jc w:val="center"/>
        <w:spacing w:after="0"/>
        <w:rPr>
          <w:sz w:val="20"/>
          <w:szCs w:val="20"/>
          <w:color w:val="auto"/>
        </w:rPr>
      </w:pPr>
      <w:r>
        <w:rPr>
          <w:rFonts w:ascii="Arial" w:cs="Arial" w:eastAsia="Arial" w:hAnsi="Arial"/>
          <w:sz w:val="16"/>
          <w:szCs w:val="16"/>
          <w:color w:val="auto"/>
        </w:rPr>
        <w:t>Bloomington, Minnesota 55420-1196</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C00000"/>
        </w:rPr>
        <w:t>PROXY STATEMENT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2020 ANNUAL MEETING OF SHAREHOLDERS</w:t>
      </w:r>
    </w:p>
    <w:p>
      <w:pPr>
        <w:jc w:val="center"/>
        <w:spacing w:after="0"/>
        <w:rPr>
          <w:sz w:val="20"/>
          <w:szCs w:val="20"/>
          <w:color w:val="auto"/>
        </w:rPr>
      </w:pPr>
      <w:r>
        <w:rPr>
          <w:rFonts w:ascii="Arial" w:cs="Arial" w:eastAsia="Arial" w:hAnsi="Arial"/>
          <w:sz w:val="16"/>
          <w:szCs w:val="16"/>
          <w:color w:val="auto"/>
        </w:rPr>
        <w:t>TUESDAY, MARCH 17, 2020</w:t>
      </w:r>
    </w:p>
    <w:p>
      <w:pPr>
        <w:jc w:val="center"/>
        <w:spacing w:after="0"/>
        <w:rPr>
          <w:sz w:val="20"/>
          <w:szCs w:val="20"/>
          <w:color w:val="auto"/>
        </w:rPr>
      </w:pPr>
      <w:r>
        <w:rPr>
          <w:rFonts w:ascii="Arial" w:cs="Arial" w:eastAsia="Arial" w:hAnsi="Arial"/>
          <w:sz w:val="16"/>
          <w:szCs w:val="16"/>
          <w:color w:val="auto"/>
        </w:rPr>
        <w:t>1:30 p.m. Central Daylight Time</w:t>
      </w:r>
    </w:p>
    <w:p>
      <w:pPr>
        <w:spacing w:after="0" w:line="196" w:lineRule="exact"/>
        <w:rPr>
          <w:sz w:val="20"/>
          <w:szCs w:val="20"/>
          <w:color w:val="auto"/>
        </w:rPr>
      </w:pPr>
    </w:p>
    <w:p>
      <w:pPr>
        <w:ind w:right="420" w:firstLine="408"/>
        <w:spacing w:after="0" w:line="244" w:lineRule="auto"/>
        <w:rPr>
          <w:sz w:val="20"/>
          <w:szCs w:val="20"/>
          <w:color w:val="auto"/>
        </w:rPr>
      </w:pPr>
      <w:r>
        <w:rPr>
          <w:rFonts w:ascii="Arial" w:cs="Arial" w:eastAsia="Arial" w:hAnsi="Arial"/>
          <w:sz w:val="16"/>
          <w:szCs w:val="16"/>
          <w:color w:val="auto"/>
        </w:rPr>
        <w:t>The Toro Company Board of Directors is using this proxy statement to solicit your proxy for use at The Toro Company 2020 Annual Meeting of Shareholders.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4, 2020. Please note that references in this proxy statement to “Toro,” our “Company,” “we,” “us,” “our” and similar terms refer to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7259320" cy="1790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17907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GENERAL INFORMATION ABOUT THE 2020 ANNUAL MEETING AND VOTING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Important Notice Regarding the Availability of Proxy Materials for the Shareholder Meeting To Be Held on Tuesday, March 17, 2020.</w:t>
      </w:r>
    </w:p>
    <w:p>
      <w:pPr>
        <w:spacing w:after="0" w:line="112" w:lineRule="exact"/>
        <w:rPr>
          <w:sz w:val="20"/>
          <w:szCs w:val="20"/>
          <w:color w:val="auto"/>
        </w:rPr>
      </w:pPr>
    </w:p>
    <w:p>
      <w:pPr>
        <w:ind w:right="80" w:firstLine="408"/>
        <w:spacing w:after="0" w:line="255" w:lineRule="auto"/>
        <w:rPr>
          <w:sz w:val="20"/>
          <w:szCs w:val="20"/>
          <w:color w:val="auto"/>
        </w:rPr>
      </w:pPr>
      <w:r>
        <w:rPr>
          <w:rFonts w:ascii="Arial" w:cs="Arial" w:eastAsia="Arial" w:hAnsi="Arial"/>
          <w:sz w:val="16"/>
          <w:szCs w:val="16"/>
          <w:color w:val="auto"/>
        </w:rPr>
        <w:t>This proxy statement and our 2019 Annual Report, which includes our Annual Report on Form 10-K for the fiscal year ended October 31, 2019, or fiscal 2019, are available at www.thetorocompany.com/proxy.</w:t>
      </w:r>
    </w:p>
    <w:p>
      <w:pPr>
        <w:spacing w:after="0" w:line="75" w:lineRule="exact"/>
        <w:rPr>
          <w:sz w:val="20"/>
          <w:szCs w:val="20"/>
          <w:color w:val="auto"/>
        </w:rPr>
      </w:pPr>
    </w:p>
    <w:p>
      <w:pPr>
        <w:ind w:right="60" w:firstLine="408"/>
        <w:spacing w:after="0" w:line="243" w:lineRule="auto"/>
        <w:rPr>
          <w:sz w:val="20"/>
          <w:szCs w:val="20"/>
          <w:color w:val="auto"/>
        </w:rPr>
      </w:pPr>
      <w:r>
        <w:rPr>
          <w:rFonts w:ascii="Arial" w:cs="Arial" w:eastAsia="Arial" w:hAnsi="Arial"/>
          <w:sz w:val="16"/>
          <w:szCs w:val="16"/>
          <w:color w:val="auto"/>
        </w:rPr>
        <w:t>Pursuant to rules adopted by the SEC, we have elected to provide access to our proxy materials over the Internet. Accordingly, we are sending a Notice Regarding the Availability of Proxy Materials to some of our shareholders.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When and Where Will the Annual Meeting Be Held?</w:t>
      </w:r>
    </w:p>
    <w:p>
      <w:pPr>
        <w:spacing w:after="0" w:line="112" w:lineRule="exact"/>
        <w:rPr>
          <w:sz w:val="20"/>
          <w:szCs w:val="20"/>
          <w:color w:val="auto"/>
        </w:rPr>
      </w:pPr>
    </w:p>
    <w:p>
      <w:pPr>
        <w:ind w:right="60" w:firstLine="408"/>
        <w:spacing w:after="0" w:line="255" w:lineRule="auto"/>
        <w:rPr>
          <w:sz w:val="20"/>
          <w:szCs w:val="20"/>
          <w:color w:val="auto"/>
        </w:rPr>
      </w:pPr>
      <w:r>
        <w:rPr>
          <w:rFonts w:ascii="Arial" w:cs="Arial" w:eastAsia="Arial" w:hAnsi="Arial"/>
          <w:sz w:val="16"/>
          <w:szCs w:val="16"/>
          <w:color w:val="auto"/>
        </w:rPr>
        <w:t>The annual meeting will be held on Tuesday, March 17, 2020, at 1:30 p.m., Central Daylight Time, at our worldwide headquarters located at 8111 Lyndale Avenue South, Bloomington, Minnesota, 55420-1196.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What Are the Purposes of the Annual Meeting?</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purposes of the 2020 Annual Meeting of Shareholders are to vote on the following items described in this proxy statement: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Proposal One</w:t>
            </w:r>
          </w:p>
        </w:tc>
        <w:tc>
          <w:tcPr>
            <w:tcW w:w="9720" w:type="dxa"/>
            <w:vAlign w:val="bottom"/>
            <w:shd w:val="clear" w:color="auto" w:fill="D9D9D9"/>
          </w:tcPr>
          <w:p>
            <w:pPr>
              <w:ind w:left="580"/>
              <w:spacing w:after="0"/>
              <w:rPr>
                <w:sz w:val="20"/>
                <w:szCs w:val="20"/>
                <w:color w:val="auto"/>
              </w:rPr>
            </w:pPr>
            <w:r>
              <w:rPr>
                <w:rFonts w:ascii="Arial" w:cs="Arial" w:eastAsia="Arial" w:hAnsi="Arial"/>
                <w:sz w:val="16"/>
                <w:szCs w:val="16"/>
                <w:color w:val="auto"/>
              </w:rPr>
              <w:t>Election of Directors</w:t>
            </w:r>
          </w:p>
        </w:tc>
      </w:tr>
      <w:tr>
        <w:trPr>
          <w:trHeight w:val="226"/>
        </w:trPr>
        <w:tc>
          <w:tcPr>
            <w:tcW w:w="1700" w:type="dxa"/>
            <w:vAlign w:val="bottom"/>
          </w:tcPr>
          <w:p>
            <w:pPr>
              <w:spacing w:after="0"/>
              <w:rPr>
                <w:sz w:val="20"/>
                <w:szCs w:val="20"/>
                <w:color w:val="auto"/>
              </w:rPr>
            </w:pPr>
            <w:r>
              <w:rPr>
                <w:rFonts w:ascii="Arial" w:cs="Arial" w:eastAsia="Arial" w:hAnsi="Arial"/>
                <w:sz w:val="16"/>
                <w:szCs w:val="16"/>
                <w:color w:val="auto"/>
              </w:rPr>
              <w:t>Proposal Two</w:t>
            </w:r>
          </w:p>
        </w:tc>
        <w:tc>
          <w:tcPr>
            <w:tcW w:w="9720" w:type="dxa"/>
            <w:vAlign w:val="bottom"/>
          </w:tcPr>
          <w:p>
            <w:pPr>
              <w:ind w:left="580"/>
              <w:spacing w:after="0"/>
              <w:rPr>
                <w:sz w:val="20"/>
                <w:szCs w:val="20"/>
                <w:color w:val="auto"/>
              </w:rPr>
            </w:pPr>
            <w:r>
              <w:rPr>
                <w:rFonts w:ascii="Arial" w:cs="Arial" w:eastAsia="Arial" w:hAnsi="Arial"/>
                <w:sz w:val="16"/>
                <w:szCs w:val="16"/>
                <w:color w:val="auto"/>
              </w:rPr>
              <w:t>Ratification of Selection of Independent Registered Public Accounting Firm</w:t>
            </w:r>
          </w:p>
        </w:tc>
      </w:tr>
      <w:tr>
        <w:trPr>
          <w:trHeight w:val="214"/>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Proposal Three</w:t>
            </w:r>
          </w:p>
        </w:tc>
        <w:tc>
          <w:tcPr>
            <w:tcW w:w="9720" w:type="dxa"/>
            <w:vAlign w:val="bottom"/>
            <w:shd w:val="clear" w:color="auto" w:fill="D9D9D9"/>
          </w:tcPr>
          <w:p>
            <w:pPr>
              <w:ind w:left="580"/>
              <w:spacing w:after="0"/>
              <w:rPr>
                <w:sz w:val="20"/>
                <w:szCs w:val="20"/>
                <w:color w:val="auto"/>
              </w:rPr>
            </w:pPr>
            <w:r>
              <w:rPr>
                <w:rFonts w:ascii="Arial" w:cs="Arial" w:eastAsia="Arial" w:hAnsi="Arial"/>
                <w:sz w:val="16"/>
                <w:szCs w:val="16"/>
                <w:color w:val="auto"/>
              </w:rPr>
              <w:t>Advisory Approval of our Executive Compensation</w:t>
            </w:r>
          </w:p>
        </w:tc>
      </w:tr>
      <w:tr>
        <w:trPr>
          <w:trHeight w:val="26"/>
        </w:trPr>
        <w:tc>
          <w:tcPr>
            <w:tcW w:w="1700" w:type="dxa"/>
            <w:vAlign w:val="bottom"/>
            <w:shd w:val="clear" w:color="auto" w:fill="D9D9D9"/>
          </w:tcPr>
          <w:p>
            <w:pPr>
              <w:spacing w:after="0"/>
              <w:rPr>
                <w:sz w:val="2"/>
                <w:szCs w:val="2"/>
                <w:color w:val="auto"/>
              </w:rPr>
            </w:pPr>
          </w:p>
        </w:tc>
        <w:tc>
          <w:tcPr>
            <w:tcW w:w="9720" w:type="dxa"/>
            <w:vAlign w:val="bottom"/>
            <w:shd w:val="clear" w:color="auto" w:fill="D9D9D9"/>
          </w:tcPr>
          <w:p>
            <w:pPr>
              <w:spacing w:after="0"/>
              <w:rPr>
                <w:sz w:val="2"/>
                <w:szCs w:val="2"/>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Are There Any Matters To Be Voted On at the Annual Meeting that Are Not Included in this Proxy Statement?</w:t>
      </w:r>
    </w:p>
    <w:p>
      <w:pPr>
        <w:spacing w:after="0" w:line="112" w:lineRule="exact"/>
        <w:rPr>
          <w:sz w:val="20"/>
          <w:szCs w:val="20"/>
          <w:color w:val="auto"/>
        </w:rPr>
      </w:pPr>
    </w:p>
    <w:p>
      <w:pPr>
        <w:ind w:right="220" w:firstLine="408"/>
        <w:spacing w:after="0" w:line="247" w:lineRule="auto"/>
        <w:rPr>
          <w:sz w:val="20"/>
          <w:szCs w:val="20"/>
          <w:color w:val="auto"/>
        </w:rPr>
      </w:pPr>
      <w:r>
        <w:rPr>
          <w:rFonts w:ascii="Arial" w:cs="Arial" w:eastAsia="Arial" w:hAnsi="Arial"/>
          <w:sz w:val="16"/>
          <w:szCs w:val="16"/>
          <w:color w:val="auto"/>
        </w:rPr>
        <w:t>We currently are not aware of any business to be acted upon at the annual meeting other than as described in this proxy statement. If, however, other matters are properly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Who Is Entitled to Vote and How Many Shares Must Be Present to Hold the Annual Meeting?</w:t>
      </w:r>
    </w:p>
    <w:p>
      <w:pPr>
        <w:spacing w:after="0" w:line="112" w:lineRule="exact"/>
        <w:rPr>
          <w:sz w:val="20"/>
          <w:szCs w:val="20"/>
          <w:color w:val="auto"/>
        </w:rPr>
      </w:pPr>
    </w:p>
    <w:p>
      <w:pPr>
        <w:ind w:right="20" w:firstLine="408"/>
        <w:spacing w:after="0" w:line="244" w:lineRule="auto"/>
        <w:rPr>
          <w:sz w:val="20"/>
          <w:szCs w:val="20"/>
          <w:color w:val="auto"/>
        </w:rPr>
      </w:pPr>
      <w:r>
        <w:rPr>
          <w:rFonts w:ascii="Arial" w:cs="Arial" w:eastAsia="Arial" w:hAnsi="Arial"/>
          <w:sz w:val="16"/>
          <w:szCs w:val="16"/>
          <w:color w:val="auto"/>
        </w:rPr>
        <w:t>Shareholders of record at the close of business on January 21, 2020, the record date, will be entitled to vote at the annual meeting or any adjournment or postponement of the annual meeting. As of January 21, 2020, there were 107,512,084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 w:name="page14"/>
    <w:bookmarkEnd w:id="13"/>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jc w:val="both"/>
        <w:ind w:left="2" w:right="280" w:firstLine="408"/>
        <w:spacing w:after="0" w:line="244" w:lineRule="auto"/>
        <w:rPr>
          <w:sz w:val="20"/>
          <w:szCs w:val="20"/>
          <w:color w:val="auto"/>
        </w:rPr>
      </w:pPr>
      <w:r>
        <w:rPr>
          <w:rFonts w:ascii="Arial" w:cs="Arial" w:eastAsia="Arial" w:hAnsi="Arial"/>
          <w:sz w:val="16"/>
          <w:szCs w:val="16"/>
          <w:color w:val="auto"/>
        </w:rPr>
        <w:t>The presence, in person or represented by proxy, at the annual meeting of a majority of the outstanding shares of our common stock as of the record date will constitute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w:t>
      </w:r>
    </w:p>
    <w:p>
      <w:pPr>
        <w:spacing w:after="0" w:line="11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How Do I Vote My Shares?</w:t>
      </w:r>
    </w:p>
    <w:p>
      <w:pPr>
        <w:spacing w:after="0" w:line="112" w:lineRule="exact"/>
        <w:rPr>
          <w:sz w:val="20"/>
          <w:szCs w:val="20"/>
          <w:color w:val="auto"/>
        </w:rPr>
      </w:pPr>
    </w:p>
    <w:p>
      <w:pPr>
        <w:ind w:left="402"/>
        <w:spacing w:after="0"/>
        <w:rPr>
          <w:sz w:val="20"/>
          <w:szCs w:val="20"/>
          <w:color w:val="auto"/>
        </w:rPr>
      </w:pPr>
      <w:r>
        <w:rPr>
          <w:rFonts w:ascii="Arial" w:cs="Arial" w:eastAsia="Arial" w:hAnsi="Arial"/>
          <w:sz w:val="16"/>
          <w:szCs w:val="16"/>
          <w:color w:val="auto"/>
        </w:rPr>
        <w:t>If your shares are registered in your name, you may vote your shares in person at the annual meeting or by one of the four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59320" cy="607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320" cy="607060"/>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p>
      <w:pPr>
        <w:spacing w:after="0" w:line="296" w:lineRule="exact"/>
        <w:rPr>
          <w:sz w:val="20"/>
          <w:szCs w:val="20"/>
          <w:color w:val="auto"/>
        </w:rPr>
      </w:pPr>
    </w:p>
    <w:p>
      <w:pPr>
        <w:ind w:left="42"/>
        <w:spacing w:after="0"/>
        <w:rPr>
          <w:sz w:val="20"/>
          <w:szCs w:val="20"/>
          <w:color w:val="auto"/>
        </w:rPr>
      </w:pPr>
      <w:r>
        <w:rPr>
          <w:rFonts w:ascii="Arial" w:cs="Arial" w:eastAsia="Arial" w:hAnsi="Arial"/>
          <w:sz w:val="15"/>
          <w:szCs w:val="15"/>
          <w:color w:val="auto"/>
        </w:rPr>
        <w:t>Vote by Internet</w:t>
      </w:r>
    </w:p>
    <w:p>
      <w:pPr>
        <w:spacing w:after="0" w:line="305" w:lineRule="exact"/>
        <w:rPr>
          <w:sz w:val="20"/>
          <w:szCs w:val="20"/>
          <w:color w:val="auto"/>
        </w:rPr>
      </w:pPr>
    </w:p>
    <w:p>
      <w:pPr>
        <w:ind w:left="42"/>
        <w:spacing w:after="0"/>
        <w:rPr>
          <w:sz w:val="20"/>
          <w:szCs w:val="20"/>
          <w:color w:val="auto"/>
        </w:rPr>
      </w:pPr>
      <w:r>
        <w:rPr>
          <w:rFonts w:ascii="Arial" w:cs="Arial" w:eastAsia="Arial" w:hAnsi="Arial"/>
          <w:sz w:val="15"/>
          <w:szCs w:val="15"/>
          <w:color w:val="auto"/>
        </w:rPr>
        <w:t>Vote by Telephone</w:t>
      </w:r>
    </w:p>
    <w:p>
      <w:pPr>
        <w:spacing w:after="0" w:line="293" w:lineRule="exact"/>
        <w:rPr>
          <w:sz w:val="20"/>
          <w:szCs w:val="20"/>
          <w:color w:val="auto"/>
        </w:rPr>
      </w:pPr>
    </w:p>
    <w:p>
      <w:pPr>
        <w:ind w:left="42"/>
        <w:spacing w:after="0"/>
        <w:rPr>
          <w:sz w:val="20"/>
          <w:szCs w:val="20"/>
          <w:color w:val="auto"/>
        </w:rPr>
      </w:pPr>
      <w:r>
        <w:rPr>
          <w:rFonts w:ascii="Arial" w:cs="Arial" w:eastAsia="Arial" w:hAnsi="Arial"/>
          <w:sz w:val="15"/>
          <w:szCs w:val="15"/>
          <w:color w:val="auto"/>
        </w:rPr>
        <w:t>Vote by Mail</w:t>
      </w:r>
    </w:p>
    <w:p>
      <w:pPr>
        <w:spacing w:after="0" w:line="330" w:lineRule="exact"/>
        <w:rPr>
          <w:sz w:val="20"/>
          <w:szCs w:val="20"/>
          <w:color w:val="auto"/>
        </w:rPr>
      </w:pPr>
    </w:p>
    <w:p>
      <w:pPr>
        <w:ind w:left="42"/>
        <w:spacing w:after="0"/>
        <w:rPr>
          <w:sz w:val="20"/>
          <w:szCs w:val="20"/>
          <w:color w:val="auto"/>
        </w:rPr>
      </w:pPr>
      <w:r>
        <w:rPr>
          <w:rFonts w:ascii="Arial" w:cs="Arial" w:eastAsia="Arial" w:hAnsi="Arial"/>
          <w:sz w:val="14"/>
          <w:szCs w:val="14"/>
          <w:color w:val="auto"/>
        </w:rPr>
        <w:t>Vote by Mobile Device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460"/>
        <w:spacing w:after="0" w:line="245" w:lineRule="auto"/>
        <w:rPr>
          <w:sz w:val="20"/>
          <w:szCs w:val="20"/>
          <w:color w:val="auto"/>
        </w:rPr>
      </w:pPr>
      <w:r>
        <w:rPr>
          <w:rFonts w:ascii="Arial" w:cs="Arial" w:eastAsia="Arial" w:hAnsi="Arial"/>
          <w:sz w:val="15"/>
          <w:szCs w:val="15"/>
          <w:color w:val="auto"/>
        </w:rPr>
        <w:t>Go to www.proxyvote.com and follow the instructions for Internet voting shown on your Notice Regarding the Availability of Proxy Materials or proxy card.</w:t>
      </w:r>
    </w:p>
    <w:p>
      <w:pPr>
        <w:spacing w:after="0" w:line="126" w:lineRule="exact"/>
        <w:rPr>
          <w:sz w:val="20"/>
          <w:szCs w:val="20"/>
          <w:color w:val="auto"/>
        </w:rPr>
      </w:pPr>
    </w:p>
    <w:p>
      <w:pPr>
        <w:ind w:right="2480"/>
        <w:spacing w:after="0" w:line="245" w:lineRule="auto"/>
        <w:rPr>
          <w:sz w:val="20"/>
          <w:szCs w:val="20"/>
          <w:color w:val="auto"/>
        </w:rPr>
      </w:pPr>
      <w:r>
        <w:rPr>
          <w:rFonts w:ascii="Arial" w:cs="Arial" w:eastAsia="Arial" w:hAnsi="Arial"/>
          <w:sz w:val="15"/>
          <w:szCs w:val="15"/>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16510</wp:posOffset>
            </wp:positionV>
            <wp:extent cx="7259320" cy="327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320" cy="327025"/>
                    </a:xfrm>
                    <a:prstGeom prst="rect">
                      <a:avLst/>
                    </a:prstGeom>
                    <a:noFill/>
                  </pic:spPr>
                </pic:pic>
              </a:graphicData>
            </a:graphic>
          </wp:anchor>
        </w:drawing>
      </w:r>
    </w:p>
    <w:p>
      <w:pPr>
        <w:spacing w:after="0" w:line="8" w:lineRule="exact"/>
        <w:rPr>
          <w:sz w:val="20"/>
          <w:szCs w:val="20"/>
          <w:color w:val="auto"/>
        </w:rPr>
      </w:pPr>
    </w:p>
    <w:p>
      <w:pPr>
        <w:ind w:right="2320"/>
        <w:spacing w:after="0" w:line="241" w:lineRule="auto"/>
        <w:rPr>
          <w:sz w:val="20"/>
          <w:szCs w:val="20"/>
          <w:color w:val="auto"/>
        </w:rPr>
      </w:pPr>
      <w:r>
        <w:rPr>
          <w:rFonts w:ascii="Arial" w:cs="Arial" w:eastAsia="Arial" w:hAnsi="Arial"/>
          <w:sz w:val="15"/>
          <w:szCs w:val="15"/>
          <w:color w:val="auto"/>
        </w:rPr>
        <w:t>Complete, sign, date and mail your proxy card in the envelope provided if you received a paper copy of these proxy materials. If you vote by Internet, telephone or mobile device,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-3810</wp:posOffset>
            </wp:positionV>
            <wp:extent cx="311150" cy="311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0" cy="311150"/>
                    </a:xfrm>
                    <a:prstGeom prst="rect">
                      <a:avLst/>
                    </a:prstGeom>
                    <a:noFill/>
                  </pic:spPr>
                </pic:pic>
              </a:graphicData>
            </a:graphic>
          </wp:anchor>
        </w:drawing>
      </w:r>
    </w:p>
    <w:p>
      <w:pPr>
        <w:spacing w:after="0" w:line="49" w:lineRule="exact"/>
        <w:rPr>
          <w:sz w:val="20"/>
          <w:szCs w:val="20"/>
          <w:color w:val="auto"/>
        </w:rPr>
      </w:pPr>
    </w:p>
    <w:p>
      <w:pPr>
        <w:ind w:right="2480"/>
        <w:spacing w:after="0" w:line="245" w:lineRule="auto"/>
        <w:rPr>
          <w:sz w:val="20"/>
          <w:szCs w:val="20"/>
          <w:color w:val="auto"/>
        </w:rPr>
      </w:pPr>
      <w:r>
        <w:rPr>
          <w:rFonts w:ascii="Arial" w:cs="Arial" w:eastAsia="Arial" w:hAnsi="Arial"/>
          <w:sz w:val="15"/>
          <w:szCs w:val="15"/>
          <w:color w:val="auto"/>
        </w:rPr>
        <w:t>Scan the QR code on your Notice Regarding the Availability of Proxy Materials or proxy card and follow the links.</w:t>
      </w:r>
    </w:p>
    <w:p>
      <w:pPr>
        <w:spacing w:after="0" w:line="172" w:lineRule="exact"/>
        <w:rPr>
          <w:sz w:val="20"/>
          <w:szCs w:val="20"/>
          <w:color w:val="auto"/>
        </w:rPr>
      </w:pPr>
    </w:p>
    <w:p>
      <w:pPr>
        <w:sectPr>
          <w:pgSz w:w="11900" w:h="16838" w:orient="portrait"/>
          <w:cols w:equalWidth="0" w:num="2">
            <w:col w:w="2942" w:space="720"/>
            <w:col w:w="7760"/>
          </w:cols>
          <w:pgMar w:left="238" w:top="140" w:right="239" w:bottom="1440" w:gutter="0" w:footer="0" w:header="0"/>
          <w:type w:val="continuous"/>
        </w:sectPr>
      </w:pPr>
    </w:p>
    <w:p>
      <w:pPr>
        <w:ind w:left="402"/>
        <w:spacing w:after="0"/>
        <w:rPr>
          <w:sz w:val="20"/>
          <w:szCs w:val="20"/>
          <w:color w:val="auto"/>
        </w:rPr>
      </w:pPr>
      <w:r>
        <w:rPr>
          <w:rFonts w:ascii="Arial" w:cs="Arial" w:eastAsia="Arial" w:hAnsi="Arial"/>
          <w:sz w:val="16"/>
          <w:szCs w:val="16"/>
          <w:color w:val="auto"/>
        </w:rPr>
        <w:t>If you hold shares as a participant in certain Toro employee benefit plans, you may vote your shares by one</w:t>
      </w:r>
    </w:p>
    <w:p>
      <w:pPr>
        <w:ind w:left="2" w:right="80"/>
        <w:spacing w:after="0" w:line="247" w:lineRule="auto"/>
        <w:rPr>
          <w:sz w:val="20"/>
          <w:szCs w:val="20"/>
          <w:color w:val="auto"/>
        </w:rPr>
      </w:pPr>
      <w:r>
        <w:rPr>
          <w:rFonts w:ascii="Arial" w:cs="Arial" w:eastAsia="Arial" w:hAnsi="Arial"/>
          <w:sz w:val="16"/>
          <w:szCs w:val="16"/>
          <w:color w:val="auto"/>
        </w:rPr>
        <w:t>of the four methods noted above. If your shares are held in “street name,” you may receive a separate voting instruction form with this proxy statement or you may need to contact your broker, bank or other nominee to determine whether you will be able to vote electronically using the Internet, telephone or mobile device.</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How Does the Board Recommend that I Vote and What Vote is Required for Each Proposal?</w:t>
      </w:r>
    </w:p>
    <w:p>
      <w:pPr>
        <w:spacing w:after="0" w:line="112"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200" w:type="dxa"/>
            <w:vAlign w:val="bottom"/>
            <w:shd w:val="clear" w:color="auto" w:fill="C00000"/>
          </w:tcPr>
          <w:p>
            <w:pPr>
              <w:spacing w:after="0"/>
              <w:rPr>
                <w:sz w:val="14"/>
                <w:szCs w:val="14"/>
                <w:color w:val="auto"/>
              </w:rPr>
            </w:pPr>
          </w:p>
        </w:tc>
        <w:tc>
          <w:tcPr>
            <w:tcW w:w="2060" w:type="dxa"/>
            <w:vAlign w:val="bottom"/>
            <w:shd w:val="clear" w:color="auto" w:fill="C00000"/>
          </w:tcPr>
          <w:p>
            <w:pPr>
              <w:spacing w:after="0"/>
              <w:rPr>
                <w:sz w:val="14"/>
                <w:szCs w:val="14"/>
                <w:color w:val="auto"/>
              </w:rPr>
            </w:pPr>
          </w:p>
        </w:tc>
        <w:tc>
          <w:tcPr>
            <w:tcW w:w="1820" w:type="dxa"/>
            <w:vAlign w:val="bottom"/>
            <w:vMerge w:val="restart"/>
            <w:shd w:val="clear" w:color="auto" w:fill="C00000"/>
          </w:tcPr>
          <w:p>
            <w:pPr>
              <w:ind w:left="400"/>
              <w:spacing w:after="0"/>
              <w:rPr>
                <w:sz w:val="20"/>
                <w:szCs w:val="20"/>
                <w:color w:val="auto"/>
              </w:rPr>
            </w:pPr>
            <w:r>
              <w:rPr>
                <w:rFonts w:ascii="Arial" w:cs="Arial" w:eastAsia="Arial" w:hAnsi="Arial"/>
                <w:sz w:val="13"/>
                <w:szCs w:val="13"/>
                <w:b w:val="1"/>
                <w:bCs w:val="1"/>
                <w:color w:val="FFFFFF"/>
              </w:rPr>
              <w:t>Board</w:t>
            </w:r>
          </w:p>
        </w:tc>
        <w:tc>
          <w:tcPr>
            <w:tcW w:w="2160" w:type="dxa"/>
            <w:vAlign w:val="bottom"/>
            <w:vMerge w:val="restart"/>
            <w:shd w:val="clear" w:color="auto" w:fill="C00000"/>
          </w:tcPr>
          <w:p>
            <w:pPr>
              <w:ind w:left="320"/>
              <w:spacing w:after="0"/>
              <w:rPr>
                <w:sz w:val="20"/>
                <w:szCs w:val="20"/>
                <w:color w:val="auto"/>
              </w:rPr>
            </w:pPr>
            <w:r>
              <w:rPr>
                <w:rFonts w:ascii="Arial" w:cs="Arial" w:eastAsia="Arial" w:hAnsi="Arial"/>
                <w:sz w:val="13"/>
                <w:szCs w:val="13"/>
                <w:b w:val="1"/>
                <w:bCs w:val="1"/>
                <w:color w:val="FFFFFF"/>
              </w:rPr>
              <w:t>Available Voting</w:t>
            </w:r>
          </w:p>
        </w:tc>
        <w:tc>
          <w:tcPr>
            <w:tcW w:w="2140" w:type="dxa"/>
            <w:vAlign w:val="bottom"/>
            <w:vMerge w:val="restart"/>
            <w:shd w:val="clear" w:color="auto" w:fill="C00000"/>
          </w:tcPr>
          <w:p>
            <w:pPr>
              <w:ind w:left="380"/>
              <w:spacing w:after="0"/>
              <w:rPr>
                <w:sz w:val="20"/>
                <w:szCs w:val="20"/>
                <w:color w:val="auto"/>
              </w:rPr>
            </w:pPr>
            <w:r>
              <w:rPr>
                <w:rFonts w:ascii="Arial" w:cs="Arial" w:eastAsia="Arial" w:hAnsi="Arial"/>
                <w:sz w:val="13"/>
                <w:szCs w:val="13"/>
                <w:b w:val="1"/>
                <w:bCs w:val="1"/>
                <w:color w:val="FFFFFF"/>
              </w:rPr>
              <w:t>Voting Approval</w:t>
            </w:r>
          </w:p>
        </w:tc>
        <w:tc>
          <w:tcPr>
            <w:tcW w:w="1540" w:type="dxa"/>
            <w:vAlign w:val="bottom"/>
            <w:shd w:val="clear" w:color="auto" w:fill="C00000"/>
          </w:tcPr>
          <w:p>
            <w:pPr>
              <w:ind w:left="380"/>
              <w:spacing w:after="0"/>
              <w:rPr>
                <w:sz w:val="20"/>
                <w:szCs w:val="20"/>
                <w:color w:val="auto"/>
              </w:rPr>
            </w:pPr>
            <w:r>
              <w:rPr>
                <w:rFonts w:ascii="Arial" w:cs="Arial" w:eastAsia="Arial" w:hAnsi="Arial"/>
                <w:sz w:val="13"/>
                <w:szCs w:val="13"/>
                <w:b w:val="1"/>
                <w:bCs w:val="1"/>
                <w:color w:val="FFFFFF"/>
              </w:rPr>
              <w:t>Effect of</w:t>
            </w:r>
          </w:p>
        </w:tc>
        <w:tc>
          <w:tcPr>
            <w:tcW w:w="1500" w:type="dxa"/>
            <w:vAlign w:val="bottom"/>
            <w:shd w:val="clear" w:color="auto" w:fill="C00000"/>
          </w:tcPr>
          <w:p>
            <w:pPr>
              <w:ind w:left="260"/>
              <w:spacing w:after="0"/>
              <w:rPr>
                <w:sz w:val="20"/>
                <w:szCs w:val="20"/>
                <w:color w:val="auto"/>
              </w:rPr>
            </w:pPr>
            <w:r>
              <w:rPr>
                <w:rFonts w:ascii="Arial" w:cs="Arial" w:eastAsia="Arial" w:hAnsi="Arial"/>
                <w:sz w:val="13"/>
                <w:szCs w:val="13"/>
                <w:b w:val="1"/>
                <w:bCs w:val="1"/>
                <w:color w:val="FFFFFF"/>
              </w:rPr>
              <w:t>Effect of</w:t>
            </w:r>
          </w:p>
        </w:tc>
        <w:tc>
          <w:tcPr>
            <w:tcW w:w="0" w:type="dxa"/>
            <w:vAlign w:val="bottom"/>
          </w:tcPr>
          <w:p>
            <w:pPr>
              <w:spacing w:after="0"/>
              <w:rPr>
                <w:sz w:val="1"/>
                <w:szCs w:val="1"/>
                <w:color w:val="auto"/>
              </w:rPr>
            </w:pPr>
          </w:p>
        </w:tc>
      </w:tr>
      <w:tr>
        <w:trPr>
          <w:trHeight w:val="159"/>
        </w:trPr>
        <w:tc>
          <w:tcPr>
            <w:tcW w:w="2260" w:type="dxa"/>
            <w:vAlign w:val="bottom"/>
            <w:gridSpan w:val="2"/>
            <w:vMerge w:val="restart"/>
            <w:shd w:val="clear" w:color="auto" w:fill="C00000"/>
          </w:tcPr>
          <w:p>
            <w:pPr>
              <w:spacing w:after="0"/>
              <w:rPr>
                <w:sz w:val="20"/>
                <w:szCs w:val="20"/>
                <w:color w:val="auto"/>
              </w:rPr>
            </w:pPr>
            <w:r>
              <w:rPr>
                <w:rFonts w:ascii="Arial" w:cs="Arial" w:eastAsia="Arial" w:hAnsi="Arial"/>
                <w:sz w:val="13"/>
                <w:szCs w:val="13"/>
                <w:b w:val="1"/>
                <w:bCs w:val="1"/>
                <w:color w:val="FFFFFF"/>
              </w:rPr>
              <w:t>Proposal</w:t>
            </w:r>
          </w:p>
        </w:tc>
        <w:tc>
          <w:tcPr>
            <w:tcW w:w="1820" w:type="dxa"/>
            <w:vAlign w:val="bottom"/>
            <w:vMerge w:val="continue"/>
            <w:shd w:val="clear" w:color="auto" w:fill="C00000"/>
          </w:tcPr>
          <w:p>
            <w:pPr>
              <w:spacing w:after="0"/>
              <w:rPr>
                <w:sz w:val="13"/>
                <w:szCs w:val="13"/>
                <w:color w:val="auto"/>
              </w:rPr>
            </w:pPr>
          </w:p>
        </w:tc>
        <w:tc>
          <w:tcPr>
            <w:tcW w:w="2160" w:type="dxa"/>
            <w:vAlign w:val="bottom"/>
            <w:vMerge w:val="continue"/>
            <w:shd w:val="clear" w:color="auto" w:fill="C00000"/>
          </w:tcPr>
          <w:p>
            <w:pPr>
              <w:spacing w:after="0"/>
              <w:rPr>
                <w:sz w:val="13"/>
                <w:szCs w:val="13"/>
                <w:color w:val="auto"/>
              </w:rPr>
            </w:pPr>
          </w:p>
        </w:tc>
        <w:tc>
          <w:tcPr>
            <w:tcW w:w="2140" w:type="dxa"/>
            <w:vAlign w:val="bottom"/>
            <w:vMerge w:val="continue"/>
            <w:shd w:val="clear" w:color="auto" w:fill="C00000"/>
          </w:tcPr>
          <w:p>
            <w:pPr>
              <w:spacing w:after="0"/>
              <w:rPr>
                <w:sz w:val="13"/>
                <w:szCs w:val="13"/>
                <w:color w:val="auto"/>
              </w:rPr>
            </w:pPr>
          </w:p>
        </w:tc>
        <w:tc>
          <w:tcPr>
            <w:tcW w:w="1540" w:type="dxa"/>
            <w:vAlign w:val="bottom"/>
            <w:shd w:val="clear" w:color="auto" w:fill="C00000"/>
          </w:tcPr>
          <w:p>
            <w:pPr>
              <w:ind w:left="380"/>
              <w:spacing w:after="0"/>
              <w:rPr>
                <w:sz w:val="20"/>
                <w:szCs w:val="20"/>
                <w:color w:val="auto"/>
              </w:rPr>
            </w:pPr>
            <w:r>
              <w:rPr>
                <w:rFonts w:ascii="Arial" w:cs="Arial" w:eastAsia="Arial" w:hAnsi="Arial"/>
                <w:sz w:val="13"/>
                <w:szCs w:val="13"/>
                <w:b w:val="1"/>
                <w:bCs w:val="1"/>
                <w:color w:val="FFFFFF"/>
              </w:rPr>
              <w:t>Withhold or</w:t>
            </w:r>
          </w:p>
        </w:tc>
        <w:tc>
          <w:tcPr>
            <w:tcW w:w="1500" w:type="dxa"/>
            <w:vAlign w:val="bottom"/>
            <w:shd w:val="clear" w:color="auto" w:fill="C00000"/>
          </w:tcPr>
          <w:p>
            <w:pPr>
              <w:ind w:left="260"/>
              <w:spacing w:after="0"/>
              <w:rPr>
                <w:sz w:val="20"/>
                <w:szCs w:val="20"/>
                <w:color w:val="auto"/>
              </w:rPr>
            </w:pPr>
            <w:r>
              <w:rPr>
                <w:rFonts w:ascii="Arial" w:cs="Arial" w:eastAsia="Arial" w:hAnsi="Arial"/>
                <w:sz w:val="13"/>
                <w:szCs w:val="13"/>
                <w:b w:val="1"/>
                <w:bCs w:val="1"/>
                <w:color w:val="FFFFFF"/>
              </w:rPr>
              <w:t>Broker Non-</w:t>
            </w:r>
          </w:p>
        </w:tc>
        <w:tc>
          <w:tcPr>
            <w:tcW w:w="0" w:type="dxa"/>
            <w:vAlign w:val="bottom"/>
          </w:tcPr>
          <w:p>
            <w:pPr>
              <w:spacing w:after="0"/>
              <w:rPr>
                <w:sz w:val="1"/>
                <w:szCs w:val="1"/>
                <w:color w:val="auto"/>
              </w:rPr>
            </w:pPr>
          </w:p>
        </w:tc>
      </w:tr>
      <w:tr>
        <w:trPr>
          <w:trHeight w:val="171"/>
        </w:trPr>
        <w:tc>
          <w:tcPr>
            <w:tcW w:w="2260" w:type="dxa"/>
            <w:vAlign w:val="bottom"/>
            <w:gridSpan w:val="2"/>
            <w:vMerge w:val="continue"/>
            <w:shd w:val="clear" w:color="auto" w:fill="C00000"/>
          </w:tcPr>
          <w:p>
            <w:pPr>
              <w:spacing w:after="0"/>
              <w:rPr>
                <w:sz w:val="14"/>
                <w:szCs w:val="14"/>
                <w:color w:val="auto"/>
              </w:rPr>
            </w:pPr>
          </w:p>
        </w:tc>
        <w:tc>
          <w:tcPr>
            <w:tcW w:w="1820" w:type="dxa"/>
            <w:vAlign w:val="bottom"/>
            <w:shd w:val="clear" w:color="auto" w:fill="C00000"/>
          </w:tcPr>
          <w:p>
            <w:pPr>
              <w:ind w:left="400"/>
              <w:spacing w:after="0"/>
              <w:rPr>
                <w:sz w:val="20"/>
                <w:szCs w:val="20"/>
                <w:color w:val="auto"/>
              </w:rPr>
            </w:pPr>
            <w:r>
              <w:rPr>
                <w:rFonts w:ascii="Arial" w:cs="Arial" w:eastAsia="Arial" w:hAnsi="Arial"/>
                <w:sz w:val="13"/>
                <w:szCs w:val="13"/>
                <w:b w:val="1"/>
                <w:bCs w:val="1"/>
                <w:color w:val="FFFFFF"/>
              </w:rPr>
              <w:t>Recommendation</w:t>
            </w:r>
          </w:p>
        </w:tc>
        <w:tc>
          <w:tcPr>
            <w:tcW w:w="2160" w:type="dxa"/>
            <w:vAlign w:val="bottom"/>
            <w:shd w:val="clear" w:color="auto" w:fill="C00000"/>
          </w:tcPr>
          <w:p>
            <w:pPr>
              <w:ind w:left="320"/>
              <w:spacing w:after="0"/>
              <w:rPr>
                <w:sz w:val="20"/>
                <w:szCs w:val="20"/>
                <w:color w:val="auto"/>
              </w:rPr>
            </w:pPr>
            <w:r>
              <w:rPr>
                <w:rFonts w:ascii="Arial" w:cs="Arial" w:eastAsia="Arial" w:hAnsi="Arial"/>
                <w:sz w:val="13"/>
                <w:szCs w:val="13"/>
                <w:b w:val="1"/>
                <w:bCs w:val="1"/>
                <w:color w:val="FFFFFF"/>
              </w:rPr>
              <w:t>Selections</w:t>
            </w:r>
          </w:p>
        </w:tc>
        <w:tc>
          <w:tcPr>
            <w:tcW w:w="2140" w:type="dxa"/>
            <w:vAlign w:val="bottom"/>
            <w:shd w:val="clear" w:color="auto" w:fill="C00000"/>
          </w:tcPr>
          <w:p>
            <w:pPr>
              <w:ind w:left="380"/>
              <w:spacing w:after="0"/>
              <w:rPr>
                <w:sz w:val="20"/>
                <w:szCs w:val="20"/>
                <w:color w:val="auto"/>
              </w:rPr>
            </w:pPr>
            <w:r>
              <w:rPr>
                <w:rFonts w:ascii="Arial" w:cs="Arial" w:eastAsia="Arial" w:hAnsi="Arial"/>
                <w:sz w:val="13"/>
                <w:szCs w:val="13"/>
                <w:b w:val="1"/>
                <w:bCs w:val="1"/>
                <w:color w:val="FFFFFF"/>
              </w:rPr>
              <w:t>Standard</w:t>
            </w:r>
          </w:p>
        </w:tc>
        <w:tc>
          <w:tcPr>
            <w:tcW w:w="1540" w:type="dxa"/>
            <w:vAlign w:val="bottom"/>
            <w:shd w:val="clear" w:color="auto" w:fill="C00000"/>
          </w:tcPr>
          <w:p>
            <w:pPr>
              <w:ind w:left="380"/>
              <w:spacing w:after="0"/>
              <w:rPr>
                <w:sz w:val="20"/>
                <w:szCs w:val="20"/>
                <w:color w:val="auto"/>
              </w:rPr>
            </w:pPr>
            <w:r>
              <w:rPr>
                <w:rFonts w:ascii="Arial" w:cs="Arial" w:eastAsia="Arial" w:hAnsi="Arial"/>
                <w:sz w:val="13"/>
                <w:szCs w:val="13"/>
                <w:b w:val="1"/>
                <w:bCs w:val="1"/>
                <w:color w:val="FFFFFF"/>
              </w:rPr>
              <w:t>Abstention</w:t>
            </w:r>
          </w:p>
        </w:tc>
        <w:tc>
          <w:tcPr>
            <w:tcW w:w="1500" w:type="dxa"/>
            <w:vAlign w:val="bottom"/>
            <w:shd w:val="clear" w:color="auto" w:fill="C00000"/>
          </w:tcPr>
          <w:p>
            <w:pPr>
              <w:ind w:left="260"/>
              <w:spacing w:after="0"/>
              <w:rPr>
                <w:sz w:val="20"/>
                <w:szCs w:val="20"/>
                <w:color w:val="auto"/>
              </w:rPr>
            </w:pPr>
            <w:r>
              <w:rPr>
                <w:rFonts w:ascii="Arial" w:cs="Arial" w:eastAsia="Arial" w:hAnsi="Arial"/>
                <w:sz w:val="13"/>
                <w:szCs w:val="13"/>
                <w:b w:val="1"/>
                <w:bCs w:val="1"/>
                <w:color w:val="FFFFFF"/>
              </w:rPr>
              <w:t>Vote</w:t>
            </w:r>
          </w:p>
        </w:tc>
        <w:tc>
          <w:tcPr>
            <w:tcW w:w="0" w:type="dxa"/>
            <w:vAlign w:val="bottom"/>
          </w:tcPr>
          <w:p>
            <w:pPr>
              <w:spacing w:after="0"/>
              <w:rPr>
                <w:sz w:val="1"/>
                <w:szCs w:val="1"/>
                <w:color w:val="auto"/>
              </w:rPr>
            </w:pPr>
          </w:p>
        </w:tc>
      </w:tr>
      <w:tr>
        <w:trPr>
          <w:trHeight w:val="195"/>
        </w:trPr>
        <w:tc>
          <w:tcPr>
            <w:tcW w:w="200" w:type="dxa"/>
            <w:vAlign w:val="bottom"/>
          </w:tcPr>
          <w:p>
            <w:pPr>
              <w:spacing w:after="0"/>
              <w:rPr>
                <w:sz w:val="20"/>
                <w:szCs w:val="20"/>
                <w:color w:val="auto"/>
              </w:rPr>
            </w:pPr>
            <w:r>
              <w:rPr>
                <w:rFonts w:ascii="Arial" w:cs="Arial" w:eastAsia="Arial" w:hAnsi="Arial"/>
                <w:sz w:val="15"/>
                <w:szCs w:val="15"/>
                <w:color w:val="auto"/>
              </w:rPr>
              <w:t>1.</w:t>
            </w:r>
          </w:p>
        </w:tc>
        <w:tc>
          <w:tcPr>
            <w:tcW w:w="2060" w:type="dxa"/>
            <w:vAlign w:val="bottom"/>
          </w:tcPr>
          <w:p>
            <w:pPr>
              <w:ind w:left="80"/>
              <w:spacing w:after="0"/>
              <w:rPr>
                <w:sz w:val="20"/>
                <w:szCs w:val="20"/>
                <w:color w:val="auto"/>
              </w:rPr>
            </w:pPr>
            <w:r>
              <w:rPr>
                <w:rFonts w:ascii="Arial" w:cs="Arial" w:eastAsia="Arial" w:hAnsi="Arial"/>
                <w:sz w:val="15"/>
                <w:szCs w:val="15"/>
                <w:color w:val="auto"/>
              </w:rPr>
              <w:t>Election of three</w:t>
            </w:r>
          </w:p>
        </w:tc>
        <w:tc>
          <w:tcPr>
            <w:tcW w:w="1820" w:type="dxa"/>
            <w:vAlign w:val="bottom"/>
          </w:tcPr>
          <w:p>
            <w:pPr>
              <w:ind w:left="40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all three</w:t>
            </w:r>
          </w:p>
        </w:tc>
        <w:tc>
          <w:tcPr>
            <w:tcW w:w="2160" w:type="dxa"/>
            <w:vAlign w:val="bottom"/>
          </w:tcPr>
          <w:p>
            <w:pPr>
              <w:ind w:left="320"/>
              <w:spacing w:after="0"/>
              <w:rPr>
                <w:sz w:val="20"/>
                <w:szCs w:val="20"/>
                <w:color w:val="auto"/>
              </w:rPr>
            </w:pPr>
            <w:r>
              <w:rPr>
                <w:rFonts w:ascii="Arial" w:cs="Arial" w:eastAsia="Arial" w:hAnsi="Arial"/>
                <w:sz w:val="15"/>
                <w:szCs w:val="15"/>
                <w:color w:val="auto"/>
              </w:rPr>
              <w:t>FOR all three</w:t>
            </w:r>
          </w:p>
        </w:tc>
        <w:tc>
          <w:tcPr>
            <w:tcW w:w="2140" w:type="dxa"/>
            <w:vAlign w:val="bottom"/>
          </w:tcPr>
          <w:p>
            <w:pPr>
              <w:ind w:left="380"/>
              <w:spacing w:after="0"/>
              <w:rPr>
                <w:sz w:val="20"/>
                <w:szCs w:val="20"/>
                <w:color w:val="auto"/>
              </w:rPr>
            </w:pPr>
            <w:r>
              <w:rPr>
                <w:rFonts w:ascii="Arial" w:cs="Arial" w:eastAsia="Arial" w:hAnsi="Arial"/>
                <w:sz w:val="15"/>
                <w:szCs w:val="15"/>
                <w:color w:val="auto"/>
              </w:rPr>
              <w:t>Plurality: the</w:t>
            </w:r>
          </w:p>
        </w:tc>
        <w:tc>
          <w:tcPr>
            <w:tcW w:w="1540" w:type="dxa"/>
            <w:vAlign w:val="bottom"/>
          </w:tcPr>
          <w:p>
            <w:pPr>
              <w:ind w:left="380"/>
              <w:spacing w:after="0"/>
              <w:rPr>
                <w:sz w:val="20"/>
                <w:szCs w:val="20"/>
                <w:color w:val="auto"/>
              </w:rPr>
            </w:pPr>
            <w:r>
              <w:rPr>
                <w:rFonts w:ascii="Arial" w:cs="Arial" w:eastAsia="Arial" w:hAnsi="Arial"/>
                <w:sz w:val="15"/>
                <w:szCs w:val="15"/>
                <w:color w:val="auto"/>
              </w:rPr>
              <w:t>Counted as a</w:t>
            </w:r>
          </w:p>
        </w:tc>
        <w:tc>
          <w:tcPr>
            <w:tcW w:w="1500" w:type="dxa"/>
            <w:vAlign w:val="bottom"/>
          </w:tcPr>
          <w:p>
            <w:pPr>
              <w:ind w:left="26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directors, each to serve</w:t>
            </w:r>
          </w:p>
        </w:tc>
        <w:tc>
          <w:tcPr>
            <w:tcW w:w="1820" w:type="dxa"/>
            <w:vAlign w:val="bottom"/>
          </w:tcPr>
          <w:p>
            <w:pPr>
              <w:ind w:left="400"/>
              <w:spacing w:after="0"/>
              <w:rPr>
                <w:sz w:val="20"/>
                <w:szCs w:val="20"/>
                <w:color w:val="auto"/>
              </w:rPr>
            </w:pPr>
            <w:r>
              <w:rPr>
                <w:rFonts w:ascii="Arial" w:cs="Arial" w:eastAsia="Arial" w:hAnsi="Arial"/>
                <w:sz w:val="15"/>
                <w:szCs w:val="15"/>
                <w:color w:val="auto"/>
              </w:rPr>
              <w:t>nominees</w:t>
            </w:r>
          </w:p>
        </w:tc>
        <w:tc>
          <w:tcPr>
            <w:tcW w:w="2160" w:type="dxa"/>
            <w:vAlign w:val="bottom"/>
          </w:tcPr>
          <w:p>
            <w:pPr>
              <w:ind w:left="320"/>
              <w:spacing w:after="0"/>
              <w:rPr>
                <w:sz w:val="20"/>
                <w:szCs w:val="20"/>
                <w:color w:val="auto"/>
              </w:rPr>
            </w:pPr>
            <w:r>
              <w:rPr>
                <w:rFonts w:ascii="Arial" w:cs="Arial" w:eastAsia="Arial" w:hAnsi="Arial"/>
                <w:sz w:val="15"/>
                <w:szCs w:val="15"/>
                <w:color w:val="auto"/>
              </w:rPr>
              <w:t>nominees;</w:t>
            </w:r>
          </w:p>
        </w:tc>
        <w:tc>
          <w:tcPr>
            <w:tcW w:w="2140" w:type="dxa"/>
            <w:vAlign w:val="bottom"/>
          </w:tcPr>
          <w:p>
            <w:pPr>
              <w:ind w:left="380"/>
              <w:spacing w:after="0"/>
              <w:rPr>
                <w:sz w:val="20"/>
                <w:szCs w:val="20"/>
                <w:color w:val="auto"/>
              </w:rPr>
            </w:pPr>
            <w:r>
              <w:rPr>
                <w:rFonts w:ascii="Arial" w:cs="Arial" w:eastAsia="Arial" w:hAnsi="Arial"/>
                <w:sz w:val="15"/>
                <w:szCs w:val="15"/>
                <w:color w:val="auto"/>
              </w:rPr>
              <w:t>individuals who</w:t>
            </w:r>
          </w:p>
        </w:tc>
        <w:tc>
          <w:tcPr>
            <w:tcW w:w="1540" w:type="dxa"/>
            <w:vAlign w:val="bottom"/>
          </w:tcPr>
          <w:p>
            <w:pPr>
              <w:ind w:left="380"/>
              <w:spacing w:after="0"/>
              <w:rPr>
                <w:sz w:val="20"/>
                <w:szCs w:val="20"/>
                <w:color w:val="auto"/>
              </w:rPr>
            </w:pPr>
            <w:r>
              <w:rPr>
                <w:rFonts w:ascii="Arial" w:cs="Arial" w:eastAsia="Arial" w:hAnsi="Arial"/>
                <w:sz w:val="15"/>
                <w:szCs w:val="15"/>
                <w:color w:val="auto"/>
              </w:rPr>
              <w:t>vote against</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5"/>
                <w:szCs w:val="15"/>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for a term of three</w:t>
            </w:r>
          </w:p>
        </w:tc>
        <w:tc>
          <w:tcPr>
            <w:tcW w:w="1820" w:type="dxa"/>
            <w:vAlign w:val="bottom"/>
          </w:tcPr>
          <w:p>
            <w:pPr>
              <w:spacing w:after="0"/>
              <w:rPr>
                <w:sz w:val="15"/>
                <w:szCs w:val="15"/>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WITHHOLD from all</w:t>
            </w:r>
          </w:p>
        </w:tc>
        <w:tc>
          <w:tcPr>
            <w:tcW w:w="2140" w:type="dxa"/>
            <w:vAlign w:val="bottom"/>
          </w:tcPr>
          <w:p>
            <w:pPr>
              <w:ind w:left="380"/>
              <w:spacing w:after="0"/>
              <w:rPr>
                <w:sz w:val="20"/>
                <w:szCs w:val="20"/>
                <w:color w:val="auto"/>
              </w:rPr>
            </w:pPr>
            <w:r>
              <w:rPr>
                <w:rFonts w:ascii="Arial" w:cs="Arial" w:eastAsia="Arial" w:hAnsi="Arial"/>
                <w:sz w:val="15"/>
                <w:szCs w:val="15"/>
                <w:color w:val="auto"/>
              </w:rPr>
              <w:t>receive the greatest</w:t>
            </w: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5"/>
                <w:szCs w:val="15"/>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years ending at the</w:t>
            </w:r>
          </w:p>
        </w:tc>
        <w:tc>
          <w:tcPr>
            <w:tcW w:w="1820" w:type="dxa"/>
            <w:vAlign w:val="bottom"/>
          </w:tcPr>
          <w:p>
            <w:pPr>
              <w:spacing w:after="0"/>
              <w:rPr>
                <w:sz w:val="15"/>
                <w:szCs w:val="15"/>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three nominees;</w:t>
            </w:r>
          </w:p>
        </w:tc>
        <w:tc>
          <w:tcPr>
            <w:tcW w:w="2140" w:type="dxa"/>
            <w:vAlign w:val="bottom"/>
          </w:tcPr>
          <w:p>
            <w:pPr>
              <w:ind w:left="380"/>
              <w:spacing w:after="0"/>
              <w:rPr>
                <w:sz w:val="20"/>
                <w:szCs w:val="20"/>
                <w:color w:val="auto"/>
              </w:rPr>
            </w:pPr>
            <w:r>
              <w:rPr>
                <w:rFonts w:ascii="Arial" w:cs="Arial" w:eastAsia="Arial" w:hAnsi="Arial"/>
                <w:sz w:val="15"/>
                <w:szCs w:val="15"/>
                <w:color w:val="auto"/>
              </w:rPr>
              <w:t>number of votes cast</w:t>
            </w: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2023 Annual Meeting of</w:t>
            </w:r>
          </w:p>
        </w:tc>
        <w:tc>
          <w:tcPr>
            <w:tcW w:w="1820" w:type="dxa"/>
            <w:vAlign w:val="bottom"/>
          </w:tcPr>
          <w:p>
            <w:pPr>
              <w:spacing w:after="0"/>
              <w:rPr>
                <w:sz w:val="17"/>
                <w:szCs w:val="17"/>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or WITHHOLD from</w:t>
            </w:r>
          </w:p>
        </w:tc>
        <w:tc>
          <w:tcPr>
            <w:tcW w:w="2140" w:type="dxa"/>
            <w:vAlign w:val="bottom"/>
          </w:tcPr>
          <w:p>
            <w:pPr>
              <w:ind w:left="380"/>
              <w:spacing w:after="0"/>
              <w:rPr>
                <w:sz w:val="20"/>
                <w:szCs w:val="20"/>
                <w:color w:val="auto"/>
              </w:rPr>
            </w:pPr>
            <w:r>
              <w:rPr>
                <w:rFonts w:ascii="Arial" w:cs="Arial" w:eastAsia="Arial" w:hAnsi="Arial"/>
                <w:sz w:val="15"/>
                <w:szCs w:val="15"/>
                <w:color w:val="auto"/>
              </w:rPr>
              <w:t>“for” are elected as</w:t>
            </w: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Shareholders</w:t>
            </w:r>
          </w:p>
        </w:tc>
        <w:tc>
          <w:tcPr>
            <w:tcW w:w="1820" w:type="dxa"/>
            <w:vAlign w:val="bottom"/>
          </w:tcPr>
          <w:p>
            <w:pPr>
              <w:spacing w:after="0"/>
              <w:rPr>
                <w:sz w:val="16"/>
                <w:szCs w:val="16"/>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one or more nominees</w:t>
            </w:r>
          </w:p>
        </w:tc>
        <w:tc>
          <w:tcPr>
            <w:tcW w:w="2140" w:type="dxa"/>
            <w:vAlign w:val="bottom"/>
          </w:tcPr>
          <w:p>
            <w:pPr>
              <w:ind w:left="380"/>
              <w:spacing w:after="0" w:line="189" w:lineRule="exact"/>
              <w:rPr>
                <w:sz w:val="20"/>
                <w:szCs w:val="20"/>
                <w:color w:val="auto"/>
              </w:rPr>
            </w:pPr>
            <w:r>
              <w:rPr>
                <w:rFonts w:ascii="Arial" w:cs="Arial" w:eastAsia="Arial" w:hAnsi="Arial"/>
                <w:sz w:val="13"/>
                <w:szCs w:val="13"/>
                <w:color w:val="auto"/>
              </w:rPr>
              <w:t>directors</w:t>
            </w:r>
            <w:r>
              <w:rPr>
                <w:rFonts w:ascii="Arial" w:cs="Arial" w:eastAsia="Arial" w:hAnsi="Arial"/>
                <w:sz w:val="21"/>
                <w:szCs w:val="21"/>
                <w:color w:val="auto"/>
                <w:vertAlign w:val="superscript"/>
              </w:rPr>
              <w:t>(1)</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shd w:val="clear" w:color="auto" w:fill="D9D9D9"/>
          </w:tcPr>
          <w:p>
            <w:pPr>
              <w:spacing w:after="0"/>
              <w:rPr>
                <w:sz w:val="20"/>
                <w:szCs w:val="20"/>
                <w:color w:val="auto"/>
              </w:rPr>
            </w:pPr>
            <w:r>
              <w:rPr>
                <w:rFonts w:ascii="Arial" w:cs="Arial" w:eastAsia="Arial" w:hAnsi="Arial"/>
                <w:sz w:val="15"/>
                <w:szCs w:val="15"/>
                <w:color w:val="auto"/>
              </w:rPr>
              <w:t>2.</w:t>
            </w:r>
          </w:p>
        </w:tc>
        <w:tc>
          <w:tcPr>
            <w:tcW w:w="2060" w:type="dxa"/>
            <w:vAlign w:val="bottom"/>
            <w:shd w:val="clear" w:color="auto" w:fill="D9D9D9"/>
          </w:tcPr>
          <w:p>
            <w:pPr>
              <w:ind w:left="80"/>
              <w:spacing w:after="0"/>
              <w:rPr>
                <w:sz w:val="20"/>
                <w:szCs w:val="20"/>
                <w:color w:val="auto"/>
              </w:rPr>
            </w:pPr>
            <w:r>
              <w:rPr>
                <w:rFonts w:ascii="Arial" w:cs="Arial" w:eastAsia="Arial" w:hAnsi="Arial"/>
                <w:sz w:val="15"/>
                <w:szCs w:val="15"/>
                <w:color w:val="auto"/>
              </w:rPr>
              <w:t>Ratification of the</w:t>
            </w:r>
          </w:p>
        </w:tc>
        <w:tc>
          <w:tcPr>
            <w:tcW w:w="1820" w:type="dxa"/>
            <w:vAlign w:val="bottom"/>
            <w:shd w:val="clear" w:color="auto" w:fill="D9D9D9"/>
          </w:tcPr>
          <w:p>
            <w:pPr>
              <w:ind w:left="400"/>
              <w:spacing w:after="0"/>
              <w:rPr>
                <w:sz w:val="20"/>
                <w:szCs w:val="20"/>
                <w:color w:val="auto"/>
              </w:rPr>
            </w:pPr>
            <w:r>
              <w:rPr>
                <w:rFonts w:ascii="Arial" w:cs="Arial" w:eastAsia="Arial" w:hAnsi="Arial"/>
                <w:sz w:val="15"/>
                <w:szCs w:val="15"/>
                <w:b w:val="1"/>
                <w:bCs w:val="1"/>
                <w:color w:val="auto"/>
              </w:rPr>
              <w:t>FOR</w:t>
            </w:r>
          </w:p>
        </w:tc>
        <w:tc>
          <w:tcPr>
            <w:tcW w:w="2160" w:type="dxa"/>
            <w:vAlign w:val="bottom"/>
            <w:shd w:val="clear" w:color="auto" w:fill="D9D9D9"/>
          </w:tcPr>
          <w:p>
            <w:pPr>
              <w:ind w:left="320"/>
              <w:spacing w:after="0"/>
              <w:rPr>
                <w:sz w:val="20"/>
                <w:szCs w:val="20"/>
                <w:color w:val="auto"/>
              </w:rPr>
            </w:pPr>
            <w:r>
              <w:rPr>
                <w:rFonts w:ascii="Arial" w:cs="Arial" w:eastAsia="Arial" w:hAnsi="Arial"/>
                <w:sz w:val="15"/>
                <w:szCs w:val="15"/>
                <w:color w:val="auto"/>
              </w:rPr>
              <w:t>FOR; AGAINST;</w:t>
            </w:r>
          </w:p>
        </w:tc>
        <w:tc>
          <w:tcPr>
            <w:tcW w:w="21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Majority of shares</w:t>
            </w:r>
          </w:p>
        </w:tc>
        <w:tc>
          <w:tcPr>
            <w:tcW w:w="15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Counted as a</w:t>
            </w:r>
          </w:p>
        </w:tc>
        <w:tc>
          <w:tcPr>
            <w:tcW w:w="1500" w:type="dxa"/>
            <w:vAlign w:val="bottom"/>
            <w:shd w:val="clear" w:color="auto" w:fill="D9D9D9"/>
          </w:tcPr>
          <w:p>
            <w:pPr>
              <w:ind w:left="260"/>
              <w:spacing w:after="0"/>
              <w:rPr>
                <w:sz w:val="20"/>
                <w:szCs w:val="20"/>
                <w:color w:val="auto"/>
              </w:rPr>
            </w:pPr>
            <w:r>
              <w:rPr>
                <w:rFonts w:ascii="Arial" w:cs="Arial" w:eastAsia="Arial" w:hAnsi="Arial"/>
                <w:sz w:val="15"/>
                <w:szCs w:val="15"/>
                <w:color w:val="auto"/>
              </w:rPr>
              <w:t>Not</w:t>
            </w:r>
          </w:p>
        </w:tc>
        <w:tc>
          <w:tcPr>
            <w:tcW w:w="0" w:type="dxa"/>
            <w:vAlign w:val="bottom"/>
          </w:tcPr>
          <w:p>
            <w:pPr>
              <w:spacing w:after="0"/>
              <w:rPr>
                <w:sz w:val="1"/>
                <w:szCs w:val="1"/>
                <w:color w:val="auto"/>
              </w:rPr>
            </w:pPr>
          </w:p>
        </w:tc>
      </w:tr>
      <w:tr>
        <w:trPr>
          <w:trHeight w:val="192"/>
        </w:trPr>
        <w:tc>
          <w:tcPr>
            <w:tcW w:w="200" w:type="dxa"/>
            <w:vAlign w:val="bottom"/>
            <w:shd w:val="clear" w:color="auto" w:fill="D9D9D9"/>
          </w:tcPr>
          <w:p>
            <w:pPr>
              <w:spacing w:after="0"/>
              <w:rPr>
                <w:sz w:val="16"/>
                <w:szCs w:val="16"/>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selection of KPMG LLP</w:t>
            </w:r>
          </w:p>
        </w:tc>
        <w:tc>
          <w:tcPr>
            <w:tcW w:w="1820" w:type="dxa"/>
            <w:vAlign w:val="bottom"/>
            <w:shd w:val="clear" w:color="auto" w:fill="D9D9D9"/>
          </w:tcPr>
          <w:p>
            <w:pPr>
              <w:spacing w:after="0"/>
              <w:rPr>
                <w:sz w:val="16"/>
                <w:szCs w:val="16"/>
                <w:color w:val="auto"/>
              </w:rPr>
            </w:pPr>
          </w:p>
        </w:tc>
        <w:tc>
          <w:tcPr>
            <w:tcW w:w="2160" w:type="dxa"/>
            <w:vAlign w:val="bottom"/>
            <w:shd w:val="clear" w:color="auto" w:fill="D9D9D9"/>
          </w:tcPr>
          <w:p>
            <w:pPr>
              <w:ind w:left="320"/>
              <w:spacing w:after="0"/>
              <w:rPr>
                <w:sz w:val="20"/>
                <w:szCs w:val="20"/>
                <w:color w:val="auto"/>
              </w:rPr>
            </w:pPr>
            <w:r>
              <w:rPr>
                <w:rFonts w:ascii="Arial" w:cs="Arial" w:eastAsia="Arial" w:hAnsi="Arial"/>
                <w:sz w:val="15"/>
                <w:szCs w:val="15"/>
                <w:color w:val="auto"/>
              </w:rPr>
              <w:t>or ABSTAIN</w:t>
            </w:r>
          </w:p>
        </w:tc>
        <w:tc>
          <w:tcPr>
            <w:tcW w:w="21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present and entitled</w:t>
            </w:r>
          </w:p>
        </w:tc>
        <w:tc>
          <w:tcPr>
            <w:tcW w:w="15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vote against</w:t>
            </w:r>
          </w:p>
        </w:tc>
        <w:tc>
          <w:tcPr>
            <w:tcW w:w="1500" w:type="dxa"/>
            <w:vAlign w:val="bottom"/>
            <w:shd w:val="clear" w:color="auto" w:fill="D9D9D9"/>
          </w:tcPr>
          <w:p>
            <w:pPr>
              <w:ind w:left="260"/>
              <w:spacing w:after="0"/>
              <w:rPr>
                <w:sz w:val="20"/>
                <w:szCs w:val="20"/>
                <w:color w:val="auto"/>
              </w:rPr>
            </w:pPr>
            <w:r>
              <w:rPr>
                <w:rFonts w:ascii="Arial" w:cs="Arial" w:eastAsia="Arial" w:hAnsi="Arial"/>
                <w:sz w:val="15"/>
                <w:szCs w:val="15"/>
                <w:color w:val="auto"/>
              </w:rPr>
              <w:t>applicable</w:t>
            </w:r>
          </w:p>
        </w:tc>
        <w:tc>
          <w:tcPr>
            <w:tcW w:w="0" w:type="dxa"/>
            <w:vAlign w:val="bottom"/>
          </w:tcPr>
          <w:p>
            <w:pPr>
              <w:spacing w:after="0"/>
              <w:rPr>
                <w:sz w:val="1"/>
                <w:szCs w:val="1"/>
                <w:color w:val="auto"/>
              </w:rPr>
            </w:pPr>
          </w:p>
        </w:tc>
      </w:tr>
      <w:tr>
        <w:trPr>
          <w:trHeight w:val="184"/>
        </w:trPr>
        <w:tc>
          <w:tcPr>
            <w:tcW w:w="200" w:type="dxa"/>
            <w:vAlign w:val="bottom"/>
            <w:shd w:val="clear" w:color="auto" w:fill="D9D9D9"/>
          </w:tcPr>
          <w:p>
            <w:pPr>
              <w:spacing w:after="0"/>
              <w:rPr>
                <w:sz w:val="15"/>
                <w:szCs w:val="15"/>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as our independent</w:t>
            </w:r>
          </w:p>
        </w:tc>
        <w:tc>
          <w:tcPr>
            <w:tcW w:w="182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140" w:type="dxa"/>
            <w:vAlign w:val="bottom"/>
            <w:shd w:val="clear" w:color="auto" w:fill="D9D9D9"/>
          </w:tcPr>
          <w:p>
            <w:pPr>
              <w:ind w:left="380"/>
              <w:spacing w:after="0"/>
              <w:rPr>
                <w:sz w:val="20"/>
                <w:szCs w:val="20"/>
                <w:color w:val="auto"/>
              </w:rPr>
            </w:pPr>
            <w:r>
              <w:rPr>
                <w:rFonts w:ascii="Arial" w:cs="Arial" w:eastAsia="Arial" w:hAnsi="Arial"/>
                <w:sz w:val="15"/>
                <w:szCs w:val="15"/>
                <w:color w:val="auto"/>
              </w:rPr>
              <w:t>to vote</w:t>
            </w:r>
          </w:p>
        </w:tc>
        <w:tc>
          <w:tcPr>
            <w:tcW w:w="1540" w:type="dxa"/>
            <w:vAlign w:val="bottom"/>
            <w:shd w:val="clear" w:color="auto" w:fill="D9D9D9"/>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 w:type="dxa"/>
            <w:vAlign w:val="bottom"/>
            <w:shd w:val="clear" w:color="auto" w:fill="D9D9D9"/>
          </w:tcPr>
          <w:p>
            <w:pPr>
              <w:spacing w:after="0"/>
              <w:rPr>
                <w:sz w:val="15"/>
                <w:szCs w:val="15"/>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registered public</w:t>
            </w:r>
          </w:p>
        </w:tc>
        <w:tc>
          <w:tcPr>
            <w:tcW w:w="182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140" w:type="dxa"/>
            <w:vAlign w:val="bottom"/>
            <w:shd w:val="clear" w:color="auto" w:fill="D9D9D9"/>
          </w:tcPr>
          <w:p>
            <w:pPr>
              <w:spacing w:after="0"/>
              <w:rPr>
                <w:sz w:val="15"/>
                <w:szCs w:val="15"/>
                <w:color w:val="auto"/>
              </w:rPr>
            </w:pPr>
          </w:p>
        </w:tc>
        <w:tc>
          <w:tcPr>
            <w:tcW w:w="1540" w:type="dxa"/>
            <w:vAlign w:val="bottom"/>
            <w:shd w:val="clear" w:color="auto" w:fill="D9D9D9"/>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accounting firm for our</w:t>
            </w:r>
          </w:p>
        </w:tc>
        <w:tc>
          <w:tcPr>
            <w:tcW w:w="1820" w:type="dxa"/>
            <w:vAlign w:val="bottom"/>
            <w:shd w:val="clear" w:color="auto" w:fill="D9D9D9"/>
          </w:tcPr>
          <w:p>
            <w:pPr>
              <w:spacing w:after="0"/>
              <w:rPr>
                <w:sz w:val="17"/>
                <w:szCs w:val="17"/>
                <w:color w:val="auto"/>
              </w:rPr>
            </w:pPr>
          </w:p>
        </w:tc>
        <w:tc>
          <w:tcPr>
            <w:tcW w:w="2160" w:type="dxa"/>
            <w:vAlign w:val="bottom"/>
            <w:shd w:val="clear" w:color="auto" w:fill="D9D9D9"/>
          </w:tcPr>
          <w:p>
            <w:pPr>
              <w:spacing w:after="0"/>
              <w:rPr>
                <w:sz w:val="17"/>
                <w:szCs w:val="17"/>
                <w:color w:val="auto"/>
              </w:rPr>
            </w:pPr>
          </w:p>
        </w:tc>
        <w:tc>
          <w:tcPr>
            <w:tcW w:w="2140" w:type="dxa"/>
            <w:vAlign w:val="bottom"/>
            <w:shd w:val="clear" w:color="auto" w:fill="D9D9D9"/>
          </w:tcPr>
          <w:p>
            <w:pPr>
              <w:spacing w:after="0"/>
              <w:rPr>
                <w:sz w:val="17"/>
                <w:szCs w:val="17"/>
                <w:color w:val="auto"/>
              </w:rPr>
            </w:pPr>
          </w:p>
        </w:tc>
        <w:tc>
          <w:tcPr>
            <w:tcW w:w="1540" w:type="dxa"/>
            <w:vAlign w:val="bottom"/>
            <w:shd w:val="clear" w:color="auto" w:fill="D9D9D9"/>
          </w:tcPr>
          <w:p>
            <w:pPr>
              <w:spacing w:after="0"/>
              <w:rPr>
                <w:sz w:val="17"/>
                <w:szCs w:val="17"/>
                <w:color w:val="auto"/>
              </w:rPr>
            </w:pPr>
          </w:p>
        </w:tc>
        <w:tc>
          <w:tcPr>
            <w:tcW w:w="15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0" w:type="dxa"/>
            <w:vAlign w:val="bottom"/>
            <w:shd w:val="clear" w:color="auto" w:fill="D9D9D9"/>
          </w:tcPr>
          <w:p>
            <w:pPr>
              <w:spacing w:after="0"/>
              <w:rPr>
                <w:sz w:val="15"/>
                <w:szCs w:val="15"/>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fiscal year ending</w:t>
            </w:r>
          </w:p>
        </w:tc>
        <w:tc>
          <w:tcPr>
            <w:tcW w:w="1820" w:type="dxa"/>
            <w:vAlign w:val="bottom"/>
            <w:shd w:val="clear" w:color="auto" w:fill="D9D9D9"/>
          </w:tcPr>
          <w:p>
            <w:pPr>
              <w:spacing w:after="0"/>
              <w:rPr>
                <w:sz w:val="15"/>
                <w:szCs w:val="15"/>
                <w:color w:val="auto"/>
              </w:rPr>
            </w:pPr>
          </w:p>
        </w:tc>
        <w:tc>
          <w:tcPr>
            <w:tcW w:w="2160" w:type="dxa"/>
            <w:vAlign w:val="bottom"/>
            <w:shd w:val="clear" w:color="auto" w:fill="D9D9D9"/>
          </w:tcPr>
          <w:p>
            <w:pPr>
              <w:spacing w:after="0"/>
              <w:rPr>
                <w:sz w:val="15"/>
                <w:szCs w:val="15"/>
                <w:color w:val="auto"/>
              </w:rPr>
            </w:pPr>
          </w:p>
        </w:tc>
        <w:tc>
          <w:tcPr>
            <w:tcW w:w="2140" w:type="dxa"/>
            <w:vAlign w:val="bottom"/>
            <w:shd w:val="clear" w:color="auto" w:fill="D9D9D9"/>
          </w:tcPr>
          <w:p>
            <w:pPr>
              <w:spacing w:after="0"/>
              <w:rPr>
                <w:sz w:val="15"/>
                <w:szCs w:val="15"/>
                <w:color w:val="auto"/>
              </w:rPr>
            </w:pPr>
          </w:p>
        </w:tc>
        <w:tc>
          <w:tcPr>
            <w:tcW w:w="1540" w:type="dxa"/>
            <w:vAlign w:val="bottom"/>
            <w:shd w:val="clear" w:color="auto" w:fill="D9D9D9"/>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0" w:type="dxa"/>
            <w:vAlign w:val="bottom"/>
            <w:shd w:val="clear" w:color="auto" w:fill="D9D9D9"/>
          </w:tcPr>
          <w:p>
            <w:pPr>
              <w:spacing w:after="0"/>
              <w:rPr>
                <w:sz w:val="17"/>
                <w:szCs w:val="17"/>
                <w:color w:val="auto"/>
              </w:rPr>
            </w:pPr>
          </w:p>
        </w:tc>
        <w:tc>
          <w:tcPr>
            <w:tcW w:w="2060" w:type="dxa"/>
            <w:vAlign w:val="bottom"/>
            <w:shd w:val="clear" w:color="auto" w:fill="D9D9D9"/>
          </w:tcPr>
          <w:p>
            <w:pPr>
              <w:ind w:left="100"/>
              <w:spacing w:after="0"/>
              <w:rPr>
                <w:sz w:val="20"/>
                <w:szCs w:val="20"/>
                <w:color w:val="auto"/>
              </w:rPr>
            </w:pPr>
            <w:r>
              <w:rPr>
                <w:rFonts w:ascii="Arial" w:cs="Arial" w:eastAsia="Arial" w:hAnsi="Arial"/>
                <w:sz w:val="15"/>
                <w:szCs w:val="15"/>
                <w:color w:val="auto"/>
              </w:rPr>
              <w:t>October 31, 2020</w:t>
            </w:r>
          </w:p>
        </w:tc>
        <w:tc>
          <w:tcPr>
            <w:tcW w:w="1820" w:type="dxa"/>
            <w:vAlign w:val="bottom"/>
            <w:shd w:val="clear" w:color="auto" w:fill="D9D9D9"/>
          </w:tcPr>
          <w:p>
            <w:pPr>
              <w:spacing w:after="0"/>
              <w:rPr>
                <w:sz w:val="17"/>
                <w:szCs w:val="17"/>
                <w:color w:val="auto"/>
              </w:rPr>
            </w:pPr>
          </w:p>
        </w:tc>
        <w:tc>
          <w:tcPr>
            <w:tcW w:w="2160" w:type="dxa"/>
            <w:vAlign w:val="bottom"/>
            <w:shd w:val="clear" w:color="auto" w:fill="D9D9D9"/>
          </w:tcPr>
          <w:p>
            <w:pPr>
              <w:spacing w:after="0"/>
              <w:rPr>
                <w:sz w:val="17"/>
                <w:szCs w:val="17"/>
                <w:color w:val="auto"/>
              </w:rPr>
            </w:pPr>
          </w:p>
        </w:tc>
        <w:tc>
          <w:tcPr>
            <w:tcW w:w="2140" w:type="dxa"/>
            <w:vAlign w:val="bottom"/>
            <w:shd w:val="clear" w:color="auto" w:fill="D9D9D9"/>
          </w:tcPr>
          <w:p>
            <w:pPr>
              <w:spacing w:after="0"/>
              <w:rPr>
                <w:sz w:val="17"/>
                <w:szCs w:val="17"/>
                <w:color w:val="auto"/>
              </w:rPr>
            </w:pPr>
          </w:p>
        </w:tc>
        <w:tc>
          <w:tcPr>
            <w:tcW w:w="1540" w:type="dxa"/>
            <w:vAlign w:val="bottom"/>
            <w:shd w:val="clear" w:color="auto" w:fill="D9D9D9"/>
          </w:tcPr>
          <w:p>
            <w:pPr>
              <w:spacing w:after="0"/>
              <w:rPr>
                <w:sz w:val="17"/>
                <w:szCs w:val="17"/>
                <w:color w:val="auto"/>
              </w:rPr>
            </w:pPr>
          </w:p>
        </w:tc>
        <w:tc>
          <w:tcPr>
            <w:tcW w:w="15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60" w:type="dxa"/>
            <w:vAlign w:val="bottom"/>
            <w:gridSpan w:val="2"/>
          </w:tcPr>
          <w:p>
            <w:pPr>
              <w:spacing w:after="0"/>
              <w:rPr>
                <w:sz w:val="20"/>
                <w:szCs w:val="20"/>
                <w:color w:val="auto"/>
              </w:rPr>
            </w:pPr>
            <w:r>
              <w:rPr>
                <w:rFonts w:ascii="Arial" w:cs="Arial" w:eastAsia="Arial" w:hAnsi="Arial"/>
                <w:sz w:val="15"/>
                <w:szCs w:val="15"/>
                <w:color w:val="auto"/>
              </w:rPr>
              <w:t>3.  Approval of, on an</w:t>
            </w:r>
          </w:p>
        </w:tc>
        <w:tc>
          <w:tcPr>
            <w:tcW w:w="1820" w:type="dxa"/>
            <w:vAlign w:val="bottom"/>
          </w:tcPr>
          <w:p>
            <w:pPr>
              <w:ind w:left="400"/>
              <w:spacing w:after="0"/>
              <w:rPr>
                <w:sz w:val="20"/>
                <w:szCs w:val="20"/>
                <w:color w:val="auto"/>
              </w:rPr>
            </w:pPr>
            <w:r>
              <w:rPr>
                <w:rFonts w:ascii="Arial" w:cs="Arial" w:eastAsia="Arial" w:hAnsi="Arial"/>
                <w:sz w:val="15"/>
                <w:szCs w:val="15"/>
                <w:b w:val="1"/>
                <w:bCs w:val="1"/>
                <w:color w:val="auto"/>
              </w:rPr>
              <w:t>FOR</w:t>
            </w:r>
          </w:p>
        </w:tc>
        <w:tc>
          <w:tcPr>
            <w:tcW w:w="2160" w:type="dxa"/>
            <w:vAlign w:val="bottom"/>
          </w:tcPr>
          <w:p>
            <w:pPr>
              <w:ind w:left="320"/>
              <w:spacing w:after="0"/>
              <w:rPr>
                <w:sz w:val="20"/>
                <w:szCs w:val="20"/>
                <w:color w:val="auto"/>
              </w:rPr>
            </w:pPr>
            <w:r>
              <w:rPr>
                <w:rFonts w:ascii="Arial" w:cs="Arial" w:eastAsia="Arial" w:hAnsi="Arial"/>
                <w:sz w:val="15"/>
                <w:szCs w:val="15"/>
                <w:color w:val="auto"/>
              </w:rPr>
              <w:t>FOR; AGAINST;</w:t>
            </w:r>
          </w:p>
        </w:tc>
        <w:tc>
          <w:tcPr>
            <w:tcW w:w="2140" w:type="dxa"/>
            <w:vAlign w:val="bottom"/>
          </w:tcPr>
          <w:p>
            <w:pPr>
              <w:ind w:left="380"/>
              <w:spacing w:after="0"/>
              <w:rPr>
                <w:sz w:val="20"/>
                <w:szCs w:val="20"/>
                <w:color w:val="auto"/>
              </w:rPr>
            </w:pPr>
            <w:r>
              <w:rPr>
                <w:rFonts w:ascii="Arial" w:cs="Arial" w:eastAsia="Arial" w:hAnsi="Arial"/>
                <w:sz w:val="15"/>
                <w:szCs w:val="15"/>
                <w:color w:val="auto"/>
              </w:rPr>
              <w:t>Majority of shares</w:t>
            </w:r>
          </w:p>
        </w:tc>
        <w:tc>
          <w:tcPr>
            <w:tcW w:w="1540" w:type="dxa"/>
            <w:vAlign w:val="bottom"/>
          </w:tcPr>
          <w:p>
            <w:pPr>
              <w:ind w:left="380"/>
              <w:spacing w:after="0"/>
              <w:rPr>
                <w:sz w:val="20"/>
                <w:szCs w:val="20"/>
                <w:color w:val="auto"/>
              </w:rPr>
            </w:pPr>
            <w:r>
              <w:rPr>
                <w:rFonts w:ascii="Arial" w:cs="Arial" w:eastAsia="Arial" w:hAnsi="Arial"/>
                <w:sz w:val="15"/>
                <w:szCs w:val="15"/>
                <w:color w:val="auto"/>
              </w:rPr>
              <w:t>Counted as a</w:t>
            </w:r>
          </w:p>
        </w:tc>
        <w:tc>
          <w:tcPr>
            <w:tcW w:w="1500" w:type="dxa"/>
            <w:vAlign w:val="bottom"/>
          </w:tcPr>
          <w:p>
            <w:pPr>
              <w:ind w:left="26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advisory basis, our</w:t>
            </w:r>
          </w:p>
        </w:tc>
        <w:tc>
          <w:tcPr>
            <w:tcW w:w="1820" w:type="dxa"/>
            <w:vAlign w:val="bottom"/>
          </w:tcPr>
          <w:p>
            <w:pPr>
              <w:spacing w:after="0"/>
              <w:rPr>
                <w:sz w:val="16"/>
                <w:szCs w:val="16"/>
                <w:color w:val="auto"/>
              </w:rPr>
            </w:pPr>
          </w:p>
        </w:tc>
        <w:tc>
          <w:tcPr>
            <w:tcW w:w="2160" w:type="dxa"/>
            <w:vAlign w:val="bottom"/>
          </w:tcPr>
          <w:p>
            <w:pPr>
              <w:ind w:left="320"/>
              <w:spacing w:after="0"/>
              <w:rPr>
                <w:sz w:val="20"/>
                <w:szCs w:val="20"/>
                <w:color w:val="auto"/>
              </w:rPr>
            </w:pPr>
            <w:r>
              <w:rPr>
                <w:rFonts w:ascii="Arial" w:cs="Arial" w:eastAsia="Arial" w:hAnsi="Arial"/>
                <w:sz w:val="15"/>
                <w:szCs w:val="15"/>
                <w:color w:val="auto"/>
              </w:rPr>
              <w:t>or ABSTAIN</w:t>
            </w:r>
          </w:p>
        </w:tc>
        <w:tc>
          <w:tcPr>
            <w:tcW w:w="2140" w:type="dxa"/>
            <w:vAlign w:val="bottom"/>
          </w:tcPr>
          <w:p>
            <w:pPr>
              <w:ind w:left="380"/>
              <w:spacing w:after="0"/>
              <w:rPr>
                <w:sz w:val="20"/>
                <w:szCs w:val="20"/>
                <w:color w:val="auto"/>
              </w:rPr>
            </w:pPr>
            <w:r>
              <w:rPr>
                <w:rFonts w:ascii="Arial" w:cs="Arial" w:eastAsia="Arial" w:hAnsi="Arial"/>
                <w:sz w:val="15"/>
                <w:szCs w:val="15"/>
                <w:color w:val="auto"/>
              </w:rPr>
              <w:t>present and entitled</w:t>
            </w:r>
          </w:p>
        </w:tc>
        <w:tc>
          <w:tcPr>
            <w:tcW w:w="1540" w:type="dxa"/>
            <w:vAlign w:val="bottom"/>
          </w:tcPr>
          <w:p>
            <w:pPr>
              <w:ind w:left="380"/>
              <w:spacing w:after="0"/>
              <w:rPr>
                <w:sz w:val="20"/>
                <w:szCs w:val="20"/>
                <w:color w:val="auto"/>
              </w:rPr>
            </w:pPr>
            <w:r>
              <w:rPr>
                <w:rFonts w:ascii="Arial" w:cs="Arial" w:eastAsia="Arial" w:hAnsi="Arial"/>
                <w:sz w:val="15"/>
                <w:szCs w:val="15"/>
                <w:color w:val="auto"/>
              </w:rPr>
              <w:t>vote against</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5"/>
                <w:szCs w:val="15"/>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executive</w:t>
            </w:r>
          </w:p>
        </w:tc>
        <w:tc>
          <w:tcPr>
            <w:tcW w:w="1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40" w:type="dxa"/>
            <w:vAlign w:val="bottom"/>
          </w:tcPr>
          <w:p>
            <w:pPr>
              <w:ind w:left="380"/>
              <w:spacing w:after="0"/>
              <w:rPr>
                <w:sz w:val="20"/>
                <w:szCs w:val="20"/>
                <w:color w:val="auto"/>
              </w:rPr>
            </w:pPr>
            <w:r>
              <w:rPr>
                <w:rFonts w:ascii="Arial" w:cs="Arial" w:eastAsia="Arial" w:hAnsi="Arial"/>
                <w:sz w:val="15"/>
                <w:szCs w:val="15"/>
                <w:color w:val="auto"/>
              </w:rPr>
              <w:t>to vote</w:t>
            </w: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2060" w:type="dxa"/>
            <w:vAlign w:val="bottom"/>
          </w:tcPr>
          <w:p>
            <w:pPr>
              <w:ind w:left="100"/>
              <w:spacing w:after="0"/>
              <w:rPr>
                <w:sz w:val="20"/>
                <w:szCs w:val="20"/>
                <w:color w:val="auto"/>
              </w:rPr>
            </w:pPr>
            <w:r>
              <w:rPr>
                <w:rFonts w:ascii="Arial" w:cs="Arial" w:eastAsia="Arial" w:hAnsi="Arial"/>
                <w:sz w:val="15"/>
                <w:szCs w:val="15"/>
                <w:color w:val="auto"/>
              </w:rPr>
              <w:t>compensation</w:t>
            </w:r>
            <w:r>
              <w:rPr>
                <w:rFonts w:ascii="Arial" w:cs="Arial" w:eastAsia="Arial" w:hAnsi="Arial"/>
                <w:sz w:val="24"/>
                <w:szCs w:val="24"/>
                <w:color w:val="auto"/>
                <w:vertAlign w:val="superscript"/>
              </w:rPr>
              <w:t>(2)</w:t>
            </w:r>
          </w:p>
        </w:tc>
        <w:tc>
          <w:tcPr>
            <w:tcW w:w="1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24276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7605" cy="7620"/>
                    </a:xfrm>
                    <a:prstGeom prst="rect">
                      <a:avLst/>
                    </a:prstGeom>
                    <a:noFill/>
                  </pic:spPr>
                </pic:pic>
              </a:graphicData>
            </a:graphic>
          </wp:anchor>
        </w:drawing>
      </w:r>
    </w:p>
    <w:p>
      <w:pPr>
        <w:spacing w:after="0" w:line="6" w:lineRule="exact"/>
        <w:rPr>
          <w:sz w:val="20"/>
          <w:szCs w:val="20"/>
          <w:color w:val="auto"/>
        </w:rPr>
      </w:pPr>
    </w:p>
    <w:p>
      <w:pPr>
        <w:ind w:left="402" w:right="180" w:hanging="402"/>
        <w:spacing w:after="0" w:line="244" w:lineRule="auto"/>
        <w:tabs>
          <w:tab w:leader="none" w:pos="402"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 our Amended and Restated Bylaws, if a majority of the votes of the shares present in person or represented by proxy at the annual meeting are designated to be “withheld” from a nominee for director in an uncontested election, that director must tender his or her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35" w:lineRule="exact"/>
        <w:rPr>
          <w:rFonts w:ascii="Arial" w:cs="Arial" w:eastAsia="Arial" w:hAnsi="Arial"/>
          <w:sz w:val="16"/>
          <w:szCs w:val="16"/>
          <w:color w:val="auto"/>
        </w:rPr>
      </w:pPr>
    </w:p>
    <w:p>
      <w:pPr>
        <w:ind w:left="402" w:right="580" w:hanging="402"/>
        <w:spacing w:after="0" w:line="255" w:lineRule="auto"/>
        <w:tabs>
          <w:tab w:leader="none" w:pos="402" w:val="left"/>
        </w:tabs>
        <w:numPr>
          <w:ilvl w:val="0"/>
          <w:numId w:val="9"/>
        </w:numPr>
        <w:rPr>
          <w:rFonts w:ascii="Arial" w:cs="Arial" w:eastAsia="Arial" w:hAnsi="Arial"/>
          <w:sz w:val="16"/>
          <w:szCs w:val="16"/>
          <w:color w:val="auto"/>
        </w:rPr>
      </w:pPr>
      <w:r>
        <w:rPr>
          <w:rFonts w:ascii="Arial" w:cs="Arial" w:eastAsia="Arial" w:hAnsi="Arial"/>
          <w:sz w:val="16"/>
          <w:szCs w:val="16"/>
          <w:color w:val="auto"/>
        </w:rPr>
        <w:t>While an advisory vote, our Compensation &amp; Human Resources Committee and Board expect to take into account the outcome of the vote when considering future executive compensation.</w:t>
      </w:r>
    </w:p>
    <w:p>
      <w:pPr>
        <w:spacing w:after="0" w:line="1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type w:val="continuous"/>
        </w:sectPr>
      </w:pPr>
    </w:p>
    <w:bookmarkStart w:id="14" w:name="page15"/>
    <w:bookmarkEnd w:id="14"/>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How Will My Shares Be Voted?</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560" w:type="dxa"/>
            <w:vAlign w:val="bottom"/>
            <w:shd w:val="clear" w:color="auto" w:fill="C00000"/>
          </w:tcPr>
          <w:p>
            <w:pPr>
              <w:spacing w:after="0"/>
              <w:rPr>
                <w:sz w:val="13"/>
                <w:szCs w:val="13"/>
                <w:color w:val="auto"/>
              </w:rPr>
            </w:pPr>
          </w:p>
        </w:tc>
        <w:tc>
          <w:tcPr>
            <w:tcW w:w="5020" w:type="dxa"/>
            <w:vAlign w:val="bottom"/>
            <w:vMerge w:val="restart"/>
            <w:shd w:val="clear" w:color="auto" w:fill="C00000"/>
          </w:tcPr>
          <w:p>
            <w:pPr>
              <w:ind w:left="1960"/>
              <w:spacing w:after="0"/>
              <w:rPr>
                <w:sz w:val="20"/>
                <w:szCs w:val="20"/>
                <w:color w:val="auto"/>
              </w:rPr>
            </w:pPr>
            <w:r>
              <w:rPr>
                <w:rFonts w:ascii="Arial" w:cs="Arial" w:eastAsia="Arial" w:hAnsi="Arial"/>
                <w:sz w:val="13"/>
                <w:szCs w:val="13"/>
                <w:b w:val="1"/>
                <w:bCs w:val="1"/>
                <w:color w:val="FFFFFF"/>
              </w:rPr>
              <w:t>How Your Shares will be Voted If You</w:t>
            </w:r>
          </w:p>
        </w:tc>
        <w:tc>
          <w:tcPr>
            <w:tcW w:w="2840" w:type="dxa"/>
            <w:vAlign w:val="bottom"/>
            <w:shd w:val="clear" w:color="auto" w:fill="C00000"/>
          </w:tcPr>
          <w:p>
            <w:pPr>
              <w:ind w:left="780"/>
              <w:spacing w:after="0"/>
              <w:rPr>
                <w:sz w:val="20"/>
                <w:szCs w:val="20"/>
                <w:color w:val="auto"/>
              </w:rPr>
            </w:pPr>
            <w:r>
              <w:rPr>
                <w:rFonts w:ascii="Arial" w:cs="Arial" w:eastAsia="Arial" w:hAnsi="Arial"/>
                <w:sz w:val="13"/>
                <w:szCs w:val="13"/>
                <w:b w:val="1"/>
                <w:bCs w:val="1"/>
                <w:color w:val="FFFFFF"/>
              </w:rPr>
              <w:t>How Your Shares will be Voted If</w:t>
            </w:r>
          </w:p>
        </w:tc>
        <w:tc>
          <w:tcPr>
            <w:tcW w:w="0" w:type="dxa"/>
            <w:vAlign w:val="bottom"/>
          </w:tcPr>
          <w:p>
            <w:pPr>
              <w:spacing w:after="0"/>
              <w:rPr>
                <w:sz w:val="1"/>
                <w:szCs w:val="1"/>
                <w:color w:val="auto"/>
              </w:rPr>
            </w:pPr>
          </w:p>
        </w:tc>
      </w:tr>
      <w:tr>
        <w:trPr>
          <w:trHeight w:val="86"/>
        </w:trPr>
        <w:tc>
          <w:tcPr>
            <w:tcW w:w="3560" w:type="dxa"/>
            <w:vAlign w:val="bottom"/>
            <w:shd w:val="clear" w:color="auto" w:fill="C00000"/>
          </w:tcPr>
          <w:p>
            <w:pPr>
              <w:spacing w:after="0"/>
              <w:rPr>
                <w:sz w:val="7"/>
                <w:szCs w:val="7"/>
                <w:color w:val="auto"/>
              </w:rPr>
            </w:pPr>
          </w:p>
        </w:tc>
        <w:tc>
          <w:tcPr>
            <w:tcW w:w="5020" w:type="dxa"/>
            <w:vAlign w:val="bottom"/>
            <w:vMerge w:val="continue"/>
            <w:shd w:val="clear" w:color="auto" w:fill="C00000"/>
          </w:tcPr>
          <w:p>
            <w:pPr>
              <w:spacing w:after="0"/>
              <w:rPr>
                <w:sz w:val="7"/>
                <w:szCs w:val="7"/>
                <w:color w:val="auto"/>
              </w:rPr>
            </w:pPr>
          </w:p>
        </w:tc>
        <w:tc>
          <w:tcPr>
            <w:tcW w:w="2840" w:type="dxa"/>
            <w:vAlign w:val="bottom"/>
            <w:vMerge w:val="restart"/>
            <w:shd w:val="clear" w:color="auto" w:fill="C00000"/>
          </w:tcPr>
          <w:p>
            <w:pPr>
              <w:ind w:left="780"/>
              <w:spacing w:after="0" w:line="148" w:lineRule="exact"/>
              <w:rPr>
                <w:sz w:val="20"/>
                <w:szCs w:val="20"/>
                <w:color w:val="auto"/>
              </w:rPr>
            </w:pPr>
            <w:r>
              <w:rPr>
                <w:rFonts w:ascii="Arial" w:cs="Arial" w:eastAsia="Arial" w:hAnsi="Arial"/>
                <w:sz w:val="13"/>
                <w:szCs w:val="13"/>
                <w:b w:val="1"/>
                <w:bCs w:val="1"/>
                <w:color w:val="FFFFFF"/>
              </w:rPr>
              <w:t>You</w:t>
            </w:r>
          </w:p>
        </w:tc>
        <w:tc>
          <w:tcPr>
            <w:tcW w:w="0" w:type="dxa"/>
            <w:vAlign w:val="bottom"/>
          </w:tcPr>
          <w:p>
            <w:pPr>
              <w:spacing w:after="0"/>
              <w:rPr>
                <w:sz w:val="1"/>
                <w:szCs w:val="1"/>
                <w:color w:val="auto"/>
              </w:rPr>
            </w:pPr>
          </w:p>
        </w:tc>
      </w:tr>
      <w:tr>
        <w:trPr>
          <w:trHeight w:val="61"/>
        </w:trPr>
        <w:tc>
          <w:tcPr>
            <w:tcW w:w="3560" w:type="dxa"/>
            <w:vAlign w:val="bottom"/>
            <w:vMerge w:val="restart"/>
            <w:shd w:val="clear" w:color="auto" w:fill="C00000"/>
          </w:tcPr>
          <w:p>
            <w:pPr>
              <w:spacing w:after="0"/>
              <w:rPr>
                <w:sz w:val="20"/>
                <w:szCs w:val="20"/>
                <w:color w:val="auto"/>
              </w:rPr>
            </w:pPr>
            <w:r>
              <w:rPr>
                <w:rFonts w:ascii="Arial" w:cs="Arial" w:eastAsia="Arial" w:hAnsi="Arial"/>
                <w:sz w:val="13"/>
                <w:szCs w:val="13"/>
                <w:b w:val="1"/>
                <w:bCs w:val="1"/>
                <w:color w:val="FFFFFF"/>
              </w:rPr>
              <w:t>How Your Shares are Held</w:t>
            </w:r>
          </w:p>
        </w:tc>
        <w:tc>
          <w:tcPr>
            <w:tcW w:w="5020" w:type="dxa"/>
            <w:vAlign w:val="bottom"/>
            <w:vMerge w:val="restart"/>
            <w:shd w:val="clear" w:color="auto" w:fill="C00000"/>
          </w:tcPr>
          <w:p>
            <w:pPr>
              <w:ind w:left="1960"/>
              <w:spacing w:after="0"/>
              <w:rPr>
                <w:sz w:val="20"/>
                <w:szCs w:val="20"/>
                <w:color w:val="auto"/>
              </w:rPr>
            </w:pPr>
            <w:r>
              <w:rPr>
                <w:rFonts w:ascii="Arial" w:cs="Arial" w:eastAsia="Arial" w:hAnsi="Arial"/>
                <w:sz w:val="13"/>
                <w:szCs w:val="13"/>
                <w:b w:val="1"/>
                <w:bCs w:val="1"/>
                <w:color w:val="FFFFFF"/>
              </w:rPr>
              <w:t>Specify How to Vote</w:t>
            </w:r>
          </w:p>
        </w:tc>
        <w:tc>
          <w:tcPr>
            <w:tcW w:w="2840" w:type="dxa"/>
            <w:vAlign w:val="bottom"/>
            <w:vMerge w:val="continue"/>
            <w:shd w:val="clear" w:color="auto" w:fill="C00000"/>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3560" w:type="dxa"/>
            <w:vAlign w:val="bottom"/>
            <w:vMerge w:val="continue"/>
            <w:shd w:val="clear" w:color="auto" w:fill="C00000"/>
          </w:tcPr>
          <w:p>
            <w:pPr>
              <w:spacing w:after="0"/>
              <w:rPr>
                <w:sz w:val="9"/>
                <w:szCs w:val="9"/>
                <w:color w:val="auto"/>
              </w:rPr>
            </w:pPr>
          </w:p>
        </w:tc>
        <w:tc>
          <w:tcPr>
            <w:tcW w:w="5020" w:type="dxa"/>
            <w:vAlign w:val="bottom"/>
            <w:vMerge w:val="continue"/>
            <w:shd w:val="clear" w:color="auto" w:fill="C00000"/>
          </w:tcPr>
          <w:p>
            <w:pPr>
              <w:spacing w:after="0"/>
              <w:rPr>
                <w:sz w:val="9"/>
                <w:szCs w:val="9"/>
                <w:color w:val="auto"/>
              </w:rPr>
            </w:pPr>
          </w:p>
        </w:tc>
        <w:tc>
          <w:tcPr>
            <w:tcW w:w="2840" w:type="dxa"/>
            <w:vAlign w:val="bottom"/>
            <w:vMerge w:val="restart"/>
            <w:shd w:val="clear" w:color="auto" w:fill="C00000"/>
          </w:tcPr>
          <w:p>
            <w:pPr>
              <w:ind w:left="780"/>
              <w:spacing w:after="0"/>
              <w:rPr>
                <w:sz w:val="20"/>
                <w:szCs w:val="20"/>
                <w:color w:val="auto"/>
              </w:rPr>
            </w:pPr>
            <w:r>
              <w:rPr>
                <w:rFonts w:ascii="Arial" w:cs="Arial" w:eastAsia="Arial" w:hAnsi="Arial"/>
                <w:sz w:val="13"/>
                <w:szCs w:val="13"/>
                <w:b w:val="1"/>
                <w:bCs w:val="1"/>
                <w:color w:val="FFFFFF"/>
              </w:rPr>
              <w:t>Do Not Specify How to Vote</w:t>
            </w:r>
          </w:p>
        </w:tc>
        <w:tc>
          <w:tcPr>
            <w:tcW w:w="0" w:type="dxa"/>
            <w:vAlign w:val="bottom"/>
          </w:tcPr>
          <w:p>
            <w:pPr>
              <w:spacing w:after="0"/>
              <w:rPr>
                <w:sz w:val="1"/>
                <w:szCs w:val="1"/>
                <w:color w:val="auto"/>
              </w:rPr>
            </w:pPr>
          </w:p>
        </w:tc>
      </w:tr>
      <w:tr>
        <w:trPr>
          <w:trHeight w:val="72"/>
        </w:trPr>
        <w:tc>
          <w:tcPr>
            <w:tcW w:w="3560" w:type="dxa"/>
            <w:vAlign w:val="bottom"/>
            <w:shd w:val="clear" w:color="auto" w:fill="C00000"/>
          </w:tcPr>
          <w:p>
            <w:pPr>
              <w:spacing w:after="0"/>
              <w:rPr>
                <w:sz w:val="6"/>
                <w:szCs w:val="6"/>
                <w:color w:val="auto"/>
              </w:rPr>
            </w:pPr>
          </w:p>
        </w:tc>
        <w:tc>
          <w:tcPr>
            <w:tcW w:w="5020" w:type="dxa"/>
            <w:vAlign w:val="bottom"/>
            <w:shd w:val="clear" w:color="auto" w:fill="C00000"/>
          </w:tcPr>
          <w:p>
            <w:pPr>
              <w:spacing w:after="0"/>
              <w:rPr>
                <w:sz w:val="6"/>
                <w:szCs w:val="6"/>
                <w:color w:val="auto"/>
              </w:rPr>
            </w:pPr>
          </w:p>
        </w:tc>
        <w:tc>
          <w:tcPr>
            <w:tcW w:w="2840" w:type="dxa"/>
            <w:vAlign w:val="bottom"/>
            <w:vMerge w:val="continue"/>
            <w:shd w:val="clear" w:color="auto" w:fill="C00000"/>
          </w:tcPr>
          <w:p>
            <w:pPr>
              <w:spacing w:after="0"/>
              <w:rPr>
                <w:sz w:val="6"/>
                <w:szCs w:val="6"/>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1">
            <w:col w:w="11462"/>
          </w:cols>
          <w:pgMar w:left="238" w:top="140" w:right="199" w:bottom="1440" w:gutter="0" w:footer="0" w:header="0"/>
        </w:sectPr>
      </w:pPr>
    </w:p>
    <w:p>
      <w:pPr>
        <w:ind w:left="2"/>
        <w:spacing w:after="0"/>
        <w:tabs>
          <w:tab w:leader="none" w:pos="5502" w:val="left"/>
        </w:tabs>
        <w:rPr>
          <w:sz w:val="20"/>
          <w:szCs w:val="20"/>
          <w:color w:val="auto"/>
        </w:rPr>
      </w:pPr>
      <w:r>
        <w:rPr>
          <w:rFonts w:ascii="Arial" w:cs="Arial" w:eastAsia="Arial" w:hAnsi="Arial"/>
          <w:sz w:val="15"/>
          <w:szCs w:val="15"/>
          <w:color w:val="auto"/>
        </w:rPr>
        <w:t>Shares registered in your name</w:t>
      </w:r>
      <w:r>
        <w:rPr>
          <w:sz w:val="20"/>
          <w:szCs w:val="20"/>
          <w:color w:val="auto"/>
        </w:rPr>
        <w:tab/>
      </w:r>
      <w:r>
        <w:rPr>
          <w:rFonts w:ascii="Arial" w:cs="Arial" w:eastAsia="Arial" w:hAnsi="Arial"/>
          <w:sz w:val="14"/>
          <w:szCs w:val="14"/>
          <w:color w:val="auto"/>
        </w:rPr>
        <w:t>The named proxies will vote your shares</w:t>
      </w:r>
    </w:p>
    <w:p>
      <w:pPr>
        <w:spacing w:after="0" w:line="24" w:lineRule="exact"/>
        <w:rPr>
          <w:sz w:val="20"/>
          <w:szCs w:val="20"/>
          <w:color w:val="auto"/>
        </w:rPr>
      </w:pPr>
    </w:p>
    <w:p>
      <w:pPr>
        <w:ind w:left="5522"/>
        <w:spacing w:after="0"/>
        <w:rPr>
          <w:sz w:val="20"/>
          <w:szCs w:val="20"/>
          <w:color w:val="auto"/>
        </w:rPr>
      </w:pPr>
      <w:r>
        <w:rPr>
          <w:rFonts w:ascii="Arial" w:cs="Arial" w:eastAsia="Arial" w:hAnsi="Arial"/>
          <w:sz w:val="15"/>
          <w:szCs w:val="15"/>
          <w:color w:val="auto"/>
        </w:rPr>
        <w:t>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9320" cy="583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320" cy="583565"/>
                    </a:xfrm>
                    <a:prstGeom prst="rect">
                      <a:avLst/>
                    </a:prstGeom>
                    <a:noFill/>
                  </pic:spPr>
                </pic:pic>
              </a:graphicData>
            </a:graphic>
          </wp:anchor>
        </w:drawing>
      </w:r>
    </w:p>
    <w:p>
      <w:pPr>
        <w:spacing w:after="0" w:line="175" w:lineRule="exact"/>
        <w:rPr>
          <w:sz w:val="20"/>
          <w:szCs w:val="20"/>
          <w:color w:val="auto"/>
        </w:rPr>
      </w:pPr>
    </w:p>
    <w:p>
      <w:pPr>
        <w:ind w:left="2"/>
        <w:spacing w:after="0"/>
        <w:tabs>
          <w:tab w:leader="none" w:pos="5502" w:val="left"/>
        </w:tabs>
        <w:rPr>
          <w:sz w:val="20"/>
          <w:szCs w:val="20"/>
          <w:color w:val="auto"/>
        </w:rPr>
      </w:pPr>
      <w:r>
        <w:rPr>
          <w:rFonts w:ascii="Arial" w:cs="Arial" w:eastAsia="Arial" w:hAnsi="Arial"/>
          <w:sz w:val="15"/>
          <w:szCs w:val="15"/>
          <w:color w:val="auto"/>
        </w:rPr>
        <w:t>Shares held in street name</w:t>
      </w:r>
      <w:r>
        <w:rPr>
          <w:sz w:val="20"/>
          <w:szCs w:val="20"/>
          <w:color w:val="auto"/>
        </w:rPr>
        <w:tab/>
      </w:r>
      <w:r>
        <w:rPr>
          <w:rFonts w:ascii="Arial" w:cs="Arial" w:eastAsia="Arial" w:hAnsi="Arial"/>
          <w:sz w:val="14"/>
          <w:szCs w:val="14"/>
          <w:color w:val="auto"/>
        </w:rPr>
        <w:t>Your broker will vote your shares as you</w:t>
      </w:r>
    </w:p>
    <w:p>
      <w:pPr>
        <w:spacing w:after="0" w:line="24" w:lineRule="exact"/>
        <w:rPr>
          <w:sz w:val="20"/>
          <w:szCs w:val="20"/>
          <w:color w:val="auto"/>
        </w:rPr>
      </w:pPr>
    </w:p>
    <w:p>
      <w:pPr>
        <w:ind w:left="5522"/>
        <w:spacing w:after="0"/>
        <w:rPr>
          <w:sz w:val="20"/>
          <w:szCs w:val="20"/>
          <w:color w:val="auto"/>
        </w:rPr>
      </w:pPr>
      <w:r>
        <w:rPr>
          <w:rFonts w:ascii="Arial" w:cs="Arial" w:eastAsia="Arial" w:hAnsi="Arial"/>
          <w:sz w:val="15"/>
          <w:szCs w:val="15"/>
          <w:color w:val="auto"/>
        </w:rPr>
        <w:t>direct</w:t>
      </w:r>
    </w:p>
    <w:p>
      <w:pPr>
        <w:spacing w:after="0" w:line="200" w:lineRule="exact"/>
        <w:rPr>
          <w:sz w:val="20"/>
          <w:szCs w:val="20"/>
          <w:color w:val="auto"/>
        </w:rPr>
      </w:pPr>
    </w:p>
    <w:p>
      <w:pPr>
        <w:spacing w:after="0" w:line="350" w:lineRule="exact"/>
        <w:rPr>
          <w:sz w:val="20"/>
          <w:szCs w:val="20"/>
          <w:color w:val="auto"/>
        </w:rPr>
      </w:pPr>
    </w:p>
    <w:p>
      <w:pPr>
        <w:ind w:left="2"/>
        <w:spacing w:after="0"/>
        <w:tabs>
          <w:tab w:leader="none" w:pos="5502" w:val="left"/>
        </w:tabs>
        <w:rPr>
          <w:sz w:val="20"/>
          <w:szCs w:val="20"/>
          <w:color w:val="auto"/>
        </w:rPr>
      </w:pPr>
      <w:r>
        <w:rPr>
          <w:rFonts w:ascii="Arial" w:cs="Arial" w:eastAsia="Arial" w:hAnsi="Arial"/>
          <w:sz w:val="15"/>
          <w:szCs w:val="15"/>
          <w:color w:val="auto"/>
        </w:rPr>
        <w:t>Shares held in certain Toro employee</w:t>
      </w:r>
      <w:r>
        <w:rPr>
          <w:sz w:val="20"/>
          <w:szCs w:val="20"/>
          <w:color w:val="auto"/>
        </w:rPr>
        <w:tab/>
      </w:r>
      <w:r>
        <w:rPr>
          <w:rFonts w:ascii="Arial" w:cs="Arial" w:eastAsia="Arial" w:hAnsi="Arial"/>
          <w:sz w:val="14"/>
          <w:szCs w:val="14"/>
          <w:color w:val="auto"/>
        </w:rPr>
        <w:t>The plan trustee will vote your shares</w:t>
      </w:r>
    </w:p>
    <w:p>
      <w:pPr>
        <w:spacing w:after="0" w:line="24" w:lineRule="exact"/>
        <w:rPr>
          <w:sz w:val="20"/>
          <w:szCs w:val="20"/>
          <w:color w:val="auto"/>
        </w:rPr>
      </w:pPr>
    </w:p>
    <w:p>
      <w:pPr>
        <w:ind w:left="2"/>
        <w:spacing w:after="0"/>
        <w:tabs>
          <w:tab w:leader="none" w:pos="5502" w:val="left"/>
        </w:tabs>
        <w:rPr>
          <w:sz w:val="20"/>
          <w:szCs w:val="20"/>
          <w:color w:val="auto"/>
        </w:rPr>
      </w:pPr>
      <w:r>
        <w:rPr>
          <w:rFonts w:ascii="Arial" w:cs="Arial" w:eastAsia="Arial" w:hAnsi="Arial"/>
          <w:sz w:val="15"/>
          <w:szCs w:val="15"/>
          <w:color w:val="auto"/>
        </w:rPr>
        <w:t>benefit plans</w:t>
      </w:r>
      <w:r>
        <w:rPr>
          <w:sz w:val="20"/>
          <w:szCs w:val="20"/>
          <w:color w:val="auto"/>
        </w:rPr>
        <w:tab/>
      </w:r>
      <w:r>
        <w:rPr>
          <w:rFonts w:ascii="Arial" w:cs="Arial" w:eastAsia="Arial" w:hAnsi="Arial"/>
          <w:sz w:val="14"/>
          <w:szCs w:val="14"/>
          <w:color w:val="auto"/>
        </w:rPr>
        <w:t>confidentially 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227965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796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80"/>
        <w:spacing w:after="0" w:line="245" w:lineRule="auto"/>
        <w:rPr>
          <w:sz w:val="20"/>
          <w:szCs w:val="20"/>
          <w:color w:val="auto"/>
        </w:rPr>
      </w:pPr>
      <w:r>
        <w:rPr>
          <w:rFonts w:ascii="Arial" w:cs="Arial" w:eastAsia="Arial" w:hAnsi="Arial"/>
          <w:sz w:val="15"/>
          <w:szCs w:val="15"/>
          <w:color w:val="auto"/>
        </w:rPr>
        <w:t xml:space="preserve">The named proxies will vote </w:t>
      </w:r>
      <w:r>
        <w:rPr>
          <w:rFonts w:ascii="Arial" w:cs="Arial" w:eastAsia="Arial" w:hAnsi="Arial"/>
          <w:sz w:val="15"/>
          <w:szCs w:val="15"/>
          <w:b w:val="1"/>
          <w:bCs w:val="1"/>
          <w:color w:val="auto"/>
        </w:rPr>
        <w:t xml:space="preserve">FOR </w:t>
      </w:r>
      <w:r>
        <w:rPr>
          <w:rFonts w:ascii="Arial" w:cs="Arial" w:eastAsia="Arial" w:hAnsi="Arial"/>
          <w:sz w:val="15"/>
          <w:szCs w:val="15"/>
          <w:color w:val="auto"/>
        </w:rPr>
        <w:t>all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proposals</w:t>
      </w:r>
    </w:p>
    <w:p>
      <w:pPr>
        <w:spacing w:after="0" w:line="24" w:lineRule="exact"/>
        <w:rPr>
          <w:sz w:val="20"/>
          <w:szCs w:val="20"/>
          <w:color w:val="auto"/>
        </w:rPr>
      </w:pPr>
    </w:p>
    <w:p>
      <w:pPr>
        <w:ind w:right="200"/>
        <w:spacing w:after="0" w:line="245" w:lineRule="auto"/>
        <w:rPr>
          <w:sz w:val="20"/>
          <w:szCs w:val="20"/>
          <w:color w:val="auto"/>
        </w:rPr>
      </w:pPr>
      <w:r>
        <w:rPr>
          <w:rFonts w:ascii="Arial" w:cs="Arial" w:eastAsia="Arial" w:hAnsi="Arial"/>
          <w:sz w:val="15"/>
          <w:szCs w:val="15"/>
          <w:color w:val="auto"/>
        </w:rPr>
        <w:t>Your broker may vote only on routine</w:t>
      </w:r>
    </w:p>
    <w:p>
      <w:pPr>
        <w:spacing w:after="0" w:line="15" w:lineRule="exact"/>
        <w:rPr>
          <w:sz w:val="20"/>
          <w:szCs w:val="20"/>
          <w:color w:val="auto"/>
        </w:rPr>
      </w:pPr>
    </w:p>
    <w:p>
      <w:pPr>
        <w:ind w:right="260"/>
        <w:spacing w:after="0" w:line="244" w:lineRule="auto"/>
        <w:rPr>
          <w:sz w:val="20"/>
          <w:szCs w:val="20"/>
          <w:color w:val="auto"/>
        </w:rPr>
      </w:pPr>
      <w:r>
        <w:rPr>
          <w:rFonts w:ascii="Arial" w:cs="Arial" w:eastAsia="Arial" w:hAnsi="Arial"/>
          <w:sz w:val="15"/>
          <w:szCs w:val="15"/>
          <w:color w:val="auto"/>
        </w:rPr>
        <w:t>items in the absence of your instruction</w:t>
      </w:r>
    </w:p>
    <w:p>
      <w:pPr>
        <w:spacing w:after="0" w:line="182" w:lineRule="auto"/>
        <w:rPr>
          <w:sz w:val="20"/>
          <w:szCs w:val="20"/>
          <w:color w:val="auto"/>
        </w:rPr>
      </w:pPr>
      <w:r>
        <w:rPr>
          <w:rFonts w:ascii="Arial" w:cs="Arial" w:eastAsia="Arial" w:hAnsi="Arial"/>
          <w:sz w:val="14"/>
          <w:szCs w:val="14"/>
          <w:color w:val="auto"/>
        </w:rPr>
        <w:t>how to vote</w:t>
      </w:r>
      <w:r>
        <w:rPr>
          <w:rFonts w:ascii="Arial" w:cs="Arial" w:eastAsia="Arial" w:hAnsi="Arial"/>
          <w:sz w:val="23"/>
          <w:szCs w:val="23"/>
          <w:color w:val="auto"/>
          <w:vertAlign w:val="superscript"/>
        </w:rPr>
        <w:t>(1)</w:t>
      </w:r>
    </w:p>
    <w:p>
      <w:pPr>
        <w:ind w:right="140"/>
        <w:spacing w:after="0" w:line="245" w:lineRule="auto"/>
        <w:rPr>
          <w:sz w:val="20"/>
          <w:szCs w:val="20"/>
          <w:color w:val="auto"/>
        </w:rPr>
      </w:pPr>
      <w:r>
        <w:rPr>
          <w:rFonts w:ascii="Arial" w:cs="Arial" w:eastAsia="Arial" w:hAnsi="Arial"/>
          <w:sz w:val="15"/>
          <w:szCs w:val="15"/>
          <w:color w:val="auto"/>
        </w:rPr>
        <w:t>The plan trustee will vote your shares in</w:t>
      </w:r>
    </w:p>
    <w:p>
      <w:pPr>
        <w:spacing w:after="0" w:line="15" w:lineRule="exact"/>
        <w:rPr>
          <w:sz w:val="20"/>
          <w:szCs w:val="20"/>
          <w:color w:val="auto"/>
        </w:rPr>
      </w:pPr>
    </w:p>
    <w:p>
      <w:pPr>
        <w:ind w:right="360"/>
        <w:spacing w:after="0" w:line="245" w:lineRule="auto"/>
        <w:rPr>
          <w:sz w:val="20"/>
          <w:szCs w:val="20"/>
          <w:color w:val="auto"/>
        </w:rPr>
      </w:pPr>
      <w:r>
        <w:rPr>
          <w:rFonts w:ascii="Arial" w:cs="Arial" w:eastAsia="Arial" w:hAnsi="Arial"/>
          <w:sz w:val="15"/>
          <w:szCs w:val="15"/>
          <w:color w:val="auto"/>
        </w:rPr>
        <w:t>the same proportion as the votes actually</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cast by participants</w:t>
      </w:r>
    </w:p>
    <w:p>
      <w:pPr>
        <w:spacing w:after="0" w:line="180" w:lineRule="exact"/>
        <w:rPr>
          <w:sz w:val="20"/>
          <w:szCs w:val="20"/>
          <w:color w:val="auto"/>
        </w:rPr>
      </w:pPr>
    </w:p>
    <w:p>
      <w:pPr>
        <w:sectPr>
          <w:pgSz w:w="11900" w:h="16838" w:orient="portrait"/>
          <w:cols w:equalWidth="0" w:num="2">
            <w:col w:w="8642" w:space="720"/>
            <w:col w:w="2100"/>
          </w:cols>
          <w:pgMar w:left="238" w:top="140" w:right="199" w:bottom="1440" w:gutter="0" w:footer="0" w:header="0"/>
          <w:type w:val="continuous"/>
        </w:sectPr>
      </w:pPr>
    </w:p>
    <w:p>
      <w:pPr>
        <w:ind w:left="402" w:right="60" w:hanging="402"/>
        <w:spacing w:after="0" w:line="241" w:lineRule="auto"/>
        <w:tabs>
          <w:tab w:leader="none" w:pos="4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your shares are held in “street name” and you do not indicate how you wish to vote, under the New York Stock Exchange, or NYSE, rules, your broker is permitted to exercise its discretion to vote your shares only on certain “routine” matters. Proposal One—Election of Directors and Proposal Three— Advisory Approval of our Executive Compensation are not “routine” matters. Accordingly, if you do not direct your broker how to vote on those proposals, your broker may not exercise discretionary voting authority and may not vote your shares on these proposals. This is called a “broker non-vote” and although your shares will be considered to be represented by proxy at the annual meeting for purposes of establishing quorum, as discussed on page 2, they are not considered to be shares “entitled to vote” at the annual meeting and will not be counted as having been voted on the applicable proposal. Proposal Two—Ratification of Selection of Independent Registered Public Accounting Firm is a “routine” matter and your broker is permitted to exercise discretionary voting authority to vote your shares “for” or “against” the proposal in the absence of your instruction.</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What Does It Mean If I Receive More Than One Notice or Set of Proxy Materials?</w:t>
      </w:r>
    </w:p>
    <w:p>
      <w:pPr>
        <w:spacing w:after="0" w:line="112" w:lineRule="exact"/>
        <w:rPr>
          <w:sz w:val="20"/>
          <w:szCs w:val="20"/>
          <w:color w:val="auto"/>
        </w:rPr>
      </w:pPr>
    </w:p>
    <w:p>
      <w:pPr>
        <w:ind w:left="2" w:right="140" w:firstLine="408"/>
        <w:spacing w:after="0" w:line="242" w:lineRule="auto"/>
        <w:rPr>
          <w:sz w:val="20"/>
          <w:szCs w:val="20"/>
          <w:color w:val="auto"/>
        </w:rPr>
      </w:pPr>
      <w:r>
        <w:rPr>
          <w:rFonts w:ascii="Arial" w:cs="Arial" w:eastAsia="Arial" w:hAnsi="Arial"/>
          <w:sz w:val="16"/>
          <w:szCs w:val="16"/>
          <w:color w:val="auto"/>
        </w:rPr>
        <w:t>If you hold your shares in more than one account, you may receive multiple copies of the Notice Regarding the Availability of Proxy Materials and/or electronic or paper copies of our proxy materials. If you are a participant in the dividend reinvestment feature of our Direct Stock Purchase Plan, shares registered in your name are combined with shares you hold in that plan. Similarly, where possible, shares registered in your name are combined with shares you hold, if any, as a participant in certain Toro employee benefit plans. However, shares you hold in “street name” (through a broker, bank or other nominee) are not combined with shares registered in your name or held as a participant in Toro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all of your shares are voted.</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How Can I Revoke or Change My Vote?</w:t>
      </w:r>
    </w:p>
    <w:p>
      <w:pPr>
        <w:spacing w:after="0" w:line="112" w:lineRule="exact"/>
        <w:rPr>
          <w:sz w:val="20"/>
          <w:szCs w:val="20"/>
          <w:color w:val="auto"/>
        </w:rPr>
      </w:pPr>
    </w:p>
    <w:p>
      <w:pPr>
        <w:ind w:left="402"/>
        <w:spacing w:after="0"/>
        <w:rPr>
          <w:sz w:val="20"/>
          <w:szCs w:val="20"/>
          <w:color w:val="auto"/>
        </w:rPr>
      </w:pPr>
      <w:r>
        <w:rPr>
          <w:rFonts w:ascii="Arial" w:cs="Arial" w:eastAsia="Arial" w:hAnsi="Arial"/>
          <w:sz w:val="16"/>
          <w:szCs w:val="16"/>
          <w:color w:val="auto"/>
        </w:rPr>
        <w:t>You may revoke your proxy or change your vote at any time before your shares are voted at the annual meeting by one of the following methods:</w:t>
      </w:r>
    </w:p>
    <w:p>
      <w:pPr>
        <w:spacing w:after="0" w:line="111"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264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3"/>
                <w:szCs w:val="13"/>
                <w:b w:val="1"/>
                <w:bCs w:val="1"/>
                <w:color w:val="FFFFFF"/>
              </w:rPr>
              <w:t>How Your Shares are Held</w:t>
            </w:r>
          </w:p>
        </w:tc>
        <w:tc>
          <w:tcPr>
            <w:tcW w:w="8780" w:type="dxa"/>
            <w:vAlign w:val="bottom"/>
            <w:tcBorders>
              <w:bottom w:val="single" w:sz="8" w:color="C00000"/>
            </w:tcBorders>
            <w:shd w:val="clear" w:color="auto" w:fill="C00000"/>
          </w:tcPr>
          <w:p>
            <w:pPr>
              <w:ind w:left="220"/>
              <w:spacing w:after="0"/>
              <w:rPr>
                <w:sz w:val="20"/>
                <w:szCs w:val="20"/>
                <w:color w:val="auto"/>
              </w:rPr>
            </w:pPr>
            <w:r>
              <w:rPr>
                <w:rFonts w:ascii="Arial" w:cs="Arial" w:eastAsia="Arial" w:hAnsi="Arial"/>
                <w:sz w:val="13"/>
                <w:szCs w:val="13"/>
                <w:b w:val="1"/>
                <w:bCs w:val="1"/>
                <w:color w:val="FFFFFF"/>
              </w:rPr>
              <w:t>Method to Revoke or Change Your Vote</w:t>
            </w:r>
          </w:p>
        </w:tc>
        <w:tc>
          <w:tcPr>
            <w:tcW w:w="40" w:type="dxa"/>
            <w:vAlign w:val="bottom"/>
          </w:tcPr>
          <w:p>
            <w:pPr>
              <w:spacing w:after="0"/>
              <w:rPr>
                <w:sz w:val="18"/>
                <w:szCs w:val="18"/>
                <w:color w:val="auto"/>
              </w:rPr>
            </w:pPr>
          </w:p>
        </w:tc>
      </w:tr>
      <w:tr>
        <w:trPr>
          <w:trHeight w:val="198"/>
        </w:trPr>
        <w:tc>
          <w:tcPr>
            <w:tcW w:w="2640" w:type="dxa"/>
            <w:vAlign w:val="bottom"/>
          </w:tcPr>
          <w:p>
            <w:pPr>
              <w:spacing w:after="0"/>
              <w:rPr>
                <w:sz w:val="20"/>
                <w:szCs w:val="20"/>
                <w:color w:val="auto"/>
              </w:rPr>
            </w:pPr>
            <w:r>
              <w:rPr>
                <w:rFonts w:ascii="Arial" w:cs="Arial" w:eastAsia="Arial" w:hAnsi="Arial"/>
                <w:sz w:val="15"/>
                <w:szCs w:val="15"/>
                <w:color w:val="auto"/>
              </w:rPr>
              <w:t>Shares registered in your name</w:t>
            </w:r>
          </w:p>
        </w:tc>
        <w:tc>
          <w:tcPr>
            <w:tcW w:w="8780" w:type="dxa"/>
            <w:vAlign w:val="bottom"/>
          </w:tcPr>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Submit another proper proxy with a more recent date than that of the proxy first given by following the Internet, telephone or mobile</w:t>
            </w:r>
          </w:p>
        </w:tc>
        <w:tc>
          <w:tcPr>
            <w:tcW w:w="40" w:type="dxa"/>
            <w:vAlign w:val="bottom"/>
          </w:tcPr>
          <w:p>
            <w:pPr>
              <w:spacing w:after="0"/>
              <w:rPr>
                <w:sz w:val="17"/>
                <w:szCs w:val="17"/>
                <w:color w:val="auto"/>
              </w:rPr>
            </w:pPr>
          </w:p>
        </w:tc>
      </w:tr>
      <w:tr>
        <w:trPr>
          <w:trHeight w:val="177"/>
        </w:trPr>
        <w:tc>
          <w:tcPr>
            <w:tcW w:w="2640" w:type="dxa"/>
            <w:vAlign w:val="bottom"/>
          </w:tcPr>
          <w:p>
            <w:pPr>
              <w:spacing w:after="0"/>
              <w:rPr>
                <w:sz w:val="15"/>
                <w:szCs w:val="15"/>
                <w:color w:val="auto"/>
              </w:rPr>
            </w:pPr>
          </w:p>
        </w:tc>
        <w:tc>
          <w:tcPr>
            <w:tcW w:w="8780" w:type="dxa"/>
            <w:vAlign w:val="bottom"/>
          </w:tcPr>
          <w:p>
            <w:pPr>
              <w:ind w:left="360"/>
              <w:spacing w:after="0"/>
              <w:rPr>
                <w:sz w:val="20"/>
                <w:szCs w:val="20"/>
                <w:color w:val="auto"/>
              </w:rPr>
            </w:pPr>
            <w:r>
              <w:rPr>
                <w:rFonts w:ascii="Arial" w:cs="Arial" w:eastAsia="Arial" w:hAnsi="Arial"/>
                <w:sz w:val="15"/>
                <w:szCs w:val="15"/>
                <w:color w:val="auto"/>
              </w:rPr>
              <w:t>device voting instructions or complete, sign, date and mail a proxy card;</w:t>
            </w:r>
          </w:p>
        </w:tc>
        <w:tc>
          <w:tcPr>
            <w:tcW w:w="40" w:type="dxa"/>
            <w:vAlign w:val="bottom"/>
          </w:tcPr>
          <w:p>
            <w:pPr>
              <w:spacing w:after="0"/>
              <w:rPr>
                <w:sz w:val="15"/>
                <w:szCs w:val="15"/>
                <w:color w:val="auto"/>
              </w:rPr>
            </w:pPr>
          </w:p>
        </w:tc>
      </w:tr>
      <w:tr>
        <w:trPr>
          <w:trHeight w:val="212"/>
        </w:trPr>
        <w:tc>
          <w:tcPr>
            <w:tcW w:w="264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Send written notice of revocation to our General Counsel; or</w:t>
            </w:r>
          </w:p>
        </w:tc>
        <w:tc>
          <w:tcPr>
            <w:tcW w:w="40" w:type="dxa"/>
            <w:vAlign w:val="bottom"/>
          </w:tcPr>
          <w:p>
            <w:pPr>
              <w:spacing w:after="0"/>
              <w:rPr>
                <w:sz w:val="18"/>
                <w:szCs w:val="18"/>
                <w:color w:val="auto"/>
              </w:rPr>
            </w:pPr>
          </w:p>
        </w:tc>
      </w:tr>
      <w:tr>
        <w:trPr>
          <w:trHeight w:val="197"/>
        </w:trPr>
        <w:tc>
          <w:tcPr>
            <w:tcW w:w="2640" w:type="dxa"/>
            <w:vAlign w:val="bottom"/>
          </w:tcPr>
          <w:p>
            <w:pPr>
              <w:spacing w:after="0"/>
              <w:rPr>
                <w:sz w:val="17"/>
                <w:szCs w:val="17"/>
                <w:color w:val="auto"/>
              </w:rPr>
            </w:pPr>
          </w:p>
        </w:tc>
        <w:tc>
          <w:tcPr>
            <w:tcW w:w="8780" w:type="dxa"/>
            <w:vAlign w:val="bottom"/>
          </w:tcPr>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Attend the annual meeting in person and vote by ballot</w:t>
            </w:r>
          </w:p>
        </w:tc>
        <w:tc>
          <w:tcPr>
            <w:tcW w:w="40" w:type="dxa"/>
            <w:vAlign w:val="bottom"/>
          </w:tcPr>
          <w:p>
            <w:pPr>
              <w:spacing w:after="0"/>
              <w:rPr>
                <w:sz w:val="17"/>
                <w:szCs w:val="17"/>
                <w:color w:val="auto"/>
              </w:rPr>
            </w:pPr>
          </w:p>
        </w:tc>
      </w:tr>
      <w:tr>
        <w:trPr>
          <w:trHeight w:val="213"/>
        </w:trPr>
        <w:tc>
          <w:tcPr>
            <w:tcW w:w="264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5"/>
                <w:szCs w:val="15"/>
                <w:color w:val="auto"/>
              </w:rPr>
              <w:t>Shares held in street name</w:t>
            </w:r>
          </w:p>
        </w:tc>
        <w:tc>
          <w:tcPr>
            <w:tcW w:w="8780" w:type="dxa"/>
            <w:vAlign w:val="bottom"/>
            <w:tcBorders>
              <w:bottom w:val="single" w:sz="8" w:color="D9D9D9"/>
            </w:tcBorders>
            <w:shd w:val="clear" w:color="auto" w:fill="D9D9D9"/>
          </w:tcPr>
          <w:p>
            <w:pPr>
              <w:ind w:left="220"/>
              <w:spacing w:after="0"/>
              <w:rPr>
                <w:sz w:val="20"/>
                <w:szCs w:val="20"/>
                <w:color w:val="auto"/>
              </w:rPr>
            </w:pPr>
            <w:r>
              <w:rPr>
                <w:rFonts w:ascii="Arial" w:cs="Arial" w:eastAsia="Arial" w:hAnsi="Arial"/>
                <w:sz w:val="15"/>
                <w:szCs w:val="15"/>
                <w:color w:val="auto"/>
              </w:rPr>
              <w:t>Follow instructions provided by your broker, bank or other nominee</w:t>
            </w:r>
          </w:p>
        </w:tc>
        <w:tc>
          <w:tcPr>
            <w:tcW w:w="40" w:type="dxa"/>
            <w:vAlign w:val="bottom"/>
          </w:tcPr>
          <w:p>
            <w:pPr>
              <w:spacing w:after="0"/>
              <w:rPr>
                <w:sz w:val="18"/>
                <w:szCs w:val="18"/>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5"/>
                <w:szCs w:val="15"/>
                <w:color w:val="auto"/>
              </w:rPr>
              <w:t>Shares held in certain Toro employee</w:t>
            </w:r>
          </w:p>
        </w:tc>
        <w:tc>
          <w:tcPr>
            <w:tcW w:w="8780" w:type="dxa"/>
            <w:vAlign w:val="bottom"/>
          </w:tcPr>
          <w:p>
            <w:pPr>
              <w:ind w:left="220"/>
              <w:spacing w:after="0"/>
              <w:rPr>
                <w:sz w:val="20"/>
                <w:szCs w:val="20"/>
                <w:color w:val="auto"/>
              </w:rPr>
            </w:pPr>
            <w:r>
              <w:rPr>
                <w:rFonts w:ascii="Arial" w:cs="Arial" w:eastAsia="Arial" w:hAnsi="Arial"/>
                <w:sz w:val="15"/>
                <w:szCs w:val="15"/>
                <w:color w:val="auto"/>
                <w:w w:val="98"/>
              </w:rPr>
              <w:t>Submit another proper proxy with a more recent date than that of the proxy first given by following the Internet, telephone or mobile</w:t>
            </w:r>
          </w:p>
        </w:tc>
        <w:tc>
          <w:tcPr>
            <w:tcW w:w="40" w:type="dxa"/>
            <w:vAlign w:val="bottom"/>
          </w:tcPr>
          <w:p>
            <w:pPr>
              <w:spacing w:after="0"/>
              <w:rPr>
                <w:sz w:val="16"/>
                <w:szCs w:val="16"/>
                <w:color w:val="auto"/>
              </w:rPr>
            </w:pPr>
          </w:p>
        </w:tc>
      </w:tr>
      <w:tr>
        <w:trPr>
          <w:trHeight w:val="177"/>
        </w:trPr>
        <w:tc>
          <w:tcPr>
            <w:tcW w:w="2640" w:type="dxa"/>
            <w:vAlign w:val="bottom"/>
          </w:tcPr>
          <w:p>
            <w:pPr>
              <w:spacing w:after="0"/>
              <w:rPr>
                <w:sz w:val="20"/>
                <w:szCs w:val="20"/>
                <w:color w:val="auto"/>
              </w:rPr>
            </w:pPr>
            <w:r>
              <w:rPr>
                <w:rFonts w:ascii="Arial" w:cs="Arial" w:eastAsia="Arial" w:hAnsi="Arial"/>
                <w:sz w:val="15"/>
                <w:szCs w:val="15"/>
                <w:color w:val="auto"/>
              </w:rPr>
              <w:t>benefit plans</w:t>
            </w:r>
          </w:p>
        </w:tc>
        <w:tc>
          <w:tcPr>
            <w:tcW w:w="8780" w:type="dxa"/>
            <w:vAlign w:val="bottom"/>
          </w:tcPr>
          <w:p>
            <w:pPr>
              <w:ind w:left="220"/>
              <w:spacing w:after="0"/>
              <w:rPr>
                <w:sz w:val="20"/>
                <w:szCs w:val="20"/>
                <w:color w:val="auto"/>
              </w:rPr>
            </w:pPr>
            <w:r>
              <w:rPr>
                <w:rFonts w:ascii="Arial" w:cs="Arial" w:eastAsia="Arial" w:hAnsi="Arial"/>
                <w:sz w:val="15"/>
                <w:szCs w:val="15"/>
                <w:color w:val="auto"/>
              </w:rPr>
              <w:t>device voting instructions or complete, sign, date and mail a proxy card</w:t>
            </w:r>
          </w:p>
        </w:tc>
        <w:tc>
          <w:tcPr>
            <w:tcW w:w="40" w:type="dxa"/>
            <w:vAlign w:val="bottom"/>
          </w:tcPr>
          <w:p>
            <w:pPr>
              <w:spacing w:after="0"/>
              <w:rPr>
                <w:sz w:val="15"/>
                <w:szCs w:val="15"/>
                <w:color w:val="auto"/>
              </w:rPr>
            </w:pPr>
          </w:p>
        </w:tc>
      </w:tr>
      <w:tr>
        <w:trPr>
          <w:trHeight w:val="408"/>
        </w:trPr>
        <w:tc>
          <w:tcPr>
            <w:tcW w:w="2640" w:type="dxa"/>
            <w:vAlign w:val="bottom"/>
          </w:tcPr>
          <w:p>
            <w:pPr>
              <w:spacing w:after="0"/>
              <w:rPr>
                <w:sz w:val="24"/>
                <w:szCs w:val="24"/>
                <w:color w:val="auto"/>
              </w:rPr>
            </w:pPr>
          </w:p>
        </w:tc>
        <w:tc>
          <w:tcPr>
            <w:tcW w:w="8780" w:type="dxa"/>
            <w:vAlign w:val="bottom"/>
          </w:tcPr>
          <w:p>
            <w:pPr>
              <w:ind w:left="302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4"/>
                <w:szCs w:val="24"/>
                <w:color w:val="auto"/>
              </w:rPr>
            </w:pPr>
          </w:p>
        </w:tc>
      </w:tr>
      <w:tr>
        <w:trPr>
          <w:trHeight w:val="91"/>
        </w:trPr>
        <w:tc>
          <w:tcPr>
            <w:tcW w:w="2640" w:type="dxa"/>
            <w:vAlign w:val="bottom"/>
            <w:tcBorders>
              <w:bottom w:val="single" w:sz="8" w:color="9A9A9A"/>
            </w:tcBorders>
          </w:tcPr>
          <w:p>
            <w:pPr>
              <w:spacing w:after="0"/>
              <w:rPr>
                <w:sz w:val="7"/>
                <w:szCs w:val="7"/>
                <w:color w:val="auto"/>
              </w:rPr>
            </w:pPr>
          </w:p>
        </w:tc>
        <w:tc>
          <w:tcPr>
            <w:tcW w:w="8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-27940</wp:posOffset>
            </wp:positionV>
            <wp:extent cx="3302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2"/>
          </w:cols>
          <w:pgMar w:left="238" w:top="140" w:right="19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Who Will Count the Votes?</w:t>
      </w:r>
    </w:p>
    <w:p>
      <w:pPr>
        <w:spacing w:after="0" w:line="112" w:lineRule="exact"/>
        <w:rPr>
          <w:sz w:val="20"/>
          <w:szCs w:val="20"/>
          <w:color w:val="auto"/>
        </w:rPr>
      </w:pPr>
    </w:p>
    <w:p>
      <w:pPr>
        <w:ind w:right="300" w:firstLine="408"/>
        <w:spacing w:after="0" w:line="255" w:lineRule="auto"/>
        <w:rPr>
          <w:sz w:val="20"/>
          <w:szCs w:val="20"/>
          <w:color w:val="auto"/>
        </w:rPr>
      </w:pPr>
      <w:r>
        <w:rPr>
          <w:rFonts w:ascii="Arial" w:cs="Arial" w:eastAsia="Arial" w:hAnsi="Arial"/>
          <w:sz w:val="16"/>
          <w:szCs w:val="16"/>
          <w:color w:val="auto"/>
        </w:rPr>
        <w:t>Broadridge Financial Solutions, Inc. has been engaged to tabulate shareholder votes. An agent of Broadridge Financial Solutions, Inc. will act as our independent inspector of elections for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Will Business Be Conducted at the Annual Meeting?</w:t>
      </w:r>
    </w:p>
    <w:p>
      <w:pPr>
        <w:spacing w:after="0" w:line="112" w:lineRule="exact"/>
        <w:rPr>
          <w:sz w:val="20"/>
          <w:szCs w:val="20"/>
          <w:color w:val="auto"/>
        </w:rPr>
      </w:pPr>
    </w:p>
    <w:p>
      <w:pPr>
        <w:jc w:val="both"/>
        <w:ind w:firstLine="408"/>
        <w:spacing w:after="0" w:line="247" w:lineRule="auto"/>
        <w:rPr>
          <w:sz w:val="20"/>
          <w:szCs w:val="20"/>
          <w:color w:val="auto"/>
        </w:rPr>
      </w:pPr>
      <w:r>
        <w:rPr>
          <w:rFonts w:ascii="Arial" w:cs="Arial" w:eastAsia="Arial" w:hAnsi="Arial"/>
          <w:sz w:val="16"/>
          <w:szCs w:val="16"/>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Can I Attend the Annual Meeting?</w:t>
      </w:r>
    </w:p>
    <w:p>
      <w:pPr>
        <w:spacing w:after="0" w:line="112"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We provide the opportunity for our shareholders to attend the annual meeting in person. Only registered shareholders of our common stock or beneficial shareholders holding shares in street name at the close of business on the record date (January 21, 2020), or their duly appointed proxies, may attend the annual meeting in person. Doors will open approximately fifteen minutes prior to the start of the annual meeting and will close once the meeting has started, at which time admission to the annual meeting will no longer be permitted. For admission to the meeting you may be asked to provide identification and establish proof of ownership. If you are a registered shareholder, your name may be verified against our list of registered shareholders. If you hold your shares in street name, please bring one of the following: an account statement showing your ownership as of the record date; a voting instruction form provided by your broker, trustee, bank or nominee holding your shares containing a valid control number; the Notice of Internet Availability of Proxy Materials that you received in the mail containing a valid control number; a copy of the email you received with instructions containing a link to the website where our proxy materials are available or a link to the proxy voting website and a valid control number; or a letter from a broker, trustee, bank or nominee holding your shares confirming your ownership as of the record date. If you are serving as a legal proxy, please bring a legal proxy containing a valid control number or a letter from a registered shareholder naming you as proxy. Rules governing the conduct of the annual meeting will be distributed at the annual meeting along with an agenda.</w:t>
      </w:r>
    </w:p>
    <w:p>
      <w:pPr>
        <w:spacing w:after="0" w:line="369" w:lineRule="exact"/>
        <w:rPr>
          <w:sz w:val="20"/>
          <w:szCs w:val="20"/>
          <w:color w:val="auto"/>
        </w:rPr>
      </w:pPr>
    </w:p>
    <w:p>
      <w:pPr>
        <w:ind w:firstLine="408"/>
        <w:spacing w:after="0" w:line="255" w:lineRule="auto"/>
        <w:rPr>
          <w:sz w:val="20"/>
          <w:szCs w:val="20"/>
          <w:color w:val="auto"/>
        </w:rPr>
      </w:pPr>
      <w:r>
        <w:rPr>
          <w:rFonts w:ascii="Arial" w:cs="Arial" w:eastAsia="Arial" w:hAnsi="Arial"/>
          <w:sz w:val="16"/>
          <w:szCs w:val="16"/>
          <w:color w:val="auto"/>
        </w:rPr>
        <w:t>Shareholders unable to attend the annual meeting in person have the opportunity to listen to our live, audio-only webcast of the annual meeting. A link to the webcast may be found on our website at www.thetorocompany.com.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FFFFFF"/>
        </w:rPr>
        <w:t>PROPOSAL ONE—ELECTION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7259320" cy="186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Number of Directors; Board Structure</w:t>
      </w:r>
    </w:p>
    <w:p>
      <w:pPr>
        <w:spacing w:after="0" w:line="112" w:lineRule="exact"/>
        <w:rPr>
          <w:sz w:val="20"/>
          <w:szCs w:val="20"/>
          <w:color w:val="auto"/>
        </w:rPr>
      </w:pPr>
    </w:p>
    <w:p>
      <w:pPr>
        <w:ind w:right="540" w:firstLine="408"/>
        <w:spacing w:after="0" w:line="244" w:lineRule="auto"/>
        <w:rPr>
          <w:sz w:val="20"/>
          <w:szCs w:val="20"/>
          <w:color w:val="auto"/>
        </w:rPr>
      </w:pPr>
      <w:r>
        <w:rPr>
          <w:rFonts w:ascii="Arial" w:cs="Arial" w:eastAsia="Arial" w:hAnsi="Arial"/>
          <w:sz w:val="16"/>
          <w:szCs w:val="16"/>
          <w:color w:val="auto"/>
        </w:rPr>
        <w:t>Our Restated Certificate of Incorporation provides that our Board of Directors may be comprised of between eight and twelve directors. Our Board currently is comprised of eleven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w w:val="96"/>
              </w:rPr>
              <w:t>Current Term Ending at</w:t>
            </w:r>
          </w:p>
        </w:tc>
        <w:tc>
          <w:tcPr>
            <w:tcW w:w="460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w w:val="97"/>
              </w:rPr>
              <w:t>Current Term Ending at</w:t>
            </w:r>
          </w:p>
        </w:tc>
        <w:tc>
          <w:tcPr>
            <w:tcW w:w="340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w w:val="97"/>
              </w:rPr>
              <w:t>Current Term Ending at</w:t>
            </w:r>
          </w:p>
        </w:tc>
      </w:tr>
      <w:tr>
        <w:trPr>
          <w:trHeight w:val="206"/>
        </w:trPr>
        <w:tc>
          <w:tcPr>
            <w:tcW w:w="342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5"/>
                <w:szCs w:val="15"/>
                <w:b w:val="1"/>
                <w:bCs w:val="1"/>
                <w:color w:val="FFFFFF"/>
                <w:w w:val="97"/>
              </w:rPr>
              <w:t>2020 Annual Meeting</w:t>
            </w:r>
          </w:p>
        </w:tc>
        <w:tc>
          <w:tcPr>
            <w:tcW w:w="460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5"/>
                <w:szCs w:val="15"/>
                <w:b w:val="1"/>
                <w:bCs w:val="1"/>
                <w:color w:val="FFFFFF"/>
                <w:w w:val="99"/>
              </w:rPr>
              <w:t>2021 Annual Meeting</w:t>
            </w:r>
          </w:p>
        </w:tc>
        <w:tc>
          <w:tcPr>
            <w:tcW w:w="340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5"/>
                <w:szCs w:val="15"/>
                <w:b w:val="1"/>
                <w:bCs w:val="1"/>
                <w:color w:val="FFFFFF"/>
                <w:w w:val="99"/>
              </w:rPr>
              <w:t>2022 Annual Meeting</w:t>
            </w:r>
          </w:p>
        </w:tc>
      </w:tr>
      <w:tr>
        <w:trPr>
          <w:trHeight w:val="216"/>
        </w:trPr>
        <w:tc>
          <w:tcPr>
            <w:tcW w:w="342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6"/>
              </w:rPr>
              <w:t>Jeffrey M. Ettinger</w:t>
            </w:r>
          </w:p>
        </w:tc>
        <w:tc>
          <w:tcPr>
            <w:tcW w:w="4600" w:type="dxa"/>
            <w:vAlign w:val="bottom"/>
          </w:tcPr>
          <w:p>
            <w:pPr>
              <w:jc w:val="center"/>
              <w:spacing w:after="0"/>
              <w:rPr>
                <w:sz w:val="20"/>
                <w:szCs w:val="20"/>
                <w:color w:val="auto"/>
              </w:rPr>
            </w:pPr>
            <w:r>
              <w:rPr>
                <w:rFonts w:ascii="Arial" w:cs="Arial" w:eastAsia="Arial" w:hAnsi="Arial"/>
                <w:sz w:val="15"/>
                <w:szCs w:val="15"/>
                <w:color w:val="auto"/>
                <w:w w:val="99"/>
              </w:rPr>
              <w:t>Janet K. Cooper</w:t>
            </w:r>
          </w:p>
        </w:tc>
        <w:tc>
          <w:tcPr>
            <w:tcW w:w="340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7"/>
              </w:rPr>
              <w:t>Jeffrey L. Harmening</w:t>
            </w:r>
          </w:p>
        </w:tc>
      </w:tr>
      <w:tr>
        <w:trPr>
          <w:trHeight w:val="221"/>
        </w:trPr>
        <w:tc>
          <w:tcPr>
            <w:tcW w:w="342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7"/>
              </w:rPr>
              <w:t>Katherine J. Harless</w:t>
            </w:r>
          </w:p>
        </w:tc>
        <w:tc>
          <w:tcPr>
            <w:tcW w:w="4600" w:type="dxa"/>
            <w:vAlign w:val="bottom"/>
          </w:tcPr>
          <w:p>
            <w:pPr>
              <w:jc w:val="center"/>
              <w:spacing w:after="0"/>
              <w:rPr>
                <w:sz w:val="20"/>
                <w:szCs w:val="20"/>
                <w:color w:val="auto"/>
              </w:rPr>
            </w:pPr>
            <w:r>
              <w:rPr>
                <w:rFonts w:ascii="Arial" w:cs="Arial" w:eastAsia="Arial" w:hAnsi="Arial"/>
                <w:sz w:val="15"/>
                <w:szCs w:val="15"/>
                <w:color w:val="auto"/>
                <w:w w:val="98"/>
              </w:rPr>
              <w:t>Gary L. Ellis</w:t>
            </w:r>
          </w:p>
        </w:tc>
        <w:tc>
          <w:tcPr>
            <w:tcW w:w="340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8"/>
              </w:rPr>
              <w:t>Joyce A. Mullen</w:t>
            </w:r>
          </w:p>
        </w:tc>
      </w:tr>
      <w:tr>
        <w:trPr>
          <w:trHeight w:val="233"/>
        </w:trPr>
        <w:tc>
          <w:tcPr>
            <w:tcW w:w="342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7"/>
              </w:rPr>
              <w:t>D. Christian Koch</w:t>
            </w:r>
          </w:p>
        </w:tc>
        <w:tc>
          <w:tcPr>
            <w:tcW w:w="4600" w:type="dxa"/>
            <w:vAlign w:val="bottom"/>
          </w:tcPr>
          <w:p>
            <w:pPr>
              <w:jc w:val="center"/>
              <w:spacing w:after="0"/>
              <w:rPr>
                <w:sz w:val="20"/>
                <w:szCs w:val="20"/>
                <w:color w:val="auto"/>
              </w:rPr>
            </w:pPr>
            <w:r>
              <w:rPr>
                <w:rFonts w:ascii="Arial" w:cs="Arial" w:eastAsia="Arial" w:hAnsi="Arial"/>
                <w:sz w:val="15"/>
                <w:szCs w:val="15"/>
                <w:color w:val="auto"/>
                <w:w w:val="97"/>
              </w:rPr>
              <w:t>Gregg W. Steinhafel</w:t>
            </w:r>
          </w:p>
        </w:tc>
        <w:tc>
          <w:tcPr>
            <w:tcW w:w="340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6"/>
              </w:rPr>
              <w:t>Richard M. Olson</w:t>
            </w:r>
          </w:p>
        </w:tc>
      </w:tr>
      <w:tr>
        <w:trPr>
          <w:trHeight w:val="233"/>
        </w:trPr>
        <w:tc>
          <w:tcPr>
            <w:tcW w:w="3420" w:type="dxa"/>
            <w:vAlign w:val="bottom"/>
            <w:shd w:val="clear" w:color="auto" w:fill="D9D9D9"/>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5"/>
                <w:szCs w:val="15"/>
                <w:color w:val="auto"/>
                <w:w w:val="98"/>
              </w:rPr>
              <w:t>Michael G. Vale</w:t>
            </w:r>
          </w:p>
        </w:tc>
        <w:tc>
          <w:tcPr>
            <w:tcW w:w="340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7"/>
              </w:rPr>
              <w:t>James C. O’Rourke</w:t>
            </w:r>
          </w:p>
        </w:tc>
      </w:tr>
      <w:tr>
        <w:trPr>
          <w:trHeight w:val="30"/>
        </w:trPr>
        <w:tc>
          <w:tcPr>
            <w:tcW w:w="3420" w:type="dxa"/>
            <w:vAlign w:val="bottom"/>
            <w:shd w:val="clear" w:color="auto" w:fill="D9D9D9"/>
          </w:tcPr>
          <w:p>
            <w:pPr>
              <w:spacing w:after="0"/>
              <w:rPr>
                <w:sz w:val="2"/>
                <w:szCs w:val="2"/>
                <w:color w:val="auto"/>
              </w:rPr>
            </w:pPr>
          </w:p>
        </w:tc>
        <w:tc>
          <w:tcPr>
            <w:tcW w:w="4600" w:type="dxa"/>
            <w:vAlign w:val="bottom"/>
          </w:tcPr>
          <w:p>
            <w:pPr>
              <w:spacing w:after="0"/>
              <w:rPr>
                <w:sz w:val="2"/>
                <w:szCs w:val="2"/>
                <w:color w:val="auto"/>
              </w:rPr>
            </w:pPr>
          </w:p>
        </w:tc>
        <w:tc>
          <w:tcPr>
            <w:tcW w:w="3400" w:type="dxa"/>
            <w:vAlign w:val="bottom"/>
            <w:shd w:val="clear" w:color="auto" w:fill="D9D9D9"/>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Nominees for Director</w:t>
      </w:r>
    </w:p>
    <w:p>
      <w:pPr>
        <w:spacing w:after="0" w:line="112" w:lineRule="exact"/>
        <w:rPr>
          <w:sz w:val="20"/>
          <w:szCs w:val="20"/>
          <w:color w:val="auto"/>
        </w:rPr>
      </w:pPr>
    </w:p>
    <w:p>
      <w:pPr>
        <w:ind w:right="100" w:firstLine="408"/>
        <w:spacing w:after="0" w:line="247" w:lineRule="auto"/>
        <w:rPr>
          <w:sz w:val="20"/>
          <w:szCs w:val="20"/>
          <w:color w:val="auto"/>
        </w:rPr>
      </w:pPr>
      <w:r>
        <w:rPr>
          <w:rFonts w:ascii="Arial" w:cs="Arial" w:eastAsia="Arial" w:hAnsi="Arial"/>
          <w:sz w:val="16"/>
          <w:szCs w:val="16"/>
          <w:color w:val="auto"/>
        </w:rPr>
        <w:t>The Board has nominated each of Jeffrey M. Ettinger, Katherine J. Harless and D. Christian Koch for election to the Board to serve for a three-year term ending at the 2023 Annual Meeting of Shareholders. Each of the director nominees has consented to serve if elected. Proxies only can be voted for the number of persons named as nominees in this proxy statement, which is three.</w:t>
      </w:r>
    </w:p>
    <w:p>
      <w:pPr>
        <w:spacing w:after="0" w:line="81" w:lineRule="exact"/>
        <w:rPr>
          <w:sz w:val="20"/>
          <w:szCs w:val="20"/>
          <w:color w:val="auto"/>
        </w:rPr>
      </w:pPr>
    </w:p>
    <w:p>
      <w:pPr>
        <w:ind w:right="300" w:firstLine="408"/>
        <w:spacing w:after="0" w:line="244" w:lineRule="auto"/>
        <w:rPr>
          <w:sz w:val="20"/>
          <w:szCs w:val="20"/>
          <w:color w:val="auto"/>
        </w:rPr>
      </w:pPr>
      <w:r>
        <w:rPr>
          <w:rFonts w:ascii="Arial" w:cs="Arial" w:eastAsia="Arial" w:hAnsi="Arial"/>
          <w:sz w:val="16"/>
          <w:szCs w:val="16"/>
          <w:color w:val="auto"/>
        </w:rPr>
        <w:t>If prior to the annual meeting the Board learns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460"/>
        </w:trPr>
        <w:tc>
          <w:tcPr>
            <w:tcW w:w="9760" w:type="dxa"/>
            <w:vAlign w:val="bottom"/>
            <w:vMerge w:val="restart"/>
            <w:shd w:val="clear" w:color="auto" w:fill="C00000"/>
          </w:tcPr>
          <w:p>
            <w:pPr>
              <w:jc w:val="right"/>
              <w:ind w:right="890"/>
              <w:spacing w:after="0"/>
              <w:rPr>
                <w:sz w:val="20"/>
                <w:szCs w:val="20"/>
                <w:color w:val="auto"/>
              </w:rPr>
            </w:pPr>
            <w:r>
              <w:rPr>
                <w:rFonts w:ascii="Arial" w:cs="Arial" w:eastAsia="Arial" w:hAnsi="Arial"/>
                <w:sz w:val="20"/>
                <w:szCs w:val="20"/>
                <w:b w:val="1"/>
                <w:bCs w:val="1"/>
                <w:color w:val="FFFFFF"/>
              </w:rPr>
              <w:t>The Board of Directors Recommends a Vote FOR Each Nominee for Director</w:t>
            </w:r>
          </w:p>
        </w:tc>
        <w:tc>
          <w:tcPr>
            <w:tcW w:w="1660" w:type="dxa"/>
            <w:vAlign w:val="bottom"/>
            <w:shd w:val="clear" w:color="auto" w:fill="C00000"/>
          </w:tcPr>
          <w:p>
            <w:pPr>
              <w:ind w:left="1000"/>
              <w:spacing w:after="0" w:line="461" w:lineRule="exact"/>
              <w:rPr>
                <w:sz w:val="20"/>
                <w:szCs w:val="20"/>
                <w:color w:val="auto"/>
              </w:rPr>
            </w:pPr>
            <w:r>
              <w:rPr>
                <w:rFonts w:ascii="MS PGothic" w:cs="MS PGothic" w:eastAsia="MS PGothic" w:hAnsi="MS PGothic"/>
                <w:sz w:val="46"/>
                <w:szCs w:val="46"/>
                <w:color w:val="auto"/>
                <w:highlight w:val="white"/>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9760" w:type="dxa"/>
            <w:vAlign w:val="bottom"/>
            <w:vMerge w:val="continue"/>
            <w:shd w:val="clear" w:color="auto" w:fill="C00000"/>
          </w:tcPr>
          <w:p>
            <w:pPr>
              <w:spacing w:after="0"/>
              <w:rPr>
                <w:sz w:val="5"/>
                <w:szCs w:val="5"/>
                <w:color w:val="auto"/>
              </w:rPr>
            </w:pPr>
          </w:p>
        </w:tc>
        <w:tc>
          <w:tcPr>
            <w:tcW w:w="1660" w:type="dxa"/>
            <w:vAlign w:val="bottom"/>
            <w:shd w:val="clear" w:color="auto" w:fill="C0000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9760" w:type="dxa"/>
            <w:vAlign w:val="bottom"/>
            <w:shd w:val="clear" w:color="auto" w:fill="C00000"/>
          </w:tcPr>
          <w:p>
            <w:pPr>
              <w:spacing w:after="0"/>
              <w:rPr>
                <w:sz w:val="13"/>
                <w:szCs w:val="13"/>
                <w:color w:val="auto"/>
              </w:rPr>
            </w:pPr>
          </w:p>
        </w:tc>
        <w:tc>
          <w:tcPr>
            <w:tcW w:w="1660" w:type="dxa"/>
            <w:vAlign w:val="bottom"/>
            <w:shd w:val="clear" w:color="auto" w:fill="C0000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9760" w:type="dxa"/>
            <w:vAlign w:val="bottom"/>
          </w:tcPr>
          <w:p>
            <w:pPr>
              <w:jc w:val="right"/>
              <w:ind w:right="3910"/>
              <w:spacing w:after="0"/>
              <w:rPr>
                <w:sz w:val="20"/>
                <w:szCs w:val="20"/>
                <w:color w:val="auto"/>
              </w:rPr>
            </w:pPr>
            <w:r>
              <w:rPr>
                <w:rFonts w:ascii="Arial" w:cs="Arial" w:eastAsia="Arial" w:hAnsi="Arial"/>
                <w:sz w:val="16"/>
                <w:szCs w:val="16"/>
                <w:color w:val="auto"/>
              </w:rPr>
              <w:t>5</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76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Information About Director Nominees and Continuing Directors</w:t>
      </w:r>
    </w:p>
    <w:p>
      <w:pPr>
        <w:spacing w:after="0" w:line="112" w:lineRule="exact"/>
        <w:rPr>
          <w:sz w:val="20"/>
          <w:szCs w:val="20"/>
          <w:color w:val="auto"/>
        </w:rPr>
      </w:pPr>
    </w:p>
    <w:p>
      <w:pPr>
        <w:ind w:right="400" w:firstLine="408"/>
        <w:spacing w:after="0" w:line="255" w:lineRule="auto"/>
        <w:rPr>
          <w:sz w:val="20"/>
          <w:szCs w:val="20"/>
          <w:color w:val="auto"/>
        </w:rPr>
      </w:pPr>
      <w:r>
        <w:rPr>
          <w:rFonts w:ascii="Arial" w:cs="Arial" w:eastAsia="Arial" w:hAnsi="Arial"/>
          <w:sz w:val="16"/>
          <w:szCs w:val="16"/>
          <w:color w:val="auto"/>
        </w:rPr>
        <w:t>The following pages provide information about each nominee for election to the Board at the annual meeting and each other member of the Board. We believe that all of our director nominees and continuing directors display:</w:t>
      </w:r>
    </w:p>
    <w:p>
      <w:pPr>
        <w:spacing w:after="0" w:line="75" w:lineRule="exact"/>
        <w:rPr>
          <w:sz w:val="20"/>
          <w:szCs w:val="20"/>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personal and professional integrity;</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appropriate levels of education and business experience;</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strong business acumen;</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an appropriate level of understanding of our business, industry and other industries relevant to our business;</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the ability and willingness to devote adequate time to the work of our Board and its committees;</w:t>
      </w:r>
    </w:p>
    <w:p>
      <w:pPr>
        <w:spacing w:after="0" w:line="97" w:lineRule="exact"/>
        <w:rPr>
          <w:rFonts w:ascii="Arial" w:cs="Arial" w:eastAsia="Arial" w:hAnsi="Arial"/>
          <w:sz w:val="15"/>
          <w:szCs w:val="15"/>
          <w:color w:val="auto"/>
        </w:rPr>
      </w:pPr>
    </w:p>
    <w:p>
      <w:pPr>
        <w:ind w:left="680" w:right="280" w:hanging="278"/>
        <w:spacing w:after="0" w:line="255" w:lineRule="auto"/>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a fit of skills and personality with those of our other directors that helps build a Board that is effective, collegial and responsive to the needs of our Company;</w:t>
      </w:r>
    </w:p>
    <w:p>
      <w:pPr>
        <w:spacing w:after="0" w:line="74"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strategic thinking and a willingness to share ideas;</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a diversity of experiences, expertise and backgrounds; and</w:t>
      </w:r>
    </w:p>
    <w:p>
      <w:pPr>
        <w:spacing w:after="0" w:line="97" w:lineRule="exact"/>
        <w:rPr>
          <w:rFonts w:ascii="Arial" w:cs="Arial" w:eastAsia="Arial" w:hAnsi="Arial"/>
          <w:sz w:val="15"/>
          <w:szCs w:val="15"/>
          <w:color w:val="auto"/>
        </w:rPr>
      </w:pPr>
    </w:p>
    <w:p>
      <w:pPr>
        <w:ind w:left="680" w:hanging="278"/>
        <w:spacing w:after="0"/>
        <w:tabs>
          <w:tab w:leader="none" w:pos="6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the ability to represent the interests of all of our shareholders.</w:t>
      </w:r>
    </w:p>
    <w:p>
      <w:pPr>
        <w:spacing w:after="0" w:line="98" w:lineRule="exact"/>
        <w:rPr>
          <w:sz w:val="20"/>
          <w:szCs w:val="20"/>
          <w:color w:val="auto"/>
        </w:rPr>
      </w:pPr>
    </w:p>
    <w:p>
      <w:pPr>
        <w:ind w:right="300" w:firstLine="408"/>
        <w:spacing w:after="0" w:line="255" w:lineRule="auto"/>
        <w:rPr>
          <w:sz w:val="20"/>
          <w:szCs w:val="20"/>
          <w:color w:val="auto"/>
        </w:rPr>
      </w:pPr>
      <w:r>
        <w:rPr>
          <w:rFonts w:ascii="Arial" w:cs="Arial" w:eastAsia="Arial" w:hAnsi="Arial"/>
          <w:sz w:val="16"/>
          <w:szCs w:val="16"/>
          <w:color w:val="auto"/>
        </w:rPr>
        <w:t>All of our directors and director nominees bring to our Board a wealth of executive leadership experience, particularly at companies with international manufacturing operations. The following chart summarizes each director and director nominee’s key qualifications, experience and skills.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2940" w:type="dxa"/>
            <w:vAlign w:val="bottom"/>
            <w:shd w:val="clear" w:color="auto" w:fill="C00000"/>
          </w:tcPr>
          <w:p>
            <w:pPr>
              <w:spacing w:after="0"/>
              <w:rPr>
                <w:sz w:val="24"/>
                <w:szCs w:val="24"/>
                <w:color w:val="auto"/>
              </w:rPr>
            </w:pPr>
          </w:p>
        </w:tc>
        <w:tc>
          <w:tcPr>
            <w:tcW w:w="780" w:type="dxa"/>
            <w:vAlign w:val="bottom"/>
            <w:vMerge w:val="restart"/>
            <w:shd w:val="clear" w:color="auto" w:fill="C00000"/>
          </w:tcPr>
          <w:p>
            <w:pPr>
              <w:ind w:left="200"/>
              <w:spacing w:after="0"/>
              <w:rPr>
                <w:sz w:val="20"/>
                <w:szCs w:val="20"/>
                <w:color w:val="auto"/>
              </w:rPr>
            </w:pPr>
            <w:r>
              <w:rPr>
                <w:rFonts w:ascii="Arial" w:cs="Arial" w:eastAsia="Arial" w:hAnsi="Arial"/>
                <w:sz w:val="15"/>
                <w:szCs w:val="15"/>
                <w:b w:val="1"/>
                <w:bCs w:val="1"/>
                <w:color w:val="FFFFFF"/>
              </w:rPr>
              <w:t>Janet</w:t>
            </w:r>
          </w:p>
        </w:tc>
        <w:tc>
          <w:tcPr>
            <w:tcW w:w="620" w:type="dxa"/>
            <w:vAlign w:val="bottom"/>
            <w:vMerge w:val="restart"/>
            <w:shd w:val="clear" w:color="auto" w:fill="C00000"/>
          </w:tcPr>
          <w:p>
            <w:pPr>
              <w:ind w:left="160"/>
              <w:spacing w:after="0"/>
              <w:rPr>
                <w:sz w:val="20"/>
                <w:szCs w:val="20"/>
                <w:color w:val="auto"/>
              </w:rPr>
            </w:pPr>
            <w:r>
              <w:rPr>
                <w:rFonts w:ascii="Arial" w:cs="Arial" w:eastAsia="Arial" w:hAnsi="Arial"/>
                <w:sz w:val="15"/>
                <w:szCs w:val="15"/>
                <w:b w:val="1"/>
                <w:bCs w:val="1"/>
                <w:color w:val="FFFFFF"/>
              </w:rPr>
              <w:t>Gary</w:t>
            </w:r>
          </w:p>
        </w:tc>
        <w:tc>
          <w:tcPr>
            <w:tcW w:w="780" w:type="dxa"/>
            <w:vAlign w:val="bottom"/>
            <w:vMerge w:val="restart"/>
            <w:shd w:val="clear" w:color="auto" w:fill="C00000"/>
          </w:tcPr>
          <w:p>
            <w:pPr>
              <w:ind w:left="180"/>
              <w:spacing w:after="0"/>
              <w:rPr>
                <w:sz w:val="20"/>
                <w:szCs w:val="20"/>
                <w:color w:val="auto"/>
              </w:rPr>
            </w:pPr>
            <w:r>
              <w:rPr>
                <w:rFonts w:ascii="Arial" w:cs="Arial" w:eastAsia="Arial" w:hAnsi="Arial"/>
                <w:sz w:val="15"/>
                <w:szCs w:val="15"/>
                <w:b w:val="1"/>
                <w:bCs w:val="1"/>
                <w:color w:val="FFFFFF"/>
              </w:rPr>
              <w:t>Jeffrey</w:t>
            </w:r>
          </w:p>
        </w:tc>
        <w:tc>
          <w:tcPr>
            <w:tcW w:w="840" w:type="dxa"/>
            <w:vAlign w:val="bottom"/>
            <w:vMerge w:val="restart"/>
            <w:shd w:val="clear" w:color="auto" w:fill="C00000"/>
          </w:tcPr>
          <w:p>
            <w:pPr>
              <w:ind w:left="100"/>
              <w:spacing w:after="0"/>
              <w:rPr>
                <w:sz w:val="20"/>
                <w:szCs w:val="20"/>
                <w:color w:val="auto"/>
              </w:rPr>
            </w:pPr>
            <w:r>
              <w:rPr>
                <w:rFonts w:ascii="Arial" w:cs="Arial" w:eastAsia="Arial" w:hAnsi="Arial"/>
                <w:sz w:val="15"/>
                <w:szCs w:val="15"/>
                <w:b w:val="1"/>
                <w:bCs w:val="1"/>
                <w:color w:val="FFFFFF"/>
              </w:rPr>
              <w:t>Katherine</w:t>
            </w:r>
          </w:p>
        </w:tc>
        <w:tc>
          <w:tcPr>
            <w:tcW w:w="920" w:type="dxa"/>
            <w:vAlign w:val="bottom"/>
            <w:vMerge w:val="restart"/>
            <w:shd w:val="clear" w:color="auto" w:fill="C00000"/>
          </w:tcPr>
          <w:p>
            <w:pPr>
              <w:ind w:left="220"/>
              <w:spacing w:after="0"/>
              <w:rPr>
                <w:sz w:val="20"/>
                <w:szCs w:val="20"/>
                <w:color w:val="auto"/>
              </w:rPr>
            </w:pPr>
            <w:r>
              <w:rPr>
                <w:rFonts w:ascii="Arial" w:cs="Arial" w:eastAsia="Arial" w:hAnsi="Arial"/>
                <w:sz w:val="15"/>
                <w:szCs w:val="15"/>
                <w:b w:val="1"/>
                <w:bCs w:val="1"/>
                <w:color w:val="FFFFFF"/>
              </w:rPr>
              <w:t>Jeffrey</w:t>
            </w:r>
          </w:p>
        </w:tc>
        <w:tc>
          <w:tcPr>
            <w:tcW w:w="82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w w:val="93"/>
              </w:rPr>
              <w:t>D.</w:t>
            </w:r>
          </w:p>
        </w:tc>
        <w:tc>
          <w:tcPr>
            <w:tcW w:w="680" w:type="dxa"/>
            <w:vAlign w:val="bottom"/>
            <w:vMerge w:val="restart"/>
            <w:shd w:val="clear" w:color="auto" w:fill="C00000"/>
          </w:tcPr>
          <w:p>
            <w:pPr>
              <w:ind w:left="120"/>
              <w:spacing w:after="0"/>
              <w:rPr>
                <w:sz w:val="20"/>
                <w:szCs w:val="20"/>
                <w:color w:val="auto"/>
              </w:rPr>
            </w:pPr>
            <w:r>
              <w:rPr>
                <w:rFonts w:ascii="Arial" w:cs="Arial" w:eastAsia="Arial" w:hAnsi="Arial"/>
                <w:sz w:val="15"/>
                <w:szCs w:val="15"/>
                <w:b w:val="1"/>
                <w:bCs w:val="1"/>
                <w:color w:val="FFFFFF"/>
              </w:rPr>
              <w:t>Joyce</w:t>
            </w:r>
          </w:p>
        </w:tc>
        <w:tc>
          <w:tcPr>
            <w:tcW w:w="740" w:type="dxa"/>
            <w:vAlign w:val="bottom"/>
            <w:vMerge w:val="restart"/>
            <w:shd w:val="clear" w:color="auto" w:fill="C00000"/>
          </w:tcPr>
          <w:p>
            <w:pPr>
              <w:ind w:left="100"/>
              <w:spacing w:after="0"/>
              <w:rPr>
                <w:sz w:val="20"/>
                <w:szCs w:val="20"/>
                <w:color w:val="auto"/>
              </w:rPr>
            </w:pPr>
            <w:r>
              <w:rPr>
                <w:rFonts w:ascii="Arial" w:cs="Arial" w:eastAsia="Arial" w:hAnsi="Arial"/>
                <w:sz w:val="15"/>
                <w:szCs w:val="15"/>
                <w:b w:val="1"/>
                <w:bCs w:val="1"/>
                <w:color w:val="FFFFFF"/>
              </w:rPr>
              <w:t>Richard</w:t>
            </w:r>
          </w:p>
        </w:tc>
        <w:tc>
          <w:tcPr>
            <w:tcW w:w="820" w:type="dxa"/>
            <w:vAlign w:val="bottom"/>
            <w:vMerge w:val="restart"/>
            <w:shd w:val="clear" w:color="auto" w:fill="C00000"/>
          </w:tcPr>
          <w:p>
            <w:pPr>
              <w:ind w:left="180"/>
              <w:spacing w:after="0"/>
              <w:rPr>
                <w:sz w:val="20"/>
                <w:szCs w:val="20"/>
                <w:color w:val="auto"/>
              </w:rPr>
            </w:pPr>
            <w:r>
              <w:rPr>
                <w:rFonts w:ascii="Arial" w:cs="Arial" w:eastAsia="Arial" w:hAnsi="Arial"/>
                <w:sz w:val="15"/>
                <w:szCs w:val="15"/>
                <w:b w:val="1"/>
                <w:bCs w:val="1"/>
                <w:color w:val="FFFFFF"/>
              </w:rPr>
              <w:t>James</w:t>
            </w:r>
          </w:p>
        </w:tc>
        <w:tc>
          <w:tcPr>
            <w:tcW w:w="840" w:type="dxa"/>
            <w:vAlign w:val="bottom"/>
            <w:vMerge w:val="restart"/>
            <w:shd w:val="clear" w:color="auto" w:fill="C00000"/>
          </w:tcPr>
          <w:p>
            <w:pPr>
              <w:ind w:left="200"/>
              <w:spacing w:after="0"/>
              <w:rPr>
                <w:sz w:val="20"/>
                <w:szCs w:val="20"/>
                <w:color w:val="auto"/>
              </w:rPr>
            </w:pPr>
            <w:r>
              <w:rPr>
                <w:rFonts w:ascii="Arial" w:cs="Arial" w:eastAsia="Arial" w:hAnsi="Arial"/>
                <w:sz w:val="15"/>
                <w:szCs w:val="15"/>
                <w:b w:val="1"/>
                <w:bCs w:val="1"/>
                <w:color w:val="FFFFFF"/>
              </w:rPr>
              <w:t>Gregg</w:t>
            </w:r>
          </w:p>
        </w:tc>
        <w:tc>
          <w:tcPr>
            <w:tcW w:w="640" w:type="dxa"/>
            <w:vAlign w:val="bottom"/>
            <w:vMerge w:val="restart"/>
            <w:shd w:val="clear" w:color="auto" w:fill="C00000"/>
          </w:tcPr>
          <w:p>
            <w:pPr>
              <w:ind w:left="80"/>
              <w:spacing w:after="0"/>
              <w:rPr>
                <w:sz w:val="20"/>
                <w:szCs w:val="20"/>
                <w:color w:val="auto"/>
              </w:rPr>
            </w:pPr>
            <w:r>
              <w:rPr>
                <w:rFonts w:ascii="Arial" w:cs="Arial" w:eastAsia="Arial" w:hAnsi="Arial"/>
                <w:sz w:val="15"/>
                <w:szCs w:val="15"/>
                <w:b w:val="1"/>
                <w:bCs w:val="1"/>
                <w:color w:val="FFFFFF"/>
                <w:w w:val="98"/>
              </w:rPr>
              <w:t>Michael</w:t>
            </w:r>
          </w:p>
        </w:tc>
        <w:tc>
          <w:tcPr>
            <w:tcW w:w="0" w:type="dxa"/>
            <w:vAlign w:val="bottom"/>
          </w:tcPr>
          <w:p>
            <w:pPr>
              <w:spacing w:after="0"/>
              <w:rPr>
                <w:sz w:val="1"/>
                <w:szCs w:val="1"/>
                <w:color w:val="auto"/>
              </w:rPr>
            </w:pPr>
          </w:p>
        </w:tc>
      </w:tr>
      <w:tr>
        <w:trPr>
          <w:trHeight w:val="86"/>
        </w:trPr>
        <w:tc>
          <w:tcPr>
            <w:tcW w:w="2940" w:type="dxa"/>
            <w:vAlign w:val="bottom"/>
            <w:shd w:val="clear" w:color="auto" w:fill="C00000"/>
          </w:tcPr>
          <w:p>
            <w:pPr>
              <w:spacing w:after="0"/>
              <w:rPr>
                <w:sz w:val="7"/>
                <w:szCs w:val="7"/>
                <w:color w:val="auto"/>
              </w:rPr>
            </w:pPr>
          </w:p>
        </w:tc>
        <w:tc>
          <w:tcPr>
            <w:tcW w:w="780" w:type="dxa"/>
            <w:vAlign w:val="bottom"/>
            <w:vMerge w:val="continue"/>
            <w:shd w:val="clear" w:color="auto" w:fill="C00000"/>
          </w:tcPr>
          <w:p>
            <w:pPr>
              <w:spacing w:after="0"/>
              <w:rPr>
                <w:sz w:val="7"/>
                <w:szCs w:val="7"/>
                <w:color w:val="auto"/>
              </w:rPr>
            </w:pPr>
          </w:p>
        </w:tc>
        <w:tc>
          <w:tcPr>
            <w:tcW w:w="620" w:type="dxa"/>
            <w:vAlign w:val="bottom"/>
            <w:vMerge w:val="continue"/>
            <w:shd w:val="clear" w:color="auto" w:fill="C00000"/>
          </w:tcPr>
          <w:p>
            <w:pPr>
              <w:spacing w:after="0"/>
              <w:rPr>
                <w:sz w:val="7"/>
                <w:szCs w:val="7"/>
                <w:color w:val="auto"/>
              </w:rPr>
            </w:pPr>
          </w:p>
        </w:tc>
        <w:tc>
          <w:tcPr>
            <w:tcW w:w="780" w:type="dxa"/>
            <w:vAlign w:val="bottom"/>
            <w:vMerge w:val="continue"/>
            <w:shd w:val="clear" w:color="auto" w:fill="C00000"/>
          </w:tcPr>
          <w:p>
            <w:pPr>
              <w:spacing w:after="0"/>
              <w:rPr>
                <w:sz w:val="7"/>
                <w:szCs w:val="7"/>
                <w:color w:val="auto"/>
              </w:rPr>
            </w:pPr>
          </w:p>
        </w:tc>
        <w:tc>
          <w:tcPr>
            <w:tcW w:w="840" w:type="dxa"/>
            <w:vAlign w:val="bottom"/>
            <w:vMerge w:val="continue"/>
            <w:shd w:val="clear" w:color="auto" w:fill="C00000"/>
          </w:tcPr>
          <w:p>
            <w:pPr>
              <w:spacing w:after="0"/>
              <w:rPr>
                <w:sz w:val="7"/>
                <w:szCs w:val="7"/>
                <w:color w:val="auto"/>
              </w:rPr>
            </w:pPr>
          </w:p>
        </w:tc>
        <w:tc>
          <w:tcPr>
            <w:tcW w:w="920" w:type="dxa"/>
            <w:vAlign w:val="bottom"/>
            <w:vMerge w:val="continue"/>
            <w:shd w:val="clear" w:color="auto" w:fill="C00000"/>
          </w:tcPr>
          <w:p>
            <w:pPr>
              <w:spacing w:after="0"/>
              <w:rPr>
                <w:sz w:val="7"/>
                <w:szCs w:val="7"/>
                <w:color w:val="auto"/>
              </w:rPr>
            </w:pPr>
          </w:p>
        </w:tc>
        <w:tc>
          <w:tcPr>
            <w:tcW w:w="820" w:type="dxa"/>
            <w:vAlign w:val="bottom"/>
            <w:vMerge w:val="restart"/>
            <w:shd w:val="clear" w:color="auto" w:fill="C00000"/>
          </w:tcPr>
          <w:p>
            <w:pPr>
              <w:jc w:val="center"/>
              <w:spacing w:after="0"/>
              <w:rPr>
                <w:sz w:val="20"/>
                <w:szCs w:val="20"/>
                <w:color w:val="auto"/>
              </w:rPr>
            </w:pPr>
            <w:r>
              <w:rPr>
                <w:rFonts w:ascii="Arial" w:cs="Arial" w:eastAsia="Arial" w:hAnsi="Arial"/>
                <w:sz w:val="15"/>
                <w:szCs w:val="15"/>
                <w:b w:val="1"/>
                <w:bCs w:val="1"/>
                <w:color w:val="FFFFFF"/>
                <w:w w:val="95"/>
              </w:rPr>
              <w:t>Christian</w:t>
            </w:r>
          </w:p>
        </w:tc>
        <w:tc>
          <w:tcPr>
            <w:tcW w:w="680" w:type="dxa"/>
            <w:vAlign w:val="bottom"/>
            <w:vMerge w:val="continue"/>
            <w:shd w:val="clear" w:color="auto" w:fill="C00000"/>
          </w:tcPr>
          <w:p>
            <w:pPr>
              <w:spacing w:after="0"/>
              <w:rPr>
                <w:sz w:val="7"/>
                <w:szCs w:val="7"/>
                <w:color w:val="auto"/>
              </w:rPr>
            </w:pPr>
          </w:p>
        </w:tc>
        <w:tc>
          <w:tcPr>
            <w:tcW w:w="740" w:type="dxa"/>
            <w:vAlign w:val="bottom"/>
            <w:vMerge w:val="continue"/>
            <w:shd w:val="clear" w:color="auto" w:fill="C00000"/>
          </w:tcPr>
          <w:p>
            <w:pPr>
              <w:spacing w:after="0"/>
              <w:rPr>
                <w:sz w:val="7"/>
                <w:szCs w:val="7"/>
                <w:color w:val="auto"/>
              </w:rPr>
            </w:pPr>
          </w:p>
        </w:tc>
        <w:tc>
          <w:tcPr>
            <w:tcW w:w="820" w:type="dxa"/>
            <w:vAlign w:val="bottom"/>
            <w:vMerge w:val="continue"/>
            <w:shd w:val="clear" w:color="auto" w:fill="C00000"/>
          </w:tcPr>
          <w:p>
            <w:pPr>
              <w:spacing w:after="0"/>
              <w:rPr>
                <w:sz w:val="7"/>
                <w:szCs w:val="7"/>
                <w:color w:val="auto"/>
              </w:rPr>
            </w:pPr>
          </w:p>
        </w:tc>
        <w:tc>
          <w:tcPr>
            <w:tcW w:w="840" w:type="dxa"/>
            <w:vAlign w:val="bottom"/>
            <w:vMerge w:val="continue"/>
            <w:shd w:val="clear" w:color="auto" w:fill="C00000"/>
          </w:tcPr>
          <w:p>
            <w:pPr>
              <w:spacing w:after="0"/>
              <w:rPr>
                <w:sz w:val="7"/>
                <w:szCs w:val="7"/>
                <w:color w:val="auto"/>
              </w:rPr>
            </w:pPr>
          </w:p>
        </w:tc>
        <w:tc>
          <w:tcPr>
            <w:tcW w:w="640" w:type="dxa"/>
            <w:vAlign w:val="bottom"/>
            <w:vMerge w:val="continue"/>
            <w:shd w:val="clear" w:color="auto" w:fill="C00000"/>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940" w:type="dxa"/>
            <w:vAlign w:val="bottom"/>
            <w:shd w:val="clear" w:color="auto" w:fill="C00000"/>
          </w:tcPr>
          <w:p>
            <w:pPr>
              <w:spacing w:after="0"/>
              <w:rPr>
                <w:sz w:val="13"/>
                <w:szCs w:val="13"/>
                <w:color w:val="auto"/>
              </w:rPr>
            </w:pPr>
          </w:p>
        </w:tc>
        <w:tc>
          <w:tcPr>
            <w:tcW w:w="780" w:type="dxa"/>
            <w:vAlign w:val="bottom"/>
            <w:shd w:val="clear" w:color="auto" w:fill="C00000"/>
          </w:tcPr>
          <w:p>
            <w:pPr>
              <w:ind w:left="120"/>
              <w:spacing w:after="0" w:line="151" w:lineRule="exact"/>
              <w:rPr>
                <w:sz w:val="20"/>
                <w:szCs w:val="20"/>
                <w:color w:val="auto"/>
              </w:rPr>
            </w:pPr>
            <w:r>
              <w:rPr>
                <w:rFonts w:ascii="Arial" w:cs="Arial" w:eastAsia="Arial" w:hAnsi="Arial"/>
                <w:sz w:val="15"/>
                <w:szCs w:val="15"/>
                <w:b w:val="1"/>
                <w:bCs w:val="1"/>
                <w:color w:val="FFFFFF"/>
              </w:rPr>
              <w:t>Cooper</w:t>
            </w:r>
          </w:p>
        </w:tc>
        <w:tc>
          <w:tcPr>
            <w:tcW w:w="620" w:type="dxa"/>
            <w:vAlign w:val="bottom"/>
            <w:shd w:val="clear" w:color="auto" w:fill="C00000"/>
          </w:tcPr>
          <w:p>
            <w:pPr>
              <w:ind w:left="180"/>
              <w:spacing w:after="0" w:line="151" w:lineRule="exact"/>
              <w:rPr>
                <w:sz w:val="20"/>
                <w:szCs w:val="20"/>
                <w:color w:val="auto"/>
              </w:rPr>
            </w:pPr>
            <w:r>
              <w:rPr>
                <w:rFonts w:ascii="Arial" w:cs="Arial" w:eastAsia="Arial" w:hAnsi="Arial"/>
                <w:sz w:val="15"/>
                <w:szCs w:val="15"/>
                <w:b w:val="1"/>
                <w:bCs w:val="1"/>
                <w:color w:val="FFFFFF"/>
              </w:rPr>
              <w:t>Ellis</w:t>
            </w:r>
          </w:p>
        </w:tc>
        <w:tc>
          <w:tcPr>
            <w:tcW w:w="780" w:type="dxa"/>
            <w:vAlign w:val="bottom"/>
            <w:shd w:val="clear" w:color="auto" w:fill="C00000"/>
          </w:tcPr>
          <w:p>
            <w:pPr>
              <w:ind w:left="140"/>
              <w:spacing w:after="0" w:line="151" w:lineRule="exact"/>
              <w:rPr>
                <w:sz w:val="20"/>
                <w:szCs w:val="20"/>
                <w:color w:val="auto"/>
              </w:rPr>
            </w:pPr>
            <w:r>
              <w:rPr>
                <w:rFonts w:ascii="Arial" w:cs="Arial" w:eastAsia="Arial" w:hAnsi="Arial"/>
                <w:sz w:val="15"/>
                <w:szCs w:val="15"/>
                <w:b w:val="1"/>
                <w:bCs w:val="1"/>
                <w:color w:val="FFFFFF"/>
              </w:rPr>
              <w:t>Ettinger</w:t>
            </w:r>
          </w:p>
        </w:tc>
        <w:tc>
          <w:tcPr>
            <w:tcW w:w="840" w:type="dxa"/>
            <w:vAlign w:val="bottom"/>
            <w:shd w:val="clear" w:color="auto" w:fill="C00000"/>
          </w:tcPr>
          <w:p>
            <w:pPr>
              <w:ind w:left="160"/>
              <w:spacing w:after="0" w:line="151" w:lineRule="exact"/>
              <w:rPr>
                <w:sz w:val="20"/>
                <w:szCs w:val="20"/>
                <w:color w:val="auto"/>
              </w:rPr>
            </w:pPr>
            <w:r>
              <w:rPr>
                <w:rFonts w:ascii="Arial" w:cs="Arial" w:eastAsia="Arial" w:hAnsi="Arial"/>
                <w:sz w:val="15"/>
                <w:szCs w:val="15"/>
                <w:b w:val="1"/>
                <w:bCs w:val="1"/>
                <w:color w:val="FFFFFF"/>
              </w:rPr>
              <w:t>Harless</w:t>
            </w:r>
          </w:p>
        </w:tc>
        <w:tc>
          <w:tcPr>
            <w:tcW w:w="920" w:type="dxa"/>
            <w:vAlign w:val="bottom"/>
            <w:shd w:val="clear" w:color="auto" w:fill="C00000"/>
          </w:tcPr>
          <w:p>
            <w:pPr>
              <w:ind w:left="80"/>
              <w:spacing w:after="0" w:line="151" w:lineRule="exact"/>
              <w:rPr>
                <w:sz w:val="20"/>
                <w:szCs w:val="20"/>
                <w:color w:val="auto"/>
              </w:rPr>
            </w:pPr>
            <w:r>
              <w:rPr>
                <w:rFonts w:ascii="Arial" w:cs="Arial" w:eastAsia="Arial" w:hAnsi="Arial"/>
                <w:sz w:val="15"/>
                <w:szCs w:val="15"/>
                <w:b w:val="1"/>
                <w:bCs w:val="1"/>
                <w:color w:val="FFFFFF"/>
              </w:rPr>
              <w:t>Harmening</w:t>
            </w:r>
          </w:p>
        </w:tc>
        <w:tc>
          <w:tcPr>
            <w:tcW w:w="820" w:type="dxa"/>
            <w:vAlign w:val="bottom"/>
            <w:vMerge w:val="continue"/>
            <w:shd w:val="clear" w:color="auto" w:fill="C00000"/>
          </w:tcPr>
          <w:p>
            <w:pPr>
              <w:spacing w:after="0"/>
              <w:rPr>
                <w:sz w:val="13"/>
                <w:szCs w:val="13"/>
                <w:color w:val="auto"/>
              </w:rPr>
            </w:pPr>
          </w:p>
        </w:tc>
        <w:tc>
          <w:tcPr>
            <w:tcW w:w="680" w:type="dxa"/>
            <w:vAlign w:val="bottom"/>
            <w:shd w:val="clear" w:color="auto" w:fill="C00000"/>
          </w:tcPr>
          <w:p>
            <w:pPr>
              <w:ind w:left="100"/>
              <w:spacing w:after="0" w:line="151" w:lineRule="exact"/>
              <w:rPr>
                <w:sz w:val="20"/>
                <w:szCs w:val="20"/>
                <w:color w:val="auto"/>
              </w:rPr>
            </w:pPr>
            <w:r>
              <w:rPr>
                <w:rFonts w:ascii="Arial" w:cs="Arial" w:eastAsia="Arial" w:hAnsi="Arial"/>
                <w:sz w:val="15"/>
                <w:szCs w:val="15"/>
                <w:b w:val="1"/>
                <w:bCs w:val="1"/>
                <w:color w:val="FFFFFF"/>
              </w:rPr>
              <w:t>Mullen</w:t>
            </w:r>
          </w:p>
        </w:tc>
        <w:tc>
          <w:tcPr>
            <w:tcW w:w="740" w:type="dxa"/>
            <w:vAlign w:val="bottom"/>
            <w:shd w:val="clear" w:color="auto" w:fill="C00000"/>
          </w:tcPr>
          <w:p>
            <w:pPr>
              <w:ind w:left="180"/>
              <w:spacing w:after="0" w:line="151" w:lineRule="exact"/>
              <w:rPr>
                <w:sz w:val="20"/>
                <w:szCs w:val="20"/>
                <w:color w:val="auto"/>
              </w:rPr>
            </w:pPr>
            <w:r>
              <w:rPr>
                <w:rFonts w:ascii="Arial" w:cs="Arial" w:eastAsia="Arial" w:hAnsi="Arial"/>
                <w:sz w:val="15"/>
                <w:szCs w:val="15"/>
                <w:b w:val="1"/>
                <w:bCs w:val="1"/>
                <w:color w:val="FFFFFF"/>
              </w:rPr>
              <w:t>Olson</w:t>
            </w:r>
          </w:p>
        </w:tc>
        <w:tc>
          <w:tcPr>
            <w:tcW w:w="820" w:type="dxa"/>
            <w:vAlign w:val="bottom"/>
            <w:shd w:val="clear" w:color="auto" w:fill="C00000"/>
          </w:tcPr>
          <w:p>
            <w:pPr>
              <w:ind w:left="80"/>
              <w:spacing w:after="0" w:line="151" w:lineRule="exact"/>
              <w:rPr>
                <w:sz w:val="20"/>
                <w:szCs w:val="20"/>
                <w:color w:val="auto"/>
              </w:rPr>
            </w:pPr>
            <w:r>
              <w:rPr>
                <w:rFonts w:ascii="Arial" w:cs="Arial" w:eastAsia="Arial" w:hAnsi="Arial"/>
                <w:sz w:val="15"/>
                <w:szCs w:val="15"/>
                <w:b w:val="1"/>
                <w:bCs w:val="1"/>
                <w:color w:val="FFFFFF"/>
              </w:rPr>
              <w:t>O'Rourke</w:t>
            </w:r>
          </w:p>
        </w:tc>
        <w:tc>
          <w:tcPr>
            <w:tcW w:w="840" w:type="dxa"/>
            <w:vAlign w:val="bottom"/>
            <w:shd w:val="clear" w:color="auto" w:fill="C00000"/>
          </w:tcPr>
          <w:p>
            <w:pPr>
              <w:ind w:left="80"/>
              <w:spacing w:after="0" w:line="151" w:lineRule="exact"/>
              <w:rPr>
                <w:sz w:val="20"/>
                <w:szCs w:val="20"/>
                <w:color w:val="auto"/>
              </w:rPr>
            </w:pPr>
            <w:r>
              <w:rPr>
                <w:rFonts w:ascii="Arial" w:cs="Arial" w:eastAsia="Arial" w:hAnsi="Arial"/>
                <w:sz w:val="15"/>
                <w:szCs w:val="15"/>
                <w:b w:val="1"/>
                <w:bCs w:val="1"/>
                <w:color w:val="FFFFFF"/>
              </w:rPr>
              <w:t>Steinhafel</w:t>
            </w:r>
          </w:p>
        </w:tc>
        <w:tc>
          <w:tcPr>
            <w:tcW w:w="640" w:type="dxa"/>
            <w:vAlign w:val="bottom"/>
            <w:shd w:val="clear" w:color="auto" w:fill="C00000"/>
          </w:tcPr>
          <w:p>
            <w:pPr>
              <w:ind w:left="200"/>
              <w:spacing w:after="0" w:line="151" w:lineRule="exact"/>
              <w:rPr>
                <w:sz w:val="20"/>
                <w:szCs w:val="20"/>
                <w:color w:val="auto"/>
              </w:rPr>
            </w:pPr>
            <w:r>
              <w:rPr>
                <w:rFonts w:ascii="Arial" w:cs="Arial" w:eastAsia="Arial" w:hAnsi="Arial"/>
                <w:sz w:val="15"/>
                <w:szCs w:val="15"/>
                <w:b w:val="1"/>
                <w:bCs w:val="1"/>
                <w:color w:val="FFFFFF"/>
              </w:rPr>
              <w:t>Vale</w:t>
            </w:r>
          </w:p>
        </w:tc>
        <w:tc>
          <w:tcPr>
            <w:tcW w:w="0" w:type="dxa"/>
            <w:vAlign w:val="bottom"/>
          </w:tcPr>
          <w:p>
            <w:pPr>
              <w:spacing w:after="0"/>
              <w:rPr>
                <w:sz w:val="1"/>
                <w:szCs w:val="1"/>
                <w:color w:val="auto"/>
              </w:rPr>
            </w:pPr>
          </w:p>
        </w:tc>
      </w:tr>
      <w:tr>
        <w:trPr>
          <w:trHeight w:val="195"/>
        </w:trPr>
        <w:tc>
          <w:tcPr>
            <w:tcW w:w="2940" w:type="dxa"/>
            <w:vAlign w:val="bottom"/>
            <w:shd w:val="clear" w:color="auto" w:fill="C00000"/>
          </w:tcPr>
          <w:p>
            <w:pPr>
              <w:spacing w:after="0"/>
              <w:rPr>
                <w:sz w:val="16"/>
                <w:szCs w:val="16"/>
                <w:color w:val="auto"/>
              </w:rPr>
            </w:pPr>
          </w:p>
        </w:tc>
        <w:tc>
          <w:tcPr>
            <w:tcW w:w="780" w:type="dxa"/>
            <w:vAlign w:val="bottom"/>
            <w:shd w:val="clear" w:color="auto" w:fill="C00000"/>
          </w:tcPr>
          <w:p>
            <w:pPr>
              <w:spacing w:after="0"/>
              <w:rPr>
                <w:sz w:val="16"/>
                <w:szCs w:val="16"/>
                <w:color w:val="auto"/>
              </w:rPr>
            </w:pPr>
          </w:p>
        </w:tc>
        <w:tc>
          <w:tcPr>
            <w:tcW w:w="620" w:type="dxa"/>
            <w:vAlign w:val="bottom"/>
            <w:shd w:val="clear" w:color="auto" w:fill="C00000"/>
          </w:tcPr>
          <w:p>
            <w:pPr>
              <w:spacing w:after="0"/>
              <w:rPr>
                <w:sz w:val="16"/>
                <w:szCs w:val="16"/>
                <w:color w:val="auto"/>
              </w:rPr>
            </w:pPr>
          </w:p>
        </w:tc>
        <w:tc>
          <w:tcPr>
            <w:tcW w:w="780" w:type="dxa"/>
            <w:vAlign w:val="bottom"/>
            <w:shd w:val="clear" w:color="auto" w:fill="C00000"/>
          </w:tcPr>
          <w:p>
            <w:pPr>
              <w:spacing w:after="0"/>
              <w:rPr>
                <w:sz w:val="16"/>
                <w:szCs w:val="16"/>
                <w:color w:val="auto"/>
              </w:rPr>
            </w:pPr>
          </w:p>
        </w:tc>
        <w:tc>
          <w:tcPr>
            <w:tcW w:w="840" w:type="dxa"/>
            <w:vAlign w:val="bottom"/>
            <w:shd w:val="clear" w:color="auto" w:fill="C00000"/>
          </w:tcPr>
          <w:p>
            <w:pPr>
              <w:spacing w:after="0"/>
              <w:rPr>
                <w:sz w:val="16"/>
                <w:szCs w:val="16"/>
                <w:color w:val="auto"/>
              </w:rPr>
            </w:pPr>
          </w:p>
        </w:tc>
        <w:tc>
          <w:tcPr>
            <w:tcW w:w="920" w:type="dxa"/>
            <w:vAlign w:val="bottom"/>
            <w:shd w:val="clear" w:color="auto" w:fill="C00000"/>
          </w:tcPr>
          <w:p>
            <w:pPr>
              <w:spacing w:after="0"/>
              <w:rPr>
                <w:sz w:val="16"/>
                <w:szCs w:val="16"/>
                <w:color w:val="auto"/>
              </w:rPr>
            </w:pPr>
          </w:p>
        </w:tc>
        <w:tc>
          <w:tcPr>
            <w:tcW w:w="820" w:type="dxa"/>
            <w:vAlign w:val="bottom"/>
            <w:shd w:val="clear" w:color="auto" w:fill="C00000"/>
          </w:tcPr>
          <w:p>
            <w:pPr>
              <w:jc w:val="center"/>
              <w:spacing w:after="0"/>
              <w:rPr>
                <w:sz w:val="20"/>
                <w:szCs w:val="20"/>
                <w:color w:val="auto"/>
              </w:rPr>
            </w:pPr>
            <w:r>
              <w:rPr>
                <w:rFonts w:ascii="Arial" w:cs="Arial" w:eastAsia="Arial" w:hAnsi="Arial"/>
                <w:sz w:val="15"/>
                <w:szCs w:val="15"/>
                <w:b w:val="1"/>
                <w:bCs w:val="1"/>
                <w:color w:val="FFFFFF"/>
              </w:rPr>
              <w:t>Koch</w:t>
            </w:r>
          </w:p>
        </w:tc>
        <w:tc>
          <w:tcPr>
            <w:tcW w:w="680" w:type="dxa"/>
            <w:vAlign w:val="bottom"/>
            <w:shd w:val="clear" w:color="auto" w:fill="C00000"/>
          </w:tcPr>
          <w:p>
            <w:pPr>
              <w:spacing w:after="0"/>
              <w:rPr>
                <w:sz w:val="16"/>
                <w:szCs w:val="16"/>
                <w:color w:val="auto"/>
              </w:rPr>
            </w:pPr>
          </w:p>
        </w:tc>
        <w:tc>
          <w:tcPr>
            <w:tcW w:w="740" w:type="dxa"/>
            <w:vAlign w:val="bottom"/>
            <w:shd w:val="clear" w:color="auto" w:fill="C00000"/>
          </w:tcPr>
          <w:p>
            <w:pPr>
              <w:spacing w:after="0"/>
              <w:rPr>
                <w:sz w:val="16"/>
                <w:szCs w:val="16"/>
                <w:color w:val="auto"/>
              </w:rPr>
            </w:pPr>
          </w:p>
        </w:tc>
        <w:tc>
          <w:tcPr>
            <w:tcW w:w="820" w:type="dxa"/>
            <w:vAlign w:val="bottom"/>
            <w:shd w:val="clear" w:color="auto" w:fill="C00000"/>
          </w:tcPr>
          <w:p>
            <w:pPr>
              <w:spacing w:after="0"/>
              <w:rPr>
                <w:sz w:val="16"/>
                <w:szCs w:val="16"/>
                <w:color w:val="auto"/>
              </w:rPr>
            </w:pPr>
          </w:p>
        </w:tc>
        <w:tc>
          <w:tcPr>
            <w:tcW w:w="840" w:type="dxa"/>
            <w:vAlign w:val="bottom"/>
            <w:shd w:val="clear" w:color="auto" w:fill="C00000"/>
          </w:tcPr>
          <w:p>
            <w:pPr>
              <w:spacing w:after="0"/>
              <w:rPr>
                <w:sz w:val="16"/>
                <w:szCs w:val="16"/>
                <w:color w:val="auto"/>
              </w:rPr>
            </w:pPr>
          </w:p>
        </w:tc>
        <w:tc>
          <w:tcPr>
            <w:tcW w:w="640" w:type="dxa"/>
            <w:vAlign w:val="bottom"/>
            <w:shd w:val="clear" w:color="auto" w:fill="C00000"/>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00000"/>
          </w:tcPr>
          <w:p>
            <w:pPr>
              <w:ind w:left="20"/>
              <w:spacing w:after="0"/>
              <w:rPr>
                <w:sz w:val="20"/>
                <w:szCs w:val="20"/>
                <w:color w:val="auto"/>
              </w:rPr>
            </w:pPr>
            <w:r>
              <w:rPr>
                <w:rFonts w:ascii="Arial" w:cs="Arial" w:eastAsia="Arial" w:hAnsi="Arial"/>
                <w:sz w:val="15"/>
                <w:szCs w:val="15"/>
                <w:b w:val="1"/>
                <w:bCs w:val="1"/>
                <w:color w:val="FFFFFF"/>
              </w:rPr>
              <w:t>Experience in the Following Areas:</w:t>
            </w:r>
          </w:p>
        </w:tc>
        <w:tc>
          <w:tcPr>
            <w:tcW w:w="780" w:type="dxa"/>
            <w:vAlign w:val="bottom"/>
            <w:shd w:val="clear" w:color="auto" w:fill="C00000"/>
          </w:tcPr>
          <w:p>
            <w:pPr>
              <w:spacing w:after="0"/>
              <w:rPr>
                <w:sz w:val="18"/>
                <w:szCs w:val="18"/>
                <w:color w:val="auto"/>
              </w:rPr>
            </w:pPr>
          </w:p>
        </w:tc>
        <w:tc>
          <w:tcPr>
            <w:tcW w:w="620" w:type="dxa"/>
            <w:vAlign w:val="bottom"/>
            <w:shd w:val="clear" w:color="auto" w:fill="C00000"/>
          </w:tcPr>
          <w:p>
            <w:pPr>
              <w:spacing w:after="0"/>
              <w:rPr>
                <w:sz w:val="18"/>
                <w:szCs w:val="18"/>
                <w:color w:val="auto"/>
              </w:rPr>
            </w:pPr>
          </w:p>
        </w:tc>
        <w:tc>
          <w:tcPr>
            <w:tcW w:w="780" w:type="dxa"/>
            <w:vAlign w:val="bottom"/>
            <w:shd w:val="clear" w:color="auto" w:fill="C00000"/>
          </w:tcPr>
          <w:p>
            <w:pPr>
              <w:spacing w:after="0"/>
              <w:rPr>
                <w:sz w:val="18"/>
                <w:szCs w:val="18"/>
                <w:color w:val="auto"/>
              </w:rPr>
            </w:pPr>
          </w:p>
        </w:tc>
        <w:tc>
          <w:tcPr>
            <w:tcW w:w="840" w:type="dxa"/>
            <w:vAlign w:val="bottom"/>
            <w:shd w:val="clear" w:color="auto" w:fill="C00000"/>
          </w:tcPr>
          <w:p>
            <w:pPr>
              <w:spacing w:after="0"/>
              <w:rPr>
                <w:sz w:val="18"/>
                <w:szCs w:val="18"/>
                <w:color w:val="auto"/>
              </w:rPr>
            </w:pPr>
          </w:p>
        </w:tc>
        <w:tc>
          <w:tcPr>
            <w:tcW w:w="920" w:type="dxa"/>
            <w:vAlign w:val="bottom"/>
            <w:shd w:val="clear" w:color="auto" w:fill="C00000"/>
          </w:tcPr>
          <w:p>
            <w:pPr>
              <w:spacing w:after="0"/>
              <w:rPr>
                <w:sz w:val="18"/>
                <w:szCs w:val="18"/>
                <w:color w:val="auto"/>
              </w:rPr>
            </w:pPr>
          </w:p>
        </w:tc>
        <w:tc>
          <w:tcPr>
            <w:tcW w:w="820" w:type="dxa"/>
            <w:vAlign w:val="bottom"/>
            <w:shd w:val="clear" w:color="auto" w:fill="C00000"/>
          </w:tcPr>
          <w:p>
            <w:pPr>
              <w:spacing w:after="0"/>
              <w:rPr>
                <w:sz w:val="18"/>
                <w:szCs w:val="18"/>
                <w:color w:val="auto"/>
              </w:rPr>
            </w:pPr>
          </w:p>
        </w:tc>
        <w:tc>
          <w:tcPr>
            <w:tcW w:w="680" w:type="dxa"/>
            <w:vAlign w:val="bottom"/>
            <w:shd w:val="clear" w:color="auto" w:fill="C00000"/>
          </w:tcPr>
          <w:p>
            <w:pPr>
              <w:spacing w:after="0"/>
              <w:rPr>
                <w:sz w:val="18"/>
                <w:szCs w:val="18"/>
                <w:color w:val="auto"/>
              </w:rPr>
            </w:pPr>
          </w:p>
        </w:tc>
        <w:tc>
          <w:tcPr>
            <w:tcW w:w="740" w:type="dxa"/>
            <w:vAlign w:val="bottom"/>
            <w:shd w:val="clear" w:color="auto" w:fill="C00000"/>
          </w:tcPr>
          <w:p>
            <w:pPr>
              <w:spacing w:after="0"/>
              <w:rPr>
                <w:sz w:val="18"/>
                <w:szCs w:val="18"/>
                <w:color w:val="auto"/>
              </w:rPr>
            </w:pPr>
          </w:p>
        </w:tc>
        <w:tc>
          <w:tcPr>
            <w:tcW w:w="820" w:type="dxa"/>
            <w:vAlign w:val="bottom"/>
            <w:shd w:val="clear" w:color="auto" w:fill="C00000"/>
          </w:tcPr>
          <w:p>
            <w:pPr>
              <w:spacing w:after="0"/>
              <w:rPr>
                <w:sz w:val="18"/>
                <w:szCs w:val="18"/>
                <w:color w:val="auto"/>
              </w:rPr>
            </w:pPr>
          </w:p>
        </w:tc>
        <w:tc>
          <w:tcPr>
            <w:tcW w:w="840" w:type="dxa"/>
            <w:vAlign w:val="bottom"/>
            <w:shd w:val="clear" w:color="auto" w:fill="C00000"/>
          </w:tcPr>
          <w:p>
            <w:pPr>
              <w:spacing w:after="0"/>
              <w:rPr>
                <w:sz w:val="18"/>
                <w:szCs w:val="18"/>
                <w:color w:val="auto"/>
              </w:rPr>
            </w:pPr>
          </w:p>
        </w:tc>
        <w:tc>
          <w:tcPr>
            <w:tcW w:w="640" w:type="dxa"/>
            <w:vAlign w:val="bottom"/>
            <w:shd w:val="clear" w:color="auto" w:fill="C00000"/>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940" w:type="dxa"/>
            <w:vAlign w:val="bottom"/>
          </w:tcPr>
          <w:p>
            <w:pPr>
              <w:ind w:left="20"/>
              <w:spacing w:after="0"/>
              <w:rPr>
                <w:sz w:val="20"/>
                <w:szCs w:val="20"/>
                <w:color w:val="auto"/>
              </w:rPr>
            </w:pPr>
            <w:r>
              <w:rPr>
                <w:rFonts w:ascii="Arial" w:cs="Arial" w:eastAsia="Arial" w:hAnsi="Arial"/>
                <w:sz w:val="16"/>
                <w:szCs w:val="16"/>
                <w:color w:val="auto"/>
              </w:rPr>
              <w:t>Current/Former CEO</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Pr>
          <w:p>
            <w:pPr>
              <w:spacing w:after="0"/>
              <w:rPr>
                <w:sz w:val="24"/>
                <w:szCs w:val="24"/>
                <w:color w:val="auto"/>
              </w:rPr>
            </w:pP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29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Finance/Financial Oversight</w:t>
            </w:r>
          </w:p>
        </w:tc>
        <w:tc>
          <w:tcPr>
            <w:tcW w:w="78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20" w:type="dxa"/>
            <w:vAlign w:val="bottom"/>
            <w:tcBorders>
              <w:bottom w:val="single" w:sz="8" w:color="D9D9D9"/>
            </w:tcBorders>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20" w:type="dxa"/>
            <w:vAlign w:val="bottom"/>
            <w:tcBorders>
              <w:bottom w:val="single" w:sz="8" w:color="D9D9D9"/>
            </w:tcBorders>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D9D9D9"/>
            </w:tcBorders>
            <w:shd w:val="clear" w:color="auto" w:fill="D9D9D9"/>
          </w:tcPr>
          <w:p>
            <w:pPr>
              <w:spacing w:after="0"/>
              <w:rPr>
                <w:sz w:val="24"/>
                <w:szCs w:val="24"/>
                <w:color w:val="auto"/>
              </w:rPr>
            </w:pPr>
          </w:p>
        </w:tc>
        <w:tc>
          <w:tcPr>
            <w:tcW w:w="74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4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Arial" w:cs="Arial" w:eastAsia="Arial" w:hAnsi="Arial"/>
                <w:sz w:val="16"/>
                <w:szCs w:val="16"/>
                <w:color w:val="auto"/>
              </w:rPr>
              <w:t>Public Company Board</w:t>
            </w:r>
          </w:p>
        </w:tc>
        <w:tc>
          <w:tcPr>
            <w:tcW w:w="78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Pr>
          <w:p>
            <w:pPr>
              <w:spacing w:after="0"/>
              <w:rPr>
                <w:sz w:val="19"/>
                <w:szCs w:val="19"/>
                <w:color w:val="auto"/>
              </w:rPr>
            </w:pPr>
          </w:p>
        </w:tc>
        <w:tc>
          <w:tcPr>
            <w:tcW w:w="9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Pr>
          <w:p>
            <w:pPr>
              <w:ind w:left="20"/>
              <w:spacing w:after="0"/>
              <w:rPr>
                <w:sz w:val="20"/>
                <w:szCs w:val="20"/>
                <w:color w:val="auto"/>
              </w:rPr>
            </w:pPr>
            <w:r>
              <w:rPr>
                <w:rFonts w:ascii="Arial" w:cs="Arial" w:eastAsia="Arial" w:hAnsi="Arial"/>
                <w:sz w:val="16"/>
                <w:szCs w:val="16"/>
                <w:color w:val="auto"/>
              </w:rPr>
              <w:t>(other than Toro)</w:t>
            </w:r>
          </w:p>
        </w:tc>
        <w:tc>
          <w:tcPr>
            <w:tcW w:w="7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40" w:type="dxa"/>
            <w:vAlign w:val="bottom"/>
            <w:shd w:val="clear" w:color="auto" w:fill="D9D9D9"/>
          </w:tcPr>
          <w:p>
            <w:pPr>
              <w:ind w:left="20"/>
              <w:spacing w:after="0"/>
              <w:rPr>
                <w:sz w:val="20"/>
                <w:szCs w:val="20"/>
                <w:color w:val="auto"/>
              </w:rPr>
            </w:pPr>
            <w:r>
              <w:rPr>
                <w:rFonts w:ascii="Arial" w:cs="Arial" w:eastAsia="Arial" w:hAnsi="Arial"/>
                <w:sz w:val="16"/>
                <w:szCs w:val="16"/>
                <w:color w:val="auto"/>
              </w:rPr>
              <w:t>Manufacturing/Supply</w:t>
            </w:r>
          </w:p>
        </w:tc>
        <w:tc>
          <w:tcPr>
            <w:tcW w:w="780" w:type="dxa"/>
            <w:vAlign w:val="bottom"/>
            <w:shd w:val="clear" w:color="auto" w:fill="D9D9D9"/>
          </w:tcPr>
          <w:p>
            <w:pPr>
              <w:spacing w:after="0"/>
              <w:rPr>
                <w:sz w:val="19"/>
                <w:szCs w:val="19"/>
                <w:color w:val="auto"/>
              </w:rPr>
            </w:pPr>
          </w:p>
        </w:tc>
        <w:tc>
          <w:tcPr>
            <w:tcW w:w="620" w:type="dxa"/>
            <w:vAlign w:val="bottom"/>
            <w:shd w:val="clear" w:color="auto" w:fill="D9D9D9"/>
          </w:tcPr>
          <w:p>
            <w:pPr>
              <w:spacing w:after="0"/>
              <w:rPr>
                <w:sz w:val="19"/>
                <w:szCs w:val="19"/>
                <w:color w:val="auto"/>
              </w:rPr>
            </w:pPr>
          </w:p>
        </w:tc>
        <w:tc>
          <w:tcPr>
            <w:tcW w:w="780" w:type="dxa"/>
            <w:vAlign w:val="bottom"/>
            <w:vMerge w:val="restart"/>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shd w:val="clear" w:color="auto" w:fill="D9D9D9"/>
          </w:tcPr>
          <w:p>
            <w:pPr>
              <w:spacing w:after="0"/>
              <w:rPr>
                <w:sz w:val="19"/>
                <w:szCs w:val="19"/>
                <w:color w:val="auto"/>
              </w:rPr>
            </w:pPr>
          </w:p>
        </w:tc>
        <w:tc>
          <w:tcPr>
            <w:tcW w:w="920" w:type="dxa"/>
            <w:vAlign w:val="bottom"/>
            <w:vMerge w:val="restart"/>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vMerge w:val="restart"/>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vMerge w:val="restart"/>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40" w:type="dxa"/>
            <w:vAlign w:val="bottom"/>
            <w:vMerge w:val="restart"/>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shd w:val="clear" w:color="auto" w:fill="D9D9D9"/>
          </w:tcPr>
          <w:p>
            <w:pPr>
              <w:spacing w:after="0"/>
              <w:rPr>
                <w:sz w:val="19"/>
                <w:szCs w:val="19"/>
                <w:color w:val="auto"/>
              </w:rPr>
            </w:pPr>
          </w:p>
        </w:tc>
        <w:tc>
          <w:tcPr>
            <w:tcW w:w="840" w:type="dxa"/>
            <w:vAlign w:val="bottom"/>
            <w:vMerge w:val="restart"/>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40" w:type="dxa"/>
            <w:vAlign w:val="bottom"/>
            <w:vMerge w:val="restart"/>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201"/>
        </w:trPr>
        <w:tc>
          <w:tcPr>
            <w:tcW w:w="29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Chain/Operations</w:t>
            </w:r>
          </w:p>
        </w:tc>
        <w:tc>
          <w:tcPr>
            <w:tcW w:w="780" w:type="dxa"/>
            <w:vAlign w:val="bottom"/>
            <w:tcBorders>
              <w:bottom w:val="single" w:sz="8" w:color="D9D9D9"/>
            </w:tcBorders>
            <w:shd w:val="clear" w:color="auto" w:fill="D9D9D9"/>
          </w:tcPr>
          <w:p>
            <w:pPr>
              <w:spacing w:after="0"/>
              <w:rPr>
                <w:sz w:val="17"/>
                <w:szCs w:val="17"/>
                <w:color w:val="auto"/>
              </w:rPr>
            </w:pPr>
          </w:p>
        </w:tc>
        <w:tc>
          <w:tcPr>
            <w:tcW w:w="620" w:type="dxa"/>
            <w:vAlign w:val="bottom"/>
            <w:tcBorders>
              <w:bottom w:val="single" w:sz="8" w:color="D9D9D9"/>
            </w:tcBorders>
            <w:shd w:val="clear" w:color="auto" w:fill="D9D9D9"/>
          </w:tcPr>
          <w:p>
            <w:pPr>
              <w:spacing w:after="0"/>
              <w:rPr>
                <w:sz w:val="17"/>
                <w:szCs w:val="17"/>
                <w:color w:val="auto"/>
              </w:rPr>
            </w:pPr>
          </w:p>
        </w:tc>
        <w:tc>
          <w:tcPr>
            <w:tcW w:w="780" w:type="dxa"/>
            <w:vAlign w:val="bottom"/>
            <w:tcBorders>
              <w:bottom w:val="single" w:sz="8" w:color="D9D9D9"/>
            </w:tcBorders>
            <w:vMerge w:val="continue"/>
            <w:shd w:val="clear" w:color="auto" w:fill="D9D9D9"/>
          </w:tcPr>
          <w:p>
            <w:pPr>
              <w:spacing w:after="0"/>
              <w:rPr>
                <w:sz w:val="17"/>
                <w:szCs w:val="17"/>
                <w:color w:val="auto"/>
              </w:rPr>
            </w:pPr>
          </w:p>
        </w:tc>
        <w:tc>
          <w:tcPr>
            <w:tcW w:w="840" w:type="dxa"/>
            <w:vAlign w:val="bottom"/>
            <w:tcBorders>
              <w:bottom w:val="single" w:sz="8" w:color="D9D9D9"/>
            </w:tcBorders>
            <w:shd w:val="clear" w:color="auto" w:fill="D9D9D9"/>
          </w:tcPr>
          <w:p>
            <w:pPr>
              <w:spacing w:after="0"/>
              <w:rPr>
                <w:sz w:val="17"/>
                <w:szCs w:val="17"/>
                <w:color w:val="auto"/>
              </w:rPr>
            </w:pPr>
          </w:p>
        </w:tc>
        <w:tc>
          <w:tcPr>
            <w:tcW w:w="920" w:type="dxa"/>
            <w:vAlign w:val="bottom"/>
            <w:tcBorders>
              <w:bottom w:val="single" w:sz="8" w:color="D9D9D9"/>
            </w:tcBorders>
            <w:vMerge w:val="continue"/>
            <w:shd w:val="clear" w:color="auto" w:fill="D9D9D9"/>
          </w:tcPr>
          <w:p>
            <w:pPr>
              <w:spacing w:after="0"/>
              <w:rPr>
                <w:sz w:val="17"/>
                <w:szCs w:val="17"/>
                <w:color w:val="auto"/>
              </w:rPr>
            </w:pPr>
          </w:p>
        </w:tc>
        <w:tc>
          <w:tcPr>
            <w:tcW w:w="820" w:type="dxa"/>
            <w:vAlign w:val="bottom"/>
            <w:tcBorders>
              <w:bottom w:val="single" w:sz="8" w:color="D9D9D9"/>
            </w:tcBorders>
            <w:vMerge w:val="continue"/>
            <w:shd w:val="clear" w:color="auto" w:fill="D9D9D9"/>
          </w:tcPr>
          <w:p>
            <w:pPr>
              <w:spacing w:after="0"/>
              <w:rPr>
                <w:sz w:val="17"/>
                <w:szCs w:val="17"/>
                <w:color w:val="auto"/>
              </w:rPr>
            </w:pPr>
          </w:p>
        </w:tc>
        <w:tc>
          <w:tcPr>
            <w:tcW w:w="680" w:type="dxa"/>
            <w:vAlign w:val="bottom"/>
            <w:tcBorders>
              <w:bottom w:val="single" w:sz="8" w:color="D9D9D9"/>
            </w:tcBorders>
            <w:vMerge w:val="continue"/>
            <w:shd w:val="clear" w:color="auto" w:fill="D9D9D9"/>
          </w:tcPr>
          <w:p>
            <w:pPr>
              <w:spacing w:after="0"/>
              <w:rPr>
                <w:sz w:val="17"/>
                <w:szCs w:val="17"/>
                <w:color w:val="auto"/>
              </w:rPr>
            </w:pPr>
          </w:p>
        </w:tc>
        <w:tc>
          <w:tcPr>
            <w:tcW w:w="740" w:type="dxa"/>
            <w:vAlign w:val="bottom"/>
            <w:tcBorders>
              <w:bottom w:val="single" w:sz="8" w:color="D9D9D9"/>
            </w:tcBorders>
            <w:vMerge w:val="continue"/>
            <w:shd w:val="clear" w:color="auto" w:fill="D9D9D9"/>
          </w:tcPr>
          <w:p>
            <w:pPr>
              <w:spacing w:after="0"/>
              <w:rPr>
                <w:sz w:val="17"/>
                <w:szCs w:val="17"/>
                <w:color w:val="auto"/>
              </w:rPr>
            </w:pPr>
          </w:p>
        </w:tc>
        <w:tc>
          <w:tcPr>
            <w:tcW w:w="820" w:type="dxa"/>
            <w:vAlign w:val="bottom"/>
            <w:tcBorders>
              <w:bottom w:val="single" w:sz="8" w:color="D9D9D9"/>
            </w:tcBorders>
            <w:shd w:val="clear" w:color="auto" w:fill="D9D9D9"/>
          </w:tcPr>
          <w:p>
            <w:pPr>
              <w:spacing w:after="0"/>
              <w:rPr>
                <w:sz w:val="17"/>
                <w:szCs w:val="17"/>
                <w:color w:val="auto"/>
              </w:rPr>
            </w:pPr>
          </w:p>
        </w:tc>
        <w:tc>
          <w:tcPr>
            <w:tcW w:w="840" w:type="dxa"/>
            <w:vAlign w:val="bottom"/>
            <w:tcBorders>
              <w:bottom w:val="single" w:sz="8" w:color="D9D9D9"/>
            </w:tcBorders>
            <w:vMerge w:val="continue"/>
            <w:shd w:val="clear" w:color="auto" w:fill="D9D9D9"/>
          </w:tcPr>
          <w:p>
            <w:pPr>
              <w:spacing w:after="0"/>
              <w:rPr>
                <w:sz w:val="17"/>
                <w:szCs w:val="17"/>
                <w:color w:val="auto"/>
              </w:rPr>
            </w:pPr>
          </w:p>
        </w:tc>
        <w:tc>
          <w:tcPr>
            <w:tcW w:w="640" w:type="dxa"/>
            <w:vAlign w:val="bottom"/>
            <w:tcBorders>
              <w:bottom w:val="single" w:sz="8" w:color="D9D9D9"/>
            </w:tcBorders>
            <w:vMerge w:val="continue"/>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940" w:type="dxa"/>
            <w:vAlign w:val="bottom"/>
          </w:tcPr>
          <w:p>
            <w:pPr>
              <w:ind w:left="20"/>
              <w:spacing w:after="0"/>
              <w:rPr>
                <w:sz w:val="20"/>
                <w:szCs w:val="20"/>
                <w:color w:val="auto"/>
              </w:rPr>
            </w:pPr>
            <w:r>
              <w:rPr>
                <w:rFonts w:ascii="Arial" w:cs="Arial" w:eastAsia="Arial" w:hAnsi="Arial"/>
                <w:sz w:val="16"/>
                <w:szCs w:val="16"/>
                <w:color w:val="auto"/>
              </w:rPr>
              <w:t>Distribution Channel</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Pr>
          <w:p>
            <w:pPr>
              <w:spacing w:after="0"/>
              <w:rPr>
                <w:sz w:val="24"/>
                <w:szCs w:val="24"/>
                <w:color w:val="auto"/>
              </w:rPr>
            </w:pP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29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Strategic Planning</w:t>
            </w:r>
          </w:p>
        </w:tc>
        <w:tc>
          <w:tcPr>
            <w:tcW w:w="78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20" w:type="dxa"/>
            <w:vAlign w:val="bottom"/>
            <w:tcBorders>
              <w:bottom w:val="single" w:sz="8" w:color="D9D9D9"/>
            </w:tcBorders>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20" w:type="dxa"/>
            <w:vAlign w:val="bottom"/>
            <w:tcBorders>
              <w:bottom w:val="single" w:sz="8" w:color="D9D9D9"/>
            </w:tcBorders>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D9D9D9"/>
            </w:tcBorders>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4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4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331"/>
        </w:trPr>
        <w:tc>
          <w:tcPr>
            <w:tcW w:w="2940" w:type="dxa"/>
            <w:vAlign w:val="bottom"/>
          </w:tcPr>
          <w:p>
            <w:pPr>
              <w:ind w:left="20"/>
              <w:spacing w:after="0"/>
              <w:rPr>
                <w:sz w:val="20"/>
                <w:szCs w:val="20"/>
                <w:color w:val="auto"/>
              </w:rPr>
            </w:pPr>
            <w:r>
              <w:rPr>
                <w:rFonts w:ascii="Arial" w:cs="Arial" w:eastAsia="Arial" w:hAnsi="Arial"/>
                <w:sz w:val="16"/>
                <w:szCs w:val="16"/>
                <w:color w:val="auto"/>
              </w:rPr>
              <w:t>Regulatory/Government</w:t>
            </w:r>
          </w:p>
        </w:tc>
        <w:tc>
          <w:tcPr>
            <w:tcW w:w="780" w:type="dxa"/>
            <w:vAlign w:val="bottom"/>
          </w:tcPr>
          <w:p>
            <w:pPr>
              <w:spacing w:after="0"/>
              <w:rPr>
                <w:sz w:val="24"/>
                <w:szCs w:val="24"/>
                <w:color w:val="auto"/>
              </w:rPr>
            </w:pP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Pr>
          <w:p>
            <w:pPr>
              <w:spacing w:after="0"/>
              <w:rPr>
                <w:sz w:val="24"/>
                <w:szCs w:val="24"/>
                <w:color w:val="auto"/>
              </w:rPr>
            </w:pPr>
          </w:p>
        </w:tc>
        <w:tc>
          <w:tcPr>
            <w:tcW w:w="6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Pr>
          <w:p>
            <w:pPr>
              <w:spacing w:after="0"/>
              <w:rPr>
                <w:sz w:val="24"/>
                <w:szCs w:val="24"/>
                <w:color w:val="auto"/>
              </w:rPr>
            </w:pPr>
          </w:p>
        </w:tc>
        <w:tc>
          <w:tcPr>
            <w:tcW w:w="6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29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Health and Safety</w:t>
            </w:r>
          </w:p>
        </w:tc>
        <w:tc>
          <w:tcPr>
            <w:tcW w:w="780" w:type="dxa"/>
            <w:vAlign w:val="bottom"/>
            <w:tcBorders>
              <w:bottom w:val="single" w:sz="8" w:color="D9D9D9"/>
            </w:tcBorders>
            <w:shd w:val="clear" w:color="auto" w:fill="D9D9D9"/>
          </w:tcPr>
          <w:p>
            <w:pPr>
              <w:spacing w:after="0"/>
              <w:rPr>
                <w:sz w:val="24"/>
                <w:szCs w:val="24"/>
                <w:color w:val="auto"/>
              </w:rPr>
            </w:pPr>
          </w:p>
        </w:tc>
        <w:tc>
          <w:tcPr>
            <w:tcW w:w="62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Borders>
              <w:bottom w:val="single" w:sz="8" w:color="D9D9D9"/>
            </w:tcBorders>
            <w:shd w:val="clear" w:color="auto" w:fill="D9D9D9"/>
          </w:tcPr>
          <w:p>
            <w:pPr>
              <w:spacing w:after="0"/>
              <w:rPr>
                <w:sz w:val="24"/>
                <w:szCs w:val="24"/>
                <w:color w:val="auto"/>
              </w:rPr>
            </w:pPr>
          </w:p>
        </w:tc>
        <w:tc>
          <w:tcPr>
            <w:tcW w:w="920" w:type="dxa"/>
            <w:vAlign w:val="bottom"/>
            <w:tcBorders>
              <w:bottom w:val="single" w:sz="8" w:color="D9D9D9"/>
            </w:tcBorders>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D9D9D9"/>
            </w:tcBorders>
            <w:shd w:val="clear" w:color="auto" w:fill="D9D9D9"/>
          </w:tcPr>
          <w:p>
            <w:pPr>
              <w:spacing w:after="0"/>
              <w:rPr>
                <w:sz w:val="24"/>
                <w:szCs w:val="24"/>
                <w:color w:val="auto"/>
              </w:rPr>
            </w:pPr>
          </w:p>
        </w:tc>
        <w:tc>
          <w:tcPr>
            <w:tcW w:w="74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Borders>
              <w:bottom w:val="single" w:sz="8" w:color="D9D9D9"/>
            </w:tcBorders>
            <w:shd w:val="clear" w:color="auto" w:fill="D9D9D9"/>
          </w:tcPr>
          <w:p>
            <w:pPr>
              <w:spacing w:after="0"/>
              <w:rPr>
                <w:sz w:val="24"/>
                <w:szCs w:val="24"/>
                <w:color w:val="auto"/>
              </w:rPr>
            </w:pPr>
          </w:p>
        </w:tc>
        <w:tc>
          <w:tcPr>
            <w:tcW w:w="64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331"/>
        </w:trPr>
        <w:tc>
          <w:tcPr>
            <w:tcW w:w="2940" w:type="dxa"/>
            <w:vAlign w:val="bottom"/>
          </w:tcPr>
          <w:p>
            <w:pPr>
              <w:ind w:left="20"/>
              <w:spacing w:after="0"/>
              <w:rPr>
                <w:sz w:val="20"/>
                <w:szCs w:val="20"/>
                <w:color w:val="auto"/>
              </w:rPr>
            </w:pPr>
            <w:r>
              <w:rPr>
                <w:rFonts w:ascii="Arial" w:cs="Arial" w:eastAsia="Arial" w:hAnsi="Arial"/>
                <w:sz w:val="16"/>
                <w:szCs w:val="16"/>
                <w:color w:val="auto"/>
              </w:rPr>
              <w:t>Mergers &amp; Acquisitions</w:t>
            </w:r>
          </w:p>
        </w:tc>
        <w:tc>
          <w:tcPr>
            <w:tcW w:w="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9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29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International Operations</w:t>
            </w:r>
          </w:p>
        </w:tc>
        <w:tc>
          <w:tcPr>
            <w:tcW w:w="780" w:type="dxa"/>
            <w:vAlign w:val="bottom"/>
            <w:tcBorders>
              <w:bottom w:val="single" w:sz="8" w:color="D9D9D9"/>
            </w:tcBorders>
            <w:shd w:val="clear" w:color="auto" w:fill="D9D9D9"/>
          </w:tcPr>
          <w:p>
            <w:pPr>
              <w:spacing w:after="0"/>
              <w:rPr>
                <w:sz w:val="24"/>
                <w:szCs w:val="24"/>
                <w:color w:val="auto"/>
              </w:rPr>
            </w:pPr>
          </w:p>
        </w:tc>
        <w:tc>
          <w:tcPr>
            <w:tcW w:w="620" w:type="dxa"/>
            <w:vAlign w:val="bottom"/>
            <w:tcBorders>
              <w:bottom w:val="single" w:sz="8" w:color="D9D9D9"/>
            </w:tcBorders>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Borders>
              <w:bottom w:val="single" w:sz="8" w:color="D9D9D9"/>
            </w:tcBorders>
            <w:shd w:val="clear" w:color="auto" w:fill="D9D9D9"/>
          </w:tcPr>
          <w:p>
            <w:pPr>
              <w:spacing w:after="0"/>
              <w:rPr>
                <w:sz w:val="24"/>
                <w:szCs w:val="24"/>
                <w:color w:val="auto"/>
              </w:rPr>
            </w:pPr>
          </w:p>
        </w:tc>
        <w:tc>
          <w:tcPr>
            <w:tcW w:w="920" w:type="dxa"/>
            <w:vAlign w:val="bottom"/>
            <w:tcBorders>
              <w:bottom w:val="single" w:sz="8" w:color="D9D9D9"/>
            </w:tcBorders>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tcBorders>
              <w:bottom w:val="single" w:sz="8" w:color="D9D9D9"/>
            </w:tcBorders>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40" w:type="dxa"/>
            <w:vAlign w:val="bottom"/>
            <w:tcBorders>
              <w:bottom w:val="single" w:sz="8" w:color="D9D9D9"/>
            </w:tcBorders>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tcBorders>
              <w:bottom w:val="single" w:sz="8" w:color="D9D9D9"/>
            </w:tcBorders>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40" w:type="dxa"/>
            <w:vAlign w:val="bottom"/>
            <w:tcBorders>
              <w:bottom w:val="single" w:sz="8" w:color="D9D9D9"/>
            </w:tcBorders>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368"/>
        </w:trPr>
        <w:tc>
          <w:tcPr>
            <w:tcW w:w="2940" w:type="dxa"/>
            <w:vAlign w:val="bottom"/>
          </w:tcPr>
          <w:p>
            <w:pPr>
              <w:ind w:left="20"/>
              <w:spacing w:after="0"/>
              <w:rPr>
                <w:sz w:val="20"/>
                <w:szCs w:val="20"/>
                <w:color w:val="auto"/>
              </w:rPr>
            </w:pPr>
            <w:r>
              <w:rPr>
                <w:rFonts w:ascii="Arial" w:cs="Arial" w:eastAsia="Arial" w:hAnsi="Arial"/>
                <w:sz w:val="16"/>
                <w:szCs w:val="16"/>
                <w:color w:val="auto"/>
              </w:rPr>
              <w:t>Information Systems/ Cybersecurity</w:t>
            </w:r>
          </w:p>
        </w:tc>
        <w:tc>
          <w:tcPr>
            <w:tcW w:w="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tcPr>
          <w:p>
            <w:pPr>
              <w:spacing w:after="0"/>
              <w:rPr>
                <w:sz w:val="24"/>
                <w:szCs w:val="24"/>
                <w:color w:val="auto"/>
              </w:rPr>
            </w:pPr>
          </w:p>
        </w:tc>
        <w:tc>
          <w:tcPr>
            <w:tcW w:w="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2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D9D9D9"/>
          </w:tcPr>
          <w:p>
            <w:pPr>
              <w:ind w:left="20"/>
              <w:spacing w:after="0"/>
              <w:rPr>
                <w:sz w:val="20"/>
                <w:szCs w:val="20"/>
                <w:color w:val="auto"/>
              </w:rPr>
            </w:pPr>
            <w:r>
              <w:rPr>
                <w:rFonts w:ascii="Arial" w:cs="Arial" w:eastAsia="Arial" w:hAnsi="Arial"/>
                <w:sz w:val="16"/>
                <w:szCs w:val="16"/>
                <w:color w:val="auto"/>
              </w:rPr>
              <w:t>Previously Resided Outside the United</w:t>
            </w:r>
          </w:p>
        </w:tc>
        <w:tc>
          <w:tcPr>
            <w:tcW w:w="780" w:type="dxa"/>
            <w:vAlign w:val="bottom"/>
            <w:shd w:val="clear" w:color="auto" w:fill="D9D9D9"/>
          </w:tcPr>
          <w:p>
            <w:pPr>
              <w:spacing w:after="0"/>
              <w:rPr>
                <w:sz w:val="19"/>
                <w:szCs w:val="19"/>
                <w:color w:val="auto"/>
              </w:rPr>
            </w:pPr>
          </w:p>
        </w:tc>
        <w:tc>
          <w:tcPr>
            <w:tcW w:w="620" w:type="dxa"/>
            <w:vAlign w:val="bottom"/>
            <w:vMerge w:val="restart"/>
            <w:shd w:val="clear" w:color="auto" w:fill="D9D9D9"/>
          </w:tcPr>
          <w:p>
            <w:pPr>
              <w:ind w:left="2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78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920" w:type="dxa"/>
            <w:vAlign w:val="bottom"/>
            <w:vMerge w:val="restart"/>
            <w:shd w:val="clear" w:color="auto" w:fill="D9D9D9"/>
          </w:tcPr>
          <w:p>
            <w:pPr>
              <w:ind w:left="34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20" w:type="dxa"/>
            <w:vAlign w:val="bottom"/>
            <w:vMerge w:val="restart"/>
            <w:shd w:val="clear" w:color="auto" w:fill="D9D9D9"/>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680" w:type="dxa"/>
            <w:vAlign w:val="bottom"/>
            <w:shd w:val="clear" w:color="auto" w:fill="D9D9D9"/>
          </w:tcPr>
          <w:p>
            <w:pPr>
              <w:spacing w:after="0"/>
              <w:rPr>
                <w:sz w:val="19"/>
                <w:szCs w:val="19"/>
                <w:color w:val="auto"/>
              </w:rPr>
            </w:pPr>
          </w:p>
        </w:tc>
        <w:tc>
          <w:tcPr>
            <w:tcW w:w="740" w:type="dxa"/>
            <w:vAlign w:val="bottom"/>
            <w:shd w:val="clear" w:color="auto" w:fill="D9D9D9"/>
          </w:tcPr>
          <w:p>
            <w:pPr>
              <w:spacing w:after="0"/>
              <w:rPr>
                <w:sz w:val="19"/>
                <w:szCs w:val="19"/>
                <w:color w:val="auto"/>
              </w:rPr>
            </w:pPr>
          </w:p>
        </w:tc>
        <w:tc>
          <w:tcPr>
            <w:tcW w:w="820" w:type="dxa"/>
            <w:vAlign w:val="bottom"/>
            <w:vMerge w:val="restart"/>
            <w:shd w:val="clear" w:color="auto" w:fill="D9D9D9"/>
          </w:tcPr>
          <w:p>
            <w:pPr>
              <w:ind w:left="30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840" w:type="dxa"/>
            <w:vAlign w:val="bottom"/>
            <w:shd w:val="clear" w:color="auto" w:fill="D9D9D9"/>
          </w:tcPr>
          <w:p>
            <w:pPr>
              <w:spacing w:after="0"/>
              <w:rPr>
                <w:sz w:val="19"/>
                <w:szCs w:val="19"/>
                <w:color w:val="auto"/>
              </w:rPr>
            </w:pPr>
          </w:p>
        </w:tc>
        <w:tc>
          <w:tcPr>
            <w:tcW w:w="640" w:type="dxa"/>
            <w:vAlign w:val="bottom"/>
            <w:vMerge w:val="restart"/>
            <w:shd w:val="clear" w:color="auto" w:fill="D9D9D9"/>
          </w:tcPr>
          <w:p>
            <w:pPr>
              <w:ind w:left="220"/>
              <w:spacing w:after="0" w:line="181" w:lineRule="exact"/>
              <w:rPr>
                <w:sz w:val="20"/>
                <w:szCs w:val="20"/>
                <w:color w:val="auto"/>
              </w:rPr>
            </w:pPr>
            <w:r>
              <w:rPr>
                <w:rFonts w:ascii="MS PGothic" w:cs="MS PGothic" w:eastAsia="MS PGothic" w:hAnsi="MS PGothic"/>
                <w:sz w:val="18"/>
                <w:szCs w:val="18"/>
                <w:color w:val="auto"/>
                <w:shd w:val="clear" w:color="auto" w:fill="C00000"/>
              </w:rPr>
              <w:t>✓</w:t>
            </w:r>
          </w:p>
        </w:tc>
        <w:tc>
          <w:tcPr>
            <w:tcW w:w="0" w:type="dxa"/>
            <w:vAlign w:val="bottom"/>
          </w:tcPr>
          <w:p>
            <w:pPr>
              <w:spacing w:after="0"/>
              <w:rPr>
                <w:sz w:val="1"/>
                <w:szCs w:val="1"/>
                <w:color w:val="auto"/>
              </w:rPr>
            </w:pPr>
          </w:p>
        </w:tc>
      </w:tr>
      <w:tr>
        <w:trPr>
          <w:trHeight w:val="196"/>
        </w:trPr>
        <w:tc>
          <w:tcPr>
            <w:tcW w:w="2940" w:type="dxa"/>
            <w:vAlign w:val="bottom"/>
            <w:shd w:val="clear" w:color="auto" w:fill="D9D9D9"/>
          </w:tcPr>
          <w:p>
            <w:pPr>
              <w:ind w:left="20"/>
              <w:spacing w:after="0"/>
              <w:rPr>
                <w:sz w:val="20"/>
                <w:szCs w:val="20"/>
                <w:color w:val="auto"/>
              </w:rPr>
            </w:pPr>
            <w:r>
              <w:rPr>
                <w:rFonts w:ascii="Arial" w:cs="Arial" w:eastAsia="Arial" w:hAnsi="Arial"/>
                <w:sz w:val="16"/>
                <w:szCs w:val="16"/>
                <w:color w:val="auto"/>
              </w:rPr>
              <w:t>States</w:t>
            </w:r>
          </w:p>
        </w:tc>
        <w:tc>
          <w:tcPr>
            <w:tcW w:w="780" w:type="dxa"/>
            <w:vAlign w:val="bottom"/>
            <w:shd w:val="clear" w:color="auto" w:fill="D9D9D9"/>
          </w:tcPr>
          <w:p>
            <w:pPr>
              <w:spacing w:after="0"/>
              <w:rPr>
                <w:sz w:val="17"/>
                <w:szCs w:val="17"/>
                <w:color w:val="auto"/>
              </w:rPr>
            </w:pPr>
          </w:p>
        </w:tc>
        <w:tc>
          <w:tcPr>
            <w:tcW w:w="620" w:type="dxa"/>
            <w:vAlign w:val="bottom"/>
            <w:vMerge w:val="continue"/>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920" w:type="dxa"/>
            <w:vAlign w:val="bottom"/>
            <w:vMerge w:val="continue"/>
            <w:shd w:val="clear" w:color="auto" w:fill="D9D9D9"/>
          </w:tcPr>
          <w:p>
            <w:pPr>
              <w:spacing w:after="0"/>
              <w:rPr>
                <w:sz w:val="17"/>
                <w:szCs w:val="17"/>
                <w:color w:val="auto"/>
              </w:rPr>
            </w:pPr>
          </w:p>
        </w:tc>
        <w:tc>
          <w:tcPr>
            <w:tcW w:w="820" w:type="dxa"/>
            <w:vAlign w:val="bottom"/>
            <w:vMerge w:val="continue"/>
            <w:shd w:val="clear" w:color="auto" w:fill="D9D9D9"/>
          </w:tcPr>
          <w:p>
            <w:pPr>
              <w:spacing w:after="0"/>
              <w:rPr>
                <w:sz w:val="17"/>
                <w:szCs w:val="17"/>
                <w:color w:val="auto"/>
              </w:rPr>
            </w:pPr>
          </w:p>
        </w:tc>
        <w:tc>
          <w:tcPr>
            <w:tcW w:w="680" w:type="dxa"/>
            <w:vAlign w:val="bottom"/>
            <w:shd w:val="clear" w:color="auto" w:fill="D9D9D9"/>
          </w:tcPr>
          <w:p>
            <w:pPr>
              <w:spacing w:after="0"/>
              <w:rPr>
                <w:sz w:val="17"/>
                <w:szCs w:val="17"/>
                <w:color w:val="auto"/>
              </w:rPr>
            </w:pPr>
          </w:p>
        </w:tc>
        <w:tc>
          <w:tcPr>
            <w:tcW w:w="740" w:type="dxa"/>
            <w:vAlign w:val="bottom"/>
            <w:shd w:val="clear" w:color="auto" w:fill="D9D9D9"/>
          </w:tcPr>
          <w:p>
            <w:pPr>
              <w:spacing w:after="0"/>
              <w:rPr>
                <w:sz w:val="17"/>
                <w:szCs w:val="17"/>
                <w:color w:val="auto"/>
              </w:rPr>
            </w:pPr>
          </w:p>
        </w:tc>
        <w:tc>
          <w:tcPr>
            <w:tcW w:w="820" w:type="dxa"/>
            <w:vAlign w:val="bottom"/>
            <w:vMerge w:val="continue"/>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640" w:type="dxa"/>
            <w:vAlign w:val="bottom"/>
            <w:vMerge w:val="continue"/>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4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62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840" w:type="dxa"/>
            <w:vAlign w:val="bottom"/>
            <w:shd w:val="clear" w:color="auto" w:fill="D9D9D9"/>
          </w:tcPr>
          <w:p>
            <w:pPr>
              <w:spacing w:after="0"/>
              <w:rPr>
                <w:sz w:val="2"/>
                <w:szCs w:val="2"/>
                <w:color w:val="auto"/>
              </w:rPr>
            </w:pPr>
          </w:p>
        </w:tc>
        <w:tc>
          <w:tcPr>
            <w:tcW w:w="920" w:type="dxa"/>
            <w:vAlign w:val="bottom"/>
            <w:shd w:val="clear" w:color="auto" w:fill="D9D9D9"/>
          </w:tcPr>
          <w:p>
            <w:pPr>
              <w:spacing w:after="0"/>
              <w:rPr>
                <w:sz w:val="2"/>
                <w:szCs w:val="2"/>
                <w:color w:val="auto"/>
              </w:rPr>
            </w:pPr>
          </w:p>
        </w:tc>
        <w:tc>
          <w:tcPr>
            <w:tcW w:w="820" w:type="dxa"/>
            <w:vAlign w:val="bottom"/>
            <w:shd w:val="clear" w:color="auto" w:fill="D9D9D9"/>
          </w:tcPr>
          <w:p>
            <w:pPr>
              <w:spacing w:after="0"/>
              <w:rPr>
                <w:sz w:val="2"/>
                <w:szCs w:val="2"/>
                <w:color w:val="auto"/>
              </w:rPr>
            </w:pPr>
          </w:p>
        </w:tc>
        <w:tc>
          <w:tcPr>
            <w:tcW w:w="680" w:type="dxa"/>
            <w:vAlign w:val="bottom"/>
            <w:shd w:val="clear" w:color="auto" w:fill="D9D9D9"/>
          </w:tcPr>
          <w:p>
            <w:pPr>
              <w:spacing w:after="0"/>
              <w:rPr>
                <w:sz w:val="2"/>
                <w:szCs w:val="2"/>
                <w:color w:val="auto"/>
              </w:rPr>
            </w:pPr>
          </w:p>
        </w:tc>
        <w:tc>
          <w:tcPr>
            <w:tcW w:w="740" w:type="dxa"/>
            <w:vAlign w:val="bottom"/>
            <w:shd w:val="clear" w:color="auto" w:fill="D9D9D9"/>
          </w:tcPr>
          <w:p>
            <w:pPr>
              <w:spacing w:after="0"/>
              <w:rPr>
                <w:sz w:val="2"/>
                <w:szCs w:val="2"/>
                <w:color w:val="auto"/>
              </w:rPr>
            </w:pPr>
          </w:p>
        </w:tc>
        <w:tc>
          <w:tcPr>
            <w:tcW w:w="820" w:type="dxa"/>
            <w:vAlign w:val="bottom"/>
            <w:shd w:val="clear" w:color="auto" w:fill="D9D9D9"/>
          </w:tcPr>
          <w:p>
            <w:pPr>
              <w:spacing w:after="0"/>
              <w:rPr>
                <w:sz w:val="2"/>
                <w:szCs w:val="2"/>
                <w:color w:val="auto"/>
              </w:rPr>
            </w:pPr>
          </w:p>
        </w:tc>
        <w:tc>
          <w:tcPr>
            <w:tcW w:w="840" w:type="dxa"/>
            <w:vAlign w:val="bottom"/>
            <w:shd w:val="clear" w:color="auto" w:fill="D9D9D9"/>
          </w:tcPr>
          <w:p>
            <w:pPr>
              <w:spacing w:after="0"/>
              <w:rPr>
                <w:sz w:val="2"/>
                <w:szCs w:val="2"/>
                <w:color w:val="auto"/>
              </w:rPr>
            </w:pPr>
          </w:p>
        </w:tc>
        <w:tc>
          <w:tcPr>
            <w:tcW w:w="64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right="920" w:firstLine="408"/>
        <w:spacing w:after="0" w:line="255" w:lineRule="auto"/>
        <w:rPr>
          <w:sz w:val="20"/>
          <w:szCs w:val="20"/>
          <w:color w:val="auto"/>
        </w:rPr>
      </w:pPr>
      <w:r>
        <w:rPr>
          <w:rFonts w:ascii="Arial" w:cs="Arial" w:eastAsia="Arial" w:hAnsi="Arial"/>
          <w:sz w:val="16"/>
          <w:szCs w:val="16"/>
          <w:color w:val="auto"/>
        </w:rPr>
        <w:t>The information presented on the following pages regarding each director nominee or continuing director also sets forth specific experience, qualifications, attributes and skills that led our Board to conclude that he or she should serve as a director in light of our business and structure.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303530</wp:posOffset>
            </wp:positionV>
            <wp:extent cx="988060" cy="1174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Jeffrey M. Ettinger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4941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ind w:left="220" w:hanging="146"/>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Nominating &amp;</w:t>
      </w:r>
      <w:r>
        <w:rPr>
          <w:rFonts w:ascii="Arial" w:cs="Arial" w:eastAsia="Arial" w:hAnsi="Arial"/>
          <w:sz w:val="15"/>
          <w:szCs w:val="15"/>
          <w:color w:val="auto"/>
        </w:rPr>
        <w:t xml:space="preserve"> </w:t>
      </w:r>
      <w:r>
        <w:rPr>
          <w:rFonts w:ascii="Arial" w:cs="Arial" w:eastAsia="Arial" w:hAnsi="Arial"/>
          <w:sz w:val="16"/>
          <w:szCs w:val="16"/>
          <w:color w:val="auto"/>
        </w:rPr>
        <w:t>Governance (Chair)</w:t>
      </w:r>
    </w:p>
    <w:p>
      <w:pPr>
        <w:spacing w:after="0" w:line="1" w:lineRule="exact"/>
        <w:rPr>
          <w:sz w:val="20"/>
          <w:szCs w:val="20"/>
          <w:color w:val="auto"/>
        </w:rPr>
      </w:pPr>
    </w:p>
    <w:p>
      <w:pPr>
        <w:ind w:left="220" w:right="80" w:hanging="146"/>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Compensation &amp;</w:t>
      </w:r>
      <w:r>
        <w:rPr>
          <w:rFonts w:ascii="Arial" w:cs="Arial" w:eastAsia="Arial" w:hAnsi="Arial"/>
          <w:sz w:val="15"/>
          <w:szCs w:val="15"/>
          <w:color w:val="auto"/>
        </w:rPr>
        <w:t xml:space="preserve"> </w:t>
      </w:r>
      <w:r>
        <w:rPr>
          <w:rFonts w:ascii="Arial" w:cs="Arial" w:eastAsia="Arial" w:hAnsi="Arial"/>
          <w:sz w:val="16"/>
          <w:szCs w:val="16"/>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795020</wp:posOffset>
            </wp:positionV>
            <wp:extent cx="988060" cy="1174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49415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Audit</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Director Nominees for Election to the Board for a Term Ending at the 2023 Annual Meeting</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13335</wp:posOffset>
            </wp:positionV>
            <wp:extent cx="569531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320" w:right="140"/>
        <w:spacing w:after="0" w:line="245" w:lineRule="auto"/>
        <w:rPr>
          <w:sz w:val="20"/>
          <w:szCs w:val="20"/>
          <w:color w:val="auto"/>
        </w:rPr>
      </w:pPr>
      <w:r>
        <w:rPr>
          <w:rFonts w:ascii="Arial" w:cs="Arial" w:eastAsia="Arial" w:hAnsi="Arial"/>
          <w:sz w:val="16"/>
          <w:szCs w:val="16"/>
          <w:color w:val="auto"/>
        </w:rPr>
        <w:t xml:space="preserve">Jeffrey M. Ettinger retired from Hormel Foods Corporation, Austin, Minnesota (a multinational manufacturer and marketer of consumer-branded food and meat products). He held the following positions, all at Hormel Foods: </w:t>
      </w:r>
      <w:r>
        <w:rPr>
          <w:rFonts w:ascii="Arial" w:cs="Arial" w:eastAsia="Arial" w:hAnsi="Arial"/>
          <w:sz w:val="14"/>
          <w:szCs w:val="14"/>
          <w:color w:val="auto"/>
        </w:rPr>
        <w:t>•</w:t>
      </w:r>
      <w:r>
        <w:rPr>
          <w:rFonts w:ascii="Arial" w:cs="Arial" w:eastAsia="Arial" w:hAnsi="Arial"/>
          <w:sz w:val="16"/>
          <w:szCs w:val="16"/>
          <w:color w:val="auto"/>
        </w:rPr>
        <w:t>Chairman of the Board (October 2016 – November 2017)</w:t>
      </w:r>
    </w:p>
    <w:p>
      <w:pPr>
        <w:ind w:left="3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Chairman of the Board and Chief Executive Officer (November 2006 – October 2016)</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(July 2004 – October 2015)</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129540</wp:posOffset>
            </wp:positionV>
            <wp:extent cx="569531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45" w:lineRule="exact"/>
        <w:rPr>
          <w:sz w:val="20"/>
          <w:szCs w:val="20"/>
          <w:color w:val="auto"/>
        </w:rPr>
      </w:pPr>
    </w:p>
    <w:p>
      <w:pPr>
        <w:ind w:left="340" w:right="20"/>
        <w:spacing w:after="0" w:line="242" w:lineRule="auto"/>
        <w:rPr>
          <w:sz w:val="20"/>
          <w:szCs w:val="20"/>
          <w:color w:val="auto"/>
        </w:rPr>
      </w:pPr>
      <w:r>
        <w:rPr>
          <w:rFonts w:ascii="Arial" w:cs="Arial" w:eastAsia="Arial" w:hAnsi="Arial"/>
          <w:sz w:val="16"/>
          <w:szCs w:val="16"/>
          <w:color w:val="auto"/>
        </w:rPr>
        <w:t>Mr. Ettinger brings to our Board strong business acumen, significant executive leadership attributes and relevant experience of driving growth through innovation and strategic acquisitions. Mr. Ettinger provides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Additionally, as an experienced public company director and former executive, he contributes knowledge of public company requirements and issues, including those related to corporate governance and executive compensation matters.</w:t>
      </w: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20955</wp:posOffset>
            </wp:positionV>
            <wp:extent cx="569531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53" w:lineRule="exact"/>
        <w:rPr>
          <w:sz w:val="20"/>
          <w:szCs w:val="20"/>
          <w:color w:val="auto"/>
        </w:rPr>
      </w:pPr>
    </w:p>
    <w:p>
      <w:pPr>
        <w:ind w:left="2180"/>
        <w:spacing w:after="0"/>
        <w:tabs>
          <w:tab w:leader="none" w:pos="646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1520"/>
        <w:spacing w:after="0"/>
        <w:tabs>
          <w:tab w:leader="none" w:pos="5980" w:val="left"/>
        </w:tabs>
        <w:rPr>
          <w:sz w:val="20"/>
          <w:szCs w:val="20"/>
          <w:color w:val="auto"/>
        </w:rPr>
      </w:pPr>
      <w:r>
        <w:rPr>
          <w:rFonts w:ascii="Arial" w:cs="Arial" w:eastAsia="Arial" w:hAnsi="Arial"/>
          <w:sz w:val="16"/>
          <w:szCs w:val="16"/>
          <w:color w:val="auto"/>
        </w:rPr>
        <w:t>Ecolab Inc. (Lead Director)</w:t>
      </w:r>
      <w:r>
        <w:rPr>
          <w:sz w:val="20"/>
          <w:szCs w:val="20"/>
          <w:color w:val="auto"/>
        </w:rPr>
        <w:tab/>
      </w:r>
      <w:r>
        <w:rPr>
          <w:rFonts w:ascii="Arial" w:cs="Arial" w:eastAsia="Arial" w:hAnsi="Arial"/>
          <w:sz w:val="16"/>
          <w:szCs w:val="16"/>
          <w:color w:val="auto"/>
        </w:rPr>
        <w:t>Hormel Foods Corporation</w:t>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13335</wp:posOffset>
            </wp:positionV>
            <wp:extent cx="569531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320" w:right="60"/>
        <w:spacing w:after="0" w:line="245" w:lineRule="auto"/>
        <w:rPr>
          <w:sz w:val="20"/>
          <w:szCs w:val="20"/>
          <w:color w:val="auto"/>
        </w:rPr>
      </w:pPr>
      <w:r>
        <w:rPr>
          <w:rFonts w:ascii="Arial" w:cs="Arial" w:eastAsia="Arial" w:hAnsi="Arial"/>
          <w:sz w:val="16"/>
          <w:szCs w:val="16"/>
          <w:color w:val="auto"/>
        </w:rPr>
        <w:t xml:space="preserve">Katherine J. Harless retired from Idearc Inc., Dallas/Fort Worth, Texas (a provider of sales, publishing and related services including Verizon Yellow Pages and SuperPages.com). She held the following positions: </w:t>
      </w:r>
      <w:r>
        <w:rPr>
          <w:rFonts w:ascii="Arial" w:cs="Arial" w:eastAsia="Arial" w:hAnsi="Arial"/>
          <w:sz w:val="14"/>
          <w:szCs w:val="14"/>
          <w:color w:val="auto"/>
        </w:rPr>
        <w:t>•</w:t>
      </w:r>
      <w:r>
        <w:rPr>
          <w:rFonts w:ascii="Arial" w:cs="Arial" w:eastAsia="Arial" w:hAnsi="Arial"/>
          <w:sz w:val="16"/>
          <w:szCs w:val="16"/>
          <w:color w:val="auto"/>
        </w:rPr>
        <w:t>Director, Idearc (November 2006 – May 2008)</w:t>
      </w:r>
    </w:p>
    <w:p>
      <w:pPr>
        <w:ind w:left="3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and Chief Executive Officer, Idearc (November 2006 – February 2008)</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Verizon Information Services Inc. (spun off by Verizon Communications, Inc. to become Idearc Inc., June 2000</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November 2006)</w:t>
      </w:r>
    </w:p>
    <w:p>
      <w:pPr>
        <w:ind w:left="340" w:right="20"/>
        <w:spacing w:after="0" w:line="255" w:lineRule="auto"/>
        <w:rPr>
          <w:sz w:val="20"/>
          <w:szCs w:val="20"/>
          <w:color w:val="auto"/>
        </w:rPr>
      </w:pPr>
      <w:r>
        <w:rPr>
          <w:rFonts w:ascii="Arial" w:cs="Arial" w:eastAsia="Arial" w:hAnsi="Arial"/>
          <w:sz w:val="16"/>
          <w:szCs w:val="16"/>
          <w:color w:val="auto"/>
        </w:rPr>
        <w:t>Ms. Harless is a director of the North Texas Chapter of the National Association of Corporate Directors (“NACD”) and is an NACD Board Leadership Fellow.</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20955</wp:posOffset>
            </wp:positionV>
            <wp:extent cx="569531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73" w:lineRule="exact"/>
        <w:rPr>
          <w:sz w:val="20"/>
          <w:szCs w:val="20"/>
          <w:color w:val="auto"/>
        </w:rPr>
      </w:pPr>
    </w:p>
    <w:p>
      <w:pPr>
        <w:jc w:val="both"/>
        <w:ind w:left="320"/>
        <w:spacing w:after="0" w:line="247" w:lineRule="auto"/>
        <w:rPr>
          <w:sz w:val="20"/>
          <w:szCs w:val="20"/>
          <w:color w:val="auto"/>
        </w:rPr>
      </w:pPr>
      <w:r>
        <w:rPr>
          <w:rFonts w:ascii="Arial" w:cs="Arial" w:eastAsia="Arial" w:hAnsi="Arial"/>
          <w:sz w:val="16"/>
          <w:szCs w:val="16"/>
          <w:color w:val="auto"/>
        </w:rPr>
        <w:t>Ms. Harless brings to our Board executive leadership experience, management skills and knowledge of financial, executive compensation, corporate governance and other issues applicable to public companies. She provides a seasoned business perspective and valuable business, leadership and management insights with respect to our strategic direction.</w:t>
      </w:r>
    </w:p>
    <w:p>
      <w:pPr>
        <w:spacing w:after="0" w:line="36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20955</wp:posOffset>
            </wp:positionV>
            <wp:extent cx="569531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53" w:lineRule="exact"/>
        <w:rPr>
          <w:sz w:val="20"/>
          <w:szCs w:val="20"/>
          <w:color w:val="auto"/>
        </w:rPr>
      </w:pPr>
    </w:p>
    <w:p>
      <w:pPr>
        <w:ind w:left="2180"/>
        <w:spacing w:after="0"/>
        <w:tabs>
          <w:tab w:leader="none" w:pos="646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2280"/>
        <w:spacing w:after="0"/>
        <w:tabs>
          <w:tab w:leader="none" w:pos="6760"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50165</wp:posOffset>
            </wp:positionV>
            <wp:extent cx="729996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1660" w:space="560"/>
            <w:col w:w="9180"/>
          </w:cols>
          <w:pgMar w:left="240" w:top="14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988060" cy="1174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D. Christian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50177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50177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50177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50177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5" w:lineRule="exact"/>
        <w:rPr>
          <w:sz w:val="20"/>
          <w:szCs w:val="20"/>
          <w:color w:val="auto"/>
        </w:rPr>
      </w:pPr>
    </w:p>
    <w:p>
      <w:pPr>
        <w:ind w:left="220" w:right="120" w:hanging="146"/>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Compensation &amp;</w:t>
      </w:r>
      <w:r>
        <w:rPr>
          <w:rFonts w:ascii="Arial" w:cs="Arial" w:eastAsia="Arial" w:hAnsi="Arial"/>
          <w:sz w:val="15"/>
          <w:szCs w:val="15"/>
          <w:color w:val="auto"/>
        </w:rPr>
        <w:t xml:space="preserve"> </w:t>
      </w:r>
      <w:r>
        <w:rPr>
          <w:rFonts w:ascii="Arial" w:cs="Arial" w:eastAsia="Arial" w:hAnsi="Arial"/>
          <w:sz w:val="16"/>
          <w:szCs w:val="16"/>
          <w:color w:val="auto"/>
        </w:rPr>
        <w:t>Human Resources</w:t>
      </w:r>
    </w:p>
    <w:p>
      <w:pPr>
        <w:spacing w:after="0" w:line="1" w:lineRule="exact"/>
        <w:rPr>
          <w:sz w:val="20"/>
          <w:szCs w:val="20"/>
          <w:color w:val="auto"/>
        </w:rPr>
      </w:pPr>
    </w:p>
    <w:p>
      <w:pPr>
        <w:jc w:val="right"/>
        <w:ind w:right="60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Nominating &amp;</w:t>
      </w:r>
    </w:p>
    <w:p>
      <w:pPr>
        <w:spacing w:after="0" w:line="12" w:lineRule="exact"/>
        <w:rPr>
          <w:sz w:val="20"/>
          <w:szCs w:val="20"/>
          <w:color w:val="auto"/>
        </w:rPr>
      </w:pPr>
    </w:p>
    <w:p>
      <w:pPr>
        <w:jc w:val="right"/>
        <w:ind w:right="600"/>
        <w:spacing w:after="0"/>
        <w:rPr>
          <w:sz w:val="20"/>
          <w:szCs w:val="20"/>
          <w:color w:val="auto"/>
        </w:rPr>
      </w:pPr>
      <w:r>
        <w:rPr>
          <w:rFonts w:ascii="Arial" w:cs="Arial" w:eastAsia="Arial" w:hAnsi="Arial"/>
          <w:sz w:val="16"/>
          <w:szCs w:val="16"/>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544830</wp:posOffset>
            </wp:positionV>
            <wp:extent cx="988060" cy="1174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50177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150177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150177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50177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5"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Audit (Chair)</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69531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120" w:right="160"/>
        <w:spacing w:after="0" w:line="239" w:lineRule="auto"/>
        <w:rPr>
          <w:sz w:val="20"/>
          <w:szCs w:val="20"/>
          <w:color w:val="auto"/>
        </w:rPr>
      </w:pPr>
      <w:r>
        <w:rPr>
          <w:rFonts w:ascii="Arial" w:cs="Arial" w:eastAsia="Arial" w:hAnsi="Arial"/>
          <w:sz w:val="16"/>
          <w:szCs w:val="16"/>
          <w:color w:val="auto"/>
        </w:rPr>
        <w:t>D. Christian Koch is the President and Chief Executive Officer of Carlisle Companies Incorporated, Scottsdale, Arizona (a diversified manufacturing company that produces and distributes a broad range of products). He holds or has held the following positions, all at Carlisle: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and Chief Executive Officer (since January 2016)</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and Chief Operating Officer (May 2014 – January 2016)</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Group President, Carlisle Diversified Products (June 2012 – May 2014)</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Carlisle Brake &amp; Friction (January 2009 – June 2012)</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Carlisle Asia-Pacific (February 2008 – January 2009)</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69531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120" w:right="480"/>
        <w:spacing w:after="0" w:line="244" w:lineRule="auto"/>
        <w:rPr>
          <w:sz w:val="20"/>
          <w:szCs w:val="20"/>
          <w:color w:val="auto"/>
        </w:rPr>
      </w:pPr>
      <w:r>
        <w:rPr>
          <w:rFonts w:ascii="Arial" w:cs="Arial" w:eastAsia="Arial" w:hAnsi="Arial"/>
          <w:sz w:val="16"/>
          <w:szCs w:val="16"/>
          <w:color w:val="auto"/>
        </w:rPr>
        <w:t>Mr. Koch brings to our Board his experience as a seasoned executive with strong business acumen and significant experience managing distribution, supply chain, manufacturing and sales operations around the world as well as with mergers and acquisitions. In addition, as a public company director and executive, Mr. Koch contributes a solid understanding of financial oversight, strategic planning, executive compensation and corporate governance.</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Other Public Company Boards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60" w:type="dxa"/>
            <w:vAlign w:val="bottom"/>
            <w:tcBorders>
              <w:top w:val="single" w:sz="8" w:color="C00000"/>
            </w:tcBorders>
          </w:tcPr>
          <w:p>
            <w:pPr>
              <w:jc w:val="center"/>
              <w:ind w:right="78"/>
              <w:spacing w:after="0"/>
              <w:rPr>
                <w:sz w:val="20"/>
                <w:szCs w:val="20"/>
                <w:color w:val="auto"/>
              </w:rPr>
            </w:pPr>
            <w:r>
              <w:rPr>
                <w:rFonts w:ascii="Arial" w:cs="Arial" w:eastAsia="Arial" w:hAnsi="Arial"/>
                <w:sz w:val="16"/>
                <w:szCs w:val="16"/>
                <w:b w:val="1"/>
                <w:bCs w:val="1"/>
                <w:color w:val="auto"/>
              </w:rPr>
              <w:t>Current</w:t>
            </w:r>
          </w:p>
        </w:tc>
        <w:tc>
          <w:tcPr>
            <w:tcW w:w="4300" w:type="dxa"/>
            <w:vAlign w:val="bottom"/>
            <w:tcBorders>
              <w:top w:val="single" w:sz="8" w:color="C00000"/>
            </w:tcBorders>
          </w:tcPr>
          <w:p>
            <w:pPr>
              <w:jc w:val="center"/>
              <w:ind w:right="58"/>
              <w:spacing w:after="0"/>
              <w:rPr>
                <w:sz w:val="20"/>
                <w:szCs w:val="20"/>
                <w:color w:val="auto"/>
              </w:rPr>
            </w:pPr>
            <w:r>
              <w:rPr>
                <w:rFonts w:ascii="Arial" w:cs="Arial" w:eastAsia="Arial" w:hAnsi="Arial"/>
                <w:sz w:val="16"/>
                <w:szCs w:val="16"/>
                <w:b w:val="1"/>
                <w:bCs w:val="1"/>
                <w:color w:val="auto"/>
              </w:rPr>
              <w:t>Past 5 Years</w:t>
            </w:r>
          </w:p>
        </w:tc>
      </w:tr>
      <w:tr>
        <w:trPr>
          <w:trHeight w:val="196"/>
        </w:trPr>
        <w:tc>
          <w:tcPr>
            <w:tcW w:w="4660" w:type="dxa"/>
            <w:vAlign w:val="bottom"/>
          </w:tcPr>
          <w:p>
            <w:pPr>
              <w:jc w:val="center"/>
              <w:ind w:right="78"/>
              <w:spacing w:after="0"/>
              <w:rPr>
                <w:sz w:val="20"/>
                <w:szCs w:val="20"/>
                <w:color w:val="auto"/>
              </w:rPr>
            </w:pPr>
            <w:r>
              <w:rPr>
                <w:rFonts w:ascii="Arial" w:cs="Arial" w:eastAsia="Arial" w:hAnsi="Arial"/>
                <w:sz w:val="16"/>
                <w:szCs w:val="16"/>
                <w:color w:val="auto"/>
              </w:rPr>
              <w:t>Carlisle Companies Inc.</w:t>
            </w:r>
          </w:p>
        </w:tc>
        <w:tc>
          <w:tcPr>
            <w:tcW w:w="4300" w:type="dxa"/>
            <w:vAlign w:val="bottom"/>
          </w:tcPr>
          <w:p>
            <w:pPr>
              <w:jc w:val="center"/>
              <w:ind w:right="78"/>
              <w:spacing w:after="0"/>
              <w:rPr>
                <w:sz w:val="20"/>
                <w:szCs w:val="20"/>
                <w:color w:val="auto"/>
              </w:rPr>
            </w:pPr>
            <w:r>
              <w:rPr>
                <w:rFonts w:ascii="Arial" w:cs="Arial" w:eastAsia="Arial" w:hAnsi="Arial"/>
                <w:sz w:val="16"/>
                <w:szCs w:val="16"/>
                <w:color w:val="auto"/>
              </w:rPr>
              <w:t>Arctic Cat Inc.</w:t>
            </w:r>
          </w:p>
        </w:tc>
      </w:tr>
    </w:tbl>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Continuing Members of the Board – Current Term Ending at the 2021 Annual Meeting</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13335</wp:posOffset>
            </wp:positionV>
            <wp:extent cx="570293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02935" cy="7620"/>
                    </a:xfrm>
                    <a:prstGeom prst="rect">
                      <a:avLst/>
                    </a:prstGeom>
                    <a:noFill/>
                  </pic:spPr>
                </pic:pic>
              </a:graphicData>
            </a:graphic>
          </wp:anchor>
        </w:drawing>
      </w:r>
    </w:p>
    <w:p>
      <w:pPr>
        <w:spacing w:after="0" w:line="61" w:lineRule="exact"/>
        <w:rPr>
          <w:sz w:val="20"/>
          <w:szCs w:val="20"/>
          <w:color w:val="auto"/>
        </w:rPr>
      </w:pPr>
    </w:p>
    <w:p>
      <w:pPr>
        <w:ind w:left="120" w:right="400"/>
        <w:spacing w:after="0" w:line="245" w:lineRule="auto"/>
        <w:rPr>
          <w:sz w:val="20"/>
          <w:szCs w:val="20"/>
          <w:color w:val="auto"/>
        </w:rPr>
      </w:pPr>
      <w:r>
        <w:rPr>
          <w:rFonts w:ascii="Arial" w:cs="Arial" w:eastAsia="Arial" w:hAnsi="Arial"/>
          <w:sz w:val="16"/>
          <w:szCs w:val="16"/>
          <w:color w:val="auto"/>
        </w:rPr>
        <w:t xml:space="preserve">Janet K. Cooper retired from Qwest Communications International Inc., Denver, Colorado (a U.S. telecommunications company that merged with and now does business as CenturyLink). She held the following positions: </w:t>
      </w:r>
      <w:r>
        <w:rPr>
          <w:rFonts w:ascii="Arial" w:cs="Arial" w:eastAsia="Arial" w:hAnsi="Arial"/>
          <w:sz w:val="14"/>
          <w:szCs w:val="14"/>
          <w:color w:val="auto"/>
        </w:rPr>
        <w:t>•</w:t>
      </w:r>
      <w:r>
        <w:rPr>
          <w:rFonts w:ascii="Arial" w:cs="Arial" w:eastAsia="Arial" w:hAnsi="Arial"/>
          <w:sz w:val="16"/>
          <w:szCs w:val="16"/>
          <w:color w:val="auto"/>
        </w:rPr>
        <w:t>Senior Vice President and Treasurer, Qwest (September 2002 – June 2008)</w:t>
      </w: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Chief Financial Officer and Senior Vice President, McDATA Corporation (January 2001 – June 2002)</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Senior Vice President, Finance, Qwest (July 2000 – January 2001)</w:t>
      </w:r>
    </w:p>
    <w:p>
      <w:pPr>
        <w:spacing w:after="0" w:line="12" w:lineRule="exact"/>
        <w:rPr>
          <w:sz w:val="20"/>
          <w:szCs w:val="20"/>
          <w:color w:val="auto"/>
        </w:rPr>
      </w:pPr>
    </w:p>
    <w:p>
      <w:pPr>
        <w:ind w:left="120" w:right="620" w:firstLine="3"/>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Prior positions at U.S. West Inc. include Vice President, Finance and Controller, and Vice President and Treasurer</w:t>
      </w:r>
      <w:r>
        <w:rPr>
          <w:rFonts w:ascii="Arial" w:cs="Arial" w:eastAsia="Arial" w:hAnsi="Arial"/>
          <w:sz w:val="15"/>
          <w:szCs w:val="15"/>
          <w:color w:val="auto"/>
        </w:rPr>
        <w:t xml:space="preserve"> </w:t>
      </w:r>
      <w:r>
        <w:rPr>
          <w:rFonts w:ascii="Arial" w:cs="Arial" w:eastAsia="Arial" w:hAnsi="Arial"/>
          <w:sz w:val="16"/>
          <w:szCs w:val="16"/>
          <w:color w:val="auto"/>
        </w:rPr>
        <w:t>Ms. Cooper is an NACD Board Leadership Fellow.</w:t>
      </w: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Qualifications</w:t>
      </w:r>
    </w:p>
    <w:p>
      <w:pPr>
        <w:spacing w:after="0" w:line="81" w:lineRule="exact"/>
        <w:rPr>
          <w:sz w:val="20"/>
          <w:szCs w:val="20"/>
          <w:color w:val="auto"/>
        </w:rPr>
      </w:pPr>
    </w:p>
    <w:p>
      <w:pPr>
        <w:ind w:left="120"/>
        <w:spacing w:after="0" w:line="243" w:lineRule="auto"/>
        <w:rPr>
          <w:sz w:val="20"/>
          <w:szCs w:val="20"/>
          <w:color w:val="auto"/>
        </w:rPr>
      </w:pPr>
      <w:r>
        <w:rPr>
          <w:rFonts w:ascii="Arial" w:cs="Arial" w:eastAsia="Arial" w:hAnsi="Arial"/>
          <w:sz w:val="16"/>
          <w:szCs w:val="16"/>
          <w:color w:val="auto"/>
        </w:rPr>
        <w:t>Ms. Cooper brings to our Board substantial financial and accounting knowledge and expertise. Ms. Cooper’s experience as a public company director and audit committee member and her financial expertise and acumen in capital markets, audit, tax, accounting, treasury and risk-management, including related to information systems and cybersecurity, assists our Board in providing oversight to Management on these matters. Ms. Cooper’s senior leadership experience also enables her to provide strategic input to our Board, in addition to her financial expertise, discipline and oversight.</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160655</wp:posOffset>
            </wp:positionV>
            <wp:extent cx="57029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02935" cy="7620"/>
                    </a:xfrm>
                    <a:prstGeom prst="rect">
                      <a:avLst/>
                    </a:prstGeom>
                    <a:noFill/>
                  </pic:spPr>
                </pic:pic>
              </a:graphicData>
            </a:graphic>
          </wp:anchor>
        </w:drawing>
      </w:r>
    </w:p>
    <w:p>
      <w:pPr>
        <w:spacing w:after="0" w:line="274" w:lineRule="exact"/>
        <w:rPr>
          <w:sz w:val="20"/>
          <w:szCs w:val="20"/>
          <w:color w:val="auto"/>
        </w:rPr>
      </w:pPr>
    </w:p>
    <w:p>
      <w:pPr>
        <w:ind w:left="2020"/>
        <w:spacing w:after="0"/>
        <w:tabs>
          <w:tab w:leader="none" w:pos="630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1420"/>
        <w:spacing w:after="0"/>
        <w:tabs>
          <w:tab w:leader="none" w:pos="6280" w:val="left"/>
        </w:tabs>
        <w:rPr>
          <w:sz w:val="20"/>
          <w:szCs w:val="20"/>
          <w:color w:val="auto"/>
        </w:rPr>
      </w:pPr>
      <w:r>
        <w:rPr>
          <w:rFonts w:ascii="Arial" w:cs="Arial" w:eastAsia="Arial" w:hAnsi="Arial"/>
          <w:sz w:val="16"/>
          <w:szCs w:val="16"/>
          <w:color w:val="auto"/>
        </w:rPr>
        <w:t>Lennox International Inc.</w:t>
      </w:r>
      <w:r>
        <w:rPr>
          <w:sz w:val="20"/>
          <w:szCs w:val="20"/>
          <w:color w:val="auto"/>
        </w:rPr>
        <w:tab/>
      </w:r>
      <w:r>
        <w:rPr>
          <w:rFonts w:ascii="Arial" w:cs="Arial" w:eastAsia="Arial" w:hAnsi="Arial"/>
          <w:sz w:val="16"/>
          <w:szCs w:val="16"/>
          <w:color w:val="auto"/>
        </w:rPr>
        <w:t>Resonant Inc.</w:t>
      </w:r>
    </w:p>
    <w:p>
      <w:pPr>
        <w:ind w:left="1440"/>
        <w:spacing w:after="0"/>
        <w:rPr>
          <w:sz w:val="20"/>
          <w:szCs w:val="20"/>
          <w:color w:val="auto"/>
        </w:rPr>
      </w:pPr>
      <w:r>
        <w:rPr>
          <w:rFonts w:ascii="Arial" w:cs="Arial" w:eastAsia="Arial" w:hAnsi="Arial"/>
          <w:sz w:val="16"/>
          <w:szCs w:val="16"/>
          <w:color w:val="auto"/>
        </w:rPr>
        <w:t>CPI Aerostructures,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50165</wp:posOffset>
            </wp:positionV>
            <wp:extent cx="729996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1700" w:space="720"/>
            <w:col w:w="9020"/>
          </w:cols>
          <w:pgMar w:left="240" w:top="140" w:right="2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988060" cy="1174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49415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149415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Lead Independent Director</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5"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Finance (Chair)</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1066165</wp:posOffset>
            </wp:positionV>
            <wp:extent cx="988060" cy="1174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4941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ind w:left="220" w:right="460" w:hanging="146"/>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Compensation &amp;</w:t>
      </w:r>
      <w:r>
        <w:rPr>
          <w:rFonts w:ascii="Arial" w:cs="Arial" w:eastAsia="Arial" w:hAnsi="Arial"/>
          <w:sz w:val="15"/>
          <w:szCs w:val="15"/>
          <w:color w:val="auto"/>
        </w:rPr>
        <w:t xml:space="preserve"> </w:t>
      </w:r>
      <w:r>
        <w:rPr>
          <w:rFonts w:ascii="Arial" w:cs="Arial" w:eastAsia="Arial" w:hAnsi="Arial"/>
          <w:sz w:val="16"/>
          <w:szCs w:val="16"/>
          <w:color w:val="auto"/>
        </w:rPr>
        <w:t>Human Resources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13335</wp:posOffset>
            </wp:positionV>
            <wp:extent cx="569531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Gary L. Ellis retired from Medtronic plc, Dublin, Ireland (a global medical technology company). He held the following positions:</w:t>
      </w:r>
    </w:p>
    <w:p>
      <w:pPr>
        <w:spacing w:after="0" w:line="11" w:lineRule="exact"/>
        <w:rPr>
          <w:sz w:val="20"/>
          <w:szCs w:val="20"/>
          <w:color w:val="auto"/>
        </w:rPr>
      </w:pPr>
    </w:p>
    <w:p>
      <w:pPr>
        <w:ind w:left="140" w:right="120" w:hanging="146"/>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Executive Vice President, Global Operations, Information Technology and Facilities &amp; Real Estate, Medtronic plc (June 2016 –</w:t>
      </w:r>
      <w:r>
        <w:rPr>
          <w:rFonts w:ascii="Arial" w:cs="Arial" w:eastAsia="Arial" w:hAnsi="Arial"/>
          <w:sz w:val="15"/>
          <w:szCs w:val="15"/>
          <w:color w:val="auto"/>
        </w:rPr>
        <w:t xml:space="preserve"> </w:t>
      </w:r>
      <w:r>
        <w:rPr>
          <w:rFonts w:ascii="Arial" w:cs="Arial" w:eastAsia="Arial" w:hAnsi="Arial"/>
          <w:sz w:val="16"/>
          <w:szCs w:val="16"/>
          <w:color w:val="auto"/>
        </w:rPr>
        <w:t>December 2016)</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Executive Vice President and Chief Financial Officer, Medtronic, Inc. (April 2014 – June 2016)</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Senior Vice President and Chief Financial Officer, Medtronic, Inc. (May 2005 – April 2014)</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Vice President, Corporate Controller and Treasurer, Medtronic, Inc. (October 1999 – May 2005)</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300990</wp:posOffset>
            </wp:positionV>
            <wp:extent cx="569531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Mr. Ellis brings extensive financial leadership experience and expertise to our Board which provides oversight regarding capital structure, financial condition and policies, long-range financial objectives, tax strategies, financing requirements and arrangements, capital budgets and expenditures, risk-management, insurance coverage, and strategic planning matters. As a former executive of a public company and an experienced public company director, Mr. Ellis contributes enhanced knowledge of public company requirements and issues. Additionally, Mr. Ellis contributes his experience managing worldwide financial operations and analyzing financial implications of merger and acquisition transactions, as well as aligning business strategies and financial decisions.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20955</wp:posOffset>
            </wp:positionV>
            <wp:extent cx="569531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53" w:lineRule="exact"/>
        <w:rPr>
          <w:sz w:val="20"/>
          <w:szCs w:val="20"/>
          <w:color w:val="auto"/>
        </w:rPr>
      </w:pPr>
    </w:p>
    <w:p>
      <w:pPr>
        <w:ind w:left="1860"/>
        <w:spacing w:after="0"/>
        <w:tabs>
          <w:tab w:leader="none" w:pos="614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1340"/>
        <w:spacing w:after="0"/>
        <w:tabs>
          <w:tab w:leader="none" w:pos="6440" w:val="left"/>
        </w:tabs>
        <w:rPr>
          <w:sz w:val="20"/>
          <w:szCs w:val="20"/>
          <w:color w:val="auto"/>
        </w:rPr>
      </w:pPr>
      <w:r>
        <w:rPr>
          <w:rFonts w:ascii="Arial" w:cs="Arial" w:eastAsia="Arial" w:hAnsi="Arial"/>
          <w:sz w:val="16"/>
          <w:szCs w:val="16"/>
          <w:color w:val="auto"/>
        </w:rPr>
        <w:t>Hill-Rom Holdings, Inc.</w:t>
      </w:r>
      <w:r>
        <w:rPr>
          <w:sz w:val="20"/>
          <w:szCs w:val="20"/>
          <w:color w:val="auto"/>
        </w:rPr>
        <w:tab/>
      </w:r>
      <w:r>
        <w:rPr>
          <w:rFonts w:ascii="Arial" w:cs="Arial" w:eastAsia="Arial" w:hAnsi="Arial"/>
          <w:sz w:val="15"/>
          <w:szCs w:val="15"/>
          <w:color w:val="auto"/>
        </w:rPr>
        <w:t>None</w:t>
      </w:r>
    </w:p>
    <w:p>
      <w:pPr>
        <w:ind w:left="1100"/>
        <w:spacing w:after="0"/>
        <w:rPr>
          <w:sz w:val="20"/>
          <w:szCs w:val="20"/>
          <w:color w:val="auto"/>
        </w:rPr>
      </w:pPr>
      <w:r>
        <w:rPr>
          <w:rFonts w:ascii="Arial" w:cs="Arial" w:eastAsia="Arial" w:hAnsi="Arial"/>
          <w:sz w:val="16"/>
          <w:szCs w:val="16"/>
          <w:color w:val="auto"/>
        </w:rPr>
        <w:t>Inspire Medical Systems, Inc.</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13335</wp:posOffset>
            </wp:positionV>
            <wp:extent cx="569531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59" w:lineRule="exact"/>
        <w:rPr>
          <w:sz w:val="20"/>
          <w:szCs w:val="20"/>
          <w:color w:val="auto"/>
        </w:rPr>
      </w:pPr>
    </w:p>
    <w:p>
      <w:pPr>
        <w:ind w:right="480"/>
        <w:spacing w:after="0" w:line="246" w:lineRule="auto"/>
        <w:rPr>
          <w:sz w:val="20"/>
          <w:szCs w:val="20"/>
          <w:color w:val="auto"/>
        </w:rPr>
      </w:pPr>
      <w:r>
        <w:rPr>
          <w:rFonts w:ascii="Arial" w:cs="Arial" w:eastAsia="Arial" w:hAnsi="Arial"/>
          <w:sz w:val="16"/>
          <w:szCs w:val="16"/>
          <w:color w:val="auto"/>
        </w:rPr>
        <w:t>Gregg W. Steinhafel was the Chairman, President and Chief Executive Officer of Target Corporation</w:t>
      </w:r>
      <w:r>
        <w:rPr>
          <w:rFonts w:ascii="Arial" w:cs="Arial" w:eastAsia="Arial" w:hAnsi="Arial"/>
          <w:sz w:val="13"/>
          <w:szCs w:val="13"/>
          <w:color w:val="auto"/>
        </w:rPr>
        <w:t>(1)</w:t>
      </w:r>
      <w:r>
        <w:rPr>
          <w:rFonts w:ascii="Arial" w:cs="Arial" w:eastAsia="Arial" w:hAnsi="Arial"/>
          <w:sz w:val="16"/>
          <w:szCs w:val="16"/>
          <w:color w:val="auto"/>
        </w:rPr>
        <w:t xml:space="preserve">, Minneapolis, Minnesota (a variety retailing company). He held the following positions, all at Target: </w:t>
      </w:r>
      <w:r>
        <w:rPr>
          <w:rFonts w:ascii="Arial" w:cs="Arial" w:eastAsia="Arial" w:hAnsi="Arial"/>
          <w:sz w:val="14"/>
          <w:szCs w:val="14"/>
          <w:color w:val="auto"/>
        </w:rPr>
        <w:t>•</w:t>
      </w:r>
      <w:r>
        <w:rPr>
          <w:rFonts w:ascii="Arial" w:cs="Arial" w:eastAsia="Arial" w:hAnsi="Arial"/>
          <w:sz w:val="16"/>
          <w:szCs w:val="16"/>
          <w:color w:val="auto"/>
        </w:rPr>
        <w:t>Chairman of the Board (February 2009 – May 2014)</w:t>
      </w:r>
    </w:p>
    <w:p>
      <w:pPr>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Chief Executive Officer (May 2008 – May 2014)</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Director (January 2007 – May 2014)</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(August 1999 – May 2014)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59690</wp:posOffset>
            </wp:positionV>
            <wp:extent cx="569531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135"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Mr. Steinhafel brings to our Board meaningful leadership experience and retail knowledge, including a deep understanding of the value of strong brand recognition, devotion to innovation, strong supply chain initiatives, and a disciplined approach to business management and investment in future growth. In addition, he contributes decision-making skills and valuable strategic planning expertise, as well as relevant knowledge of public company requirements and issues, including those related to corporate governance and executive compensation matters. Mr. Steinhafel’s significant retail knowledge assists our Board in providing guidance with respect to our residential business, which is affected by consumer confidence and spending levels, changing buying patterns of customers and product placement at mass retailers.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13335</wp:posOffset>
            </wp:positionV>
            <wp:extent cx="569531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41" w:lineRule="exact"/>
        <w:rPr>
          <w:sz w:val="20"/>
          <w:szCs w:val="20"/>
          <w:color w:val="auto"/>
        </w:rPr>
      </w:pPr>
    </w:p>
    <w:p>
      <w:pPr>
        <w:ind w:left="1860"/>
        <w:spacing w:after="0"/>
        <w:tabs>
          <w:tab w:leader="none" w:pos="614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1960"/>
        <w:spacing w:after="0"/>
        <w:tabs>
          <w:tab w:leader="none" w:pos="6440"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50165</wp:posOffset>
            </wp:positionV>
            <wp:extent cx="729996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2040" w:space="500"/>
            <w:col w:w="8860"/>
          </w:cols>
          <w:pgMar w:left="240" w:top="14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Michael G. Vale,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50177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50177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50177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50177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Audit</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778510</wp:posOffset>
            </wp:positionV>
            <wp:extent cx="988060" cy="1174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Jeffrey L. Harmening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4941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14941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5"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Audit</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69531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120" w:right="400"/>
        <w:spacing w:after="0" w:line="245" w:lineRule="auto"/>
        <w:rPr>
          <w:sz w:val="20"/>
          <w:szCs w:val="20"/>
          <w:color w:val="auto"/>
        </w:rPr>
      </w:pPr>
      <w:r>
        <w:rPr>
          <w:rFonts w:ascii="Arial" w:cs="Arial" w:eastAsia="Arial" w:hAnsi="Arial"/>
          <w:sz w:val="16"/>
          <w:szCs w:val="16"/>
          <w:color w:val="auto"/>
        </w:rPr>
        <w:t xml:space="preserve">Michael G. Vale, Ph.D., is the Executive Vice President, Safety &amp; Industrial Business Group of 3M Company, St. Paul, Minnesota (a global diversified technology company). He holds or has held the following positions, all at 3M: </w:t>
      </w:r>
      <w:r>
        <w:rPr>
          <w:rFonts w:ascii="Arial" w:cs="Arial" w:eastAsia="Arial" w:hAnsi="Arial"/>
          <w:sz w:val="14"/>
          <w:szCs w:val="14"/>
          <w:color w:val="auto"/>
        </w:rPr>
        <w:t>•</w:t>
      </w:r>
      <w:r>
        <w:rPr>
          <w:rFonts w:ascii="Arial" w:cs="Arial" w:eastAsia="Arial" w:hAnsi="Arial"/>
          <w:sz w:val="16"/>
          <w:szCs w:val="16"/>
          <w:color w:val="auto"/>
        </w:rPr>
        <w:t>Executive Vice President, Safety &amp; Industrial Business Group (since May 2019)</w:t>
      </w: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Executive Vice President, Health Care Business Group (July 2016 – April 2019)</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Executive Vice President, Consumer Business Group (August 2011 – July 2016)</w:t>
      </w:r>
    </w:p>
    <w:p>
      <w:pPr>
        <w:spacing w:after="0" w:line="12" w:lineRule="exact"/>
        <w:rPr>
          <w:sz w:val="20"/>
          <w:szCs w:val="20"/>
          <w:color w:val="auto"/>
        </w:rPr>
      </w:pPr>
    </w:p>
    <w:p>
      <w:pPr>
        <w:ind w:left="260" w:right="740" w:hanging="146"/>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Prior positions include product development engineer; manufacturing director; managing director, 3M Spain; and</w:t>
      </w:r>
      <w:r>
        <w:rPr>
          <w:rFonts w:ascii="Arial" w:cs="Arial" w:eastAsia="Arial" w:hAnsi="Arial"/>
          <w:sz w:val="15"/>
          <w:szCs w:val="15"/>
          <w:color w:val="auto"/>
        </w:rPr>
        <w:t xml:space="preserve"> </w:t>
      </w:r>
      <w:r>
        <w:rPr>
          <w:rFonts w:ascii="Arial" w:cs="Arial" w:eastAsia="Arial" w:hAnsi="Arial"/>
          <w:sz w:val="16"/>
          <w:szCs w:val="16"/>
          <w:color w:val="auto"/>
        </w:rPr>
        <w:t>managing director, 3M Brazil</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69531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120" w:right="80"/>
        <w:spacing w:after="0" w:line="244" w:lineRule="auto"/>
        <w:rPr>
          <w:sz w:val="20"/>
          <w:szCs w:val="20"/>
          <w:color w:val="auto"/>
        </w:rPr>
      </w:pPr>
      <w:r>
        <w:rPr>
          <w:rFonts w:ascii="Arial" w:cs="Arial" w:eastAsia="Arial" w:hAnsi="Arial"/>
          <w:sz w:val="16"/>
          <w:szCs w:val="16"/>
          <w:color w:val="auto"/>
        </w:rPr>
        <w:t>Dr. Vale brings to our Board extensive global business experience and expertise in research and development, technology and manufacturing. Dr. Vale also contributes substantial knowledge of consumer marketing, distribution channels, supply chain, mergers and acquisitions and managing customer relationships, all of which provide valuable management insight with respect to our strategic planning and assist our Board in providing oversight to our businesses.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168910</wp:posOffset>
            </wp:positionV>
            <wp:extent cx="569531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86" w:lineRule="exact"/>
        <w:rPr>
          <w:sz w:val="20"/>
          <w:szCs w:val="20"/>
          <w:color w:val="auto"/>
        </w:rPr>
      </w:pPr>
    </w:p>
    <w:p>
      <w:pPr>
        <w:ind w:left="1980"/>
        <w:spacing w:after="0"/>
        <w:tabs>
          <w:tab w:leader="none" w:pos="626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2080"/>
        <w:spacing w:after="0"/>
        <w:tabs>
          <w:tab w:leader="none" w:pos="6560"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None</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Continuing Members of the Board – Current Term Ending at the 2022 Annual Meeting</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69531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120" w:right="160"/>
        <w:spacing w:after="0" w:line="245" w:lineRule="auto"/>
        <w:rPr>
          <w:sz w:val="20"/>
          <w:szCs w:val="20"/>
          <w:color w:val="auto"/>
        </w:rPr>
      </w:pPr>
      <w:r>
        <w:rPr>
          <w:rFonts w:ascii="Arial" w:cs="Arial" w:eastAsia="Arial" w:hAnsi="Arial"/>
          <w:sz w:val="16"/>
          <w:szCs w:val="16"/>
          <w:color w:val="auto"/>
        </w:rPr>
        <w:t xml:space="preserve">Jeffrey L. Harmening is the Chairman and Chief Executive Officer of General Mills, Inc., Minneapolis, Minnesota (a global manufacturer, marketer and supplier of food products). He holds or has held the following positions, all at General Mills: </w:t>
      </w:r>
      <w:r>
        <w:rPr>
          <w:rFonts w:ascii="Arial" w:cs="Arial" w:eastAsia="Arial" w:hAnsi="Arial"/>
          <w:sz w:val="14"/>
          <w:szCs w:val="14"/>
          <w:color w:val="auto"/>
        </w:rPr>
        <w:t>•</w:t>
      </w:r>
      <w:r>
        <w:rPr>
          <w:rFonts w:ascii="Arial" w:cs="Arial" w:eastAsia="Arial" w:hAnsi="Arial"/>
          <w:sz w:val="16"/>
          <w:szCs w:val="16"/>
          <w:color w:val="auto"/>
        </w:rPr>
        <w:t>Chairman and Chief Executive Officer (since January 2018)</w:t>
      </w: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Chief Executive Officer (June 2017 – January 2018)</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and Chief Operating Officer (July 2016 – May 2017)</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Executive Vice President, Chief Operating Officer, U.S. Retail (May 2014 – June 2016)</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Senior Vice President, Chief Executive Officer, Cereal Partners Worldwide (July 2012 – April 2014)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20955</wp:posOffset>
            </wp:positionV>
            <wp:extent cx="569531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73" w:lineRule="exact"/>
        <w:rPr>
          <w:sz w:val="20"/>
          <w:szCs w:val="20"/>
          <w:color w:val="auto"/>
        </w:rPr>
      </w:pPr>
    </w:p>
    <w:p>
      <w:pPr>
        <w:ind w:left="120" w:right="40"/>
        <w:spacing w:after="0" w:line="242" w:lineRule="auto"/>
        <w:rPr>
          <w:sz w:val="20"/>
          <w:szCs w:val="20"/>
          <w:color w:val="auto"/>
        </w:rPr>
      </w:pPr>
      <w:r>
        <w:rPr>
          <w:rFonts w:ascii="Arial" w:cs="Arial" w:eastAsia="Arial" w:hAnsi="Arial"/>
          <w:sz w:val="16"/>
          <w:szCs w:val="16"/>
          <w:color w:val="auto"/>
        </w:rPr>
        <w:t>With over 20 years of service at General Mills in a variety of senior leadership roles across several business categories, including as its current Chairman and Chief Executive Officer, Mr. Harmening brings to our Board experience as a seasoned executive with strong business acumen and experience implementing the strategic direction for a publicly traded company with extensive distribution channels and supply chain operations. Furthermore, he brings experience in driving growth through customer-valued products and acquisitions. In addition, he has significant experience managing operations around the world, including having lived in Europe for six years during his tenure at General Mills.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C00000"/>
        </w:rPr>
        <w:t>Other Public Company Boards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580" w:type="dxa"/>
            <w:vAlign w:val="bottom"/>
            <w:tcBorders>
              <w:top w:val="single" w:sz="8" w:color="C00000"/>
            </w:tcBorders>
          </w:tcPr>
          <w:p>
            <w:pPr>
              <w:jc w:val="center"/>
              <w:ind w:right="18"/>
              <w:spacing w:after="0"/>
              <w:rPr>
                <w:sz w:val="20"/>
                <w:szCs w:val="20"/>
                <w:color w:val="auto"/>
              </w:rPr>
            </w:pPr>
            <w:r>
              <w:rPr>
                <w:rFonts w:ascii="Arial" w:cs="Arial" w:eastAsia="Arial" w:hAnsi="Arial"/>
                <w:sz w:val="16"/>
                <w:szCs w:val="16"/>
                <w:b w:val="1"/>
                <w:bCs w:val="1"/>
                <w:color w:val="auto"/>
              </w:rPr>
              <w:t>Current</w:t>
            </w:r>
          </w:p>
        </w:tc>
        <w:tc>
          <w:tcPr>
            <w:tcW w:w="4380" w:type="dxa"/>
            <w:vAlign w:val="bottom"/>
            <w:tcBorders>
              <w:top w:val="single" w:sz="8" w:color="C00000"/>
            </w:tcBorders>
          </w:tcPr>
          <w:p>
            <w:pPr>
              <w:jc w:val="center"/>
              <w:ind w:right="18"/>
              <w:spacing w:after="0"/>
              <w:rPr>
                <w:sz w:val="20"/>
                <w:szCs w:val="20"/>
                <w:color w:val="auto"/>
              </w:rPr>
            </w:pPr>
            <w:r>
              <w:rPr>
                <w:rFonts w:ascii="Arial" w:cs="Arial" w:eastAsia="Arial" w:hAnsi="Arial"/>
                <w:sz w:val="16"/>
                <w:szCs w:val="16"/>
                <w:b w:val="1"/>
                <w:bCs w:val="1"/>
                <w:color w:val="auto"/>
              </w:rPr>
              <w:t>Past 5 Years</w:t>
            </w:r>
          </w:p>
        </w:tc>
      </w:tr>
      <w:tr>
        <w:trPr>
          <w:trHeight w:val="196"/>
        </w:trPr>
        <w:tc>
          <w:tcPr>
            <w:tcW w:w="4580" w:type="dxa"/>
            <w:vAlign w:val="bottom"/>
          </w:tcPr>
          <w:p>
            <w:pPr>
              <w:jc w:val="center"/>
              <w:ind w:right="18"/>
              <w:spacing w:after="0"/>
              <w:rPr>
                <w:sz w:val="20"/>
                <w:szCs w:val="20"/>
                <w:color w:val="auto"/>
              </w:rPr>
            </w:pPr>
            <w:r>
              <w:rPr>
                <w:rFonts w:ascii="Arial" w:cs="Arial" w:eastAsia="Arial" w:hAnsi="Arial"/>
                <w:sz w:val="16"/>
                <w:szCs w:val="16"/>
                <w:color w:val="auto"/>
              </w:rPr>
              <w:t>General Mills, Inc.</w:t>
            </w:r>
          </w:p>
        </w:tc>
        <w:tc>
          <w:tcPr>
            <w:tcW w:w="4380" w:type="dxa"/>
            <w:vAlign w:val="bottom"/>
          </w:tcPr>
          <w:p>
            <w:pPr>
              <w:jc w:val="center"/>
              <w:spacing w:after="0"/>
              <w:rPr>
                <w:sz w:val="20"/>
                <w:szCs w:val="20"/>
                <w:color w:val="auto"/>
              </w:rPr>
            </w:pPr>
            <w:r>
              <w:rPr>
                <w:rFonts w:ascii="Arial" w:cs="Arial" w:eastAsia="Arial" w:hAnsi="Arial"/>
                <w:sz w:val="16"/>
                <w:szCs w:val="16"/>
                <w:color w:val="auto"/>
                <w:w w:val="99"/>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50165</wp:posOffset>
            </wp:positionV>
            <wp:extent cx="729996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1760" w:space="660"/>
            <w:col w:w="9000"/>
          </w:cols>
          <w:pgMar w:left="240" w:top="14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988060" cy="1174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Joyce A.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4941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49415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49415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5" w:lineRule="exact"/>
        <w:rPr>
          <w:sz w:val="20"/>
          <w:szCs w:val="20"/>
          <w:color w:val="auto"/>
        </w:rPr>
      </w:pPr>
    </w:p>
    <w:p>
      <w:pPr>
        <w:ind w:left="220" w:right="460" w:hanging="146"/>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Compensation &amp;</w:t>
      </w:r>
      <w:r>
        <w:rPr>
          <w:rFonts w:ascii="Arial" w:cs="Arial" w:eastAsia="Arial" w:hAnsi="Arial"/>
          <w:sz w:val="15"/>
          <w:szCs w:val="15"/>
          <w:color w:val="auto"/>
        </w:rPr>
        <w:t xml:space="preserve"> </w:t>
      </w:r>
      <w:r>
        <w:rPr>
          <w:rFonts w:ascii="Arial" w:cs="Arial" w:eastAsia="Arial" w:hAnsi="Arial"/>
          <w:sz w:val="16"/>
          <w:szCs w:val="16"/>
          <w:color w:val="auto"/>
        </w:rPr>
        <w:t>Human Resources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Nominating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934085</wp:posOffset>
            </wp:positionV>
            <wp:extent cx="988060" cy="1174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C00000"/>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14941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62865</wp:posOffset>
            </wp:positionV>
            <wp:extent cx="14941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9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since 2016</w:t>
      </w:r>
    </w:p>
    <w:p>
      <w:pPr>
        <w:spacing w:after="0" w:line="31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14941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569531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184" w:lineRule="exact"/>
        <w:rPr>
          <w:sz w:val="20"/>
          <w:szCs w:val="20"/>
          <w:color w:val="auto"/>
        </w:rPr>
      </w:pPr>
    </w:p>
    <w:p>
      <w:pPr>
        <w:ind w:left="80" w:right="240"/>
        <w:spacing w:after="0" w:line="245" w:lineRule="auto"/>
        <w:rPr>
          <w:sz w:val="20"/>
          <w:szCs w:val="20"/>
          <w:color w:val="auto"/>
        </w:rPr>
      </w:pPr>
      <w:r>
        <w:rPr>
          <w:rFonts w:ascii="Arial" w:cs="Arial" w:eastAsia="Arial" w:hAnsi="Arial"/>
          <w:sz w:val="16"/>
          <w:szCs w:val="16"/>
          <w:color w:val="auto"/>
        </w:rPr>
        <w:t xml:space="preserve">Joyce A. Mullen is the President, Global Channel, OEM and IoT of Dell Technologies, Round Rock, Texas (a technology solutions company). She holds or has held the following positions, all at Dell: </w:t>
      </w:r>
      <w:r>
        <w:rPr>
          <w:rFonts w:ascii="Arial" w:cs="Arial" w:eastAsia="Arial" w:hAnsi="Arial"/>
          <w:sz w:val="14"/>
          <w:szCs w:val="14"/>
          <w:color w:val="auto"/>
        </w:rPr>
        <w:t>•</w:t>
      </w:r>
      <w:r>
        <w:rPr>
          <w:rFonts w:ascii="Arial" w:cs="Arial" w:eastAsia="Arial" w:hAnsi="Arial"/>
          <w:sz w:val="16"/>
          <w:szCs w:val="16"/>
          <w:color w:val="auto"/>
        </w:rPr>
        <w:t>President, Global Channel, OEM and IoT (since November 2017)</w:t>
      </w: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Senior Vice President and General Manager, Global OEM and IoT Solutions (February 2015 – November 2017)</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Vice President and General Manager, Global OEM Solutions (February 2012 – February 2015)</w:t>
      </w:r>
    </w:p>
    <w:p>
      <w:pPr>
        <w:spacing w:after="0" w:line="12" w:lineRule="exact"/>
        <w:rPr>
          <w:sz w:val="20"/>
          <w:szCs w:val="20"/>
          <w:color w:val="auto"/>
        </w:rPr>
      </w:pPr>
    </w:p>
    <w:p>
      <w:pPr>
        <w:ind w:left="220" w:right="140" w:hanging="146"/>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Prior positions include vice president–level leadership for sales operations, global strategy and planning, global alliances</w:t>
      </w:r>
      <w:r>
        <w:rPr>
          <w:rFonts w:ascii="Arial" w:cs="Arial" w:eastAsia="Arial" w:hAnsi="Arial"/>
          <w:sz w:val="15"/>
          <w:szCs w:val="15"/>
          <w:color w:val="auto"/>
        </w:rPr>
        <w:t xml:space="preserve"> </w:t>
      </w:r>
      <w:r>
        <w:rPr>
          <w:rFonts w:ascii="Arial" w:cs="Arial" w:eastAsia="Arial" w:hAnsi="Arial"/>
          <w:sz w:val="16"/>
          <w:szCs w:val="16"/>
          <w:color w:val="auto"/>
        </w:rPr>
        <w:t>and services solutions</w:t>
      </w:r>
    </w:p>
    <w:p>
      <w:pPr>
        <w:spacing w:after="0" w:line="1" w:lineRule="exact"/>
        <w:rPr>
          <w:sz w:val="20"/>
          <w:szCs w:val="20"/>
          <w:color w:val="auto"/>
        </w:rPr>
      </w:pPr>
    </w:p>
    <w:p>
      <w:pPr>
        <w:ind w:left="80" w:right="580" w:hanging="2"/>
        <w:spacing w:after="0" w:line="255" w:lineRule="auto"/>
        <w:rPr>
          <w:sz w:val="20"/>
          <w:szCs w:val="20"/>
          <w:color w:val="auto"/>
        </w:rPr>
      </w:pPr>
      <w:r>
        <w:rPr>
          <w:rFonts w:ascii="Arial" w:cs="Arial" w:eastAsia="Arial" w:hAnsi="Arial"/>
          <w:sz w:val="16"/>
          <w:szCs w:val="16"/>
          <w:color w:val="auto"/>
        </w:rPr>
        <w:t>Ms. Mullen also spent 10 years in various leadership positions at Cummins Engine Company, including distribution, manufacturing and international business development.</w:t>
      </w:r>
    </w:p>
    <w:p>
      <w:pPr>
        <w:spacing w:after="0" w:line="9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569531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 w:right="60"/>
        <w:spacing w:after="0" w:line="244" w:lineRule="auto"/>
        <w:rPr>
          <w:sz w:val="20"/>
          <w:szCs w:val="20"/>
          <w:color w:val="auto"/>
        </w:rPr>
      </w:pPr>
      <w:r>
        <w:rPr>
          <w:rFonts w:ascii="Arial" w:cs="Arial" w:eastAsia="Arial" w:hAnsi="Arial"/>
          <w:sz w:val="16"/>
          <w:szCs w:val="16"/>
          <w:color w:val="auto"/>
        </w:rPr>
        <w:t>Ms. Mullen brings to our Board significant executive leadership skills, technology and smart-connected products expertise, strategic and innovative thinking and strong international business experience. She also contributes substantial knowledge of worldwide manufacturing, distribution channels, and supply chain strategies, including improving efficiencies in manufacturing operations using Six Sigma, Kaizen, and Lean techniques.</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69531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41" w:lineRule="exact"/>
        <w:rPr>
          <w:sz w:val="20"/>
          <w:szCs w:val="20"/>
          <w:color w:val="auto"/>
        </w:rPr>
      </w:pPr>
    </w:p>
    <w:p>
      <w:pPr>
        <w:ind w:left="1940"/>
        <w:spacing w:after="0"/>
        <w:tabs>
          <w:tab w:leader="none" w:pos="6220" w:val="left"/>
        </w:tabs>
        <w:rPr>
          <w:sz w:val="20"/>
          <w:szCs w:val="20"/>
          <w:color w:val="auto"/>
        </w:rPr>
      </w:pPr>
      <w:r>
        <w:rPr>
          <w:rFonts w:ascii="Arial" w:cs="Arial" w:eastAsia="Arial" w:hAnsi="Arial"/>
          <w:sz w:val="16"/>
          <w:szCs w:val="16"/>
          <w:b w:val="1"/>
          <w:bCs w:val="1"/>
          <w:color w:val="auto"/>
        </w:rPr>
        <w:t>Current</w:t>
      </w:r>
      <w:r>
        <w:rPr>
          <w:sz w:val="20"/>
          <w:szCs w:val="20"/>
          <w:color w:val="auto"/>
        </w:rPr>
        <w:tab/>
      </w:r>
      <w:r>
        <w:rPr>
          <w:rFonts w:ascii="Arial" w:cs="Arial" w:eastAsia="Arial" w:hAnsi="Arial"/>
          <w:sz w:val="16"/>
          <w:szCs w:val="16"/>
          <w:b w:val="1"/>
          <w:bCs w:val="1"/>
          <w:color w:val="auto"/>
        </w:rPr>
        <w:t>Past 5 Years</w:t>
      </w:r>
    </w:p>
    <w:p>
      <w:pPr>
        <w:spacing w:after="0" w:line="20" w:lineRule="exact"/>
        <w:rPr>
          <w:sz w:val="20"/>
          <w:szCs w:val="20"/>
          <w:color w:val="auto"/>
        </w:rPr>
      </w:pPr>
    </w:p>
    <w:p>
      <w:pPr>
        <w:ind w:left="2040"/>
        <w:spacing w:after="0"/>
        <w:tabs>
          <w:tab w:leader="none" w:pos="6520"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None</w:t>
      </w:r>
    </w:p>
    <w:p>
      <w:pPr>
        <w:spacing w:after="0" w:line="200" w:lineRule="exact"/>
        <w:rPr>
          <w:sz w:val="20"/>
          <w:szCs w:val="20"/>
          <w:color w:val="auto"/>
        </w:rPr>
      </w:pPr>
    </w:p>
    <w:p>
      <w:pPr>
        <w:spacing w:after="0" w:line="38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569531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Richard M. Olson is our Chairman of the Board, President and Chief Executive Officer. He holds or has held the following</w:t>
      </w:r>
    </w:p>
    <w:p>
      <w:pPr>
        <w:ind w:left="80"/>
        <w:spacing w:after="0"/>
        <w:rPr>
          <w:sz w:val="20"/>
          <w:szCs w:val="20"/>
          <w:color w:val="auto"/>
        </w:rPr>
      </w:pPr>
      <w:r>
        <w:rPr>
          <w:rFonts w:ascii="Arial" w:cs="Arial" w:eastAsia="Arial" w:hAnsi="Arial"/>
          <w:sz w:val="16"/>
          <w:szCs w:val="16"/>
          <w:color w:val="auto"/>
        </w:rPr>
        <w:t>positions, all at The Toro Company:</w:t>
      </w: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Chairman (since November 2017)</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Chief Executive Officer (since November 2016)</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President (since September 2015)</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Chief Operating Officer (September 2015 – October 2016)</w:t>
      </w:r>
    </w:p>
    <w:p>
      <w:pPr>
        <w:spacing w:after="0" w:line="12" w:lineRule="exact"/>
        <w:rPr>
          <w:sz w:val="20"/>
          <w:szCs w:val="20"/>
          <w:color w:val="auto"/>
        </w:rPr>
      </w:pPr>
    </w:p>
    <w:p>
      <w:pPr>
        <w:ind w:left="220" w:right="600" w:hanging="146"/>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Group Vice President, International Business, Micro Irrigation Business and Distributor Development (June 2014 –</w:t>
      </w:r>
      <w:r>
        <w:rPr>
          <w:rFonts w:ascii="Arial" w:cs="Arial" w:eastAsia="Arial" w:hAnsi="Arial"/>
          <w:sz w:val="15"/>
          <w:szCs w:val="15"/>
          <w:color w:val="auto"/>
        </w:rPr>
        <w:t xml:space="preserve"> </w:t>
      </w:r>
      <w:r>
        <w:rPr>
          <w:rFonts w:ascii="Arial" w:cs="Arial" w:eastAsia="Arial" w:hAnsi="Arial"/>
          <w:sz w:val="16"/>
          <w:szCs w:val="16"/>
          <w:color w:val="auto"/>
        </w:rPr>
        <w:t>September 2015)</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Vice President, International Business (March 2013 – June 2014)</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Vice President, Exmark (March 2012 – March 2013)</w:t>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69531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80" w:right="160"/>
        <w:spacing w:after="0" w:line="241" w:lineRule="auto"/>
        <w:rPr>
          <w:sz w:val="20"/>
          <w:szCs w:val="20"/>
          <w:color w:val="auto"/>
        </w:rPr>
      </w:pPr>
      <w:r>
        <w:rPr>
          <w:rFonts w:ascii="Arial" w:cs="Arial" w:eastAsia="Arial" w:hAnsi="Arial"/>
          <w:sz w:val="16"/>
          <w:szCs w:val="16"/>
          <w:color w:val="auto"/>
        </w:rPr>
        <w:t>In his more than 33 years with our Company, Mr. Olson has developed and brings to our Board rich knowledge of the Company, including, in particular, our global businesses and operations, manufacturing processes, supply chain, distribution and channel development, and product development strategies. In addition, the broad experience he has gained through his past leadership of our various businesses and manufacturing operations provides him with a unique perspective regarding our growth initiatives and strategic direction. He contributes a deep commitment to quality, technological advancements, innovation, ethical values and business conduct and focus on customer service. As a result of his dual role as Chairman and CEO, Mr. Olson provides unique insight into our Company’s future strategies, opportunities and challenges and serves as a unifying element between our Board and Management.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Other Public Company Boards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Borders>
              <w:top w:val="single" w:sz="8" w:color="C00000"/>
            </w:tcBorders>
          </w:tcPr>
          <w:p>
            <w:pPr>
              <w:jc w:val="center"/>
              <w:ind w:left="1538"/>
              <w:spacing w:after="0"/>
              <w:rPr>
                <w:sz w:val="20"/>
                <w:szCs w:val="20"/>
                <w:color w:val="auto"/>
              </w:rPr>
            </w:pPr>
            <w:r>
              <w:rPr>
                <w:rFonts w:ascii="Arial" w:cs="Arial" w:eastAsia="Arial" w:hAnsi="Arial"/>
                <w:sz w:val="16"/>
                <w:szCs w:val="16"/>
                <w:b w:val="1"/>
                <w:bCs w:val="1"/>
                <w:color w:val="auto"/>
              </w:rPr>
              <w:t>Current</w:t>
            </w:r>
          </w:p>
        </w:tc>
        <w:tc>
          <w:tcPr>
            <w:tcW w:w="6100" w:type="dxa"/>
            <w:vAlign w:val="bottom"/>
            <w:tcBorders>
              <w:top w:val="single" w:sz="8" w:color="C00000"/>
            </w:tcBorders>
          </w:tcPr>
          <w:p>
            <w:pPr>
              <w:jc w:val="center"/>
              <w:ind w:left="1538"/>
              <w:spacing w:after="0"/>
              <w:rPr>
                <w:sz w:val="20"/>
                <w:szCs w:val="20"/>
                <w:color w:val="auto"/>
              </w:rPr>
            </w:pPr>
            <w:r>
              <w:rPr>
                <w:rFonts w:ascii="Arial" w:cs="Arial" w:eastAsia="Arial" w:hAnsi="Arial"/>
                <w:sz w:val="16"/>
                <w:szCs w:val="16"/>
                <w:b w:val="1"/>
                <w:bCs w:val="1"/>
                <w:color w:val="auto"/>
              </w:rPr>
              <w:t>Past 5 Years</w:t>
            </w:r>
          </w:p>
        </w:tc>
      </w:tr>
      <w:tr>
        <w:trPr>
          <w:trHeight w:val="196"/>
        </w:trPr>
        <w:tc>
          <w:tcPr>
            <w:tcW w:w="2860" w:type="dxa"/>
            <w:vAlign w:val="bottom"/>
          </w:tcPr>
          <w:p>
            <w:pPr>
              <w:jc w:val="center"/>
              <w:ind w:left="1538"/>
              <w:spacing w:after="0"/>
              <w:rPr>
                <w:sz w:val="20"/>
                <w:szCs w:val="20"/>
                <w:color w:val="auto"/>
              </w:rPr>
            </w:pPr>
            <w:r>
              <w:rPr>
                <w:rFonts w:ascii="Arial" w:cs="Arial" w:eastAsia="Arial" w:hAnsi="Arial"/>
                <w:sz w:val="16"/>
                <w:szCs w:val="16"/>
                <w:color w:val="auto"/>
              </w:rPr>
              <w:t>None</w:t>
            </w:r>
          </w:p>
        </w:tc>
        <w:tc>
          <w:tcPr>
            <w:tcW w:w="6100" w:type="dxa"/>
            <w:vAlign w:val="bottom"/>
          </w:tcPr>
          <w:p>
            <w:pPr>
              <w:jc w:val="center"/>
              <w:ind w:left="1558"/>
              <w:spacing w:after="0"/>
              <w:rPr>
                <w:sz w:val="20"/>
                <w:szCs w:val="20"/>
                <w:color w:val="auto"/>
              </w:rPr>
            </w:pPr>
            <w:r>
              <w:rPr>
                <w:rFonts w:ascii="Arial" w:cs="Arial" w:eastAsia="Arial" w:hAnsi="Arial"/>
                <w:sz w:val="16"/>
                <w:szCs w:val="16"/>
                <w:color w:val="auto"/>
                <w:w w:val="99"/>
              </w:rPr>
              <w:t>None</w:t>
            </w:r>
          </w:p>
        </w:tc>
      </w:tr>
      <w:tr>
        <w:trPr>
          <w:trHeight w:val="600"/>
        </w:trPr>
        <w:tc>
          <w:tcPr>
            <w:tcW w:w="2860" w:type="dxa"/>
            <w:vAlign w:val="bottom"/>
          </w:tcPr>
          <w:p>
            <w:pPr>
              <w:spacing w:after="0"/>
              <w:rPr>
                <w:sz w:val="24"/>
                <w:szCs w:val="24"/>
                <w:color w:val="auto"/>
              </w:rPr>
            </w:pPr>
          </w:p>
        </w:tc>
        <w:tc>
          <w:tcPr>
            <w:tcW w:w="6100" w:type="dxa"/>
            <w:vAlign w:val="bottom"/>
          </w:tcPr>
          <w:p>
            <w:pPr>
              <w:jc w:val="right"/>
              <w:ind w:right="5538"/>
              <w:spacing w:after="0"/>
              <w:rPr>
                <w:sz w:val="20"/>
                <w:szCs w:val="20"/>
                <w:color w:val="auto"/>
              </w:rPr>
            </w:pPr>
            <w:r>
              <w:rPr>
                <w:rFonts w:ascii="Arial" w:cs="Arial" w:eastAsia="Arial" w:hAnsi="Arial"/>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42545</wp:posOffset>
            </wp:positionV>
            <wp:extent cx="729996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2">
            <w:col w:w="2040" w:space="420"/>
            <w:col w:w="8960"/>
          </w:cols>
          <w:pgMar w:left="240" w:top="140" w:right="239" w:bottom="1440" w:gutter="0" w:footer="0" w:header="0"/>
        </w:sectPr>
      </w:pPr>
    </w:p>
    <w:bookmarkStart w:id="23" w:name="page24"/>
    <w:bookmarkEnd w:id="23"/>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988060" cy="1174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8806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C00000"/>
        </w:rPr>
        <w:t>James C.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49415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color w:val="auto"/>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14941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2"/>
        <w:spacing w:after="0"/>
        <w:rPr>
          <w:sz w:val="20"/>
          <w:szCs w:val="20"/>
          <w:color w:val="auto"/>
        </w:rPr>
      </w:pPr>
      <w:r>
        <w:rPr>
          <w:rFonts w:ascii="Arial" w:cs="Arial" w:eastAsia="Arial" w:hAnsi="Arial"/>
          <w:sz w:val="16"/>
          <w:szCs w:val="16"/>
          <w:color w:val="auto"/>
        </w:rPr>
        <w:t>Director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149415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4" w:lineRule="exact"/>
        <w:rPr>
          <w:sz w:val="20"/>
          <w:szCs w:val="20"/>
          <w:color w:val="auto"/>
        </w:rPr>
      </w:pPr>
    </w:p>
    <w:p>
      <w:pPr>
        <w:ind w:left="62"/>
        <w:spacing w:after="0"/>
        <w:rPr>
          <w:sz w:val="20"/>
          <w:szCs w:val="20"/>
          <w:color w:val="auto"/>
        </w:rPr>
      </w:pPr>
      <w:r>
        <w:rPr>
          <w:rFonts w:ascii="Arial" w:cs="Arial" w:eastAsia="Arial" w:hAnsi="Arial"/>
          <w:sz w:val="16"/>
          <w:szCs w:val="16"/>
          <w:color w:val="auto"/>
        </w:rPr>
        <w:t>Independent</w:t>
      </w:r>
    </w:p>
    <w:p>
      <w:pPr>
        <w:spacing w:after="0" w:line="12" w:lineRule="exact"/>
        <w:rPr>
          <w:sz w:val="20"/>
          <w:szCs w:val="20"/>
          <w:color w:val="auto"/>
        </w:rPr>
      </w:pPr>
    </w:p>
    <w:p>
      <w:pPr>
        <w:ind w:left="62"/>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49415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17" w:lineRule="exact"/>
        <w:rPr>
          <w:sz w:val="20"/>
          <w:szCs w:val="20"/>
          <w:color w:val="auto"/>
        </w:rPr>
      </w:pPr>
    </w:p>
    <w:p>
      <w:pPr>
        <w:ind w:left="82"/>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Compensation &amp;</w:t>
      </w:r>
    </w:p>
    <w:p>
      <w:pPr>
        <w:spacing w:after="0" w:line="12" w:lineRule="exact"/>
        <w:rPr>
          <w:sz w:val="20"/>
          <w:szCs w:val="20"/>
          <w:color w:val="auto"/>
        </w:rPr>
      </w:pPr>
    </w:p>
    <w:p>
      <w:pPr>
        <w:ind w:left="222"/>
        <w:spacing w:after="0"/>
        <w:rPr>
          <w:sz w:val="20"/>
          <w:szCs w:val="20"/>
          <w:color w:val="auto"/>
        </w:rPr>
      </w:pPr>
      <w:r>
        <w:rPr>
          <w:rFonts w:ascii="Arial" w:cs="Arial" w:eastAsia="Arial" w:hAnsi="Arial"/>
          <w:sz w:val="16"/>
          <w:szCs w:val="16"/>
          <w:color w:val="auto"/>
        </w:rPr>
        <w:t>Human Resources (Chair)</w:t>
      </w:r>
    </w:p>
    <w:p>
      <w:pPr>
        <w:jc w:val="right"/>
        <w:ind w:right="102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Nominating &amp;</w:t>
      </w:r>
    </w:p>
    <w:p>
      <w:pPr>
        <w:spacing w:after="0" w:line="12" w:lineRule="exact"/>
        <w:rPr>
          <w:sz w:val="20"/>
          <w:szCs w:val="20"/>
          <w:color w:val="auto"/>
        </w:rPr>
      </w:pPr>
    </w:p>
    <w:p>
      <w:pPr>
        <w:jc w:val="right"/>
        <w:ind w:right="1020"/>
        <w:spacing w:after="0"/>
        <w:rPr>
          <w:sz w:val="20"/>
          <w:szCs w:val="20"/>
          <w:color w:val="auto"/>
        </w:rPr>
      </w:pPr>
      <w:r>
        <w:rPr>
          <w:rFonts w:ascii="Arial" w:cs="Arial" w:eastAsia="Arial" w:hAnsi="Arial"/>
          <w:sz w:val="16"/>
          <w:szCs w:val="16"/>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207772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569531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61" w:lineRule="exact"/>
        <w:rPr>
          <w:sz w:val="20"/>
          <w:szCs w:val="20"/>
          <w:color w:val="auto"/>
        </w:rPr>
      </w:pPr>
    </w:p>
    <w:p>
      <w:pPr>
        <w:ind w:left="80" w:right="100"/>
        <w:spacing w:after="0" w:line="243" w:lineRule="auto"/>
        <w:rPr>
          <w:sz w:val="20"/>
          <w:szCs w:val="20"/>
          <w:color w:val="auto"/>
        </w:rPr>
      </w:pPr>
      <w:r>
        <w:rPr>
          <w:rFonts w:ascii="Arial" w:cs="Arial" w:eastAsia="Arial" w:hAnsi="Arial"/>
          <w:sz w:val="16"/>
          <w:szCs w:val="16"/>
          <w:color w:val="auto"/>
        </w:rPr>
        <w:t xml:space="preserve">James C. O’Rourke is the President and Chief Executive Officer of The Mosaic Company, Tampa, Florida (a global producer and marketer of combined concentrated phosphate and potash crop nutrients for the global agriculture industry). He holds or has held the following positions, all at The Mosaic Company: </w:t>
      </w:r>
      <w:r>
        <w:rPr>
          <w:rFonts w:ascii="Arial" w:cs="Arial" w:eastAsia="Arial" w:hAnsi="Arial"/>
          <w:sz w:val="14"/>
          <w:szCs w:val="14"/>
          <w:color w:val="auto"/>
        </w:rPr>
        <w:t>•</w:t>
      </w:r>
      <w:r>
        <w:rPr>
          <w:rFonts w:ascii="Arial" w:cs="Arial" w:eastAsia="Arial" w:hAnsi="Arial"/>
          <w:sz w:val="16"/>
          <w:szCs w:val="16"/>
          <w:color w:val="auto"/>
        </w:rPr>
        <w:t>President and Chief Executive Officer (since August 2015)</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Executive Vice President—Operations and Chief Operating Officer (August 2012 – August 2015)</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6"/>
          <w:szCs w:val="16"/>
          <w:color w:val="auto"/>
        </w:rPr>
        <w:t>Executive Vice President—Operations (January 2009 – August 2012)</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569531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95315" cy="7620"/>
                    </a:xfrm>
                    <a:prstGeom prst="rect">
                      <a:avLst/>
                    </a:prstGeom>
                    <a:noFill/>
                  </pic:spPr>
                </pic:pic>
              </a:graphicData>
            </a:graphic>
          </wp:anchor>
        </w:drawing>
      </w:r>
    </w:p>
    <w:p>
      <w:pPr>
        <w:spacing w:after="0" w:line="269" w:lineRule="exact"/>
        <w:rPr>
          <w:sz w:val="20"/>
          <w:szCs w:val="20"/>
          <w:color w:val="auto"/>
        </w:rPr>
      </w:pPr>
    </w:p>
    <w:p>
      <w:pPr>
        <w:ind w:left="80" w:right="220"/>
        <w:spacing w:after="0" w:line="244" w:lineRule="auto"/>
        <w:rPr>
          <w:sz w:val="20"/>
          <w:szCs w:val="20"/>
          <w:color w:val="auto"/>
        </w:rPr>
      </w:pPr>
      <w:r>
        <w:rPr>
          <w:rFonts w:ascii="Arial" w:cs="Arial" w:eastAsia="Arial" w:hAnsi="Arial"/>
          <w:sz w:val="16"/>
          <w:szCs w:val="16"/>
          <w:color w:val="auto"/>
        </w:rPr>
        <w:t>Mr. O’Rourke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In addition, as a public company director and executive, Mr. O’Rourke contributes a solid understanding of executive compensation and corporate governance matters.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C00000"/>
        </w:rPr>
        <w:t>Other Public Company Boards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Borders>
              <w:top w:val="single" w:sz="8" w:color="C00000"/>
            </w:tcBorders>
          </w:tcPr>
          <w:p>
            <w:pPr>
              <w:ind w:left="1980"/>
              <w:spacing w:after="0"/>
              <w:rPr>
                <w:sz w:val="20"/>
                <w:szCs w:val="20"/>
                <w:color w:val="auto"/>
              </w:rPr>
            </w:pPr>
            <w:r>
              <w:rPr>
                <w:rFonts w:ascii="Arial" w:cs="Arial" w:eastAsia="Arial" w:hAnsi="Arial"/>
                <w:sz w:val="16"/>
                <w:szCs w:val="16"/>
                <w:b w:val="1"/>
                <w:bCs w:val="1"/>
                <w:color w:val="auto"/>
              </w:rPr>
              <w:t>Current</w:t>
            </w:r>
          </w:p>
        </w:tc>
        <w:tc>
          <w:tcPr>
            <w:tcW w:w="4300" w:type="dxa"/>
            <w:vAlign w:val="bottom"/>
            <w:tcBorders>
              <w:top w:val="single" w:sz="8" w:color="C00000"/>
            </w:tcBorders>
          </w:tcPr>
          <w:p>
            <w:pPr>
              <w:ind w:left="1620"/>
              <w:spacing w:after="0"/>
              <w:rPr>
                <w:sz w:val="20"/>
                <w:szCs w:val="20"/>
                <w:color w:val="auto"/>
              </w:rPr>
            </w:pPr>
            <w:r>
              <w:rPr>
                <w:rFonts w:ascii="Arial" w:cs="Arial" w:eastAsia="Arial" w:hAnsi="Arial"/>
                <w:sz w:val="16"/>
                <w:szCs w:val="16"/>
                <w:b w:val="1"/>
                <w:bCs w:val="1"/>
                <w:color w:val="auto"/>
              </w:rPr>
              <w:t>Past 5 Years</w:t>
            </w:r>
          </w:p>
        </w:tc>
      </w:tr>
      <w:tr>
        <w:trPr>
          <w:trHeight w:val="196"/>
        </w:trPr>
        <w:tc>
          <w:tcPr>
            <w:tcW w:w="4660" w:type="dxa"/>
            <w:vAlign w:val="bottom"/>
          </w:tcPr>
          <w:p>
            <w:pPr>
              <w:ind w:left="1440"/>
              <w:spacing w:after="0"/>
              <w:rPr>
                <w:sz w:val="20"/>
                <w:szCs w:val="20"/>
                <w:color w:val="auto"/>
              </w:rPr>
            </w:pPr>
            <w:r>
              <w:rPr>
                <w:rFonts w:ascii="Arial" w:cs="Arial" w:eastAsia="Arial" w:hAnsi="Arial"/>
                <w:sz w:val="16"/>
                <w:szCs w:val="16"/>
                <w:color w:val="auto"/>
              </w:rPr>
              <w:t>The Mosaic Company</w:t>
            </w:r>
          </w:p>
        </w:tc>
        <w:tc>
          <w:tcPr>
            <w:tcW w:w="4300" w:type="dxa"/>
            <w:vAlign w:val="bottom"/>
          </w:tcPr>
          <w:p>
            <w:pPr>
              <w:ind w:left="1880"/>
              <w:spacing w:after="0"/>
              <w:rPr>
                <w:sz w:val="20"/>
                <w:szCs w:val="20"/>
                <w:color w:val="auto"/>
              </w:rPr>
            </w:pPr>
            <w:r>
              <w:rPr>
                <w:rFonts w:ascii="Arial" w:cs="Arial" w:eastAsia="Arial" w:hAnsi="Arial"/>
                <w:sz w:val="16"/>
                <w:szCs w:val="16"/>
                <w:color w:val="auto"/>
              </w:rPr>
              <w:t>None</w:t>
            </w:r>
          </w:p>
        </w:tc>
      </w:tr>
    </w:tbl>
    <w:p>
      <w:pPr>
        <w:spacing w:after="0" w:line="200" w:lineRule="exact"/>
        <w:rPr>
          <w:sz w:val="20"/>
          <w:szCs w:val="20"/>
          <w:color w:val="auto"/>
        </w:rPr>
      </w:pPr>
    </w:p>
    <w:p>
      <w:pPr>
        <w:sectPr>
          <w:pgSz w:w="11900" w:h="16838" w:orient="portrait"/>
          <w:cols w:equalWidth="0" w:num="2">
            <w:col w:w="2122" w:space="340"/>
            <w:col w:w="8960"/>
          </w:cols>
          <w:pgMar w:left="238" w:top="140" w:right="239" w:bottom="1440" w:gutter="0" w:footer="0" w:header="0"/>
        </w:sectPr>
      </w:pPr>
    </w:p>
    <w:p>
      <w:pPr>
        <w:spacing w:after="0" w:line="70" w:lineRule="exact"/>
        <w:rPr>
          <w:sz w:val="20"/>
          <w:szCs w:val="20"/>
          <w:color w:val="auto"/>
        </w:rPr>
      </w:pPr>
    </w:p>
    <w:p>
      <w:pPr>
        <w:ind w:left="402" w:right="40" w:hanging="402"/>
        <w:spacing w:after="0" w:line="255" w:lineRule="auto"/>
        <w:tabs>
          <w:tab w:leader="none" w:pos="4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January 15, 2015, after Mr. Steinhafel left Target, Target Canada Co., an indirect wholly owned subsidiary of Target, filed an application for protection under the Companies’ Creditors Arrangement Act with the Ontario Superior Court of Justice in Toronto and was subsequently liquidated.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59320" cy="186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FFFF"/>
        </w:rPr>
        <w:t>CORPORATE GOVERNANCE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Corporate Governance Guidelines</w:t>
      </w:r>
    </w:p>
    <w:p>
      <w:pPr>
        <w:spacing w:after="0" w:line="112" w:lineRule="exact"/>
        <w:rPr>
          <w:sz w:val="20"/>
          <w:szCs w:val="20"/>
          <w:color w:val="auto"/>
        </w:rPr>
      </w:pPr>
    </w:p>
    <w:p>
      <w:pPr>
        <w:ind w:firstLine="408"/>
        <w:spacing w:after="0" w:line="243" w:lineRule="auto"/>
        <w:rPr>
          <w:sz w:val="20"/>
          <w:szCs w:val="20"/>
          <w:color w:val="auto"/>
        </w:rPr>
      </w:pPr>
      <w:r>
        <w:rPr>
          <w:rFonts w:ascii="Arial" w:cs="Arial" w:eastAsia="Arial" w:hAnsi="Arial"/>
          <w:sz w:val="16"/>
          <w:szCs w:val="16"/>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board limits; director access to officers and employees; director compensation; director independence; related party transactions; director orientation and continuing education; CEO evaluation and management succession; and Board annual self-evaluation. Our Corporate Governance Guidelines provide, among other things, that:</w:t>
      </w:r>
    </w:p>
    <w:p>
      <w:pPr>
        <w:spacing w:after="0" w:line="184" w:lineRule="exact"/>
        <w:rPr>
          <w:sz w:val="20"/>
          <w:szCs w:val="20"/>
          <w:color w:val="auto"/>
        </w:rPr>
      </w:pPr>
    </w:p>
    <w:p>
      <w:pPr>
        <w:ind w:left="800" w:hanging="398"/>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6"/>
          <w:szCs w:val="16"/>
          <w:color w:val="auto"/>
        </w:rPr>
        <w:t>The Board will have a majority of directors who meet the criteria for independence required by law, the SEC and the NYSE listing standards;</w:t>
      </w:r>
    </w:p>
    <w:p>
      <w:pPr>
        <w:spacing w:after="0" w:line="97" w:lineRule="exact"/>
        <w:rPr>
          <w:rFonts w:ascii="Arial" w:cs="Arial" w:eastAsia="Arial" w:hAnsi="Arial"/>
          <w:sz w:val="15"/>
          <w:szCs w:val="15"/>
          <w:color w:val="auto"/>
        </w:rPr>
      </w:pPr>
    </w:p>
    <w:p>
      <w:pPr>
        <w:ind w:left="800" w:right="580" w:hanging="398"/>
        <w:spacing w:after="0" w:line="255" w:lineRule="auto"/>
        <w:tabs>
          <w:tab w:leader="none" w:pos="800" w:val="left"/>
        </w:tabs>
        <w:numPr>
          <w:ilvl w:val="0"/>
          <w:numId w:val="13"/>
        </w:numPr>
        <w:rPr>
          <w:rFonts w:ascii="Arial" w:cs="Arial" w:eastAsia="Arial" w:hAnsi="Arial"/>
          <w:sz w:val="15"/>
          <w:szCs w:val="15"/>
          <w:color w:val="auto"/>
        </w:rPr>
      </w:pPr>
      <w:r>
        <w:rPr>
          <w:rFonts w:ascii="Arial" w:cs="Arial" w:eastAsia="Arial" w:hAnsi="Arial"/>
          <w:sz w:val="16"/>
          <w:szCs w:val="16"/>
          <w:color w:val="auto"/>
        </w:rPr>
        <w:t>No director shall sit on boards of directors of more than four publicly held companies without the approval of the Nominating &amp; Governance Committee;</w:t>
      </w:r>
    </w:p>
    <w:p>
      <w:pPr>
        <w:spacing w:after="0" w:line="74" w:lineRule="exact"/>
        <w:rPr>
          <w:rFonts w:ascii="Arial" w:cs="Arial" w:eastAsia="Arial" w:hAnsi="Arial"/>
          <w:sz w:val="15"/>
          <w:szCs w:val="15"/>
          <w:color w:val="auto"/>
        </w:rPr>
      </w:pPr>
    </w:p>
    <w:p>
      <w:pPr>
        <w:ind w:left="800" w:hanging="398"/>
        <w:spacing w:after="0" w:line="255" w:lineRule="auto"/>
        <w:tabs>
          <w:tab w:leader="none" w:pos="800" w:val="left"/>
        </w:tabs>
        <w:numPr>
          <w:ilvl w:val="0"/>
          <w:numId w:val="13"/>
        </w:numPr>
        <w:rPr>
          <w:rFonts w:ascii="Arial" w:cs="Arial" w:eastAsia="Arial" w:hAnsi="Arial"/>
          <w:sz w:val="15"/>
          <w:szCs w:val="15"/>
          <w:color w:val="auto"/>
        </w:rPr>
      </w:pPr>
      <w:r>
        <w:rPr>
          <w:rFonts w:ascii="Arial" w:cs="Arial" w:eastAsia="Arial" w:hAnsi="Arial"/>
          <w:sz w:val="16"/>
          <w:szCs w:val="16"/>
          <w:color w:val="auto"/>
        </w:rPr>
        <w:t>No director who is an active, full-time employee of our Company shall serve as a director of more than two other publicly held companies and there shall be no interlocking board memberships without the approval of the Nominating &amp; Governance Committee;</w:t>
      </w:r>
    </w:p>
    <w:p>
      <w:pPr>
        <w:spacing w:after="0" w:line="74" w:lineRule="exact"/>
        <w:rPr>
          <w:rFonts w:ascii="Arial" w:cs="Arial" w:eastAsia="Arial" w:hAnsi="Arial"/>
          <w:sz w:val="15"/>
          <w:szCs w:val="15"/>
          <w:color w:val="auto"/>
        </w:rPr>
      </w:pPr>
    </w:p>
    <w:p>
      <w:pPr>
        <w:ind w:left="800" w:right="280" w:hanging="398"/>
        <w:spacing w:after="0" w:line="255" w:lineRule="auto"/>
        <w:tabs>
          <w:tab w:leader="none" w:pos="800" w:val="left"/>
        </w:tabs>
        <w:numPr>
          <w:ilvl w:val="0"/>
          <w:numId w:val="13"/>
        </w:numPr>
        <w:rPr>
          <w:rFonts w:ascii="Arial" w:cs="Arial" w:eastAsia="Arial" w:hAnsi="Arial"/>
          <w:sz w:val="15"/>
          <w:szCs w:val="15"/>
          <w:color w:val="auto"/>
        </w:rPr>
      </w:pPr>
      <w:r>
        <w:rPr>
          <w:rFonts w:ascii="Arial" w:cs="Arial" w:eastAsia="Arial" w:hAnsi="Arial"/>
          <w:sz w:val="16"/>
          <w:szCs w:val="16"/>
          <w:color w:val="auto"/>
        </w:rPr>
        <w:t>While the Board does not believe it should establish age limits, any director who has attained the age of 70 should volunteer not to stand for re-election;</w:t>
      </w:r>
    </w:p>
    <w:p>
      <w:pPr>
        <w:spacing w:after="0" w:line="74" w:lineRule="exact"/>
        <w:rPr>
          <w:rFonts w:ascii="Arial" w:cs="Arial" w:eastAsia="Arial" w:hAnsi="Arial"/>
          <w:sz w:val="15"/>
          <w:szCs w:val="15"/>
          <w:color w:val="auto"/>
        </w:rPr>
      </w:pPr>
    </w:p>
    <w:p>
      <w:pPr>
        <w:ind w:left="800" w:right="100" w:hanging="398"/>
        <w:spacing w:after="0" w:line="247" w:lineRule="auto"/>
        <w:tabs>
          <w:tab w:leader="none" w:pos="800" w:val="left"/>
        </w:tabs>
        <w:numPr>
          <w:ilvl w:val="0"/>
          <w:numId w:val="13"/>
        </w:numPr>
        <w:rPr>
          <w:rFonts w:ascii="Arial" w:cs="Arial" w:eastAsia="Arial" w:hAnsi="Arial"/>
          <w:sz w:val="15"/>
          <w:szCs w:val="15"/>
          <w:color w:val="auto"/>
        </w:rPr>
      </w:pPr>
      <w:r>
        <w:rPr>
          <w:rFonts w:ascii="Arial" w:cs="Arial" w:eastAsia="Arial" w:hAnsi="Arial"/>
          <w:sz w:val="16"/>
          <w:szCs w:val="16"/>
          <w:color w:val="auto"/>
        </w:rPr>
        <w:t>The CEO will annually review with the Board top management succession plans, including development plans for succession candidates, and will periodically review with the Board an emergency leadership preparedness plan applicable in the event the CEO unexpectedly becomes incapacitated or otherwise is unable to serve; and</w:t>
      </w:r>
    </w:p>
    <w:p>
      <w:pPr>
        <w:spacing w:after="0" w:line="81" w:lineRule="exact"/>
        <w:rPr>
          <w:rFonts w:ascii="Arial" w:cs="Arial" w:eastAsia="Arial" w:hAnsi="Arial"/>
          <w:sz w:val="15"/>
          <w:szCs w:val="15"/>
          <w:color w:val="auto"/>
        </w:rPr>
      </w:pPr>
    </w:p>
    <w:p>
      <w:pPr>
        <w:ind w:left="800" w:hanging="398"/>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6"/>
          <w:szCs w:val="16"/>
          <w:color w:val="auto"/>
        </w:rPr>
        <w:t>The Board will conduct an annual self-evaluation to determine whether it and its committees are functioning effectively.</w:t>
      </w:r>
    </w:p>
    <w:p>
      <w:pPr>
        <w:spacing w:after="0" w:line="98" w:lineRule="exact"/>
        <w:rPr>
          <w:sz w:val="20"/>
          <w:szCs w:val="20"/>
          <w:color w:val="auto"/>
        </w:rPr>
      </w:pPr>
    </w:p>
    <w:p>
      <w:pPr>
        <w:ind w:right="420" w:firstLine="408"/>
        <w:spacing w:after="0" w:line="247" w:lineRule="auto"/>
        <w:rPr>
          <w:sz w:val="20"/>
          <w:szCs w:val="20"/>
          <w:color w:val="auto"/>
        </w:rPr>
      </w:pPr>
      <w:r>
        <w:rPr>
          <w:rFonts w:ascii="Arial" w:cs="Arial" w:eastAsia="Arial" w:hAnsi="Arial"/>
          <w:sz w:val="16"/>
          <w:szCs w:val="16"/>
          <w:color w:val="auto"/>
        </w:rPr>
        <w:t>From time to time the Board, upon recommendation of the Nominating &amp; Governance Committee, reviews and updates our Corporate Governance Guidelines as it deems necessary and appropriate. Our Corporate Governance Guidelines can be found on our website at www.thetorocompany.com/corporategovernance.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Leadership Structure</w:t>
      </w:r>
    </w:p>
    <w:p>
      <w:pPr>
        <w:spacing w:after="0" w:line="112"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 if the offices of Chairman and CEO are held by the same person, or (b) the Chairman does not meet the criteria for “independence” as established by applicable law, the rules and regulations of the SEC or the NYSE listing standards, then the Board, upon recommendation of the Nominating &amp; Governance Committee, shall appoint a Lead Independent Director, who shall have such duties as are described in the Corporate Governance Guidelines or otherwise determined by the Board. The Board believes it is appropriate not to have a policy requiring the separation of the offices of the Chairman and the CEO so that the Board may make this determination based on what it believes is best under the current circumstances. However, the Board endorses the concept of an independent, non-employee director being in a position of leadership and, thus, our Corporate Governance Guidelines require a Lead Independent Director when the Chairman is not independent.</w:t>
      </w:r>
    </w:p>
    <w:p>
      <w:pPr>
        <w:spacing w:after="0" w:line="89"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Our Board is currently chaired by Richard M. Olson, our Chairman and CEO. Our Lead Independent Director, selected by the Board, is Gary L. Ellis. Our Nominating &amp; Governance Committee and Board believe that our current Board leadership structure ensures a strong and independent Board of Directors, provides effective governance, creates appropriate oversight for the long-term benefit of our shareholders and is appropriate for several reasons, including: (i) Mr. Olson’s extensive knowledge of our Company, our business, operations and industry, obtained through his more than 33 years of service to our Company, which benefit Board leadership and the Board’s decision-making process through his active role as Chairman; (ii) unification of Board leadership and strategic direction as implemented by our Management; and (iii) appropriate balance of risks relating to concentration of authority through the oversight of our independent and engaged Lead Independent Director and Board.</w:t>
      </w:r>
    </w:p>
    <w:p>
      <w:pPr>
        <w:spacing w:after="0" w:line="86" w:lineRule="exact"/>
        <w:rPr>
          <w:sz w:val="20"/>
          <w:szCs w:val="20"/>
          <w:color w:val="auto"/>
        </w:rPr>
      </w:pPr>
    </w:p>
    <w:p>
      <w:pPr>
        <w:ind w:right="80" w:firstLine="408"/>
        <w:spacing w:after="0" w:line="255" w:lineRule="auto"/>
        <w:rPr>
          <w:sz w:val="20"/>
          <w:szCs w:val="20"/>
          <w:color w:val="auto"/>
        </w:rPr>
      </w:pPr>
      <w:r>
        <w:rPr>
          <w:rFonts w:ascii="Arial" w:cs="Arial" w:eastAsia="Arial" w:hAnsi="Arial"/>
          <w:sz w:val="16"/>
          <w:szCs w:val="16"/>
          <w:color w:val="auto"/>
        </w:rPr>
        <w:t>As our Lead Independent Director, Mr. Ellis (i) assists Mr. Olson in establishing the agendas for Board meetings and the schedule of agenda subjects to be discussed during the year, to the extent such subjects can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be foreseen; (ii) presides at regularly scheduled executive sessions of the non-employee directors without Management present; (iii) together with the Chair of the Compensation &amp; Human Resources Committee, communicates to Mr. Olson the results of his annual performance review and compensation; and (iv) together with the Chair of the Nominating &amp; Governance Committee, leads the Board’s annual self-evaluation. With more than 13 years of continuous service on our Board, Mr. Ellis has developed considerable knowledge of our Company, our business and our industry. Mr. Ellis also has significant public company experience. In addition to serving as our Lead Independent Director, Mr. Ellis serves as the Chair of our Finance Committee.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Independence</w:t>
      </w:r>
    </w:p>
    <w:p>
      <w:pPr>
        <w:spacing w:after="0" w:line="112" w:lineRule="exact"/>
        <w:rPr>
          <w:sz w:val="20"/>
          <w:szCs w:val="20"/>
          <w:color w:val="auto"/>
        </w:rPr>
      </w:pPr>
    </w:p>
    <w:p>
      <w:pPr>
        <w:ind w:right="40" w:firstLine="408"/>
        <w:spacing w:after="0" w:line="241" w:lineRule="auto"/>
        <w:rPr>
          <w:sz w:val="20"/>
          <w:szCs w:val="20"/>
          <w:color w:val="auto"/>
        </w:rPr>
      </w:pPr>
      <w:r>
        <w:rPr>
          <w:rFonts w:ascii="Arial" w:cs="Arial" w:eastAsia="Arial" w:hAnsi="Arial"/>
          <w:sz w:val="16"/>
          <w:szCs w:val="16"/>
          <w:color w:val="auto"/>
        </w:rPr>
        <w:t>The Board, following consideration of all relevant facts and circumstances and upon recommendation of the Nominating &amp; Governance Committee, has affirmatively determined that each director who served as a member of our Board during fiscal 2019 (Robert C. Buhrmaster, Janet K. Cooper, Gary L. Ellis, Jeffrey M. Ettinger, Katherine J. Harless, Jeffrey L. Harmening, D. Christian Koch, Joyce A. Mullen, James C. O’Rourke, Gregg W. Steinhafel, Christopher A. Twomey and Michael G. Vale) other than Richard M. Olson, our Chairman and CEO, is independent. These determinations were made because each such person has no material relationship with our Company, our Management, our independent registered public accounting firm, or external auditor, our independent external compensation consultant or our external compensation legal advisers, and otherwise meets the independence requirements as established by applicable law, the rules and regulations of the SEC and the NYSE listing standards.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Attendance; Executive Sessions</w:t>
      </w:r>
    </w:p>
    <w:p>
      <w:pPr>
        <w:spacing w:after="0" w:line="112" w:lineRule="exact"/>
        <w:rPr>
          <w:sz w:val="20"/>
          <w:szCs w:val="20"/>
          <w:color w:val="auto"/>
        </w:rPr>
      </w:pPr>
    </w:p>
    <w:p>
      <w:pPr>
        <w:ind w:firstLine="408"/>
        <w:spacing w:after="0" w:line="243" w:lineRule="auto"/>
        <w:rPr>
          <w:sz w:val="20"/>
          <w:szCs w:val="20"/>
          <w:color w:val="auto"/>
        </w:rPr>
      </w:pPr>
      <w:r>
        <w:rPr>
          <w:rFonts w:ascii="Arial" w:cs="Arial" w:eastAsia="Arial" w:hAnsi="Arial"/>
          <w:sz w:val="16"/>
          <w:szCs w:val="16"/>
          <w:color w:val="auto"/>
        </w:rPr>
        <w:t>The Board held eight meetings during fiscal 2019 and took action by unanimous written consent once in fiscal 2019. Each incumbent director attended at least 75% of the aggregate total number of meetings held by the Board and all committees on which he or she served. Our Corporate Governance Guidelines provide that the non-employee directors will meet in regularly scheduled executive sessions without Management. At each regular Board meeting held during fiscal 2019 our non-employee directors met in executive session without Management present and such meetings were presided over by our Lead Independent Director.</w:t>
      </w:r>
    </w:p>
    <w:p>
      <w:pPr>
        <w:spacing w:after="0" w:line="86" w:lineRule="exact"/>
        <w:rPr>
          <w:sz w:val="20"/>
          <w:szCs w:val="20"/>
          <w:color w:val="auto"/>
        </w:rPr>
      </w:pPr>
    </w:p>
    <w:p>
      <w:pPr>
        <w:ind w:right="80" w:firstLine="408"/>
        <w:spacing w:after="0" w:line="247" w:lineRule="auto"/>
        <w:rPr>
          <w:sz w:val="20"/>
          <w:szCs w:val="20"/>
          <w:color w:val="auto"/>
        </w:rPr>
      </w:pPr>
      <w:r>
        <w:rPr>
          <w:rFonts w:ascii="Arial" w:cs="Arial" w:eastAsia="Arial" w:hAnsi="Arial"/>
          <w:sz w:val="16"/>
          <w:szCs w:val="16"/>
          <w:color w:val="auto"/>
        </w:rPr>
        <w:t>We expect all of our directors and our director nominees to attend our annual meeting of shareholders and we customarily schedule a regular Board meeting on the same day as our annual meeting. Eight of the ten directors serving at the time of our 2019 Annual Meeting of Shareholders held on March 19, 2019 were in attendance.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Committees</w:t>
      </w:r>
    </w:p>
    <w:p>
      <w:pPr>
        <w:spacing w:after="0" w:line="112" w:lineRule="exact"/>
        <w:rPr>
          <w:sz w:val="20"/>
          <w:szCs w:val="20"/>
          <w:color w:val="auto"/>
        </w:rPr>
      </w:pPr>
    </w:p>
    <w:p>
      <w:pPr>
        <w:ind w:right="40" w:firstLine="408"/>
        <w:spacing w:after="0" w:line="242" w:lineRule="auto"/>
        <w:rPr>
          <w:sz w:val="20"/>
          <w:szCs w:val="20"/>
          <w:color w:val="auto"/>
        </w:rPr>
      </w:pPr>
      <w:r>
        <w:rPr>
          <w:rFonts w:ascii="Arial" w:cs="Arial" w:eastAsia="Arial" w:hAnsi="Arial"/>
          <w:sz w:val="16"/>
          <w:szCs w:val="16"/>
          <w:color w:val="auto"/>
        </w:rPr>
        <w:t>The Board has four committees, the Audit Committee, Compensation &amp; Human Resources Committee, Nominating &amp; Governance Committee, and Finance Committee. Each committee has a charter that is posted on our website at www.thetorocompany.com/corporategovernance. The charter of each committee describes the principal functions of the committee. As provided in their respective charters, each of the Compensation &amp; Human Resources Committee, Nominating &amp; Governance Committee, and Finance Committee may form and delegate authority to subcommittees when appropriate. On an annual basis the Audit Committee, Nominating &amp; Governance Committee and Compensation &amp; Human Resources Committee review the adequacy of their charter and their performance. The Finance Committee periodically reviews its charter and performance, with such review historically conducted on an annual basis. The Chair of each Board committee provides a summary of the matters discussed in their committee meeting to the full Board.</w:t>
      </w:r>
    </w:p>
    <w:p>
      <w:pPr>
        <w:spacing w:after="0" w:line="86" w:lineRule="exact"/>
        <w:rPr>
          <w:sz w:val="20"/>
          <w:szCs w:val="20"/>
          <w:color w:val="auto"/>
        </w:rPr>
      </w:pPr>
    </w:p>
    <w:p>
      <w:pPr>
        <w:ind w:firstLine="408"/>
        <w:spacing w:after="0" w:line="247" w:lineRule="auto"/>
        <w:rPr>
          <w:sz w:val="20"/>
          <w:szCs w:val="20"/>
          <w:color w:val="auto"/>
        </w:rPr>
      </w:pPr>
      <w:r>
        <w:rPr>
          <w:rFonts w:ascii="Arial" w:cs="Arial" w:eastAsia="Arial" w:hAnsi="Arial"/>
          <w:sz w:val="16"/>
          <w:szCs w:val="16"/>
          <w:color w:val="auto"/>
        </w:rPr>
        <w:t>The Board has determined that each of the members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as applicable.</w:t>
      </w:r>
    </w:p>
    <w:p>
      <w:pPr>
        <w:spacing w:after="0" w:line="81" w:lineRule="exact"/>
        <w:rPr>
          <w:sz w:val="20"/>
          <w:szCs w:val="20"/>
          <w:color w:val="auto"/>
        </w:rPr>
      </w:pPr>
    </w:p>
    <w:p>
      <w:pPr>
        <w:ind w:right="520" w:firstLine="408"/>
        <w:spacing w:after="0" w:line="255" w:lineRule="auto"/>
        <w:rPr>
          <w:sz w:val="20"/>
          <w:szCs w:val="20"/>
          <w:color w:val="auto"/>
        </w:rPr>
      </w:pPr>
      <w:r>
        <w:rPr>
          <w:rFonts w:ascii="Arial" w:cs="Arial" w:eastAsia="Arial" w:hAnsi="Arial"/>
          <w:sz w:val="16"/>
          <w:szCs w:val="16"/>
          <w:color w:val="auto"/>
        </w:rPr>
        <w:t>The current membership of each committee, the number of times each committee met, including by executive session, during fiscal 2019 and key functions of each committee are noted in the following table. Mr. Olson is not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 member of any Board committee. In fiscal 2019 Mr. Olson attended, and currently may attend, various committee meetings, or portions of such meetings as appropriate, as a member of Management at the invitation of such Board committees.</w:t>
      </w:r>
    </w:p>
    <w:p>
      <w:pPr>
        <w:sectPr>
          <w:pgSz w:w="11900" w:h="16838" w:orient="portrait"/>
          <w:cols w:equalWidth="0" w:num="1">
            <w:col w:w="11360"/>
          </w:cols>
          <w:pgMar w:left="240" w:top="1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-787400</wp:posOffset>
            </wp:positionV>
            <wp:extent cx="1190625" cy="16262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90625" cy="162623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6"/>
          <w:szCs w:val="16"/>
          <w:b w:val="1"/>
          <w:bCs w:val="1"/>
          <w:color w:val="FFFFFF"/>
        </w:rPr>
        <w:t>Committee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Key Committee Functions</w:t>
      </w:r>
    </w:p>
    <w:p>
      <w:pPr>
        <w:spacing w:after="0" w:line="42" w:lineRule="exact"/>
        <w:rPr>
          <w:sz w:val="20"/>
          <w:szCs w:val="20"/>
          <w:color w:val="auto"/>
        </w:rPr>
      </w:pPr>
    </w:p>
    <w:p>
      <w:pPr>
        <w:ind w:left="120" w:right="120" w:hanging="120"/>
        <w:spacing w:after="0" w:line="227" w:lineRule="auto"/>
        <w:tabs>
          <w:tab w:leader="none" w:pos="99"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Oversees the accounting and financial reporting processes, audits of consolidated financial statements and internal controls over financial reporting</w:t>
      </w:r>
    </w:p>
    <w:p>
      <w:pPr>
        <w:spacing w:after="0" w:line="9" w:lineRule="exact"/>
        <w:rPr>
          <w:rFonts w:ascii="Arial" w:cs="Arial" w:eastAsia="Arial" w:hAnsi="Arial"/>
          <w:sz w:val="15"/>
          <w:szCs w:val="15"/>
          <w:color w:val="auto"/>
        </w:rPr>
      </w:pPr>
    </w:p>
    <w:p>
      <w:pPr>
        <w:ind w:left="120" w:hanging="120"/>
        <w:spacing w:after="0" w:line="234" w:lineRule="auto"/>
        <w:tabs>
          <w:tab w:leader="none" w:pos="99"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Selects, compensates and evaluates independent external auditor</w:t>
      </w:r>
    </w:p>
    <w:p>
      <w:pPr>
        <w:spacing w:after="0" w:line="6" w:lineRule="exact"/>
        <w:rPr>
          <w:rFonts w:ascii="Arial" w:cs="Arial" w:eastAsia="Arial" w:hAnsi="Arial"/>
          <w:sz w:val="15"/>
          <w:szCs w:val="15"/>
          <w:color w:val="auto"/>
        </w:rPr>
      </w:pPr>
    </w:p>
    <w:p>
      <w:pPr>
        <w:ind w:left="120" w:right="20" w:hanging="120"/>
        <w:spacing w:after="0" w:line="229" w:lineRule="auto"/>
        <w:tabs>
          <w:tab w:leader="none" w:pos="99"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Reviews with Management and external auditor Annual Reports on Form 10-K, Quarterly Reports on Form 10-Q and earnings releases</w:t>
      </w:r>
    </w:p>
    <w:p>
      <w:pPr>
        <w:spacing w:after="0" w:line="20" w:lineRule="exact"/>
        <w:rPr>
          <w:rFonts w:ascii="Arial" w:cs="Arial" w:eastAsia="Arial" w:hAnsi="Arial"/>
          <w:sz w:val="15"/>
          <w:szCs w:val="15"/>
          <w:color w:val="auto"/>
        </w:rPr>
      </w:pPr>
    </w:p>
    <w:p>
      <w:pPr>
        <w:ind w:left="120" w:right="260" w:hanging="120"/>
        <w:spacing w:after="0" w:line="227" w:lineRule="auto"/>
        <w:tabs>
          <w:tab w:leader="none" w:pos="99"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Reviews general policies and procedures with respect to accounting and financial matters, internal controls and disclosure controls and procedures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26" w:right="480" w:hanging="126"/>
        <w:spacing w:after="0" w:line="246" w:lineRule="auto"/>
        <w:tabs>
          <w:tab w:leader="none" w:pos="105"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Reviews internal audit’s annual audit plans, performance, audit recommendations and applicable responses from Management</w:t>
      </w:r>
    </w:p>
    <w:p>
      <w:pPr>
        <w:spacing w:after="0" w:line="7" w:lineRule="exact"/>
        <w:rPr>
          <w:rFonts w:ascii="Arial" w:cs="Arial" w:eastAsia="Arial" w:hAnsi="Arial"/>
          <w:sz w:val="14"/>
          <w:szCs w:val="14"/>
          <w:color w:val="auto"/>
        </w:rPr>
      </w:pPr>
    </w:p>
    <w:p>
      <w:pPr>
        <w:ind w:left="126" w:hanging="126"/>
        <w:spacing w:after="0" w:line="225" w:lineRule="auto"/>
        <w:tabs>
          <w:tab w:leader="none" w:pos="105"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Reviews Code of Conduct and Code of Ethics for CEO and Senior Financial Personnel, and policies and procedures for the receipt, retention and treatment of complaints from employees on accounting, internal accounting controls or auditing matters</w:t>
      </w:r>
    </w:p>
    <w:p>
      <w:pPr>
        <w:spacing w:after="0" w:line="10" w:lineRule="exact"/>
        <w:rPr>
          <w:rFonts w:ascii="Arial" w:cs="Arial" w:eastAsia="Arial" w:hAnsi="Arial"/>
          <w:sz w:val="15"/>
          <w:szCs w:val="15"/>
          <w:color w:val="auto"/>
        </w:rPr>
      </w:pPr>
    </w:p>
    <w:p>
      <w:pPr>
        <w:ind w:left="126" w:right="580" w:hanging="126"/>
        <w:spacing w:after="0" w:line="234" w:lineRule="auto"/>
        <w:tabs>
          <w:tab w:leader="none" w:pos="105"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Provides oversight for the Enterprise Risk Management, or ERM, process</w:t>
      </w:r>
    </w:p>
    <w:p>
      <w:pPr>
        <w:spacing w:after="0" w:line="18" w:lineRule="exact"/>
        <w:rPr>
          <w:rFonts w:ascii="Arial" w:cs="Arial" w:eastAsia="Arial" w:hAnsi="Arial"/>
          <w:sz w:val="15"/>
          <w:szCs w:val="15"/>
          <w:color w:val="auto"/>
        </w:rPr>
      </w:pPr>
    </w:p>
    <w:p>
      <w:pPr>
        <w:ind w:left="126" w:right="500" w:hanging="126"/>
        <w:spacing w:after="0" w:line="234" w:lineRule="auto"/>
        <w:tabs>
          <w:tab w:leader="none" w:pos="105"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Reviews Information Services strategy and security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112395</wp:posOffset>
            </wp:positionV>
            <wp:extent cx="606869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686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5"/>
          <w:szCs w:val="15"/>
          <w:b w:val="1"/>
          <w:bCs w:val="1"/>
          <w:color w:val="C00000"/>
        </w:rPr>
        <w:t>Committee Members</w:t>
      </w:r>
      <w:r>
        <w:rPr>
          <w:rFonts w:ascii="Arial" w:cs="Arial" w:eastAsia="Arial" w:hAnsi="Arial"/>
          <w:sz w:val="24"/>
          <w:szCs w:val="24"/>
          <w:b w:val="1"/>
          <w:bCs w:val="1"/>
          <w:color w:val="C00000"/>
          <w:vertAlign w:val="superscript"/>
        </w:rPr>
        <w:t>(1)</w:t>
      </w:r>
    </w:p>
    <w:p>
      <w:pPr>
        <w:spacing w:after="0"/>
        <w:rPr>
          <w:sz w:val="20"/>
          <w:szCs w:val="20"/>
          <w:color w:val="auto"/>
        </w:rPr>
      </w:pPr>
      <w:r>
        <w:rPr>
          <w:rFonts w:ascii="Arial" w:cs="Arial" w:eastAsia="Arial" w:hAnsi="Arial"/>
          <w:sz w:val="15"/>
          <w:szCs w:val="15"/>
          <w:color w:val="auto"/>
        </w:rPr>
        <w:t>Ms. Cooper (Chair)</w:t>
      </w:r>
    </w:p>
    <w:p>
      <w:pPr>
        <w:spacing w:after="0"/>
        <w:rPr>
          <w:sz w:val="20"/>
          <w:szCs w:val="20"/>
          <w:color w:val="auto"/>
        </w:rPr>
      </w:pPr>
      <w:r>
        <w:rPr>
          <w:rFonts w:ascii="Arial" w:cs="Arial" w:eastAsia="Arial" w:hAnsi="Arial"/>
          <w:sz w:val="15"/>
          <w:szCs w:val="15"/>
          <w:color w:val="auto"/>
        </w:rPr>
        <w:t>Mr. Ellis</w:t>
      </w:r>
    </w:p>
    <w:p>
      <w:pPr>
        <w:spacing w:after="0"/>
        <w:rPr>
          <w:sz w:val="20"/>
          <w:szCs w:val="20"/>
          <w:color w:val="auto"/>
        </w:rPr>
      </w:pPr>
      <w:r>
        <w:rPr>
          <w:rFonts w:ascii="Arial" w:cs="Arial" w:eastAsia="Arial" w:hAnsi="Arial"/>
          <w:sz w:val="15"/>
          <w:szCs w:val="15"/>
          <w:color w:val="auto"/>
        </w:rPr>
        <w:t>Ms. Harless</w:t>
      </w:r>
    </w:p>
    <w:p>
      <w:pPr>
        <w:spacing w:after="0"/>
        <w:rPr>
          <w:sz w:val="20"/>
          <w:szCs w:val="20"/>
          <w:color w:val="auto"/>
        </w:rPr>
      </w:pPr>
      <w:r>
        <w:rPr>
          <w:rFonts w:ascii="Arial" w:cs="Arial" w:eastAsia="Arial" w:hAnsi="Arial"/>
          <w:sz w:val="15"/>
          <w:szCs w:val="15"/>
          <w:color w:val="auto"/>
        </w:rPr>
        <w:t>Mr. Harmening</w:t>
      </w:r>
    </w:p>
    <w:p>
      <w:pPr>
        <w:spacing w:after="0"/>
        <w:rPr>
          <w:sz w:val="20"/>
          <w:szCs w:val="20"/>
          <w:color w:val="auto"/>
        </w:rPr>
      </w:pPr>
      <w:r>
        <w:rPr>
          <w:rFonts w:ascii="Arial" w:cs="Arial" w:eastAsia="Arial" w:hAnsi="Arial"/>
          <w:sz w:val="15"/>
          <w:szCs w:val="15"/>
          <w:color w:val="auto"/>
        </w:rPr>
        <w:t>Dr. Vale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During Fiscal 2019</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Number of Meetings: 12</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Number of Executive Sessions:</w:t>
      </w:r>
    </w:p>
    <w:p>
      <w:pPr>
        <w:spacing w:after="0" w:line="11" w:lineRule="exact"/>
        <w:rPr>
          <w:sz w:val="20"/>
          <w:szCs w:val="20"/>
          <w:color w:val="auto"/>
        </w:rPr>
      </w:pPr>
    </w:p>
    <w:p>
      <w:pPr>
        <w:ind w:right="860"/>
        <w:spacing w:after="0" w:line="263" w:lineRule="auto"/>
        <w:rPr>
          <w:sz w:val="20"/>
          <w:szCs w:val="20"/>
          <w:color w:val="auto"/>
        </w:rPr>
      </w:pPr>
      <w:r>
        <w:rPr>
          <w:rFonts w:ascii="Arial" w:cs="Arial" w:eastAsia="Arial" w:hAnsi="Arial"/>
          <w:sz w:val="14"/>
          <w:szCs w:val="14"/>
          <w:color w:val="auto"/>
        </w:rPr>
        <w:t>with Committee – 6 with Management – 8 with internal auditor – 3 with external auditor – 5</w:t>
      </w:r>
    </w:p>
    <w:p>
      <w:pPr>
        <w:spacing w:after="0" w:line="42" w:lineRule="exact"/>
        <w:rPr>
          <w:sz w:val="20"/>
          <w:szCs w:val="20"/>
          <w:color w:val="auto"/>
        </w:rPr>
      </w:pPr>
    </w:p>
    <w:p>
      <w:pPr>
        <w:sectPr>
          <w:pgSz w:w="11900" w:h="16838" w:orient="portrait"/>
          <w:cols w:equalWidth="0" w:num="4">
            <w:col w:w="1360" w:space="560"/>
            <w:col w:w="3340" w:space="154"/>
            <w:col w:w="3386" w:space="140"/>
            <w:col w:w="2420"/>
          </w:cols>
          <w:pgMar w:left="240" w:top="140" w:right="299" w:bottom="1440" w:gutter="0" w:footer="0" w:header="0"/>
          <w:type w:val="continuous"/>
        </w:sectPr>
      </w:pPr>
    </w:p>
    <w:p>
      <w:pPr>
        <w:jc w:val="both"/>
        <w:ind w:left="300" w:right="100" w:hanging="293"/>
        <w:spacing w:after="0" w:line="241" w:lineRule="auto"/>
        <w:rPr>
          <w:sz w:val="20"/>
          <w:szCs w:val="20"/>
          <w:color w:val="auto"/>
        </w:rPr>
      </w:pPr>
      <w:r>
        <w:rPr>
          <w:rFonts w:ascii="Arial" w:cs="Arial" w:eastAsia="Arial" w:hAnsi="Arial"/>
          <w:sz w:val="15"/>
          <w:szCs w:val="15"/>
          <w:color w:val="auto"/>
        </w:rPr>
        <w:t>(1)The Board has determined that all members of the Audit Committee are financially literate and that each of Janet K. Cooper and Gary L. Ellis meets the definition of “audit committee financial expert.” Other members of the Audit Committee who currently are serving or have served as chief executive officers or chief financial officers of other public companies also may be considered financial experts, but the Board has not so designated them.</w:t>
      </w:r>
    </w:p>
    <w:p>
      <w:pPr>
        <w:sectPr>
          <w:pgSz w:w="11900" w:h="16838" w:orient="portrait"/>
          <w:cols w:equalWidth="0" w:num="1">
            <w:col w:w="11360"/>
          </w:cols>
          <w:pgMar w:left="240" w:top="14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-515620</wp:posOffset>
            </wp:positionV>
            <wp:extent cx="1190625" cy="11906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90625" cy="1190625"/>
                    </a:xfrm>
                    <a:prstGeom prst="rect">
                      <a:avLst/>
                    </a:prstGeom>
                    <a:noFill/>
                  </pic:spPr>
                </pic:pic>
              </a:graphicData>
            </a:graphic>
          </wp:anchor>
        </w:drawing>
      </w:r>
    </w:p>
    <w:p>
      <w:pPr>
        <w:ind w:left="520" w:hanging="383"/>
        <w:spacing w:after="0" w:line="255" w:lineRule="auto"/>
        <w:tabs>
          <w:tab w:leader="none" w:pos="307" w:val="left"/>
        </w:tabs>
        <w:numPr>
          <w:ilvl w:val="0"/>
          <w:numId w:val="16"/>
        </w:numPr>
        <w:rPr>
          <w:rFonts w:ascii="Arial" w:cs="Arial" w:eastAsia="Arial" w:hAnsi="Arial"/>
          <w:sz w:val="16"/>
          <w:szCs w:val="16"/>
          <w:b w:val="1"/>
          <w:bCs w:val="1"/>
          <w:color w:val="FFFFFF"/>
        </w:rPr>
      </w:pPr>
      <w:r>
        <w:rPr>
          <w:rFonts w:ascii="Arial" w:cs="Arial" w:eastAsia="Arial" w:hAnsi="Arial"/>
          <w:sz w:val="16"/>
          <w:szCs w:val="16"/>
          <w:b w:val="1"/>
          <w:bCs w:val="1"/>
          <w:color w:val="FFFFFF"/>
        </w:rPr>
        <w:t>Human Resources Committee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Key Committee Functions</w:t>
      </w:r>
    </w:p>
    <w:p>
      <w:pPr>
        <w:spacing w:after="0" w:line="42" w:lineRule="exact"/>
        <w:rPr>
          <w:sz w:val="20"/>
          <w:szCs w:val="20"/>
          <w:color w:val="auto"/>
        </w:rPr>
      </w:pPr>
    </w:p>
    <w:p>
      <w:pPr>
        <w:ind w:left="120" w:hanging="120"/>
        <w:spacing w:after="0" w:line="246" w:lineRule="auto"/>
        <w:tabs>
          <w:tab w:leader="none" w:pos="99" w:val="left"/>
        </w:tabs>
        <w:numPr>
          <w:ilvl w:val="0"/>
          <w:numId w:val="17"/>
        </w:numPr>
        <w:rPr>
          <w:rFonts w:ascii="Arial" w:cs="Arial" w:eastAsia="Arial" w:hAnsi="Arial"/>
          <w:sz w:val="14"/>
          <w:szCs w:val="14"/>
          <w:color w:val="auto"/>
        </w:rPr>
      </w:pPr>
      <w:r>
        <w:rPr>
          <w:rFonts w:ascii="Arial" w:cs="Arial" w:eastAsia="Arial" w:hAnsi="Arial"/>
          <w:sz w:val="14"/>
          <w:szCs w:val="14"/>
          <w:color w:val="auto"/>
        </w:rPr>
        <w:t>Approves the compensation levels, salaries, incentive opportunities and other compensation arrangements for the CEO and executive officers</w:t>
      </w:r>
    </w:p>
    <w:p>
      <w:pPr>
        <w:spacing w:after="0" w:line="7" w:lineRule="exact"/>
        <w:rPr>
          <w:rFonts w:ascii="Arial" w:cs="Arial" w:eastAsia="Arial" w:hAnsi="Arial"/>
          <w:sz w:val="14"/>
          <w:szCs w:val="14"/>
          <w:color w:val="auto"/>
        </w:rPr>
      </w:pPr>
    </w:p>
    <w:p>
      <w:pPr>
        <w:ind w:left="120" w:hanging="120"/>
        <w:spacing w:after="0" w:line="246" w:lineRule="auto"/>
        <w:tabs>
          <w:tab w:leader="none" w:pos="99"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Reviews compensation policies and practices as they affect all employees and relate to risk management practices and risk-taking incentives</w:t>
      </w:r>
    </w:p>
    <w:p>
      <w:pPr>
        <w:spacing w:after="0" w:line="7" w:lineRule="exact"/>
        <w:rPr>
          <w:rFonts w:ascii="Arial" w:cs="Arial" w:eastAsia="Arial" w:hAnsi="Arial"/>
          <w:sz w:val="14"/>
          <w:szCs w:val="14"/>
          <w:color w:val="auto"/>
        </w:rPr>
      </w:pPr>
    </w:p>
    <w:p>
      <w:pPr>
        <w:ind w:left="100" w:hanging="100"/>
        <w:spacing w:after="0"/>
        <w:tabs>
          <w:tab w:leader="none" w:pos="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Evaluates the CEO’s performance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126" w:right="320" w:hanging="126"/>
        <w:spacing w:after="0" w:line="234" w:lineRule="auto"/>
        <w:tabs>
          <w:tab w:leader="none" w:pos="105" w:val="left"/>
        </w:tabs>
        <w:numPr>
          <w:ilvl w:val="0"/>
          <w:numId w:val="18"/>
        </w:numPr>
        <w:rPr>
          <w:rFonts w:ascii="Arial" w:cs="Arial" w:eastAsia="Arial" w:hAnsi="Arial"/>
          <w:sz w:val="15"/>
          <w:szCs w:val="15"/>
          <w:color w:val="auto"/>
        </w:rPr>
      </w:pPr>
      <w:r>
        <w:rPr>
          <w:rFonts w:ascii="Arial" w:cs="Arial" w:eastAsia="Arial" w:hAnsi="Arial"/>
          <w:sz w:val="15"/>
          <w:szCs w:val="15"/>
          <w:color w:val="auto"/>
        </w:rPr>
        <w:t>Approves performance goals for performance based awards</w:t>
      </w:r>
    </w:p>
    <w:p>
      <w:pPr>
        <w:spacing w:after="0" w:line="6" w:lineRule="exact"/>
        <w:rPr>
          <w:rFonts w:ascii="Arial" w:cs="Arial" w:eastAsia="Arial" w:hAnsi="Arial"/>
          <w:sz w:val="15"/>
          <w:szCs w:val="15"/>
          <w:color w:val="auto"/>
        </w:rPr>
      </w:pPr>
    </w:p>
    <w:p>
      <w:pPr>
        <w:ind w:left="126" w:hanging="126"/>
        <w:spacing w:after="0" w:line="226" w:lineRule="auto"/>
        <w:tabs>
          <w:tab w:leader="none" w:pos="105"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Reviews with Management the Compensation Discussion and Analysis, the Committee report on executive compensation, and any compensation-related proposals, including say-on-pay and frequency of say-on-pay proposals</w:t>
      </w:r>
    </w:p>
    <w:p>
      <w:pPr>
        <w:spacing w:after="0" w:line="8" w:lineRule="exact"/>
        <w:rPr>
          <w:rFonts w:ascii="Arial" w:cs="Arial" w:eastAsia="Arial" w:hAnsi="Arial"/>
          <w:sz w:val="15"/>
          <w:szCs w:val="15"/>
          <w:color w:val="auto"/>
        </w:rPr>
      </w:pPr>
    </w:p>
    <w:p>
      <w:pPr>
        <w:ind w:left="126" w:right="260" w:hanging="126"/>
        <w:spacing w:after="0" w:line="234" w:lineRule="auto"/>
        <w:tabs>
          <w:tab w:leader="none" w:pos="105"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Reviews non-employee director compensation components and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88900</wp:posOffset>
            </wp:positionV>
            <wp:extent cx="606869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686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Committee Members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Mr. O’Rourke (Chair)</w:t>
      </w:r>
    </w:p>
    <w:p>
      <w:pPr>
        <w:spacing w:after="0"/>
        <w:rPr>
          <w:sz w:val="20"/>
          <w:szCs w:val="20"/>
          <w:color w:val="auto"/>
        </w:rPr>
      </w:pPr>
      <w:r>
        <w:rPr>
          <w:rFonts w:ascii="Arial" w:cs="Arial" w:eastAsia="Arial" w:hAnsi="Arial"/>
          <w:sz w:val="15"/>
          <w:szCs w:val="15"/>
          <w:color w:val="auto"/>
        </w:rPr>
        <w:t>Mr. Ettinger</w:t>
      </w:r>
    </w:p>
    <w:p>
      <w:pPr>
        <w:spacing w:after="0"/>
        <w:rPr>
          <w:sz w:val="20"/>
          <w:szCs w:val="20"/>
          <w:color w:val="auto"/>
        </w:rPr>
      </w:pPr>
      <w:r>
        <w:rPr>
          <w:rFonts w:ascii="Arial" w:cs="Arial" w:eastAsia="Arial" w:hAnsi="Arial"/>
          <w:sz w:val="15"/>
          <w:szCs w:val="15"/>
          <w:color w:val="auto"/>
        </w:rPr>
        <w:t>Mr. Koch</w:t>
      </w:r>
    </w:p>
    <w:p>
      <w:pPr>
        <w:spacing w:after="0"/>
        <w:rPr>
          <w:sz w:val="20"/>
          <w:szCs w:val="20"/>
          <w:color w:val="auto"/>
        </w:rPr>
      </w:pPr>
      <w:r>
        <w:rPr>
          <w:rFonts w:ascii="Arial" w:cs="Arial" w:eastAsia="Arial" w:hAnsi="Arial"/>
          <w:sz w:val="15"/>
          <w:szCs w:val="15"/>
          <w:color w:val="auto"/>
        </w:rPr>
        <w:t>Ms. Mullen</w:t>
      </w:r>
    </w:p>
    <w:p>
      <w:pPr>
        <w:spacing w:after="0"/>
        <w:rPr>
          <w:sz w:val="20"/>
          <w:szCs w:val="20"/>
          <w:color w:val="auto"/>
        </w:rPr>
      </w:pPr>
      <w:r>
        <w:rPr>
          <w:rFonts w:ascii="Arial" w:cs="Arial" w:eastAsia="Arial" w:hAnsi="Arial"/>
          <w:sz w:val="15"/>
          <w:szCs w:val="15"/>
          <w:color w:val="auto"/>
        </w:rPr>
        <w:t>Mr. Steinhafel</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During Fiscal 2019</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Number of Meetings: 4</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Number of Executive Sessions: 4</w:t>
      </w:r>
    </w:p>
    <w:p>
      <w:pPr>
        <w:spacing w:after="0" w:line="200" w:lineRule="exact"/>
        <w:rPr>
          <w:sz w:val="20"/>
          <w:szCs w:val="20"/>
          <w:color w:val="auto"/>
        </w:rPr>
      </w:pPr>
    </w:p>
    <w:p>
      <w:pPr>
        <w:sectPr>
          <w:pgSz w:w="11900" w:h="16838" w:orient="portrait"/>
          <w:cols w:equalWidth="0" w:num="4">
            <w:col w:w="1740" w:space="180"/>
            <w:col w:w="3300" w:space="194"/>
            <w:col w:w="3366" w:space="180"/>
            <w:col w:w="2400"/>
          </w:cols>
          <w:pgMar w:left="240" w:top="14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20"/>
        <w:spacing w:after="0" w:line="281" w:lineRule="auto"/>
        <w:rPr>
          <w:sz w:val="20"/>
          <w:szCs w:val="20"/>
          <w:color w:val="auto"/>
        </w:rPr>
      </w:pPr>
      <w:r>
        <w:rPr>
          <w:rFonts w:ascii="Arial" w:cs="Arial" w:eastAsia="Arial" w:hAnsi="Arial"/>
          <w:sz w:val="16"/>
          <w:szCs w:val="16"/>
          <w:b w:val="1"/>
          <w:bCs w:val="1"/>
          <w:color w:val="FFFFFF"/>
        </w:rPr>
        <w:t>Nominating &amp;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-726440</wp:posOffset>
            </wp:positionV>
            <wp:extent cx="1190625" cy="1190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90625" cy="1190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C00000"/>
        </w:rPr>
        <w:t>Key Committee Functions</w:t>
      </w:r>
    </w:p>
    <w:p>
      <w:pPr>
        <w:spacing w:after="0" w:line="42" w:lineRule="exact"/>
        <w:rPr>
          <w:sz w:val="20"/>
          <w:szCs w:val="20"/>
          <w:color w:val="auto"/>
        </w:rPr>
      </w:pPr>
    </w:p>
    <w:p>
      <w:pPr>
        <w:ind w:left="120" w:hanging="120"/>
        <w:spacing w:after="0" w:line="250" w:lineRule="auto"/>
        <w:tabs>
          <w:tab w:leader="none" w:pos="99"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Reviews and recommends to the Board the size and composition of the Board and its committees</w:t>
      </w:r>
    </w:p>
    <w:p>
      <w:pPr>
        <w:spacing w:after="0" w:line="7" w:lineRule="exact"/>
        <w:rPr>
          <w:rFonts w:ascii="Arial" w:cs="Arial" w:eastAsia="Arial" w:hAnsi="Arial"/>
          <w:sz w:val="14"/>
          <w:szCs w:val="14"/>
          <w:color w:val="auto"/>
        </w:rPr>
      </w:pPr>
    </w:p>
    <w:p>
      <w:pPr>
        <w:ind w:left="120" w:right="140" w:hanging="120"/>
        <w:spacing w:after="0" w:line="234" w:lineRule="auto"/>
        <w:tabs>
          <w:tab w:leader="none" w:pos="99" w:val="left"/>
        </w:tabs>
        <w:numPr>
          <w:ilvl w:val="0"/>
          <w:numId w:val="19"/>
        </w:numPr>
        <w:rPr>
          <w:rFonts w:ascii="Arial" w:cs="Arial" w:eastAsia="Arial" w:hAnsi="Arial"/>
          <w:sz w:val="15"/>
          <w:szCs w:val="15"/>
          <w:color w:val="auto"/>
        </w:rPr>
      </w:pPr>
      <w:r>
        <w:rPr>
          <w:rFonts w:ascii="Arial" w:cs="Arial" w:eastAsia="Arial" w:hAnsi="Arial"/>
          <w:sz w:val="15"/>
          <w:szCs w:val="15"/>
          <w:color w:val="auto"/>
        </w:rPr>
        <w:t>Identifies individuals qualified to become Board members</w:t>
      </w:r>
    </w:p>
    <w:p>
      <w:pPr>
        <w:spacing w:after="0" w:line="6" w:lineRule="exact"/>
        <w:rPr>
          <w:rFonts w:ascii="Arial" w:cs="Arial" w:eastAsia="Arial" w:hAnsi="Arial"/>
          <w:sz w:val="15"/>
          <w:szCs w:val="15"/>
          <w:color w:val="auto"/>
        </w:rPr>
      </w:pPr>
    </w:p>
    <w:p>
      <w:pPr>
        <w:ind w:left="120" w:right="40" w:hanging="120"/>
        <w:spacing w:after="0" w:line="234" w:lineRule="auto"/>
        <w:tabs>
          <w:tab w:leader="none" w:pos="99"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Recommends to the Board director nominees for election at the annual meeting</w:t>
      </w:r>
    </w:p>
    <w:p>
      <w:pPr>
        <w:spacing w:after="0" w:line="18" w:lineRule="exact"/>
        <w:rPr>
          <w:rFonts w:ascii="Arial" w:cs="Arial" w:eastAsia="Arial" w:hAnsi="Arial"/>
          <w:sz w:val="15"/>
          <w:szCs w:val="15"/>
          <w:color w:val="auto"/>
        </w:rPr>
      </w:pPr>
    </w:p>
    <w:p>
      <w:pPr>
        <w:ind w:left="100" w:hanging="100"/>
        <w:spacing w:after="0"/>
        <w:tabs>
          <w:tab w:leader="none" w:pos="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Oversees the annual evaluation of the Board</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26" w:right="20" w:hanging="126"/>
        <w:spacing w:after="0" w:line="227" w:lineRule="auto"/>
        <w:tabs>
          <w:tab w:leader="none" w:pos="105"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Reviews and recommends to the Board any proposed amendments or changes to Restated Certificate of Incorporation or Amended and Restated Bylaws</w:t>
      </w:r>
    </w:p>
    <w:p>
      <w:pPr>
        <w:spacing w:after="0" w:line="9" w:lineRule="exact"/>
        <w:rPr>
          <w:rFonts w:ascii="Arial" w:cs="Arial" w:eastAsia="Arial" w:hAnsi="Arial"/>
          <w:sz w:val="15"/>
          <w:szCs w:val="15"/>
          <w:color w:val="auto"/>
        </w:rPr>
      </w:pPr>
    </w:p>
    <w:p>
      <w:pPr>
        <w:ind w:left="126" w:hanging="126"/>
        <w:spacing w:after="0" w:line="234" w:lineRule="auto"/>
        <w:tabs>
          <w:tab w:leader="none" w:pos="105"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Reviews Corporate Governance Guidelines and recommends to the Board any changes</w:t>
      </w:r>
    </w:p>
    <w:p>
      <w:pPr>
        <w:spacing w:after="0" w:line="6" w:lineRule="exact"/>
        <w:rPr>
          <w:rFonts w:ascii="Arial" w:cs="Arial" w:eastAsia="Arial" w:hAnsi="Arial"/>
          <w:sz w:val="15"/>
          <w:szCs w:val="15"/>
          <w:color w:val="auto"/>
        </w:rPr>
      </w:pPr>
    </w:p>
    <w:p>
      <w:pPr>
        <w:ind w:left="106" w:hanging="106"/>
        <w:spacing w:after="0"/>
        <w:tabs>
          <w:tab w:leader="none" w:pos="106" w:val="left"/>
        </w:tabs>
        <w:numPr>
          <w:ilvl w:val="0"/>
          <w:numId w:val="20"/>
        </w:numPr>
        <w:rPr>
          <w:rFonts w:ascii="Arial" w:cs="Arial" w:eastAsia="Arial" w:hAnsi="Arial"/>
          <w:sz w:val="15"/>
          <w:szCs w:val="15"/>
          <w:color w:val="auto"/>
        </w:rPr>
      </w:pPr>
      <w:r>
        <w:rPr>
          <w:rFonts w:ascii="Arial" w:cs="Arial" w:eastAsia="Arial" w:hAnsi="Arial"/>
          <w:sz w:val="15"/>
          <w:szCs w:val="15"/>
          <w:color w:val="auto"/>
        </w:rPr>
        <w:t>Monitors corporate governance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294005</wp:posOffset>
            </wp:positionV>
            <wp:extent cx="606869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686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C00000"/>
        </w:rPr>
        <w:t>Committee Members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Mr. Ettinger (Chair)</w:t>
      </w:r>
    </w:p>
    <w:p>
      <w:pPr>
        <w:spacing w:after="0"/>
        <w:rPr>
          <w:sz w:val="20"/>
          <w:szCs w:val="20"/>
          <w:color w:val="auto"/>
        </w:rPr>
      </w:pPr>
      <w:r>
        <w:rPr>
          <w:rFonts w:ascii="Arial" w:cs="Arial" w:eastAsia="Arial" w:hAnsi="Arial"/>
          <w:sz w:val="15"/>
          <w:szCs w:val="15"/>
          <w:color w:val="auto"/>
        </w:rPr>
        <w:t>Mr. Koch</w:t>
      </w:r>
    </w:p>
    <w:p>
      <w:pPr>
        <w:spacing w:after="0"/>
        <w:rPr>
          <w:sz w:val="20"/>
          <w:szCs w:val="20"/>
          <w:color w:val="auto"/>
        </w:rPr>
      </w:pPr>
      <w:r>
        <w:rPr>
          <w:rFonts w:ascii="Arial" w:cs="Arial" w:eastAsia="Arial" w:hAnsi="Arial"/>
          <w:sz w:val="15"/>
          <w:szCs w:val="15"/>
          <w:color w:val="auto"/>
        </w:rPr>
        <w:t>Ms. Mullen</w:t>
      </w:r>
    </w:p>
    <w:p>
      <w:pPr>
        <w:spacing w:after="0"/>
        <w:rPr>
          <w:sz w:val="20"/>
          <w:szCs w:val="20"/>
          <w:color w:val="auto"/>
        </w:rPr>
      </w:pPr>
      <w:r>
        <w:rPr>
          <w:rFonts w:ascii="Arial" w:cs="Arial" w:eastAsia="Arial" w:hAnsi="Arial"/>
          <w:sz w:val="15"/>
          <w:szCs w:val="15"/>
          <w:color w:val="auto"/>
        </w:rPr>
        <w:t>Mr. O’Rourke</w:t>
      </w:r>
    </w:p>
    <w:p>
      <w:pPr>
        <w:spacing w:after="0"/>
        <w:rPr>
          <w:sz w:val="20"/>
          <w:szCs w:val="20"/>
          <w:color w:val="auto"/>
        </w:rPr>
      </w:pPr>
      <w:r>
        <w:rPr>
          <w:rFonts w:ascii="Arial" w:cs="Arial" w:eastAsia="Arial" w:hAnsi="Arial"/>
          <w:sz w:val="15"/>
          <w:szCs w:val="15"/>
          <w:color w:val="auto"/>
        </w:rPr>
        <w:t>Mr. Steinhafel</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During Fiscal 2019</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Number of Meetings: 3</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Number of Executive Sessions: 3</w:t>
      </w:r>
    </w:p>
    <w:p>
      <w:pPr>
        <w:spacing w:after="0" w:line="200" w:lineRule="exact"/>
        <w:rPr>
          <w:sz w:val="20"/>
          <w:szCs w:val="20"/>
          <w:color w:val="auto"/>
        </w:rPr>
      </w:pPr>
    </w:p>
    <w:p>
      <w:pPr>
        <w:sectPr>
          <w:pgSz w:w="11900" w:h="16838" w:orient="portrait"/>
          <w:cols w:equalWidth="0" w:num="4">
            <w:col w:w="1860" w:space="60"/>
            <w:col w:w="3300" w:space="194"/>
            <w:col w:w="3206" w:space="340"/>
            <w:col w:w="2400"/>
          </w:cols>
          <w:pgMar w:left="240" w:top="140" w:right="299" w:bottom="1440" w:gutter="0" w:footer="0" w:header="0"/>
          <w:type w:val="continuous"/>
        </w:sectPr>
      </w:pP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190625" cy="130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90625" cy="130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FFFFFF"/>
        </w:rPr>
        <w:t>Finance</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Committee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Key Committee Functions</w:t>
      </w:r>
    </w:p>
    <w:p>
      <w:pPr>
        <w:spacing w:after="0" w:line="42" w:lineRule="exact"/>
        <w:rPr>
          <w:sz w:val="20"/>
          <w:szCs w:val="20"/>
          <w:color w:val="auto"/>
        </w:rPr>
      </w:pPr>
    </w:p>
    <w:p>
      <w:pPr>
        <w:ind w:left="120" w:hanging="120"/>
        <w:spacing w:after="0" w:line="225" w:lineRule="auto"/>
        <w:tabs>
          <w:tab w:leader="none" w:pos="99"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Reviews, and recommends to the Board as required, capital structure and related financial policies and long-range objectives, capital expenditures, tax strategies and restructuring projects, financing arrangements and cash or any special dividends</w:t>
      </w:r>
    </w:p>
    <w:p>
      <w:pPr>
        <w:spacing w:after="0" w:line="10" w:lineRule="exact"/>
        <w:rPr>
          <w:rFonts w:ascii="Arial" w:cs="Arial" w:eastAsia="Arial" w:hAnsi="Arial"/>
          <w:sz w:val="15"/>
          <w:szCs w:val="15"/>
          <w:color w:val="auto"/>
        </w:rPr>
      </w:pPr>
    </w:p>
    <w:p>
      <w:pPr>
        <w:ind w:left="120" w:right="200" w:hanging="120"/>
        <w:spacing w:after="0" w:line="229" w:lineRule="auto"/>
        <w:tabs>
          <w:tab w:leader="none" w:pos="99"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Reviews and recommends to the Board the authorization for the issuance or repurchase of equity or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both"/>
        <w:ind w:left="126" w:hanging="126"/>
        <w:spacing w:after="0" w:line="229" w:lineRule="auto"/>
        <w:tabs>
          <w:tab w:leader="none" w:pos="105"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Reviews use of derivative, hedging and similar instruments to manage financial, currency and interest rate exposure</w:t>
      </w:r>
    </w:p>
    <w:p>
      <w:pPr>
        <w:spacing w:after="0" w:line="8" w:lineRule="exact"/>
        <w:rPr>
          <w:rFonts w:ascii="Arial" w:cs="Arial" w:eastAsia="Arial" w:hAnsi="Arial"/>
          <w:sz w:val="15"/>
          <w:szCs w:val="15"/>
          <w:color w:val="auto"/>
        </w:rPr>
      </w:pPr>
    </w:p>
    <w:p>
      <w:pPr>
        <w:ind w:left="126" w:right="20" w:hanging="126"/>
        <w:spacing w:after="0" w:line="226" w:lineRule="auto"/>
        <w:tabs>
          <w:tab w:leader="none" w:pos="105" w:val="left"/>
        </w:tabs>
        <w:numPr>
          <w:ilvl w:val="0"/>
          <w:numId w:val="22"/>
        </w:numPr>
        <w:rPr>
          <w:rFonts w:ascii="Arial" w:cs="Arial" w:eastAsia="Arial" w:hAnsi="Arial"/>
          <w:sz w:val="15"/>
          <w:szCs w:val="15"/>
          <w:color w:val="auto"/>
        </w:rPr>
      </w:pPr>
      <w:r>
        <w:rPr>
          <w:rFonts w:ascii="Arial" w:cs="Arial" w:eastAsia="Arial" w:hAnsi="Arial"/>
          <w:sz w:val="15"/>
          <w:szCs w:val="15"/>
          <w:color w:val="auto"/>
        </w:rPr>
        <w:t>Evaluates, and recommends to the Board as required, financing implications of certain proposed merger, acquisition, divestiture, joint venture and other business combination transactions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323215</wp:posOffset>
            </wp:positionV>
            <wp:extent cx="606869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686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Committee Members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Mr. Ellis (Chair)</w:t>
      </w:r>
    </w:p>
    <w:p>
      <w:pPr>
        <w:spacing w:after="0"/>
        <w:rPr>
          <w:sz w:val="20"/>
          <w:szCs w:val="20"/>
          <w:color w:val="auto"/>
        </w:rPr>
      </w:pPr>
      <w:r>
        <w:rPr>
          <w:rFonts w:ascii="Arial" w:cs="Arial" w:eastAsia="Arial" w:hAnsi="Arial"/>
          <w:sz w:val="15"/>
          <w:szCs w:val="15"/>
          <w:color w:val="auto"/>
        </w:rPr>
        <w:t>Ms. Cooper</w:t>
      </w:r>
    </w:p>
    <w:p>
      <w:pPr>
        <w:spacing w:after="0"/>
        <w:rPr>
          <w:sz w:val="20"/>
          <w:szCs w:val="20"/>
          <w:color w:val="auto"/>
        </w:rPr>
      </w:pPr>
      <w:r>
        <w:rPr>
          <w:rFonts w:ascii="Arial" w:cs="Arial" w:eastAsia="Arial" w:hAnsi="Arial"/>
          <w:sz w:val="15"/>
          <w:szCs w:val="15"/>
          <w:color w:val="auto"/>
        </w:rPr>
        <w:t>Ms. Harless</w:t>
      </w:r>
    </w:p>
    <w:p>
      <w:pPr>
        <w:spacing w:after="0"/>
        <w:rPr>
          <w:sz w:val="20"/>
          <w:szCs w:val="20"/>
          <w:color w:val="auto"/>
        </w:rPr>
      </w:pPr>
      <w:r>
        <w:rPr>
          <w:rFonts w:ascii="Arial" w:cs="Arial" w:eastAsia="Arial" w:hAnsi="Arial"/>
          <w:sz w:val="15"/>
          <w:szCs w:val="15"/>
          <w:color w:val="auto"/>
        </w:rPr>
        <w:t>Mr. Harmening</w:t>
      </w:r>
    </w:p>
    <w:p>
      <w:pPr>
        <w:spacing w:after="0"/>
        <w:rPr>
          <w:sz w:val="20"/>
          <w:szCs w:val="20"/>
          <w:color w:val="auto"/>
        </w:rPr>
      </w:pPr>
      <w:r>
        <w:rPr>
          <w:rFonts w:ascii="Arial" w:cs="Arial" w:eastAsia="Arial" w:hAnsi="Arial"/>
          <w:sz w:val="15"/>
          <w:szCs w:val="15"/>
          <w:color w:val="auto"/>
        </w:rPr>
        <w:t>Dr. Vale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C00000"/>
        </w:rPr>
        <w:t>During Fiscal 2019</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Number of Meetings: 6</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Number of Executive Sessions: 5</w:t>
      </w:r>
    </w:p>
    <w:p>
      <w:pPr>
        <w:spacing w:after="0" w:line="200" w:lineRule="exact"/>
        <w:rPr>
          <w:sz w:val="20"/>
          <w:szCs w:val="20"/>
          <w:color w:val="auto"/>
        </w:rPr>
      </w:pPr>
    </w:p>
    <w:p>
      <w:pPr>
        <w:sectPr>
          <w:pgSz w:w="11900" w:h="16838" w:orient="portrait"/>
          <w:cols w:equalWidth="0" w:num="4">
            <w:col w:w="1360" w:space="560"/>
            <w:col w:w="3340" w:space="154"/>
            <w:col w:w="3126" w:space="420"/>
            <w:col w:w="2460"/>
          </w:cols>
          <w:pgMar w:left="240" w:top="140" w:right="2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Board’s Role in Risk Oversight</w:t>
      </w:r>
    </w:p>
    <w:p>
      <w:pPr>
        <w:spacing w:after="0" w:line="112" w:lineRule="exact"/>
        <w:rPr>
          <w:sz w:val="20"/>
          <w:szCs w:val="20"/>
          <w:color w:val="auto"/>
        </w:rPr>
      </w:pPr>
    </w:p>
    <w:p>
      <w:pPr>
        <w:ind w:right="480" w:firstLine="408"/>
        <w:spacing w:after="0" w:line="255" w:lineRule="auto"/>
        <w:rPr>
          <w:sz w:val="20"/>
          <w:szCs w:val="20"/>
          <w:color w:val="auto"/>
        </w:rPr>
      </w:pPr>
      <w:r>
        <w:rPr>
          <w:rFonts w:ascii="Arial" w:cs="Arial" w:eastAsia="Arial" w:hAnsi="Arial"/>
          <w:sz w:val="16"/>
          <w:szCs w:val="16"/>
          <w:color w:val="auto"/>
        </w:rPr>
        <w:t>Management is primarily responsible for the identification, assessment and management of the key risks faced by our Company. We engage in an enterprise risk management, or ERM, process, which is coordinated primarily through our internal audit function, and involves:</w:t>
      </w:r>
    </w:p>
    <w:p>
      <w:pPr>
        <w:spacing w:after="0" w:line="75" w:lineRule="exact"/>
        <w:rPr>
          <w:sz w:val="20"/>
          <w:szCs w:val="20"/>
          <w:color w:val="auto"/>
        </w:rPr>
      </w:pPr>
    </w:p>
    <w:p>
      <w:pPr>
        <w:ind w:left="800" w:hanging="398"/>
        <w:spacing w:after="0" w:line="255" w:lineRule="auto"/>
        <w:tabs>
          <w:tab w:leader="none" w:pos="800" w:val="left"/>
        </w:tabs>
        <w:numPr>
          <w:ilvl w:val="0"/>
          <w:numId w:val="23"/>
        </w:numPr>
        <w:rPr>
          <w:rFonts w:ascii="Arial" w:cs="Arial" w:eastAsia="Arial" w:hAnsi="Arial"/>
          <w:sz w:val="15"/>
          <w:szCs w:val="15"/>
          <w:color w:val="auto"/>
        </w:rPr>
      </w:pPr>
      <w:r>
        <w:rPr>
          <w:rFonts w:ascii="Arial" w:cs="Arial" w:eastAsia="Arial" w:hAnsi="Arial"/>
          <w:sz w:val="16"/>
          <w:szCs w:val="16"/>
          <w:color w:val="auto"/>
        </w:rPr>
        <w:t>identification by senior leaders of our business functions and divisions of the particular risks relevant to their respective areas or to our Company as a whole;</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6"/>
          <w:szCs w:val="16"/>
          <w:color w:val="auto"/>
        </w:rPr>
        <w:t>assessment of the materiality of those risks, based on expected probability of occurrence and severity of impact;</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6"/>
          <w:szCs w:val="16"/>
          <w:color w:val="auto"/>
        </w:rPr>
        <w:t>to the extent prudent and feasible, development of strategies and plans to mitigate, monitor and control such risks; and</w:t>
      </w:r>
    </w:p>
    <w:p>
      <w:pPr>
        <w:spacing w:after="0" w:line="97" w:lineRule="exact"/>
        <w:rPr>
          <w:rFonts w:ascii="Arial" w:cs="Arial" w:eastAsia="Arial" w:hAnsi="Arial"/>
          <w:sz w:val="15"/>
          <w:szCs w:val="15"/>
          <w:color w:val="auto"/>
        </w:rPr>
      </w:pPr>
    </w:p>
    <w:p>
      <w:pPr>
        <w:ind w:left="800" w:right="500" w:hanging="398"/>
        <w:spacing w:after="0" w:line="255" w:lineRule="auto"/>
        <w:tabs>
          <w:tab w:leader="none" w:pos="800" w:val="left"/>
        </w:tabs>
        <w:numPr>
          <w:ilvl w:val="0"/>
          <w:numId w:val="23"/>
        </w:numPr>
        <w:rPr>
          <w:rFonts w:ascii="Arial" w:cs="Arial" w:eastAsia="Arial" w:hAnsi="Arial"/>
          <w:sz w:val="15"/>
          <w:szCs w:val="15"/>
          <w:color w:val="auto"/>
        </w:rPr>
      </w:pPr>
      <w:r>
        <w:rPr>
          <w:rFonts w:ascii="Arial" w:cs="Arial" w:eastAsia="Arial" w:hAnsi="Arial"/>
          <w:sz w:val="16"/>
          <w:szCs w:val="16"/>
          <w:color w:val="auto"/>
        </w:rPr>
        <w:t>scheduled reports by the respective senior leaders on such items to the relevant committee or the Board, as applicable, throughout the ERM review cycle.</w:t>
      </w:r>
    </w:p>
    <w:p>
      <w:pPr>
        <w:spacing w:after="0" w:line="75" w:lineRule="exact"/>
        <w:rPr>
          <w:sz w:val="20"/>
          <w:szCs w:val="20"/>
          <w:color w:val="auto"/>
        </w:rPr>
      </w:pPr>
    </w:p>
    <w:p>
      <w:pPr>
        <w:ind w:right="200" w:firstLine="408"/>
        <w:spacing w:after="0" w:line="244" w:lineRule="auto"/>
        <w:rPr>
          <w:sz w:val="20"/>
          <w:szCs w:val="20"/>
          <w:color w:val="auto"/>
        </w:rPr>
      </w:pPr>
      <w:r>
        <w:rPr>
          <w:rFonts w:ascii="Arial" w:cs="Arial" w:eastAsia="Arial" w:hAnsi="Arial"/>
          <w:sz w:val="16"/>
          <w:szCs w:val="16"/>
          <w:color w:val="auto"/>
        </w:rPr>
        <w:t>The Board’s oversight of these risks primarily occurs in connection with the exercise of its responsibility to oversee our business, including through the review of our long-term strategic plans, annual operating plans, financial results, merger and acquisition related activities, material legal proceedings, and management succession plans. In addition, the Board relies on its committees to assist with risk oversight within their respective areas of responsibility and expertise as follows:</w:t>
      </w:r>
    </w:p>
    <w:p>
      <w:pPr>
        <w:spacing w:after="0" w:line="85" w:lineRule="exact"/>
        <w:rPr>
          <w:sz w:val="20"/>
          <w:szCs w:val="20"/>
          <w:color w:val="auto"/>
        </w:rPr>
      </w:pPr>
    </w:p>
    <w:p>
      <w:pPr>
        <w:ind w:left="800" w:right="180" w:hanging="398"/>
        <w:spacing w:after="0" w:line="241" w:lineRule="auto"/>
        <w:tabs>
          <w:tab w:leader="none" w:pos="800" w:val="left"/>
        </w:tabs>
        <w:numPr>
          <w:ilvl w:val="0"/>
          <w:numId w:val="24"/>
        </w:numPr>
        <w:rPr>
          <w:rFonts w:ascii="Arial" w:cs="Arial" w:eastAsia="Arial" w:hAnsi="Arial"/>
          <w:sz w:val="15"/>
          <w:szCs w:val="15"/>
          <w:color w:val="auto"/>
        </w:rPr>
      </w:pPr>
      <w:r>
        <w:rPr>
          <w:rFonts w:ascii="Arial" w:cs="Arial" w:eastAsia="Arial" w:hAnsi="Arial"/>
          <w:sz w:val="16"/>
          <w:szCs w:val="16"/>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including those in connection with business combination purchase accounting and accounting and financial reporting integration activities; strategy, performance and experience of our information technology and security function and practices, including those related to cybersecurity; performance of our health and safety program; and our general policies and procedures regarding accounting and financial matters and internal controls. The Audit Committee is also responsible for providing oversight of our ERM process by discussing our procedures with respect to risk assessment and risk management, including our major financial and business risk exposures and the steps Management has taken to monitor and control such exposures.</w:t>
      </w:r>
    </w:p>
    <w:p>
      <w:pPr>
        <w:spacing w:after="0" w:line="90" w:lineRule="exact"/>
        <w:rPr>
          <w:rFonts w:ascii="Arial" w:cs="Arial" w:eastAsia="Arial" w:hAnsi="Arial"/>
          <w:sz w:val="15"/>
          <w:szCs w:val="15"/>
          <w:color w:val="auto"/>
        </w:rPr>
      </w:pPr>
    </w:p>
    <w:p>
      <w:pPr>
        <w:ind w:left="800" w:hanging="398"/>
        <w:spacing w:after="0" w:line="244" w:lineRule="auto"/>
        <w:tabs>
          <w:tab w:leader="none" w:pos="800" w:val="left"/>
        </w:tabs>
        <w:numPr>
          <w:ilvl w:val="0"/>
          <w:numId w:val="24"/>
        </w:numPr>
        <w:rPr>
          <w:rFonts w:ascii="Arial" w:cs="Arial" w:eastAsia="Arial" w:hAnsi="Arial"/>
          <w:sz w:val="15"/>
          <w:szCs w:val="15"/>
          <w:color w:val="auto"/>
        </w:rPr>
      </w:pPr>
      <w:r>
        <w:rPr>
          <w:rFonts w:ascii="Arial" w:cs="Arial" w:eastAsia="Arial" w:hAnsi="Arial"/>
          <w:sz w:val="16"/>
          <w:szCs w:val="16"/>
          <w:color w:val="auto"/>
        </w:rPr>
        <w:t>The Compensation &amp; Human Resources Committee assists through its oversight of our compensation and human resources programs and policies, including executive compensation, organizational,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43.</w:t>
      </w:r>
    </w:p>
    <w:p>
      <w:pPr>
        <w:spacing w:after="0" w:line="84" w:lineRule="exact"/>
        <w:rPr>
          <w:rFonts w:ascii="Arial" w:cs="Arial" w:eastAsia="Arial" w:hAnsi="Arial"/>
          <w:sz w:val="15"/>
          <w:szCs w:val="15"/>
          <w:color w:val="auto"/>
        </w:rPr>
      </w:pPr>
    </w:p>
    <w:p>
      <w:pPr>
        <w:ind w:left="800" w:hanging="398"/>
        <w:spacing w:after="0" w:line="243" w:lineRule="auto"/>
        <w:tabs>
          <w:tab w:leader="none" w:pos="800" w:val="left"/>
        </w:tabs>
        <w:numPr>
          <w:ilvl w:val="0"/>
          <w:numId w:val="24"/>
        </w:numPr>
        <w:rPr>
          <w:rFonts w:ascii="Arial" w:cs="Arial" w:eastAsia="Arial" w:hAnsi="Arial"/>
          <w:sz w:val="15"/>
          <w:szCs w:val="15"/>
          <w:color w:val="auto"/>
        </w:rPr>
      </w:pPr>
      <w:r>
        <w:rPr>
          <w:rFonts w:ascii="Arial" w:cs="Arial" w:eastAsia="Arial" w:hAnsi="Arial"/>
          <w:sz w:val="16"/>
          <w:szCs w:val="16"/>
          <w:color w:val="auto"/>
        </w:rPr>
        <w:t>The Finance Committee assists through its oversight of our capital structure and related policies; long-range objectives; tax strategies and restructuring projects; financing requirements and arrangements; equity and debt issuances and repurchases; use of derivative, hedging and similar instruments; annual capital budget and capital expenditures; D&amp;O and liability insurance coverage; the delegated responsibilities of our Management Investment Committee relating to our ERISA-regulated employee benefit plans; and through its evaluation of, among other things, the financial impact of certain proposed business combination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800" w:right="300" w:hanging="398"/>
        <w:spacing w:after="0" w:line="247" w:lineRule="auto"/>
        <w:tabs>
          <w:tab w:leader="none" w:pos="800" w:val="left"/>
        </w:tabs>
        <w:numPr>
          <w:ilvl w:val="0"/>
          <w:numId w:val="25"/>
        </w:numPr>
        <w:rPr>
          <w:rFonts w:ascii="Arial" w:cs="Arial" w:eastAsia="Arial" w:hAnsi="Arial"/>
          <w:sz w:val="15"/>
          <w:szCs w:val="15"/>
          <w:color w:val="auto"/>
        </w:rPr>
      </w:pPr>
      <w:r>
        <w:rPr>
          <w:rFonts w:ascii="Arial" w:cs="Arial" w:eastAsia="Arial" w:hAnsi="Arial"/>
          <w:sz w:val="16"/>
          <w:szCs w:val="16"/>
          <w:color w:val="auto"/>
        </w:rPr>
        <w:t>The Nominating &amp; Governance Committee assists through its oversight of our overall corporate governance structure and policies, including director nominations, director retirements, director independence and qualifications, Board leadership structure, Board committee structure and monitoring of corporate governance trends, including environmental, social and governance, or ESG, ratings.</w:t>
      </w:r>
    </w:p>
    <w:p>
      <w:pPr>
        <w:spacing w:after="0" w:line="81" w:lineRule="exact"/>
        <w:rPr>
          <w:sz w:val="20"/>
          <w:szCs w:val="20"/>
          <w:color w:val="auto"/>
        </w:rPr>
      </w:pPr>
    </w:p>
    <w:p>
      <w:pPr>
        <w:ind w:firstLine="408"/>
        <w:spacing w:after="0" w:line="247" w:lineRule="auto"/>
        <w:rPr>
          <w:sz w:val="20"/>
          <w:szCs w:val="20"/>
          <w:color w:val="auto"/>
        </w:rPr>
      </w:pPr>
      <w:r>
        <w:rPr>
          <w:rFonts w:ascii="Arial" w:cs="Arial" w:eastAsia="Arial" w:hAnsi="Arial"/>
          <w:sz w:val="16"/>
          <w:szCs w:val="16"/>
          <w:color w:val="auto"/>
        </w:rPr>
        <w:t>The Board believes that its oversight of risk is enhanced by its current leadership structure, as previously discussed, because our Chairman and CEO, who is ultimately responsible for our Management’s risk responsibility, also chairs regular Board meetings and, with his in-depth knowledge and understanding of our Company, is well positioned to bring key business issues and risks to the attention of the full Board.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Executive Compensation Process</w:t>
      </w:r>
    </w:p>
    <w:p>
      <w:pPr>
        <w:spacing w:after="0" w:line="112" w:lineRule="exact"/>
        <w:rPr>
          <w:sz w:val="20"/>
          <w:szCs w:val="20"/>
          <w:color w:val="auto"/>
        </w:rPr>
      </w:pPr>
    </w:p>
    <w:p>
      <w:pPr>
        <w:ind w:right="140" w:firstLine="408"/>
        <w:spacing w:after="0" w:line="255" w:lineRule="auto"/>
        <w:rPr>
          <w:sz w:val="20"/>
          <w:szCs w:val="20"/>
          <w:color w:val="auto"/>
        </w:rPr>
      </w:pPr>
      <w:r>
        <w:rPr>
          <w:rFonts w:ascii="Arial" w:cs="Arial" w:eastAsia="Arial" w:hAnsi="Arial"/>
          <w:sz w:val="16"/>
          <w:szCs w:val="16"/>
          <w:color w:val="auto"/>
        </w:rPr>
        <w:t>At the beginning of each fiscal year, the Compensation &amp; Human Resources Committee reviews and approves compensation for each of our executive officers which generally includes:</w:t>
      </w:r>
    </w:p>
    <w:p>
      <w:pPr>
        <w:spacing w:after="0" w:line="75" w:lineRule="exact"/>
        <w:rPr>
          <w:sz w:val="20"/>
          <w:szCs w:val="20"/>
          <w:color w:val="auto"/>
        </w:rPr>
      </w:pPr>
    </w:p>
    <w:p>
      <w:pPr>
        <w:ind w:left="800" w:hanging="398"/>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6"/>
          <w:szCs w:val="16"/>
          <w:color w:val="auto"/>
        </w:rPr>
        <w:t>changes, if any, to base salary;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6"/>
          <w:szCs w:val="16"/>
          <w:color w:val="auto"/>
        </w:rPr>
        <w:t>incentive awards, including:</w:t>
      </w:r>
    </w:p>
    <w:p>
      <w:pPr>
        <w:spacing w:after="0" w:line="97" w:lineRule="exact"/>
        <w:rPr>
          <w:rFonts w:ascii="Arial" w:cs="Arial" w:eastAsia="Arial" w:hAnsi="Arial"/>
          <w:sz w:val="15"/>
          <w:szCs w:val="15"/>
          <w:color w:val="auto"/>
        </w:rPr>
      </w:pPr>
    </w:p>
    <w:p>
      <w:pPr>
        <w:ind w:left="1220" w:right="260" w:hanging="413"/>
        <w:spacing w:after="0" w:line="255"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annual cash incentive awards for the current fiscal year, including (i) participation targets expressed as a percentage of base salary, target payout amounts, and maximum cash payout amounts, and (ii) performance measures, weightings, goals and adjustment events; and</w:t>
      </w:r>
    </w:p>
    <w:p>
      <w:pPr>
        <w:spacing w:after="0" w:line="74" w:lineRule="exact"/>
        <w:rPr>
          <w:rFonts w:ascii="Arial" w:cs="Arial" w:eastAsia="Arial" w:hAnsi="Arial"/>
          <w:sz w:val="16"/>
          <w:szCs w:val="16"/>
          <w:color w:val="auto"/>
        </w:rPr>
      </w:pPr>
    </w:p>
    <w:p>
      <w:pPr>
        <w:ind w:left="1220" w:right="80" w:hanging="413"/>
        <w:spacing w:after="0" w:line="255"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long-term incentive awards, including (i) stock option awards and (ii) three-year performance share awards, including (a) target share payout amounts and maximum share payout amounts, and (b) performance measures, weightings, goals and adjustment events.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connection with this review and approval, the Compensation &amp; Human Resources Committee receives information regarding:</w:t>
      </w:r>
    </w:p>
    <w:p>
      <w:pPr>
        <w:spacing w:after="0" w:line="98" w:lineRule="exact"/>
        <w:rPr>
          <w:sz w:val="20"/>
          <w:szCs w:val="20"/>
          <w:color w:val="auto"/>
        </w:rPr>
      </w:pPr>
    </w:p>
    <w:p>
      <w:pPr>
        <w:ind w:left="800" w:right="140" w:hanging="398"/>
        <w:spacing w:after="0" w:line="255" w:lineRule="auto"/>
        <w:tabs>
          <w:tab w:leader="none" w:pos="800" w:val="left"/>
        </w:tabs>
        <w:numPr>
          <w:ilvl w:val="0"/>
          <w:numId w:val="27"/>
        </w:numPr>
        <w:rPr>
          <w:rFonts w:ascii="Arial" w:cs="Arial" w:eastAsia="Arial" w:hAnsi="Arial"/>
          <w:sz w:val="15"/>
          <w:szCs w:val="15"/>
          <w:color w:val="auto"/>
        </w:rPr>
      </w:pPr>
      <w:r>
        <w:rPr>
          <w:rFonts w:ascii="Arial" w:cs="Arial" w:eastAsia="Arial" w:hAnsi="Arial"/>
          <w:sz w:val="16"/>
          <w:szCs w:val="16"/>
          <w:color w:val="auto"/>
        </w:rPr>
        <w:t>market base salary, total cash compensation and total direct compensation data and analysis prepared by its independent external compensation consultant;</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6"/>
          <w:szCs w:val="16"/>
          <w:color w:val="auto"/>
        </w:rPr>
        <w:t>total cash compensation to be paid for the fiscal year if annual cash incentive awards are achieved and paid at target;</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6"/>
          <w:szCs w:val="16"/>
          <w:color w:val="auto"/>
        </w:rPr>
        <w:t>prior fiscal year target equity values;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6"/>
          <w:szCs w:val="16"/>
          <w:color w:val="auto"/>
        </w:rPr>
        <w:t>total direct compensation for the fiscal year, assuming equity awards at target.</w:t>
      </w:r>
    </w:p>
    <w:p>
      <w:pPr>
        <w:spacing w:after="0" w:line="98"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Additionally, the Committee obtains executive compensation recommendations from our Chairman and CEO, Vice President, Human Resources, Distributor Development and General Counsel, and Managing Director, Total Rewards and Employee Services that reflect individual performance; future potential; corporate, division and/or plant performance, as applicable; tenure in the position; comparison to market; level of professional experience; duties and responsibilities; internal pay comparisons; and outside market factors, including general economic conditions. In addition, as needed during the fiscal year, the Committee reviews significant events that have occurred at our Company, including merger and acquisition activity, and assesses whether such events necessitate a change in compensation for our executive officers.</w:t>
      </w:r>
    </w:p>
    <w:p>
      <w:pPr>
        <w:spacing w:after="0" w:line="88" w:lineRule="exact"/>
        <w:rPr>
          <w:sz w:val="20"/>
          <w:szCs w:val="20"/>
          <w:color w:val="auto"/>
        </w:rPr>
      </w:pPr>
    </w:p>
    <w:p>
      <w:pPr>
        <w:ind w:right="120" w:firstLine="408"/>
        <w:spacing w:after="0" w:line="242" w:lineRule="auto"/>
        <w:rPr>
          <w:sz w:val="20"/>
          <w:szCs w:val="20"/>
          <w:color w:val="auto"/>
        </w:rPr>
      </w:pPr>
      <w:r>
        <w:rPr>
          <w:rFonts w:ascii="Arial" w:cs="Arial" w:eastAsia="Arial" w:hAnsi="Arial"/>
          <w:sz w:val="16"/>
          <w:szCs w:val="16"/>
          <w:color w:val="auto"/>
        </w:rPr>
        <w:t>Neither the Chairman and CEO nor the Vice President, Human Resources, Distributor Development and General Counsel provide input or recommendations with respect to his or her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 executive officers is found under “Executive Compensation” beginning on page 28. Also, at the beginning of each fiscal year, the Committee certifies the achievement of the applicable performance goals previously established by the Committee for the annual cash incentive awards and performance share awards and approves resulting payouts, if any.</w:t>
      </w:r>
    </w:p>
    <w:p>
      <w:pPr>
        <w:spacing w:after="0" w:line="88" w:lineRule="exact"/>
        <w:rPr>
          <w:sz w:val="20"/>
          <w:szCs w:val="20"/>
          <w:color w:val="auto"/>
        </w:rPr>
      </w:pPr>
    </w:p>
    <w:p>
      <w:pPr>
        <w:ind w:firstLine="408"/>
        <w:spacing w:after="0" w:line="243" w:lineRule="auto"/>
        <w:rPr>
          <w:sz w:val="20"/>
          <w:szCs w:val="20"/>
          <w:color w:val="auto"/>
        </w:rPr>
      </w:pPr>
      <w:r>
        <w:rPr>
          <w:rFonts w:ascii="Arial" w:cs="Arial" w:eastAsia="Arial" w:hAnsi="Arial"/>
          <w:sz w:val="16"/>
          <w:szCs w:val="16"/>
          <w:color w:val="auto"/>
        </w:rPr>
        <w:t>The Compensation &amp; Human Resources Committee retained Willis Towers Watson to assist in the design and review of our executive compensation program during fiscal 2019. Additional information regarding the role of Willis Towers Watson during fiscal 2019 is found under “Compensation Discussion and Analysis—Role of the Independent External Compensation Consultant” on page 31. From time to time, the Committee also has engaged Willis Towers Watson to perform other compensation consulting services, which in fiscal 2019 included a review of non-employee director compensation, an assessment of risk as it relates to our incentive plans,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compensation consulting services relating to the acquisition of The Charles Machine Works, Inc., or CMW, including providing advice and market trends relating to compensation in connection with significant merger and acquisition transactions, as well as providing recommendations on in-cycle incentives and retention strategies. For the services performed for us in fiscal 2019, the Committee assessed the independence of Willis Towers Watson pursuant to SEC and NYSE rules and concluded that the work of Willis Towers Watson did not raise any conflicts of interest. Representatives from Willis Towers Watson attended three of the four Committee meetings in fiscal 2019, including executive sessions without Management present, to act as a resource to the Committee in carrying out its responsibilities. The Committee, through its Chair, can request an independent meeting with representatives from our independent external compensation consultant at any time. The Committee also has the authority to obtain advice and assistance from external legal, accounting or other advisers.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Nomination and Refreshment Process</w:t>
      </w:r>
    </w:p>
    <w:p>
      <w:pPr>
        <w:spacing w:after="0" w:line="112" w:lineRule="exact"/>
        <w:rPr>
          <w:sz w:val="20"/>
          <w:szCs w:val="20"/>
          <w:color w:val="auto"/>
        </w:rPr>
      </w:pPr>
    </w:p>
    <w:p>
      <w:pPr>
        <w:ind w:right="60" w:firstLine="408"/>
        <w:spacing w:after="0" w:line="244" w:lineRule="auto"/>
        <w:rPr>
          <w:sz w:val="20"/>
          <w:szCs w:val="20"/>
          <w:color w:val="auto"/>
        </w:rPr>
      </w:pPr>
      <w:r>
        <w:rPr>
          <w:rFonts w:ascii="Arial" w:cs="Arial" w:eastAsia="Arial" w:hAnsi="Arial"/>
          <w:sz w:val="16"/>
          <w:szCs w:val="16"/>
          <w:color w:val="auto"/>
        </w:rPr>
        <w:t>In identifying new nominees for election to the Board when vacancies occur, the Nominating &amp; Governance Committee may solicit recommendations for nominees from other members of our Board or Senior Management. In addition, the Committee may (i) consider candidates put forth by external search or placement firms, (ii) formally engage such firms to assist it in identifying and evaluating qualified nominees, and/or (iii) consider certain individuals who contacted the Chairman of the Board, the Lead Independent Director and/or the Board of Directors and expressed an interest in serving on the Board.</w:t>
      </w:r>
    </w:p>
    <w:p>
      <w:pPr>
        <w:spacing w:after="0" w:line="85"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When reviewing the requisite skills and characteristics of potential new director nominees, the Nominating &amp; Governance Committee, pursuant to our Corporate Governance Guidelines, will consider a variety of criteria, including an individual’s independence, diversity, age, skills, business experience, professional experience and industry experience, each in the context of the needs of the Board as a whole. Although the Committee does not have a formal policy regarding consideration of diversity in identifying director nominees, the Committee will evaluate a nominee based on his or her diversity of background, skills, experiences, viewpoints, and geographical representation, as well as more traditional diversity factors. As a result, the composition of the current Board reflects diversity in age, gender, background, skills, and business and professional experiences.</w:t>
      </w:r>
    </w:p>
    <w:p>
      <w:pPr>
        <w:spacing w:after="0" w:line="88" w:lineRule="exact"/>
        <w:rPr>
          <w:sz w:val="20"/>
          <w:szCs w:val="20"/>
          <w:color w:val="auto"/>
        </w:rPr>
      </w:pPr>
    </w:p>
    <w:p>
      <w:pPr>
        <w:jc w:val="both"/>
        <w:ind w:right="100" w:firstLine="408"/>
        <w:spacing w:after="0" w:line="247" w:lineRule="auto"/>
        <w:rPr>
          <w:sz w:val="20"/>
          <w:szCs w:val="20"/>
          <w:color w:val="auto"/>
        </w:rPr>
      </w:pPr>
      <w:r>
        <w:rPr>
          <w:rFonts w:ascii="Arial" w:cs="Arial" w:eastAsia="Arial" w:hAnsi="Arial"/>
          <w:sz w:val="16"/>
          <w:szCs w:val="16"/>
          <w:color w:val="auto"/>
        </w:rPr>
        <w:t>Once a proposed candidate is identified, the Nominating &amp; Governance Committee may solicit the views of Senior Management, Board members and any other individuals it believes may have insight into a particular candidate. The Committee may designate one or more of its members and/or other Board members to interview any proposed candidate. The Committee then will recommend a director nominee to the Board based on its evaluation of such criteria.</w:t>
      </w:r>
    </w:p>
    <w:p>
      <w:pPr>
        <w:spacing w:after="0" w:line="81" w:lineRule="exact"/>
        <w:rPr>
          <w:sz w:val="20"/>
          <w:szCs w:val="20"/>
          <w:color w:val="auto"/>
        </w:rPr>
      </w:pPr>
    </w:p>
    <w:p>
      <w:pPr>
        <w:ind w:right="20" w:firstLine="408"/>
        <w:spacing w:after="0" w:line="241" w:lineRule="auto"/>
        <w:rPr>
          <w:sz w:val="20"/>
          <w:szCs w:val="20"/>
          <w:color w:val="auto"/>
        </w:rPr>
      </w:pPr>
      <w:r>
        <w:rPr>
          <w:rFonts w:ascii="Arial" w:cs="Arial" w:eastAsia="Arial" w:hAnsi="Arial"/>
          <w:sz w:val="16"/>
          <w:szCs w:val="16"/>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 notice requirements contained in, and provide the specific information required by, our Amended and Restated Bylaws. The current requirements of our Amended and Restated Bylaws are as described under “Shareholder Proposals and Director Nominations for the 2021 Annual Meeting” beginning on page 64.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Related Person Transactions and Policies and Procedures Regarding Related Person Transactions</w:t>
      </w:r>
    </w:p>
    <w:p>
      <w:pPr>
        <w:spacing w:after="0" w:line="112" w:lineRule="exact"/>
        <w:rPr>
          <w:sz w:val="20"/>
          <w:szCs w:val="20"/>
          <w:color w:val="auto"/>
        </w:rPr>
      </w:pPr>
    </w:p>
    <w:p>
      <w:pPr>
        <w:jc w:val="both"/>
        <w:ind w:right="200" w:firstLine="408"/>
        <w:spacing w:after="0" w:line="247" w:lineRule="auto"/>
        <w:rPr>
          <w:sz w:val="20"/>
          <w:szCs w:val="20"/>
          <w:color w:val="auto"/>
        </w:rPr>
      </w:pPr>
      <w:r>
        <w:rPr>
          <w:rFonts w:ascii="Arial" w:cs="Arial" w:eastAsia="Arial" w:hAnsi="Arial"/>
          <w:sz w:val="16"/>
          <w:szCs w:val="16"/>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81" w:lineRule="exact"/>
        <w:rPr>
          <w:sz w:val="20"/>
          <w:szCs w:val="20"/>
          <w:color w:val="auto"/>
        </w:rPr>
      </w:pPr>
    </w:p>
    <w:p>
      <w:pPr>
        <w:ind w:left="800" w:hanging="398"/>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6"/>
          <w:szCs w:val="16"/>
          <w:color w:val="auto"/>
        </w:rPr>
        <w:t>the related person’s relationship to our Company and interest in the transaction;</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6"/>
          <w:szCs w:val="16"/>
          <w:color w:val="auto"/>
        </w:rPr>
        <w:t>the material facts of the transaction;</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6"/>
          <w:szCs w:val="16"/>
          <w:color w:val="auto"/>
        </w:rPr>
        <w:t>the benefits to our Company of the transaction; and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both"/>
        <w:ind w:left="800" w:right="240" w:hanging="398"/>
        <w:spacing w:after="0" w:line="247" w:lineRule="auto"/>
        <w:tabs>
          <w:tab w:leader="none" w:pos="800" w:val="left"/>
        </w:tabs>
        <w:numPr>
          <w:ilvl w:val="0"/>
          <w:numId w:val="29"/>
        </w:numPr>
        <w:rPr>
          <w:rFonts w:ascii="Arial" w:cs="Arial" w:eastAsia="Arial" w:hAnsi="Arial"/>
          <w:sz w:val="15"/>
          <w:szCs w:val="15"/>
          <w:color w:val="auto"/>
        </w:rPr>
      </w:pPr>
      <w:r>
        <w:rPr>
          <w:rFonts w:ascii="Arial" w:cs="Arial" w:eastAsia="Arial" w:hAnsi="Arial"/>
          <w:sz w:val="16"/>
          <w:szCs w:val="16"/>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81" w:lineRule="exact"/>
        <w:rPr>
          <w:sz w:val="20"/>
          <w:szCs w:val="20"/>
          <w:color w:val="auto"/>
        </w:rPr>
      </w:pPr>
    </w:p>
    <w:p>
      <w:pPr>
        <w:ind w:right="20" w:firstLine="408"/>
        <w:spacing w:after="0" w:line="244" w:lineRule="auto"/>
        <w:rPr>
          <w:sz w:val="20"/>
          <w:szCs w:val="20"/>
          <w:color w:val="auto"/>
        </w:rPr>
      </w:pPr>
      <w:r>
        <w:rPr>
          <w:rFonts w:ascii="Arial" w:cs="Arial" w:eastAsia="Arial" w:hAnsi="Arial"/>
          <w:sz w:val="16"/>
          <w:szCs w:val="16"/>
          <w:color w:val="auto"/>
        </w:rPr>
        <w:t>Transactions in the ordinary course of business, between us and an unaffiliated corporation of which one of our non-employee directors or director nominees serves as an officer, that are at arm’s length, at prices and on terms customarily available to unrelated third party vendors or customers generally, in which the non-employee director or director nominee had no direct or indirect personal interest, nor received any personal benefit, and in amounts that are not material to our business or the business of such unaffiliated corporation, are deemed conclusively pre-approved.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of Directors Business Ethics Policy Statement</w:t>
      </w:r>
    </w:p>
    <w:p>
      <w:pPr>
        <w:spacing w:after="0" w:line="112" w:lineRule="exact"/>
        <w:rPr>
          <w:sz w:val="20"/>
          <w:szCs w:val="20"/>
          <w:color w:val="auto"/>
        </w:rPr>
      </w:pPr>
    </w:p>
    <w:p>
      <w:pPr>
        <w:jc w:val="both"/>
        <w:ind w:right="120" w:firstLine="408"/>
        <w:spacing w:after="0" w:line="247" w:lineRule="auto"/>
        <w:rPr>
          <w:sz w:val="20"/>
          <w:szCs w:val="20"/>
          <w:color w:val="auto"/>
        </w:rPr>
      </w:pPr>
      <w:r>
        <w:rPr>
          <w:rFonts w:ascii="Arial" w:cs="Arial" w:eastAsia="Arial" w:hAnsi="Arial"/>
          <w:sz w:val="16"/>
          <w:szCs w:val="16"/>
          <w:color w:val="auto"/>
        </w:rPr>
        <w:t>It is our policy to maintain the highest level of moral, ethical and legal standards in the conduct of our business. Pursuant to our Corporate Governance Guidelines, the Board has adopted, and each director annually signs, a Board of Directors Business Ethics Policy Statement. The policy can be found on our website at www.thetorocompany.com/ethics.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Code of Conduct and Code of Ethics for our CEO and Senior Financial Personnel</w:t>
      </w:r>
    </w:p>
    <w:p>
      <w:pPr>
        <w:spacing w:after="0" w:line="112"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 Personnel applicable to our CEO (our principal executive officer), our Vice President, Treasurer and Chief Financial Officer (our principal financial and accounting officer), and certain senior accounting and/or treasury personnel who are also bound by the provisions set forth in the Code of Conduct relating to ethical conduct, conflicts of interest and compliance with the law. Our Code of Conduct and Code of Ethics for our CEO and Senior Financial Personnel can be found on our website at www.thetorocompany.com/ethics. If necessary, we intend to satisfy the disclosure requirements of Item 5.05 of the Current Report on Form 8-K regarding amendments to or waivers from any provision of our Code of Ethics for our CEO and Senior Financial Personnel by posting such information on our website at www.thetorocompany.com/ethics.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Communications with Directors</w:t>
      </w:r>
    </w:p>
    <w:p>
      <w:pPr>
        <w:spacing w:after="0" w:line="112" w:lineRule="exact"/>
        <w:rPr>
          <w:sz w:val="20"/>
          <w:szCs w:val="20"/>
          <w:color w:val="auto"/>
        </w:rPr>
      </w:pPr>
    </w:p>
    <w:p>
      <w:pPr>
        <w:ind w:right="120" w:firstLine="408"/>
        <w:spacing w:after="0" w:line="242" w:lineRule="auto"/>
        <w:rPr>
          <w:sz w:val="20"/>
          <w:szCs w:val="20"/>
          <w:color w:val="auto"/>
        </w:rPr>
      </w:pPr>
      <w:r>
        <w:rPr>
          <w:rFonts w:ascii="Arial" w:cs="Arial" w:eastAsia="Arial" w:hAnsi="Arial"/>
          <w:sz w:val="16"/>
          <w:szCs w:val="16"/>
          <w:color w:val="auto"/>
        </w:rPr>
        <w:t>Shareholders and other interested parties may communicate directly with our Board of Directors, our Board committees, our non-employee directors as a group, our Lead Independent Director, or any other specified individual director in writing by (i) sending a letter addressed to The Toro Company Board of Directors, c/o General Counsel, 8111 Lyndale Avenue South, Bloomington, Minnesota, 55420-1196, or (ii) sending an email to boardofdirectors@toro.com. Substantive communications, such as corporate governance matters or potential issues relating to accounting, internal controls or other auditing matters, are forwarded by our General Counsel to the relevant director(s) as appropriate. Communications not requiring the substantive attention of our Board, such as employment inquiries, sales solicitations, donation requests, questions about our products, and other such matters, are handled directly by our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Complaint Procedures</w:t>
      </w:r>
    </w:p>
    <w:p>
      <w:pPr>
        <w:spacing w:after="0" w:line="112"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 matters. A 24-hour, toll-free confidential ethics helpline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59320" cy="186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DIRECTOR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Compensation Program for Fiscal 2019</w:t>
      </w:r>
    </w:p>
    <w:p>
      <w:pPr>
        <w:spacing w:after="0" w:line="92" w:lineRule="exact"/>
        <w:rPr>
          <w:sz w:val="20"/>
          <w:szCs w:val="20"/>
          <w:color w:val="auto"/>
        </w:rPr>
      </w:pPr>
    </w:p>
    <w:p>
      <w:pPr>
        <w:ind w:firstLine="408"/>
        <w:spacing w:after="0" w:line="246"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Our non-employee director compensation program generally is designed to attract and retain experienced and knowledgeable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 equity-based compensation to align the interests of our directors with those of our shareholders. In fiscal 2019, our non-employee director compensation was comprised of equity compensation, in the form of annual stock and stock option awards, and cash compensation, in the form of annual retainers. Each of these components is described in more detail below. This compensation program structure, together with the feature of The Toro Company Amended and Restated 2010 Equity and Incentive Plan, as amended and restated, or the 2010 Plan, that enables our directors to elect to receive a portion or all of their cash compensation in the form of our common stock, causes a substantial portion of our non-employee director compensation to be linked to our common stock performance. As a current employee director, Mr. Olson does not receive any additional compensation for his service as a director.</w:t>
      </w:r>
    </w:p>
    <w:p>
      <w:pPr>
        <w:spacing w:after="0" w:line="64" w:lineRule="exact"/>
        <w:rPr>
          <w:sz w:val="20"/>
          <w:szCs w:val="20"/>
          <w:color w:val="auto"/>
        </w:rPr>
      </w:pPr>
    </w:p>
    <w:p>
      <w:pPr>
        <w:ind w:right="100" w:firstLine="408"/>
        <w:spacing w:after="0" w:line="253" w:lineRule="auto"/>
        <w:rPr>
          <w:sz w:val="20"/>
          <w:szCs w:val="20"/>
          <w:color w:val="auto"/>
        </w:rPr>
      </w:pPr>
      <w:r>
        <w:rPr>
          <w:rFonts w:ascii="Arial" w:cs="Arial" w:eastAsia="Arial" w:hAnsi="Arial"/>
          <w:sz w:val="16"/>
          <w:szCs w:val="16"/>
          <w:b w:val="1"/>
          <w:bCs w:val="1"/>
          <w:color w:val="auto"/>
        </w:rPr>
        <w:t xml:space="preserve">Processes for Consideration and Determination of Director Compensation. </w:t>
      </w:r>
      <w:r>
        <w:rPr>
          <w:rFonts w:ascii="Arial" w:cs="Arial" w:eastAsia="Arial" w:hAnsi="Arial"/>
          <w:sz w:val="16"/>
          <w:szCs w:val="16"/>
          <w:color w:val="auto"/>
        </w:rPr>
        <w:t>The Board has delegated to the Compensation &amp; Human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the responsibility, among other things, to review and recommend to the Board any proposed changes in non-employee director compensation. In connection with such review, the Compensation &amp; Human Resources Committee is assisted in performing its duties by our Human Resources Department and also engages an independent external compensation consultant to provide analysis regarding non-employee director compensation.</w:t>
      </w:r>
    </w:p>
    <w:p>
      <w:pPr>
        <w:spacing w:after="0" w:line="77" w:lineRule="exact"/>
        <w:rPr>
          <w:sz w:val="20"/>
          <w:szCs w:val="20"/>
          <w:color w:val="auto"/>
        </w:rPr>
      </w:pPr>
    </w:p>
    <w:p>
      <w:pPr>
        <w:ind w:right="160" w:firstLine="408"/>
        <w:spacing w:after="0" w:line="242" w:lineRule="auto"/>
        <w:rPr>
          <w:sz w:val="20"/>
          <w:szCs w:val="20"/>
          <w:color w:val="auto"/>
        </w:rPr>
      </w:pPr>
      <w:r>
        <w:rPr>
          <w:rFonts w:ascii="Arial" w:cs="Arial" w:eastAsia="Arial" w:hAnsi="Arial"/>
          <w:sz w:val="16"/>
          <w:szCs w:val="16"/>
          <w:color w:val="auto"/>
        </w:rPr>
        <w:t>The Compensation &amp; Human Resources Committee engaged Willis Towers Watson to review our non-employee director compensation for fiscal 2019. The Willis Towers Watson review consisted of, among other things, analysis of board and committee compensation trends, a competitive assessment based on a selected group of manufacturing companies operating in the United States that are similar in size to us from a revenue and market capitalization perspective, and a separate analysis of lead director compensation. Overall, the review by Willis Towers Watson showed that our non-employee director compensation program aligned with market trends from a design perspective and was near the peer group midpoint from a compensation level standpoint. The Compensation &amp; Human Resources Committee considered this data and determined not to recommend any changes to our non-employee director compensation program for fiscal 2019 from fiscal 2018.</w:t>
      </w:r>
    </w:p>
    <w:p>
      <w:pPr>
        <w:spacing w:after="0" w:line="66" w:lineRule="exact"/>
        <w:rPr>
          <w:sz w:val="20"/>
          <w:szCs w:val="20"/>
          <w:color w:val="auto"/>
        </w:rPr>
      </w:pPr>
    </w:p>
    <w:p>
      <w:pPr>
        <w:ind w:right="920" w:firstLine="408"/>
        <w:spacing w:after="0" w:line="281" w:lineRule="auto"/>
        <w:rPr>
          <w:sz w:val="20"/>
          <w:szCs w:val="20"/>
          <w:color w:val="auto"/>
        </w:rPr>
      </w:pPr>
      <w:r>
        <w:rPr>
          <w:rFonts w:ascii="Arial" w:cs="Arial" w:eastAsia="Arial" w:hAnsi="Arial"/>
          <w:sz w:val="16"/>
          <w:szCs w:val="16"/>
          <w:b w:val="1"/>
          <w:bCs w:val="1"/>
          <w:color w:val="auto"/>
        </w:rPr>
        <w:t xml:space="preserve">Elements of Our Non-Employee Director Compensation Program. </w:t>
      </w:r>
      <w:r>
        <w:rPr>
          <w:rFonts w:ascii="Arial" w:cs="Arial" w:eastAsia="Arial" w:hAnsi="Arial"/>
          <w:sz w:val="16"/>
          <w:szCs w:val="16"/>
          <w:color w:val="auto"/>
        </w:rPr>
        <w:t>The following table sets forth our fiscal 2019 non-employee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program.</w:t>
      </w:r>
    </w:p>
    <w:p>
      <w:pPr>
        <w:spacing w:after="0" w:line="6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580" w:type="dxa"/>
            <w:vAlign w:val="bottom"/>
            <w:shd w:val="clear" w:color="auto" w:fill="C00000"/>
          </w:tcPr>
          <w:p>
            <w:pPr>
              <w:spacing w:after="0"/>
              <w:rPr>
                <w:sz w:val="13"/>
                <w:szCs w:val="13"/>
                <w:color w:val="auto"/>
              </w:rPr>
            </w:pPr>
          </w:p>
        </w:tc>
        <w:tc>
          <w:tcPr>
            <w:tcW w:w="2580" w:type="dxa"/>
            <w:vAlign w:val="bottom"/>
            <w:shd w:val="clear" w:color="auto" w:fill="C00000"/>
          </w:tcPr>
          <w:p>
            <w:pPr>
              <w:jc w:val="right"/>
              <w:ind w:right="248"/>
              <w:spacing w:after="0"/>
              <w:rPr>
                <w:sz w:val="20"/>
                <w:szCs w:val="20"/>
                <w:color w:val="auto"/>
              </w:rPr>
            </w:pPr>
            <w:r>
              <w:rPr>
                <w:rFonts w:ascii="Arial" w:cs="Arial" w:eastAsia="Arial" w:hAnsi="Arial"/>
                <w:sz w:val="13"/>
                <w:szCs w:val="13"/>
                <w:b w:val="1"/>
                <w:bCs w:val="1"/>
                <w:color w:val="FFFFFF"/>
              </w:rPr>
              <w:t>Fiscal 2019</w:t>
            </w:r>
          </w:p>
        </w:tc>
      </w:tr>
      <w:tr>
        <w:trPr>
          <w:trHeight w:val="159"/>
        </w:trPr>
        <w:tc>
          <w:tcPr>
            <w:tcW w:w="658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Non-Employee Director Compensation</w:t>
            </w:r>
          </w:p>
        </w:tc>
        <w:tc>
          <w:tcPr>
            <w:tcW w:w="2580" w:type="dxa"/>
            <w:vAlign w:val="bottom"/>
            <w:shd w:val="clear" w:color="auto" w:fill="C00000"/>
          </w:tcPr>
          <w:p>
            <w:pPr>
              <w:jc w:val="right"/>
              <w:ind w:right="528"/>
              <w:spacing w:after="0"/>
              <w:rPr>
                <w:sz w:val="20"/>
                <w:szCs w:val="20"/>
                <w:color w:val="auto"/>
              </w:rPr>
            </w:pPr>
            <w:r>
              <w:rPr>
                <w:rFonts w:ascii="Arial" w:cs="Arial" w:eastAsia="Arial" w:hAnsi="Arial"/>
                <w:sz w:val="13"/>
                <w:szCs w:val="13"/>
                <w:b w:val="1"/>
                <w:bCs w:val="1"/>
                <w:color w:val="FFFFFF"/>
              </w:rPr>
              <w:t>($)</w:t>
            </w:r>
          </w:p>
        </w:tc>
      </w:tr>
      <w:tr>
        <w:trPr>
          <w:trHeight w:val="212"/>
        </w:trPr>
        <w:tc>
          <w:tcPr>
            <w:tcW w:w="6580" w:type="dxa"/>
            <w:vAlign w:val="bottom"/>
          </w:tcPr>
          <w:p>
            <w:pPr>
              <w:spacing w:after="0"/>
              <w:rPr>
                <w:sz w:val="20"/>
                <w:szCs w:val="20"/>
                <w:color w:val="auto"/>
              </w:rPr>
            </w:pPr>
            <w:r>
              <w:rPr>
                <w:rFonts w:ascii="Arial" w:cs="Arial" w:eastAsia="Arial" w:hAnsi="Arial"/>
                <w:sz w:val="15"/>
                <w:szCs w:val="15"/>
                <w:color w:val="auto"/>
              </w:rPr>
              <w:t>Annual Stock Award Value</w:t>
            </w:r>
          </w:p>
        </w:tc>
        <w:tc>
          <w:tcPr>
            <w:tcW w:w="2580" w:type="dxa"/>
            <w:vAlign w:val="bottom"/>
          </w:tcPr>
          <w:p>
            <w:pPr>
              <w:jc w:val="right"/>
              <w:ind w:right="48"/>
              <w:spacing w:after="0"/>
              <w:rPr>
                <w:sz w:val="20"/>
                <w:szCs w:val="20"/>
                <w:color w:val="auto"/>
              </w:rPr>
            </w:pPr>
            <w:r>
              <w:rPr>
                <w:rFonts w:ascii="Arial" w:cs="Arial" w:eastAsia="Arial" w:hAnsi="Arial"/>
                <w:sz w:val="15"/>
                <w:szCs w:val="15"/>
                <w:color w:val="auto"/>
              </w:rPr>
              <w:t>60,000</w:t>
            </w:r>
          </w:p>
        </w:tc>
      </w:tr>
      <w:tr>
        <w:trPr>
          <w:trHeight w:val="229"/>
        </w:trPr>
        <w:tc>
          <w:tcPr>
            <w:tcW w:w="6580" w:type="dxa"/>
            <w:vAlign w:val="bottom"/>
            <w:shd w:val="clear" w:color="auto" w:fill="D9D9D9"/>
          </w:tcPr>
          <w:p>
            <w:pPr>
              <w:spacing w:after="0"/>
              <w:rPr>
                <w:sz w:val="20"/>
                <w:szCs w:val="20"/>
                <w:color w:val="auto"/>
              </w:rPr>
            </w:pPr>
            <w:r>
              <w:rPr>
                <w:rFonts w:ascii="Arial" w:cs="Arial" w:eastAsia="Arial" w:hAnsi="Arial"/>
                <w:sz w:val="15"/>
                <w:szCs w:val="15"/>
                <w:color w:val="auto"/>
              </w:rPr>
              <w:t>Annual Stock Option Award Value</w:t>
            </w:r>
          </w:p>
        </w:tc>
        <w:tc>
          <w:tcPr>
            <w:tcW w:w="258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55,000</w:t>
            </w:r>
          </w:p>
        </w:tc>
      </w:tr>
      <w:tr>
        <w:trPr>
          <w:trHeight w:val="212"/>
        </w:trPr>
        <w:tc>
          <w:tcPr>
            <w:tcW w:w="6580" w:type="dxa"/>
            <w:vAlign w:val="bottom"/>
          </w:tcPr>
          <w:p>
            <w:pPr>
              <w:spacing w:after="0"/>
              <w:rPr>
                <w:sz w:val="20"/>
                <w:szCs w:val="20"/>
                <w:color w:val="auto"/>
              </w:rPr>
            </w:pPr>
            <w:r>
              <w:rPr>
                <w:rFonts w:ascii="Arial" w:cs="Arial" w:eastAsia="Arial" w:hAnsi="Arial"/>
                <w:sz w:val="15"/>
                <w:szCs w:val="15"/>
                <w:color w:val="auto"/>
              </w:rPr>
              <w:t>Annual Board and Committee Member Retainers</w:t>
            </w:r>
          </w:p>
        </w:tc>
        <w:tc>
          <w:tcPr>
            <w:tcW w:w="2580" w:type="dxa"/>
            <w:vAlign w:val="bottom"/>
          </w:tcPr>
          <w:p>
            <w:pPr>
              <w:spacing w:after="0"/>
              <w:rPr>
                <w:sz w:val="18"/>
                <w:szCs w:val="18"/>
                <w:color w:val="auto"/>
              </w:rPr>
            </w:pPr>
          </w:p>
        </w:tc>
      </w:tr>
      <w:tr>
        <w:trPr>
          <w:trHeight w:val="229"/>
        </w:trPr>
        <w:tc>
          <w:tcPr>
            <w:tcW w:w="65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Board</w:t>
            </w:r>
          </w:p>
        </w:tc>
        <w:tc>
          <w:tcPr>
            <w:tcW w:w="258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80,000</w:t>
            </w:r>
          </w:p>
        </w:tc>
      </w:tr>
      <w:tr>
        <w:trPr>
          <w:trHeight w:val="212"/>
        </w:trPr>
        <w:tc>
          <w:tcPr>
            <w:tcW w:w="6580" w:type="dxa"/>
            <w:vAlign w:val="bottom"/>
          </w:tcPr>
          <w:p>
            <w:pPr>
              <w:ind w:left="220"/>
              <w:spacing w:after="0"/>
              <w:rPr>
                <w:sz w:val="20"/>
                <w:szCs w:val="20"/>
                <w:color w:val="auto"/>
              </w:rPr>
            </w:pPr>
            <w:r>
              <w:rPr>
                <w:rFonts w:ascii="Arial" w:cs="Arial" w:eastAsia="Arial" w:hAnsi="Arial"/>
                <w:sz w:val="15"/>
                <w:szCs w:val="15"/>
                <w:color w:val="auto"/>
              </w:rPr>
              <w:t>Audit Committee Member</w:t>
            </w:r>
          </w:p>
        </w:tc>
        <w:tc>
          <w:tcPr>
            <w:tcW w:w="2580" w:type="dxa"/>
            <w:vAlign w:val="bottom"/>
          </w:tcPr>
          <w:p>
            <w:pPr>
              <w:jc w:val="right"/>
              <w:ind w:right="48"/>
              <w:spacing w:after="0"/>
              <w:rPr>
                <w:sz w:val="20"/>
                <w:szCs w:val="20"/>
                <w:color w:val="auto"/>
              </w:rPr>
            </w:pPr>
            <w:r>
              <w:rPr>
                <w:rFonts w:ascii="Arial" w:cs="Arial" w:eastAsia="Arial" w:hAnsi="Arial"/>
                <w:sz w:val="15"/>
                <w:szCs w:val="15"/>
                <w:color w:val="auto"/>
              </w:rPr>
              <w:t>12,500</w:t>
            </w:r>
          </w:p>
        </w:tc>
      </w:tr>
      <w:tr>
        <w:trPr>
          <w:trHeight w:val="229"/>
        </w:trPr>
        <w:tc>
          <w:tcPr>
            <w:tcW w:w="65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Compensation &amp; Human Resources Committee Member</w:t>
            </w:r>
          </w:p>
        </w:tc>
        <w:tc>
          <w:tcPr>
            <w:tcW w:w="258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7,000</w:t>
            </w:r>
          </w:p>
        </w:tc>
      </w:tr>
      <w:tr>
        <w:trPr>
          <w:trHeight w:val="212"/>
        </w:trPr>
        <w:tc>
          <w:tcPr>
            <w:tcW w:w="6580" w:type="dxa"/>
            <w:vAlign w:val="bottom"/>
          </w:tcPr>
          <w:p>
            <w:pPr>
              <w:ind w:left="220"/>
              <w:spacing w:after="0"/>
              <w:rPr>
                <w:sz w:val="20"/>
                <w:szCs w:val="20"/>
                <w:color w:val="auto"/>
              </w:rPr>
            </w:pPr>
            <w:r>
              <w:rPr>
                <w:rFonts w:ascii="Arial" w:cs="Arial" w:eastAsia="Arial" w:hAnsi="Arial"/>
                <w:sz w:val="15"/>
                <w:szCs w:val="15"/>
                <w:color w:val="auto"/>
              </w:rPr>
              <w:t>Nominating &amp; Governance Committee Member</w:t>
            </w:r>
          </w:p>
        </w:tc>
        <w:tc>
          <w:tcPr>
            <w:tcW w:w="2580" w:type="dxa"/>
            <w:vAlign w:val="bottom"/>
          </w:tcPr>
          <w:p>
            <w:pPr>
              <w:jc w:val="right"/>
              <w:ind w:right="48"/>
              <w:spacing w:after="0"/>
              <w:rPr>
                <w:sz w:val="20"/>
                <w:szCs w:val="20"/>
                <w:color w:val="auto"/>
              </w:rPr>
            </w:pPr>
            <w:r>
              <w:rPr>
                <w:rFonts w:ascii="Arial" w:cs="Arial" w:eastAsia="Arial" w:hAnsi="Arial"/>
                <w:sz w:val="15"/>
                <w:szCs w:val="15"/>
                <w:color w:val="auto"/>
              </w:rPr>
              <w:t>6,000</w:t>
            </w:r>
          </w:p>
        </w:tc>
      </w:tr>
      <w:tr>
        <w:trPr>
          <w:trHeight w:val="229"/>
        </w:trPr>
        <w:tc>
          <w:tcPr>
            <w:tcW w:w="65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Finance Committee Member</w:t>
            </w:r>
          </w:p>
        </w:tc>
        <w:tc>
          <w:tcPr>
            <w:tcW w:w="258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6,000</w:t>
            </w:r>
          </w:p>
        </w:tc>
      </w:tr>
      <w:tr>
        <w:trPr>
          <w:trHeight w:val="212"/>
        </w:trPr>
        <w:tc>
          <w:tcPr>
            <w:tcW w:w="6580" w:type="dxa"/>
            <w:vAlign w:val="bottom"/>
          </w:tcPr>
          <w:p>
            <w:pPr>
              <w:spacing w:after="0"/>
              <w:rPr>
                <w:sz w:val="20"/>
                <w:szCs w:val="20"/>
                <w:color w:val="auto"/>
              </w:rPr>
            </w:pPr>
            <w:r>
              <w:rPr>
                <w:rFonts w:ascii="Arial" w:cs="Arial" w:eastAsia="Arial" w:hAnsi="Arial"/>
                <w:sz w:val="15"/>
                <w:szCs w:val="15"/>
                <w:color w:val="auto"/>
              </w:rPr>
              <w:t>Annual Lead Independent Director and Committee Chair Additional Retainers</w:t>
            </w:r>
          </w:p>
        </w:tc>
        <w:tc>
          <w:tcPr>
            <w:tcW w:w="2580" w:type="dxa"/>
            <w:vAlign w:val="bottom"/>
          </w:tcPr>
          <w:p>
            <w:pPr>
              <w:spacing w:after="0"/>
              <w:rPr>
                <w:sz w:val="18"/>
                <w:szCs w:val="18"/>
                <w:color w:val="auto"/>
              </w:rPr>
            </w:pPr>
          </w:p>
        </w:tc>
      </w:tr>
      <w:tr>
        <w:trPr>
          <w:trHeight w:val="229"/>
        </w:trPr>
        <w:tc>
          <w:tcPr>
            <w:tcW w:w="65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Lead Independent Director</w:t>
            </w:r>
          </w:p>
        </w:tc>
        <w:tc>
          <w:tcPr>
            <w:tcW w:w="258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25,000</w:t>
            </w:r>
          </w:p>
        </w:tc>
      </w:tr>
      <w:tr>
        <w:trPr>
          <w:trHeight w:val="212"/>
        </w:trPr>
        <w:tc>
          <w:tcPr>
            <w:tcW w:w="6580" w:type="dxa"/>
            <w:vAlign w:val="bottom"/>
          </w:tcPr>
          <w:p>
            <w:pPr>
              <w:ind w:left="220"/>
              <w:spacing w:after="0"/>
              <w:rPr>
                <w:sz w:val="20"/>
                <w:szCs w:val="20"/>
                <w:color w:val="auto"/>
              </w:rPr>
            </w:pPr>
            <w:r>
              <w:rPr>
                <w:rFonts w:ascii="Arial" w:cs="Arial" w:eastAsia="Arial" w:hAnsi="Arial"/>
                <w:sz w:val="15"/>
                <w:szCs w:val="15"/>
                <w:color w:val="auto"/>
              </w:rPr>
              <w:t>Audit Committee Chair</w:t>
            </w:r>
          </w:p>
        </w:tc>
        <w:tc>
          <w:tcPr>
            <w:tcW w:w="2580" w:type="dxa"/>
            <w:vAlign w:val="bottom"/>
          </w:tcPr>
          <w:p>
            <w:pPr>
              <w:jc w:val="right"/>
              <w:ind w:right="48"/>
              <w:spacing w:after="0"/>
              <w:rPr>
                <w:sz w:val="20"/>
                <w:szCs w:val="20"/>
                <w:color w:val="auto"/>
              </w:rPr>
            </w:pPr>
            <w:r>
              <w:rPr>
                <w:rFonts w:ascii="Arial" w:cs="Arial" w:eastAsia="Arial" w:hAnsi="Arial"/>
                <w:sz w:val="15"/>
                <w:szCs w:val="15"/>
                <w:color w:val="auto"/>
              </w:rPr>
              <w:t>20,000</w:t>
            </w:r>
          </w:p>
        </w:tc>
      </w:tr>
      <w:tr>
        <w:trPr>
          <w:trHeight w:val="229"/>
        </w:trPr>
        <w:tc>
          <w:tcPr>
            <w:tcW w:w="65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Compensation &amp; Human Resources Committee Chair</w:t>
            </w:r>
          </w:p>
        </w:tc>
        <w:tc>
          <w:tcPr>
            <w:tcW w:w="258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12,000</w:t>
            </w:r>
          </w:p>
        </w:tc>
      </w:tr>
      <w:tr>
        <w:trPr>
          <w:trHeight w:val="212"/>
        </w:trPr>
        <w:tc>
          <w:tcPr>
            <w:tcW w:w="6580" w:type="dxa"/>
            <w:vAlign w:val="bottom"/>
          </w:tcPr>
          <w:p>
            <w:pPr>
              <w:ind w:left="220"/>
              <w:spacing w:after="0"/>
              <w:rPr>
                <w:sz w:val="20"/>
                <w:szCs w:val="20"/>
                <w:color w:val="auto"/>
              </w:rPr>
            </w:pPr>
            <w:r>
              <w:rPr>
                <w:rFonts w:ascii="Arial" w:cs="Arial" w:eastAsia="Arial" w:hAnsi="Arial"/>
                <w:sz w:val="15"/>
                <w:szCs w:val="15"/>
                <w:color w:val="auto"/>
              </w:rPr>
              <w:t>Nominating &amp; Governance Committee Chair</w:t>
            </w:r>
          </w:p>
        </w:tc>
        <w:tc>
          <w:tcPr>
            <w:tcW w:w="2580" w:type="dxa"/>
            <w:vAlign w:val="bottom"/>
          </w:tcPr>
          <w:p>
            <w:pPr>
              <w:jc w:val="right"/>
              <w:ind w:right="48"/>
              <w:spacing w:after="0"/>
              <w:rPr>
                <w:sz w:val="20"/>
                <w:szCs w:val="20"/>
                <w:color w:val="auto"/>
              </w:rPr>
            </w:pPr>
            <w:r>
              <w:rPr>
                <w:rFonts w:ascii="Arial" w:cs="Arial" w:eastAsia="Arial" w:hAnsi="Arial"/>
                <w:sz w:val="15"/>
                <w:szCs w:val="15"/>
                <w:color w:val="auto"/>
              </w:rPr>
              <w:t>7,500</w:t>
            </w:r>
          </w:p>
        </w:tc>
      </w:tr>
      <w:tr>
        <w:trPr>
          <w:trHeight w:val="229"/>
        </w:trPr>
        <w:tc>
          <w:tcPr>
            <w:tcW w:w="65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Finance Committee Chair</w:t>
            </w:r>
          </w:p>
        </w:tc>
        <w:tc>
          <w:tcPr>
            <w:tcW w:w="258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7,500</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summarizes the key characteristics of the elements of our non-employee director compensation program:</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0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3"/>
                <w:szCs w:val="13"/>
                <w:b w:val="1"/>
                <w:bCs w:val="1"/>
                <w:color w:val="FFFFFF"/>
              </w:rPr>
              <w:t>Element</w:t>
            </w:r>
          </w:p>
        </w:tc>
        <w:tc>
          <w:tcPr>
            <w:tcW w:w="9920" w:type="dxa"/>
            <w:vAlign w:val="bottom"/>
            <w:tcBorders>
              <w:bottom w:val="single" w:sz="8" w:color="C00000"/>
            </w:tcBorders>
            <w:shd w:val="clear" w:color="auto" w:fill="C00000"/>
          </w:tcPr>
          <w:p>
            <w:pPr>
              <w:ind w:left="4420"/>
              <w:spacing w:after="0"/>
              <w:rPr>
                <w:sz w:val="20"/>
                <w:szCs w:val="20"/>
                <w:color w:val="auto"/>
              </w:rPr>
            </w:pPr>
            <w:r>
              <w:rPr>
                <w:rFonts w:ascii="Arial" w:cs="Arial" w:eastAsia="Arial" w:hAnsi="Arial"/>
                <w:sz w:val="13"/>
                <w:szCs w:val="13"/>
                <w:b w:val="1"/>
                <w:bCs w:val="1"/>
                <w:color w:val="FFFFFF"/>
              </w:rPr>
              <w:t>Key Characteristics</w:t>
            </w:r>
          </w:p>
        </w:tc>
      </w:tr>
      <w:tr>
        <w:trPr>
          <w:trHeight w:val="186"/>
        </w:trPr>
        <w:tc>
          <w:tcPr>
            <w:tcW w:w="1500" w:type="dxa"/>
            <w:vAlign w:val="bottom"/>
          </w:tcPr>
          <w:p>
            <w:pPr>
              <w:spacing w:after="0"/>
              <w:rPr>
                <w:sz w:val="20"/>
                <w:szCs w:val="20"/>
                <w:color w:val="auto"/>
              </w:rPr>
            </w:pPr>
            <w:r>
              <w:rPr>
                <w:rFonts w:ascii="Arial" w:cs="Arial" w:eastAsia="Arial" w:hAnsi="Arial"/>
                <w:sz w:val="15"/>
                <w:szCs w:val="15"/>
                <w:color w:val="auto"/>
              </w:rPr>
              <w:t>Annual Retainers</w:t>
            </w:r>
          </w:p>
        </w:tc>
        <w:tc>
          <w:tcPr>
            <w:tcW w:w="9920" w:type="dxa"/>
            <w:vAlign w:val="bottom"/>
          </w:tcPr>
          <w:p>
            <w:pPr>
              <w:ind w:left="140"/>
              <w:spacing w:after="0"/>
              <w:rPr>
                <w:sz w:val="20"/>
                <w:szCs w:val="20"/>
                <w:color w:val="auto"/>
              </w:rPr>
            </w:pPr>
            <w:r>
              <w:rPr>
                <w:rFonts w:ascii="Arial" w:cs="Arial" w:eastAsia="Arial" w:hAnsi="Arial"/>
                <w:sz w:val="15"/>
                <w:szCs w:val="15"/>
                <w:color w:val="auto"/>
                <w:w w:val="98"/>
              </w:rPr>
              <w:t>Each Board and committee member, committee chair and the Lead Independent Director receives annual retainers for their respective service on our</w:t>
            </w:r>
          </w:p>
        </w:tc>
      </w:tr>
      <w:tr>
        <w:trPr>
          <w:trHeight w:val="186"/>
        </w:trPr>
        <w:tc>
          <w:tcPr>
            <w:tcW w:w="1500" w:type="dxa"/>
            <w:vAlign w:val="bottom"/>
          </w:tcPr>
          <w:p>
            <w:pPr>
              <w:spacing w:after="0"/>
              <w:rPr>
                <w:sz w:val="16"/>
                <w:szCs w:val="16"/>
                <w:color w:val="auto"/>
              </w:rPr>
            </w:pPr>
          </w:p>
        </w:tc>
        <w:tc>
          <w:tcPr>
            <w:tcW w:w="9920" w:type="dxa"/>
            <w:vAlign w:val="bottom"/>
          </w:tcPr>
          <w:p>
            <w:pPr>
              <w:ind w:left="140"/>
              <w:spacing w:after="0"/>
              <w:rPr>
                <w:sz w:val="20"/>
                <w:szCs w:val="20"/>
                <w:color w:val="auto"/>
              </w:rPr>
            </w:pPr>
            <w:r>
              <w:rPr>
                <w:rFonts w:ascii="Arial" w:cs="Arial" w:eastAsia="Arial" w:hAnsi="Arial"/>
                <w:sz w:val="15"/>
                <w:szCs w:val="15"/>
                <w:color w:val="auto"/>
              </w:rPr>
              <w:t>Board.</w:t>
            </w:r>
          </w:p>
        </w:tc>
      </w:tr>
      <w:tr>
        <w:trPr>
          <w:trHeight w:val="194"/>
        </w:trPr>
        <w:tc>
          <w:tcPr>
            <w:tcW w:w="1500" w:type="dxa"/>
            <w:vAlign w:val="bottom"/>
            <w:shd w:val="clear" w:color="auto" w:fill="D9D9D9"/>
          </w:tcPr>
          <w:p>
            <w:pPr>
              <w:spacing w:after="0"/>
              <w:rPr>
                <w:sz w:val="20"/>
                <w:szCs w:val="20"/>
                <w:color w:val="auto"/>
              </w:rPr>
            </w:pPr>
            <w:r>
              <w:rPr>
                <w:rFonts w:ascii="Arial" w:cs="Arial" w:eastAsia="Arial" w:hAnsi="Arial"/>
                <w:sz w:val="15"/>
                <w:szCs w:val="15"/>
                <w:color w:val="auto"/>
              </w:rPr>
              <w:t>Stock Awards</w:t>
            </w:r>
          </w:p>
        </w:tc>
        <w:tc>
          <w:tcPr>
            <w:tcW w:w="9920" w:type="dxa"/>
            <w:vAlign w:val="bottom"/>
            <w:shd w:val="clear" w:color="auto" w:fill="D9D9D9"/>
          </w:tcPr>
          <w:p>
            <w:pPr>
              <w:ind w:left="140"/>
              <w:spacing w:after="0"/>
              <w:rPr>
                <w:sz w:val="20"/>
                <w:szCs w:val="20"/>
                <w:color w:val="auto"/>
              </w:rPr>
            </w:pPr>
            <w:r>
              <w:rPr>
                <w:rFonts w:ascii="Arial" w:cs="Arial" w:eastAsia="Arial" w:hAnsi="Arial"/>
                <w:sz w:val="15"/>
                <w:szCs w:val="15"/>
                <w:color w:val="auto"/>
                <w:w w:val="97"/>
              </w:rPr>
              <w:t>On the first business day of our fiscal year shares of our common stock are automatically granted under the 2010 Plan. The stock award is determined</w:t>
            </w:r>
          </w:p>
        </w:tc>
      </w:tr>
      <w:tr>
        <w:trPr>
          <w:trHeight w:val="172"/>
        </w:trPr>
        <w:tc>
          <w:tcPr>
            <w:tcW w:w="1500" w:type="dxa"/>
            <w:vAlign w:val="bottom"/>
            <w:shd w:val="clear" w:color="auto" w:fill="D9D9D9"/>
          </w:tcPr>
          <w:p>
            <w:pPr>
              <w:spacing w:after="0"/>
              <w:rPr>
                <w:sz w:val="14"/>
                <w:szCs w:val="14"/>
                <w:color w:val="auto"/>
              </w:rPr>
            </w:pPr>
          </w:p>
        </w:tc>
        <w:tc>
          <w:tcPr>
            <w:tcW w:w="9920" w:type="dxa"/>
            <w:vAlign w:val="bottom"/>
            <w:shd w:val="clear" w:color="auto" w:fill="D9D9D9"/>
          </w:tcPr>
          <w:p>
            <w:pPr>
              <w:ind w:left="140"/>
              <w:spacing w:after="0"/>
              <w:rPr>
                <w:sz w:val="20"/>
                <w:szCs w:val="20"/>
                <w:color w:val="auto"/>
              </w:rPr>
            </w:pPr>
            <w:r>
              <w:rPr>
                <w:rFonts w:ascii="Arial" w:cs="Arial" w:eastAsia="Arial" w:hAnsi="Arial"/>
                <w:sz w:val="15"/>
                <w:szCs w:val="15"/>
                <w:color w:val="auto"/>
                <w:w w:val="98"/>
              </w:rPr>
              <w:t>by dividing the stock award value by the average of the closing prices of our common stock during the three months prior to the grant. The shares are</w:t>
            </w:r>
          </w:p>
        </w:tc>
      </w:tr>
      <w:tr>
        <w:trPr>
          <w:trHeight w:val="194"/>
        </w:trPr>
        <w:tc>
          <w:tcPr>
            <w:tcW w:w="1500" w:type="dxa"/>
            <w:vAlign w:val="bottom"/>
            <w:shd w:val="clear" w:color="auto" w:fill="D9D9D9"/>
          </w:tcPr>
          <w:p>
            <w:pPr>
              <w:spacing w:after="0"/>
              <w:rPr>
                <w:sz w:val="16"/>
                <w:szCs w:val="16"/>
                <w:color w:val="auto"/>
              </w:rPr>
            </w:pPr>
          </w:p>
        </w:tc>
        <w:tc>
          <w:tcPr>
            <w:tcW w:w="9920" w:type="dxa"/>
            <w:vAlign w:val="bottom"/>
            <w:shd w:val="clear" w:color="auto" w:fill="D9D9D9"/>
          </w:tcPr>
          <w:p>
            <w:pPr>
              <w:ind w:left="140"/>
              <w:spacing w:after="0"/>
              <w:rPr>
                <w:sz w:val="20"/>
                <w:szCs w:val="20"/>
                <w:color w:val="auto"/>
              </w:rPr>
            </w:pPr>
            <w:r>
              <w:rPr>
                <w:rFonts w:ascii="Arial" w:cs="Arial" w:eastAsia="Arial" w:hAnsi="Arial"/>
                <w:sz w:val="15"/>
                <w:szCs w:val="15"/>
                <w:color w:val="auto"/>
              </w:rPr>
              <w:t>fully vested at the time of grant.</w:t>
            </w:r>
          </w:p>
        </w:tc>
      </w:tr>
      <w:tr>
        <w:trPr>
          <w:trHeight w:val="186"/>
        </w:trPr>
        <w:tc>
          <w:tcPr>
            <w:tcW w:w="1500" w:type="dxa"/>
            <w:vAlign w:val="bottom"/>
          </w:tcPr>
          <w:p>
            <w:pPr>
              <w:spacing w:after="0"/>
              <w:rPr>
                <w:sz w:val="20"/>
                <w:szCs w:val="20"/>
                <w:color w:val="auto"/>
              </w:rPr>
            </w:pPr>
            <w:r>
              <w:rPr>
                <w:rFonts w:ascii="Arial" w:cs="Arial" w:eastAsia="Arial" w:hAnsi="Arial"/>
                <w:sz w:val="15"/>
                <w:szCs w:val="15"/>
                <w:color w:val="auto"/>
              </w:rPr>
              <w:t>Stock Option Awards</w:t>
            </w:r>
          </w:p>
        </w:tc>
        <w:tc>
          <w:tcPr>
            <w:tcW w:w="9920" w:type="dxa"/>
            <w:vAlign w:val="bottom"/>
          </w:tcPr>
          <w:p>
            <w:pPr>
              <w:ind w:left="140"/>
              <w:spacing w:after="0"/>
              <w:rPr>
                <w:sz w:val="20"/>
                <w:szCs w:val="20"/>
                <w:color w:val="auto"/>
              </w:rPr>
            </w:pPr>
            <w:r>
              <w:rPr>
                <w:rFonts w:ascii="Arial" w:cs="Arial" w:eastAsia="Arial" w:hAnsi="Arial"/>
                <w:sz w:val="15"/>
                <w:szCs w:val="15"/>
                <w:color w:val="auto"/>
                <w:w w:val="98"/>
              </w:rPr>
              <w:t>On the first business day of our fiscal year, a stock option to purchase shares of our common stock is automatically granted. The stock option award is</w:t>
            </w:r>
          </w:p>
        </w:tc>
      </w:tr>
      <w:tr>
        <w:trPr>
          <w:trHeight w:val="172"/>
        </w:trPr>
        <w:tc>
          <w:tcPr>
            <w:tcW w:w="1500" w:type="dxa"/>
            <w:vAlign w:val="bottom"/>
          </w:tcPr>
          <w:p>
            <w:pPr>
              <w:spacing w:after="0"/>
              <w:rPr>
                <w:sz w:val="14"/>
                <w:szCs w:val="14"/>
                <w:color w:val="auto"/>
              </w:rPr>
            </w:pPr>
          </w:p>
        </w:tc>
        <w:tc>
          <w:tcPr>
            <w:tcW w:w="9920" w:type="dxa"/>
            <w:vAlign w:val="bottom"/>
          </w:tcPr>
          <w:p>
            <w:pPr>
              <w:ind w:left="140"/>
              <w:spacing w:after="0"/>
              <w:rPr>
                <w:sz w:val="20"/>
                <w:szCs w:val="20"/>
                <w:color w:val="auto"/>
              </w:rPr>
            </w:pPr>
            <w:r>
              <w:rPr>
                <w:rFonts w:ascii="Arial" w:cs="Arial" w:eastAsia="Arial" w:hAnsi="Arial"/>
                <w:sz w:val="15"/>
                <w:szCs w:val="15"/>
                <w:color w:val="auto"/>
              </w:rPr>
              <w:t>determined by dividing the stock option award value by the grant date fair value of a stock option to purchase one share of our common stock. See</w:t>
            </w:r>
          </w:p>
        </w:tc>
      </w:tr>
      <w:tr>
        <w:trPr>
          <w:trHeight w:val="186"/>
        </w:trPr>
        <w:tc>
          <w:tcPr>
            <w:tcW w:w="1500" w:type="dxa"/>
            <w:vAlign w:val="bottom"/>
          </w:tcPr>
          <w:p>
            <w:pPr>
              <w:spacing w:after="0"/>
              <w:rPr>
                <w:sz w:val="16"/>
                <w:szCs w:val="16"/>
                <w:color w:val="auto"/>
              </w:rPr>
            </w:pPr>
          </w:p>
        </w:tc>
        <w:tc>
          <w:tcPr>
            <w:tcW w:w="9920" w:type="dxa"/>
            <w:vAlign w:val="bottom"/>
          </w:tcPr>
          <w:p>
            <w:pPr>
              <w:ind w:left="140"/>
              <w:spacing w:after="0"/>
              <w:rPr>
                <w:sz w:val="20"/>
                <w:szCs w:val="20"/>
                <w:color w:val="auto"/>
              </w:rPr>
            </w:pPr>
            <w:r>
              <w:rPr>
                <w:rFonts w:ascii="Arial" w:cs="Arial" w:eastAsia="Arial" w:hAnsi="Arial"/>
                <w:sz w:val="15"/>
                <w:szCs w:val="15"/>
                <w:color w:val="auto"/>
              </w:rPr>
              <w:t>below for additional information regarding vesting of stock option grants.</w:t>
            </w:r>
          </w:p>
        </w:tc>
      </w:tr>
      <w:tr>
        <w:trPr>
          <w:trHeight w:val="194"/>
        </w:trPr>
        <w:tc>
          <w:tcPr>
            <w:tcW w:w="150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9920" w:type="dxa"/>
            <w:vAlign w:val="bottom"/>
            <w:shd w:val="clear" w:color="auto" w:fill="D9D9D9"/>
          </w:tcPr>
          <w:p>
            <w:pPr>
              <w:ind w:left="140"/>
              <w:spacing w:after="0"/>
              <w:rPr>
                <w:sz w:val="20"/>
                <w:szCs w:val="20"/>
                <w:color w:val="auto"/>
              </w:rPr>
            </w:pPr>
            <w:r>
              <w:rPr>
                <w:rFonts w:ascii="Arial" w:cs="Arial" w:eastAsia="Arial" w:hAnsi="Arial"/>
                <w:sz w:val="15"/>
                <w:szCs w:val="15"/>
                <w:color w:val="auto"/>
                <w:w w:val="99"/>
              </w:rPr>
              <w:t>Our non-employee directors may elect to convert a portion or all of their calendar year annual retainers otherwise payable in cash into shares of our</w:t>
            </w:r>
          </w:p>
        </w:tc>
      </w:tr>
      <w:tr>
        <w:trPr>
          <w:trHeight w:val="172"/>
        </w:trPr>
        <w:tc>
          <w:tcPr>
            <w:tcW w:w="1500" w:type="dxa"/>
            <w:vAlign w:val="bottom"/>
            <w:shd w:val="clear" w:color="auto" w:fill="D9D9D9"/>
          </w:tcPr>
          <w:p>
            <w:pPr>
              <w:spacing w:after="0"/>
              <w:rPr>
                <w:sz w:val="20"/>
                <w:szCs w:val="20"/>
                <w:color w:val="auto"/>
              </w:rPr>
            </w:pPr>
            <w:r>
              <w:rPr>
                <w:rFonts w:ascii="Arial" w:cs="Arial" w:eastAsia="Arial" w:hAnsi="Arial"/>
                <w:sz w:val="15"/>
                <w:szCs w:val="15"/>
                <w:color w:val="auto"/>
              </w:rPr>
              <w:t>In Lieu of Annual</w:t>
            </w:r>
          </w:p>
        </w:tc>
        <w:tc>
          <w:tcPr>
            <w:tcW w:w="9920" w:type="dxa"/>
            <w:vAlign w:val="bottom"/>
            <w:shd w:val="clear" w:color="auto" w:fill="D9D9D9"/>
          </w:tcPr>
          <w:p>
            <w:pPr>
              <w:ind w:left="140"/>
              <w:spacing w:after="0"/>
              <w:rPr>
                <w:sz w:val="20"/>
                <w:szCs w:val="20"/>
                <w:color w:val="auto"/>
              </w:rPr>
            </w:pPr>
            <w:r>
              <w:rPr>
                <w:rFonts w:ascii="Arial" w:cs="Arial" w:eastAsia="Arial" w:hAnsi="Arial"/>
                <w:sz w:val="15"/>
                <w:szCs w:val="15"/>
                <w:color w:val="auto"/>
              </w:rPr>
              <w:t>common stock. Annual retainers earned after the date a director makes a stock-in-lieu of cash election for a calendar year are issued in shares of</w:t>
            </w:r>
          </w:p>
        </w:tc>
      </w:tr>
      <w:tr>
        <w:trPr>
          <w:trHeight w:val="172"/>
        </w:trPr>
        <w:tc>
          <w:tcPr>
            <w:tcW w:w="1500" w:type="dxa"/>
            <w:vAlign w:val="bottom"/>
            <w:shd w:val="clear" w:color="auto" w:fill="D9D9D9"/>
          </w:tcPr>
          <w:p>
            <w:pPr>
              <w:spacing w:after="0"/>
              <w:rPr>
                <w:sz w:val="20"/>
                <w:szCs w:val="20"/>
                <w:color w:val="auto"/>
              </w:rPr>
            </w:pPr>
            <w:r>
              <w:rPr>
                <w:rFonts w:ascii="Arial" w:cs="Arial" w:eastAsia="Arial" w:hAnsi="Arial"/>
                <w:sz w:val="15"/>
                <w:szCs w:val="15"/>
                <w:color w:val="auto"/>
              </w:rPr>
              <w:t>Retainers</w:t>
            </w:r>
          </w:p>
        </w:tc>
        <w:tc>
          <w:tcPr>
            <w:tcW w:w="9920" w:type="dxa"/>
            <w:vAlign w:val="bottom"/>
            <w:shd w:val="clear" w:color="auto" w:fill="D9D9D9"/>
          </w:tcPr>
          <w:p>
            <w:pPr>
              <w:ind w:left="140"/>
              <w:spacing w:after="0"/>
              <w:rPr>
                <w:sz w:val="20"/>
                <w:szCs w:val="20"/>
                <w:color w:val="auto"/>
              </w:rPr>
            </w:pPr>
            <w:r>
              <w:rPr>
                <w:rFonts w:ascii="Arial" w:cs="Arial" w:eastAsia="Arial" w:hAnsi="Arial"/>
                <w:sz w:val="15"/>
                <w:szCs w:val="15"/>
                <w:color w:val="auto"/>
              </w:rPr>
              <w:t>common stock in December of that year, the number of which is determined by dividing the dollar amount of the annual retainers earned in the</w:t>
            </w:r>
          </w:p>
        </w:tc>
      </w:tr>
      <w:tr>
        <w:trPr>
          <w:trHeight w:val="172"/>
        </w:trPr>
        <w:tc>
          <w:tcPr>
            <w:tcW w:w="1500" w:type="dxa"/>
            <w:vAlign w:val="bottom"/>
            <w:shd w:val="clear" w:color="auto" w:fill="D9D9D9"/>
          </w:tcPr>
          <w:p>
            <w:pPr>
              <w:spacing w:after="0"/>
              <w:rPr>
                <w:sz w:val="14"/>
                <w:szCs w:val="14"/>
                <w:color w:val="auto"/>
              </w:rPr>
            </w:pPr>
          </w:p>
        </w:tc>
        <w:tc>
          <w:tcPr>
            <w:tcW w:w="9920" w:type="dxa"/>
            <w:vAlign w:val="bottom"/>
            <w:shd w:val="clear" w:color="auto" w:fill="D9D9D9"/>
          </w:tcPr>
          <w:p>
            <w:pPr>
              <w:ind w:left="140"/>
              <w:spacing w:after="0"/>
              <w:rPr>
                <w:sz w:val="20"/>
                <w:szCs w:val="20"/>
                <w:color w:val="auto"/>
              </w:rPr>
            </w:pPr>
            <w:r>
              <w:rPr>
                <w:rFonts w:ascii="Arial" w:cs="Arial" w:eastAsia="Arial" w:hAnsi="Arial"/>
                <w:sz w:val="15"/>
                <w:szCs w:val="15"/>
                <w:color w:val="auto"/>
                <w:w w:val="99"/>
              </w:rPr>
              <w:t>calendar year and elected to be converted into shares of our common stock by the closing price of our common stock on the date that the shares are</w:t>
            </w:r>
          </w:p>
        </w:tc>
      </w:tr>
      <w:tr>
        <w:trPr>
          <w:trHeight w:val="194"/>
        </w:trPr>
        <w:tc>
          <w:tcPr>
            <w:tcW w:w="1500" w:type="dxa"/>
            <w:vAlign w:val="bottom"/>
            <w:shd w:val="clear" w:color="auto" w:fill="D9D9D9"/>
          </w:tcPr>
          <w:p>
            <w:pPr>
              <w:spacing w:after="0"/>
              <w:rPr>
                <w:sz w:val="16"/>
                <w:szCs w:val="16"/>
                <w:color w:val="auto"/>
              </w:rPr>
            </w:pPr>
          </w:p>
        </w:tc>
        <w:tc>
          <w:tcPr>
            <w:tcW w:w="9920" w:type="dxa"/>
            <w:vAlign w:val="bottom"/>
            <w:shd w:val="clear" w:color="auto" w:fill="D9D9D9"/>
          </w:tcPr>
          <w:p>
            <w:pPr>
              <w:ind w:left="140"/>
              <w:spacing w:after="0"/>
              <w:rPr>
                <w:sz w:val="20"/>
                <w:szCs w:val="20"/>
                <w:color w:val="auto"/>
              </w:rPr>
            </w:pPr>
            <w:r>
              <w:rPr>
                <w:rFonts w:ascii="Arial" w:cs="Arial" w:eastAsia="Arial" w:hAnsi="Arial"/>
                <w:sz w:val="15"/>
                <w:szCs w:val="15"/>
                <w:color w:val="auto"/>
              </w:rPr>
              <w:t>issued.</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Deferred Compensation Non-employee directors may elect to defer receipt of all or a part of his or her stock award and/or cash compensation on a calendar year basis under</w:t>
      </w:r>
    </w:p>
    <w:p>
      <w:pPr>
        <w:spacing w:after="0" w:line="11" w:lineRule="exact"/>
        <w:rPr>
          <w:sz w:val="20"/>
          <w:szCs w:val="20"/>
          <w:color w:val="auto"/>
        </w:rPr>
      </w:pPr>
    </w:p>
    <w:p>
      <w:pPr>
        <w:ind w:left="1640" w:right="20" w:hanging="1639"/>
        <w:spacing w:after="0" w:line="260" w:lineRule="auto"/>
        <w:tabs>
          <w:tab w:leader="none" w:pos="1620" w:val="left"/>
        </w:tabs>
        <w:rPr>
          <w:sz w:val="20"/>
          <w:szCs w:val="20"/>
          <w:color w:val="auto"/>
        </w:rPr>
      </w:pPr>
      <w:r>
        <w:rPr>
          <w:rFonts w:ascii="Arial" w:cs="Arial" w:eastAsia="Arial" w:hAnsi="Arial"/>
          <w:sz w:val="14"/>
          <w:szCs w:val="14"/>
          <w:color w:val="auto"/>
        </w:rPr>
        <w:t>Plan</w:t>
      </w:r>
      <w:r>
        <w:rPr>
          <w:sz w:val="20"/>
          <w:szCs w:val="20"/>
          <w:color w:val="auto"/>
        </w:rPr>
        <w:tab/>
      </w:r>
      <w:r>
        <w:rPr>
          <w:rFonts w:ascii="Arial" w:cs="Arial" w:eastAsia="Arial" w:hAnsi="Arial"/>
          <w:sz w:val="14"/>
          <w:szCs w:val="14"/>
          <w:color w:val="auto"/>
        </w:rPr>
        <w:t>The Toro Company Deferred Compensation Plan for Non-Employee Directors, or the Deferred Plan for Directors. Because the value of a director’s deferred compensation account fluctuates, as applicable, based on the market value of our common stock or based on a rate of return on funds that are comparable to funds available in The Toro Company Retirement Plan, or Retirement Plan, earnings on deferred compensation are not preferential. Dividends paid on our common stock are credited to a director’s account as additional common stock units. A director is fully vested in his or her deferred compensation accounts. Distributions under the Deferred Plan for Directors are payable in accordance with the director participant’s prior distribution elections upon the earliest of retirement, prior to retirement if a valid election has been made or in an unforeseeable financial emergency.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40" w:type="dxa"/>
            <w:vAlign w:val="bottom"/>
            <w:shd w:val="clear" w:color="auto" w:fill="D9D9D9"/>
          </w:tcPr>
          <w:p>
            <w:pPr>
              <w:spacing w:after="0"/>
              <w:rPr>
                <w:sz w:val="20"/>
                <w:szCs w:val="20"/>
                <w:color w:val="auto"/>
              </w:rPr>
            </w:pPr>
            <w:r>
              <w:rPr>
                <w:rFonts w:ascii="Arial" w:cs="Arial" w:eastAsia="Arial" w:hAnsi="Arial"/>
                <w:sz w:val="15"/>
                <w:szCs w:val="15"/>
                <w:color w:val="auto"/>
              </w:rPr>
              <w:t>Company Products</w:t>
            </w:r>
          </w:p>
        </w:tc>
        <w:tc>
          <w:tcPr>
            <w:tcW w:w="9980" w:type="dxa"/>
            <w:vAlign w:val="bottom"/>
            <w:shd w:val="clear" w:color="auto" w:fill="D9D9D9"/>
          </w:tcPr>
          <w:p>
            <w:pPr>
              <w:ind w:left="200"/>
              <w:spacing w:after="0"/>
              <w:rPr>
                <w:sz w:val="20"/>
                <w:szCs w:val="20"/>
                <w:color w:val="auto"/>
              </w:rPr>
            </w:pPr>
            <w:r>
              <w:rPr>
                <w:rFonts w:ascii="Arial" w:cs="Arial" w:eastAsia="Arial" w:hAnsi="Arial"/>
                <w:sz w:val="15"/>
                <w:szCs w:val="15"/>
                <w:color w:val="auto"/>
                <w:w w:val="98"/>
              </w:rPr>
              <w:t>Each of our non-employee directors is entitled to receive certain Company products and related parts, service and accessories for his or her personal</w:t>
            </w:r>
          </w:p>
        </w:tc>
      </w:tr>
      <w:tr>
        <w:trPr>
          <w:trHeight w:val="172"/>
        </w:trPr>
        <w:tc>
          <w:tcPr>
            <w:tcW w:w="1440" w:type="dxa"/>
            <w:vAlign w:val="bottom"/>
            <w:shd w:val="clear" w:color="auto" w:fill="D9D9D9"/>
          </w:tcPr>
          <w:p>
            <w:pPr>
              <w:spacing w:after="0"/>
              <w:rPr>
                <w:sz w:val="14"/>
                <w:szCs w:val="14"/>
                <w:color w:val="auto"/>
              </w:rPr>
            </w:pPr>
          </w:p>
        </w:tc>
        <w:tc>
          <w:tcPr>
            <w:tcW w:w="9980" w:type="dxa"/>
            <w:vAlign w:val="bottom"/>
            <w:shd w:val="clear" w:color="auto" w:fill="D9D9D9"/>
          </w:tcPr>
          <w:p>
            <w:pPr>
              <w:ind w:left="200"/>
              <w:spacing w:after="0"/>
              <w:rPr>
                <w:sz w:val="20"/>
                <w:szCs w:val="20"/>
                <w:color w:val="auto"/>
              </w:rPr>
            </w:pPr>
            <w:r>
              <w:rPr>
                <w:rFonts w:ascii="Arial" w:cs="Arial" w:eastAsia="Arial" w:hAnsi="Arial"/>
                <w:sz w:val="15"/>
                <w:szCs w:val="15"/>
                <w:color w:val="auto"/>
                <w:w w:val="99"/>
              </w:rPr>
              <w:t>use, at no cost; provided, however, that directors are responsible for payment of applicable taxes attributable to the value of such items. The value of</w:t>
            </w:r>
          </w:p>
        </w:tc>
      </w:tr>
      <w:tr>
        <w:trPr>
          <w:trHeight w:val="172"/>
        </w:trPr>
        <w:tc>
          <w:tcPr>
            <w:tcW w:w="1440" w:type="dxa"/>
            <w:vAlign w:val="bottom"/>
            <w:shd w:val="clear" w:color="auto" w:fill="D9D9D9"/>
          </w:tcPr>
          <w:p>
            <w:pPr>
              <w:spacing w:after="0"/>
              <w:rPr>
                <w:sz w:val="14"/>
                <w:szCs w:val="14"/>
                <w:color w:val="auto"/>
              </w:rPr>
            </w:pPr>
          </w:p>
        </w:tc>
        <w:tc>
          <w:tcPr>
            <w:tcW w:w="9980" w:type="dxa"/>
            <w:vAlign w:val="bottom"/>
            <w:shd w:val="clear" w:color="auto" w:fill="D9D9D9"/>
          </w:tcPr>
          <w:p>
            <w:pPr>
              <w:ind w:left="200"/>
              <w:spacing w:after="0"/>
              <w:rPr>
                <w:sz w:val="20"/>
                <w:szCs w:val="20"/>
                <w:color w:val="auto"/>
              </w:rPr>
            </w:pPr>
            <w:r>
              <w:rPr>
                <w:rFonts w:ascii="Arial" w:cs="Arial" w:eastAsia="Arial" w:hAnsi="Arial"/>
                <w:sz w:val="15"/>
                <w:szCs w:val="15"/>
                <w:color w:val="auto"/>
              </w:rPr>
              <w:t>products, parts and accessories is deemed to be our distributor net price or its equivalent, which is also the price at which such items are generally</w:t>
            </w:r>
          </w:p>
        </w:tc>
      </w:tr>
      <w:tr>
        <w:trPr>
          <w:trHeight w:val="194"/>
        </w:trPr>
        <w:tc>
          <w:tcPr>
            <w:tcW w:w="1440" w:type="dxa"/>
            <w:vAlign w:val="bottom"/>
            <w:shd w:val="clear" w:color="auto" w:fill="D9D9D9"/>
          </w:tcPr>
          <w:p>
            <w:pPr>
              <w:spacing w:after="0"/>
              <w:rPr>
                <w:sz w:val="16"/>
                <w:szCs w:val="16"/>
                <w:color w:val="auto"/>
              </w:rPr>
            </w:pPr>
          </w:p>
        </w:tc>
        <w:tc>
          <w:tcPr>
            <w:tcW w:w="9980" w:type="dxa"/>
            <w:vAlign w:val="bottom"/>
            <w:shd w:val="clear" w:color="auto" w:fill="D9D9D9"/>
          </w:tcPr>
          <w:p>
            <w:pPr>
              <w:ind w:left="200"/>
              <w:spacing w:after="0"/>
              <w:rPr>
                <w:sz w:val="20"/>
                <w:szCs w:val="20"/>
                <w:color w:val="auto"/>
              </w:rPr>
            </w:pPr>
            <w:r>
              <w:rPr>
                <w:rFonts w:ascii="Arial" w:cs="Arial" w:eastAsia="Arial" w:hAnsi="Arial"/>
                <w:sz w:val="15"/>
                <w:szCs w:val="15"/>
                <w:color w:val="auto"/>
              </w:rPr>
              <w:t>available to our employees for purchase.</w:t>
            </w:r>
          </w:p>
        </w:tc>
      </w:tr>
      <w:tr>
        <w:trPr>
          <w:trHeight w:val="186"/>
        </w:trPr>
        <w:tc>
          <w:tcPr>
            <w:tcW w:w="1440" w:type="dxa"/>
            <w:vAlign w:val="bottom"/>
          </w:tcPr>
          <w:p>
            <w:pPr>
              <w:spacing w:after="0"/>
              <w:rPr>
                <w:sz w:val="20"/>
                <w:szCs w:val="20"/>
                <w:color w:val="auto"/>
              </w:rPr>
            </w:pPr>
            <w:r>
              <w:rPr>
                <w:rFonts w:ascii="Arial" w:cs="Arial" w:eastAsia="Arial" w:hAnsi="Arial"/>
                <w:sz w:val="15"/>
                <w:szCs w:val="15"/>
                <w:color w:val="auto"/>
              </w:rPr>
              <w:t>Charitable Giving</w:t>
            </w:r>
          </w:p>
        </w:tc>
        <w:tc>
          <w:tcPr>
            <w:tcW w:w="9980" w:type="dxa"/>
            <w:vAlign w:val="bottom"/>
          </w:tcPr>
          <w:p>
            <w:pPr>
              <w:ind w:left="200"/>
              <w:spacing w:after="0"/>
              <w:rPr>
                <w:sz w:val="20"/>
                <w:szCs w:val="20"/>
                <w:color w:val="auto"/>
              </w:rPr>
            </w:pPr>
            <w:r>
              <w:rPr>
                <w:rFonts w:ascii="Arial" w:cs="Arial" w:eastAsia="Arial" w:hAnsi="Arial"/>
                <w:sz w:val="15"/>
                <w:szCs w:val="15"/>
                <w:color w:val="auto"/>
                <w:w w:val="99"/>
              </w:rPr>
              <w:t>We offer a matching gift program for our non-employee directors, similar to the matching gift program offered to all employees, which provides that a</w:t>
            </w:r>
          </w:p>
        </w:tc>
      </w:tr>
      <w:tr>
        <w:trPr>
          <w:trHeight w:val="172"/>
        </w:trPr>
        <w:tc>
          <w:tcPr>
            <w:tcW w:w="1440" w:type="dxa"/>
            <w:vAlign w:val="bottom"/>
          </w:tcPr>
          <w:p>
            <w:pPr>
              <w:spacing w:after="0"/>
              <w:rPr>
                <w:sz w:val="14"/>
                <w:szCs w:val="14"/>
                <w:color w:val="auto"/>
              </w:rPr>
            </w:pPr>
          </w:p>
        </w:tc>
        <w:tc>
          <w:tcPr>
            <w:tcW w:w="9980" w:type="dxa"/>
            <w:vAlign w:val="bottom"/>
          </w:tcPr>
          <w:p>
            <w:pPr>
              <w:ind w:left="200"/>
              <w:spacing w:after="0"/>
              <w:rPr>
                <w:sz w:val="20"/>
                <w:szCs w:val="20"/>
                <w:color w:val="auto"/>
              </w:rPr>
            </w:pPr>
            <w:r>
              <w:rPr>
                <w:rFonts w:ascii="Arial" w:cs="Arial" w:eastAsia="Arial" w:hAnsi="Arial"/>
                <w:sz w:val="15"/>
                <w:szCs w:val="15"/>
                <w:color w:val="auto"/>
              </w:rPr>
              <w:t>gift or gifts by a director and/or his or her spouse to one or more tax exempt 501(c)(3) charitable organizations located in the United States will be</w:t>
            </w:r>
          </w:p>
        </w:tc>
      </w:tr>
      <w:tr>
        <w:trPr>
          <w:trHeight w:val="177"/>
        </w:trPr>
        <w:tc>
          <w:tcPr>
            <w:tcW w:w="1440" w:type="dxa"/>
            <w:vAlign w:val="bottom"/>
          </w:tcPr>
          <w:p>
            <w:pPr>
              <w:spacing w:after="0"/>
              <w:rPr>
                <w:sz w:val="15"/>
                <w:szCs w:val="15"/>
                <w:color w:val="auto"/>
              </w:rPr>
            </w:pPr>
          </w:p>
        </w:tc>
        <w:tc>
          <w:tcPr>
            <w:tcW w:w="9980" w:type="dxa"/>
            <w:vAlign w:val="bottom"/>
          </w:tcPr>
          <w:p>
            <w:pPr>
              <w:ind w:left="200"/>
              <w:spacing w:after="0"/>
              <w:rPr>
                <w:sz w:val="20"/>
                <w:szCs w:val="20"/>
                <w:color w:val="auto"/>
              </w:rPr>
            </w:pPr>
            <w:r>
              <w:rPr>
                <w:rFonts w:ascii="Arial" w:cs="Arial" w:eastAsia="Arial" w:hAnsi="Arial"/>
                <w:sz w:val="15"/>
                <w:szCs w:val="15"/>
                <w:color w:val="auto"/>
              </w:rPr>
              <w:t>matched by us in an aggregate amount of up to $1,000 per director per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7259320" cy="3498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9320" cy="3498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Indemnification and D&amp;OEach non-employee director is a party to an indemnification agreement with us pursuant to which we have agreed to provide indemnification and</w:t>
      </w:r>
    </w:p>
    <w:p>
      <w:pPr>
        <w:ind w:left="1640" w:right="60" w:hanging="1639"/>
        <w:spacing w:after="0" w:line="245" w:lineRule="auto"/>
        <w:tabs>
          <w:tab w:leader="none" w:pos="1620" w:val="left"/>
        </w:tabs>
        <w:rPr>
          <w:sz w:val="20"/>
          <w:szCs w:val="20"/>
          <w:color w:val="auto"/>
        </w:rPr>
      </w:pPr>
      <w:r>
        <w:rPr>
          <w:rFonts w:ascii="Arial" w:cs="Arial" w:eastAsia="Arial" w:hAnsi="Arial"/>
          <w:sz w:val="15"/>
          <w:szCs w:val="15"/>
          <w:color w:val="auto"/>
        </w:rPr>
        <w:t>Insurance</w:t>
      </w:r>
      <w:r>
        <w:rPr>
          <w:sz w:val="20"/>
          <w:szCs w:val="20"/>
          <w:color w:val="auto"/>
        </w:rPr>
        <w:tab/>
      </w:r>
      <w:r>
        <w:rPr>
          <w:rFonts w:ascii="Arial" w:cs="Arial" w:eastAsia="Arial" w:hAnsi="Arial"/>
          <w:sz w:val="15"/>
          <w:szCs w:val="15"/>
          <w:color w:val="auto"/>
        </w:rPr>
        <w:t>advancement of expenses to the fullest extent permitted by Delaware law and our Restated Certificate of Incorporation and continued coverage under our D&amp;O insurance.</w:t>
      </w:r>
    </w:p>
    <w:p>
      <w:pPr>
        <w:spacing w:after="0" w:line="91" w:lineRule="exact"/>
        <w:rPr>
          <w:sz w:val="20"/>
          <w:szCs w:val="20"/>
          <w:color w:val="auto"/>
        </w:rPr>
      </w:pPr>
    </w:p>
    <w:p>
      <w:pPr>
        <w:ind w:right="260" w:firstLine="408"/>
        <w:spacing w:after="0" w:line="281" w:lineRule="auto"/>
        <w:rPr>
          <w:sz w:val="20"/>
          <w:szCs w:val="20"/>
          <w:color w:val="auto"/>
        </w:rPr>
      </w:pPr>
      <w:r>
        <w:rPr>
          <w:rFonts w:ascii="Arial" w:cs="Arial" w:eastAsia="Arial" w:hAnsi="Arial"/>
          <w:sz w:val="16"/>
          <w:szCs w:val="16"/>
          <w:b w:val="1"/>
          <w:bCs w:val="1"/>
          <w:i w:val="1"/>
          <w:iCs w:val="1"/>
          <w:color w:val="auto"/>
        </w:rPr>
        <w:t xml:space="preserve">Stock Option Vesting. </w:t>
      </w:r>
      <w:r>
        <w:rPr>
          <w:rFonts w:ascii="Arial" w:cs="Arial" w:eastAsia="Arial" w:hAnsi="Arial"/>
          <w:sz w:val="16"/>
          <w:szCs w:val="16"/>
          <w:color w:val="auto"/>
        </w:rPr>
        <w:t>Except as described below, stock options granted to our non-employee directors vest in three equal installments on each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first, second and third year anniversaries of the date of grant and remain exercisable for a term of ten years after the date of grant.</w:t>
      </w:r>
    </w:p>
    <w:p>
      <w:pPr>
        <w:spacing w:after="0" w:line="55" w:lineRule="exact"/>
        <w:rPr>
          <w:sz w:val="20"/>
          <w:szCs w:val="20"/>
          <w:color w:val="auto"/>
        </w:rPr>
      </w:pPr>
    </w:p>
    <w:p>
      <w:pPr>
        <w:ind w:right="100" w:firstLine="408"/>
        <w:spacing w:after="0" w:line="247" w:lineRule="auto"/>
        <w:rPr>
          <w:sz w:val="20"/>
          <w:szCs w:val="20"/>
          <w:color w:val="auto"/>
        </w:rPr>
      </w:pPr>
      <w:r>
        <w:rPr>
          <w:rFonts w:ascii="Arial" w:cs="Arial" w:eastAsia="Arial" w:hAnsi="Arial"/>
          <w:sz w:val="16"/>
          <w:szCs w:val="16"/>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 one year after the date the director’s service ceased by reason of such disability or death.</w:t>
      </w:r>
    </w:p>
    <w:p>
      <w:pPr>
        <w:spacing w:after="0" w:line="81" w:lineRule="exact"/>
        <w:rPr>
          <w:sz w:val="20"/>
          <w:szCs w:val="20"/>
          <w:color w:val="auto"/>
        </w:rPr>
      </w:pPr>
    </w:p>
    <w:p>
      <w:pPr>
        <w:ind w:right="140" w:firstLine="408"/>
        <w:spacing w:after="0" w:line="241" w:lineRule="auto"/>
        <w:rPr>
          <w:sz w:val="20"/>
          <w:szCs w:val="20"/>
          <w:color w:val="auto"/>
        </w:rPr>
      </w:pPr>
      <w:r>
        <w:rPr>
          <w:rFonts w:ascii="Arial" w:cs="Arial" w:eastAsia="Arial" w:hAnsi="Arial"/>
          <w:sz w:val="16"/>
          <w:szCs w:val="16"/>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Janet K. Cooper, Gary L. Ellis, Katherine J. Harless and Gregg W. Steinhafel. In addition, Robert C. Buhrmaster and Christopher A. Twomey,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3" w:name="page34"/>
    <w:bookmarkEnd w:id="33"/>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2" w:right="200"/>
        <w:spacing w:after="0" w:line="255" w:lineRule="auto"/>
        <w:rPr>
          <w:sz w:val="20"/>
          <w:szCs w:val="20"/>
          <w:color w:val="auto"/>
        </w:rPr>
      </w:pPr>
      <w:r>
        <w:rPr>
          <w:rFonts w:ascii="Arial" w:cs="Arial" w:eastAsia="Arial" w:hAnsi="Arial"/>
          <w:sz w:val="16"/>
          <w:szCs w:val="16"/>
          <w:color w:val="auto"/>
        </w:rPr>
        <w:t>each a former director, had completed more than ten full fiscal years of service on our Board as of the 2019 Annual Meeting of Shareholders, which was the day each retired from service as a director of our Company.</w:t>
      </w:r>
    </w:p>
    <w:p>
      <w:pPr>
        <w:spacing w:after="0" w:line="75" w:lineRule="exact"/>
        <w:rPr>
          <w:sz w:val="20"/>
          <w:szCs w:val="20"/>
          <w:color w:val="auto"/>
        </w:rPr>
      </w:pPr>
    </w:p>
    <w:p>
      <w:pPr>
        <w:ind w:left="2" w:right="20" w:firstLine="408"/>
        <w:spacing w:after="0" w:line="244" w:lineRule="auto"/>
        <w:rPr>
          <w:sz w:val="20"/>
          <w:szCs w:val="20"/>
          <w:color w:val="auto"/>
        </w:rPr>
      </w:pPr>
      <w:r>
        <w:rPr>
          <w:rFonts w:ascii="Arial" w:cs="Arial" w:eastAsia="Arial" w:hAnsi="Arial"/>
          <w:sz w:val="16"/>
          <w:szCs w:val="16"/>
          <w:color w:val="auto"/>
        </w:rPr>
        <w:t>If there is a change in control of our Company, stock options granted under the 2010 Plan will vest immediately and remain exercisable for the remaining term and stock options granted under The Toro Company 2000 Directors Stock Plan, as amended, or 2000 Directors Stock Plan, will remain exercisable for three years or their respective expiration date, if earlier. The general definition of a change in control under the 2010 Plan and the 2000 Directors Stock Plan is described under “Potential Payments upon Termination or Change in Control—Change in Control” beginning on page 55.</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Director Compensation for Fiscal 2019</w:t>
      </w:r>
    </w:p>
    <w:p>
      <w:pPr>
        <w:spacing w:after="0" w:line="112" w:lineRule="exact"/>
        <w:rPr>
          <w:sz w:val="20"/>
          <w:szCs w:val="20"/>
          <w:color w:val="auto"/>
        </w:rPr>
      </w:pPr>
    </w:p>
    <w:p>
      <w:pPr>
        <w:ind w:left="2" w:right="20" w:firstLine="408"/>
        <w:spacing w:after="0" w:line="247" w:lineRule="auto"/>
        <w:rPr>
          <w:sz w:val="20"/>
          <w:szCs w:val="20"/>
          <w:color w:val="auto"/>
        </w:rPr>
      </w:pPr>
      <w:r>
        <w:rPr>
          <w:rFonts w:ascii="Arial" w:cs="Arial" w:eastAsia="Arial" w:hAnsi="Arial"/>
          <w:sz w:val="16"/>
          <w:szCs w:val="16"/>
          <w:color w:val="auto"/>
        </w:rPr>
        <w:t>The following table provides summary information concerning the compensation of each individual non-employee director who served during fiscal 2019. Richard M. Olson, our Chairman and CEO, is not compensated separately for his service as a director. Mr. Olson’s compensation is discussed in the “Executive Compensation” section beginning on page 28.</w:t>
      </w:r>
    </w:p>
    <w:p>
      <w:pPr>
        <w:spacing w:after="0" w:line="9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260" w:type="dxa"/>
            <w:vAlign w:val="bottom"/>
            <w:shd w:val="clear" w:color="auto" w:fill="C00000"/>
          </w:tcPr>
          <w:p>
            <w:pPr>
              <w:spacing w:after="0"/>
              <w:rPr>
                <w:sz w:val="13"/>
                <w:szCs w:val="13"/>
                <w:color w:val="auto"/>
              </w:rPr>
            </w:pPr>
          </w:p>
        </w:tc>
        <w:tc>
          <w:tcPr>
            <w:tcW w:w="1840" w:type="dxa"/>
            <w:vAlign w:val="bottom"/>
            <w:shd w:val="clear" w:color="auto" w:fill="C00000"/>
          </w:tcPr>
          <w:p>
            <w:pPr>
              <w:jc w:val="center"/>
              <w:ind w:right="29"/>
              <w:spacing w:after="0"/>
              <w:rPr>
                <w:sz w:val="20"/>
                <w:szCs w:val="20"/>
                <w:color w:val="auto"/>
              </w:rPr>
            </w:pPr>
            <w:r>
              <w:rPr>
                <w:rFonts w:ascii="Arial" w:cs="Arial" w:eastAsia="Arial" w:hAnsi="Arial"/>
                <w:sz w:val="13"/>
                <w:szCs w:val="13"/>
                <w:b w:val="1"/>
                <w:bCs w:val="1"/>
                <w:color w:val="FFFFFF"/>
              </w:rPr>
              <w:t>Fees Earned or</w:t>
            </w:r>
          </w:p>
        </w:tc>
        <w:tc>
          <w:tcPr>
            <w:tcW w:w="1620" w:type="dxa"/>
            <w:vAlign w:val="bottom"/>
            <w:shd w:val="clear" w:color="auto" w:fill="C00000"/>
          </w:tcPr>
          <w:p>
            <w:pPr>
              <w:spacing w:after="0"/>
              <w:rPr>
                <w:sz w:val="13"/>
                <w:szCs w:val="13"/>
                <w:color w:val="auto"/>
              </w:rPr>
            </w:pPr>
          </w:p>
        </w:tc>
        <w:tc>
          <w:tcPr>
            <w:tcW w:w="1640" w:type="dxa"/>
            <w:vAlign w:val="bottom"/>
            <w:shd w:val="clear" w:color="auto" w:fill="C00000"/>
          </w:tcPr>
          <w:p>
            <w:pPr>
              <w:spacing w:after="0"/>
              <w:rPr>
                <w:sz w:val="13"/>
                <w:szCs w:val="13"/>
                <w:color w:val="auto"/>
              </w:rPr>
            </w:pPr>
          </w:p>
        </w:tc>
        <w:tc>
          <w:tcPr>
            <w:tcW w:w="1780" w:type="dxa"/>
            <w:vAlign w:val="bottom"/>
            <w:shd w:val="clear" w:color="auto" w:fill="C00000"/>
          </w:tcPr>
          <w:p>
            <w:pPr>
              <w:jc w:val="center"/>
              <w:ind w:right="389"/>
              <w:spacing w:after="0"/>
              <w:rPr>
                <w:sz w:val="20"/>
                <w:szCs w:val="20"/>
                <w:color w:val="auto"/>
              </w:rPr>
            </w:pPr>
            <w:r>
              <w:rPr>
                <w:rFonts w:ascii="Arial" w:cs="Arial" w:eastAsia="Arial" w:hAnsi="Arial"/>
                <w:sz w:val="13"/>
                <w:szCs w:val="13"/>
                <w:b w:val="1"/>
                <w:bCs w:val="1"/>
                <w:color w:val="FFFFFF"/>
              </w:rPr>
              <w:t>All Other</w:t>
            </w:r>
          </w:p>
        </w:tc>
        <w:tc>
          <w:tcPr>
            <w:tcW w:w="1280" w:type="dxa"/>
            <w:vAlign w:val="bottom"/>
            <w:shd w:val="clear" w:color="auto" w:fill="C00000"/>
          </w:tcPr>
          <w:p>
            <w:pPr>
              <w:spacing w:after="0"/>
              <w:rPr>
                <w:sz w:val="13"/>
                <w:szCs w:val="13"/>
                <w:color w:val="auto"/>
              </w:rPr>
            </w:pPr>
          </w:p>
        </w:tc>
      </w:tr>
      <w:tr>
        <w:trPr>
          <w:trHeight w:val="142"/>
        </w:trPr>
        <w:tc>
          <w:tcPr>
            <w:tcW w:w="3260" w:type="dxa"/>
            <w:vAlign w:val="bottom"/>
            <w:shd w:val="clear" w:color="auto" w:fill="C00000"/>
          </w:tcPr>
          <w:p>
            <w:pPr>
              <w:spacing w:after="0"/>
              <w:rPr>
                <w:sz w:val="12"/>
                <w:szCs w:val="12"/>
                <w:color w:val="auto"/>
              </w:rPr>
            </w:pPr>
          </w:p>
        </w:tc>
        <w:tc>
          <w:tcPr>
            <w:tcW w:w="1840" w:type="dxa"/>
            <w:vAlign w:val="bottom"/>
            <w:shd w:val="clear" w:color="auto" w:fill="C00000"/>
          </w:tcPr>
          <w:p>
            <w:pPr>
              <w:jc w:val="center"/>
              <w:ind w:right="29"/>
              <w:spacing w:after="0" w:line="143" w:lineRule="exact"/>
              <w:rPr>
                <w:sz w:val="20"/>
                <w:szCs w:val="20"/>
                <w:color w:val="auto"/>
              </w:rPr>
            </w:pPr>
            <w:r>
              <w:rPr>
                <w:rFonts w:ascii="Arial" w:cs="Arial" w:eastAsia="Arial" w:hAnsi="Arial"/>
                <w:sz w:val="13"/>
                <w:szCs w:val="13"/>
                <w:b w:val="1"/>
                <w:bCs w:val="1"/>
                <w:color w:val="FFFFFF"/>
                <w:w w:val="99"/>
              </w:rPr>
              <w:t>Paid in Cash</w:t>
            </w:r>
          </w:p>
        </w:tc>
        <w:tc>
          <w:tcPr>
            <w:tcW w:w="1620" w:type="dxa"/>
            <w:vAlign w:val="bottom"/>
            <w:shd w:val="clear" w:color="auto" w:fill="C00000"/>
          </w:tcPr>
          <w:p>
            <w:pPr>
              <w:jc w:val="right"/>
              <w:ind w:right="448"/>
              <w:spacing w:after="0" w:line="143" w:lineRule="exact"/>
              <w:rPr>
                <w:sz w:val="20"/>
                <w:szCs w:val="20"/>
                <w:color w:val="auto"/>
              </w:rPr>
            </w:pPr>
            <w:r>
              <w:rPr>
                <w:rFonts w:ascii="Arial" w:cs="Arial" w:eastAsia="Arial" w:hAnsi="Arial"/>
                <w:sz w:val="13"/>
                <w:szCs w:val="13"/>
                <w:b w:val="1"/>
                <w:bCs w:val="1"/>
                <w:color w:val="FFFFFF"/>
              </w:rPr>
              <w:t>Stock Awards</w:t>
            </w:r>
          </w:p>
        </w:tc>
        <w:tc>
          <w:tcPr>
            <w:tcW w:w="1640" w:type="dxa"/>
            <w:vAlign w:val="bottom"/>
            <w:shd w:val="clear" w:color="auto" w:fill="C00000"/>
          </w:tcPr>
          <w:p>
            <w:pPr>
              <w:jc w:val="right"/>
              <w:ind w:right="429"/>
              <w:spacing w:after="0" w:line="143" w:lineRule="exact"/>
              <w:rPr>
                <w:sz w:val="20"/>
                <w:szCs w:val="20"/>
                <w:color w:val="auto"/>
              </w:rPr>
            </w:pPr>
            <w:r>
              <w:rPr>
                <w:rFonts w:ascii="Arial" w:cs="Arial" w:eastAsia="Arial" w:hAnsi="Arial"/>
                <w:sz w:val="13"/>
                <w:szCs w:val="13"/>
                <w:b w:val="1"/>
                <w:bCs w:val="1"/>
                <w:color w:val="FFFFFF"/>
              </w:rPr>
              <w:t>Option Awards</w:t>
            </w:r>
          </w:p>
        </w:tc>
        <w:tc>
          <w:tcPr>
            <w:tcW w:w="1780" w:type="dxa"/>
            <w:vAlign w:val="bottom"/>
            <w:shd w:val="clear" w:color="auto" w:fill="C00000"/>
          </w:tcPr>
          <w:p>
            <w:pPr>
              <w:jc w:val="center"/>
              <w:ind w:right="389"/>
              <w:spacing w:after="0" w:line="143" w:lineRule="exact"/>
              <w:rPr>
                <w:sz w:val="20"/>
                <w:szCs w:val="20"/>
                <w:color w:val="auto"/>
              </w:rPr>
            </w:pPr>
            <w:r>
              <w:rPr>
                <w:rFonts w:ascii="Arial" w:cs="Arial" w:eastAsia="Arial" w:hAnsi="Arial"/>
                <w:sz w:val="13"/>
                <w:szCs w:val="13"/>
                <w:b w:val="1"/>
                <w:bCs w:val="1"/>
                <w:color w:val="FFFFFF"/>
              </w:rPr>
              <w:t>Compensation</w:t>
            </w:r>
          </w:p>
        </w:tc>
        <w:tc>
          <w:tcPr>
            <w:tcW w:w="1280" w:type="dxa"/>
            <w:vAlign w:val="bottom"/>
            <w:shd w:val="clear" w:color="auto" w:fill="C00000"/>
          </w:tcPr>
          <w:p>
            <w:pPr>
              <w:jc w:val="right"/>
              <w:ind w:right="528"/>
              <w:spacing w:after="0" w:line="143" w:lineRule="exact"/>
              <w:rPr>
                <w:sz w:val="20"/>
                <w:szCs w:val="20"/>
                <w:color w:val="auto"/>
              </w:rPr>
            </w:pPr>
            <w:r>
              <w:rPr>
                <w:rFonts w:ascii="Arial" w:cs="Arial" w:eastAsia="Arial" w:hAnsi="Arial"/>
                <w:sz w:val="13"/>
                <w:szCs w:val="13"/>
                <w:b w:val="1"/>
                <w:bCs w:val="1"/>
                <w:color w:val="FFFFFF"/>
              </w:rPr>
              <w:t>Total</w:t>
            </w:r>
          </w:p>
        </w:tc>
      </w:tr>
      <w:tr>
        <w:trPr>
          <w:trHeight w:val="163"/>
        </w:trPr>
        <w:tc>
          <w:tcPr>
            <w:tcW w:w="32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1840" w:type="dxa"/>
            <w:vAlign w:val="bottom"/>
            <w:shd w:val="clear" w:color="auto" w:fill="C00000"/>
          </w:tcPr>
          <w:p>
            <w:pPr>
              <w:jc w:val="center"/>
              <w:ind w:right="29"/>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(1)</w:t>
            </w:r>
          </w:p>
        </w:tc>
        <w:tc>
          <w:tcPr>
            <w:tcW w:w="1620" w:type="dxa"/>
            <w:vAlign w:val="bottom"/>
            <w:shd w:val="clear" w:color="auto" w:fill="C00000"/>
          </w:tcPr>
          <w:p>
            <w:pPr>
              <w:jc w:val="right"/>
              <w:ind w:right="728"/>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(2)</w:t>
            </w:r>
          </w:p>
        </w:tc>
        <w:tc>
          <w:tcPr>
            <w:tcW w:w="1640" w:type="dxa"/>
            <w:vAlign w:val="bottom"/>
            <w:shd w:val="clear" w:color="auto" w:fill="C00000"/>
          </w:tcPr>
          <w:p>
            <w:pPr>
              <w:jc w:val="right"/>
              <w:ind w:right="689"/>
              <w:spacing w:after="0" w:line="164"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9"/>
                <w:szCs w:val="9"/>
                <w:b w:val="1"/>
                <w:bCs w:val="1"/>
                <w:color w:val="FFFFFF"/>
              </w:rPr>
              <w:t>(3)(4)</w:t>
            </w:r>
          </w:p>
        </w:tc>
        <w:tc>
          <w:tcPr>
            <w:tcW w:w="1780" w:type="dxa"/>
            <w:vAlign w:val="bottom"/>
            <w:shd w:val="clear" w:color="auto" w:fill="C00000"/>
          </w:tcPr>
          <w:p>
            <w:pPr>
              <w:jc w:val="center"/>
              <w:ind w:right="389"/>
              <w:spacing w:after="0" w:line="164" w:lineRule="exact"/>
              <w:rPr>
                <w:sz w:val="20"/>
                <w:szCs w:val="20"/>
                <w:color w:val="auto"/>
              </w:rPr>
            </w:pPr>
            <w:r>
              <w:rPr>
                <w:rFonts w:ascii="Arial" w:cs="Arial" w:eastAsia="Arial" w:hAnsi="Arial"/>
                <w:sz w:val="11"/>
                <w:szCs w:val="11"/>
                <w:b w:val="1"/>
                <w:bCs w:val="1"/>
                <w:color w:val="FFFFFF"/>
                <w:w w:val="99"/>
              </w:rPr>
              <w:t>($)</w:t>
            </w:r>
            <w:r>
              <w:rPr>
                <w:rFonts w:ascii="Arial" w:cs="Arial" w:eastAsia="Arial" w:hAnsi="Arial"/>
                <w:sz w:val="18"/>
                <w:szCs w:val="18"/>
                <w:b w:val="1"/>
                <w:bCs w:val="1"/>
                <w:color w:val="FFFFFF"/>
                <w:w w:val="99"/>
                <w:vertAlign w:val="superscript"/>
              </w:rPr>
              <w:t>(5)</w:t>
            </w:r>
          </w:p>
        </w:tc>
        <w:tc>
          <w:tcPr>
            <w:tcW w:w="1280" w:type="dxa"/>
            <w:vAlign w:val="bottom"/>
            <w:shd w:val="clear" w:color="auto" w:fill="C00000"/>
          </w:tcPr>
          <w:p>
            <w:pPr>
              <w:jc w:val="right"/>
              <w:ind w:right="608"/>
              <w:spacing w:after="0"/>
              <w:rPr>
                <w:sz w:val="20"/>
                <w:szCs w:val="20"/>
                <w:color w:val="auto"/>
              </w:rPr>
            </w:pPr>
            <w:r>
              <w:rPr>
                <w:rFonts w:ascii="Arial" w:cs="Arial" w:eastAsia="Arial" w:hAnsi="Arial"/>
                <w:sz w:val="13"/>
                <w:szCs w:val="13"/>
                <w:b w:val="1"/>
                <w:bCs w:val="1"/>
                <w:color w:val="FFFFFF"/>
              </w:rPr>
              <w:t>($)</w:t>
            </w:r>
          </w:p>
        </w:tc>
      </w:tr>
      <w:tr>
        <w:trPr>
          <w:trHeight w:val="221"/>
        </w:trPr>
        <w:tc>
          <w:tcPr>
            <w:tcW w:w="3260" w:type="dxa"/>
            <w:vAlign w:val="bottom"/>
          </w:tcPr>
          <w:p>
            <w:pPr>
              <w:spacing w:after="0" w:line="220" w:lineRule="exact"/>
              <w:rPr>
                <w:sz w:val="20"/>
                <w:szCs w:val="20"/>
                <w:color w:val="auto"/>
              </w:rPr>
            </w:pPr>
            <w:r>
              <w:rPr>
                <w:rFonts w:ascii="Arial" w:cs="Arial" w:eastAsia="Arial" w:hAnsi="Arial"/>
                <w:sz w:val="15"/>
                <w:szCs w:val="15"/>
                <w:color w:val="auto"/>
              </w:rPr>
              <w:t>Robert C. Buhrmaster</w:t>
            </w:r>
            <w:r>
              <w:rPr>
                <w:rFonts w:ascii="Arial" w:cs="Arial" w:eastAsia="Arial" w:hAnsi="Arial"/>
                <w:sz w:val="24"/>
                <w:szCs w:val="24"/>
                <w:color w:val="auto"/>
                <w:vertAlign w:val="superscript"/>
              </w:rPr>
              <w:t>(6)</w:t>
            </w:r>
          </w:p>
        </w:tc>
        <w:tc>
          <w:tcPr>
            <w:tcW w:w="1840" w:type="dxa"/>
            <w:vAlign w:val="bottom"/>
          </w:tcPr>
          <w:p>
            <w:pPr>
              <w:jc w:val="right"/>
              <w:ind w:right="149"/>
              <w:spacing w:after="0"/>
              <w:rPr>
                <w:sz w:val="20"/>
                <w:szCs w:val="20"/>
                <w:color w:val="auto"/>
              </w:rPr>
            </w:pPr>
            <w:r>
              <w:rPr>
                <w:rFonts w:ascii="Arial" w:cs="Arial" w:eastAsia="Arial" w:hAnsi="Arial"/>
                <w:sz w:val="15"/>
                <w:szCs w:val="15"/>
                <w:color w:val="auto"/>
              </w:rPr>
              <w:t>52,300</w:t>
            </w:r>
          </w:p>
        </w:tc>
        <w:tc>
          <w:tcPr>
            <w:tcW w:w="1620" w:type="dxa"/>
            <w:vAlign w:val="bottom"/>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tcPr>
          <w:p>
            <w:pPr>
              <w:jc w:val="right"/>
              <w:ind w:right="309"/>
              <w:spacing w:after="0"/>
              <w:rPr>
                <w:sz w:val="20"/>
                <w:szCs w:val="20"/>
                <w:color w:val="auto"/>
              </w:rPr>
            </w:pPr>
            <w:r>
              <w:rPr>
                <w:rFonts w:ascii="Arial" w:cs="Arial" w:eastAsia="Arial" w:hAnsi="Arial"/>
                <w:sz w:val="15"/>
                <w:szCs w:val="15"/>
                <w:color w:val="auto"/>
              </w:rPr>
              <w:t>2,762</w:t>
            </w:r>
          </w:p>
        </w:tc>
        <w:tc>
          <w:tcPr>
            <w:tcW w:w="1280" w:type="dxa"/>
            <w:vAlign w:val="bottom"/>
          </w:tcPr>
          <w:p>
            <w:pPr>
              <w:jc w:val="right"/>
              <w:spacing w:after="0"/>
              <w:rPr>
                <w:sz w:val="20"/>
                <w:szCs w:val="20"/>
                <w:color w:val="auto"/>
              </w:rPr>
            </w:pPr>
            <w:r>
              <w:rPr>
                <w:rFonts w:ascii="Arial" w:cs="Arial" w:eastAsia="Arial" w:hAnsi="Arial"/>
                <w:sz w:val="15"/>
                <w:szCs w:val="15"/>
                <w:color w:val="auto"/>
              </w:rPr>
              <w:t>169,208</w:t>
            </w:r>
          </w:p>
        </w:tc>
      </w:tr>
      <w:tr>
        <w:trPr>
          <w:trHeight w:val="221"/>
        </w:trPr>
        <w:tc>
          <w:tcPr>
            <w:tcW w:w="3260" w:type="dxa"/>
            <w:vAlign w:val="bottom"/>
            <w:shd w:val="clear" w:color="auto" w:fill="D9D9D9"/>
          </w:tcPr>
          <w:p>
            <w:pPr>
              <w:spacing w:after="0"/>
              <w:rPr>
                <w:sz w:val="20"/>
                <w:szCs w:val="20"/>
                <w:color w:val="auto"/>
              </w:rPr>
            </w:pPr>
            <w:r>
              <w:rPr>
                <w:rFonts w:ascii="Arial" w:cs="Arial" w:eastAsia="Arial" w:hAnsi="Arial"/>
                <w:sz w:val="15"/>
                <w:szCs w:val="15"/>
                <w:color w:val="auto"/>
              </w:rPr>
              <w:t>Janet K. Cooper</w:t>
            </w:r>
          </w:p>
        </w:tc>
        <w:tc>
          <w:tcPr>
            <w:tcW w:w="18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118,500</w:t>
            </w:r>
          </w:p>
        </w:tc>
        <w:tc>
          <w:tcPr>
            <w:tcW w:w="1620" w:type="dxa"/>
            <w:vAlign w:val="bottom"/>
            <w:shd w:val="clear" w:color="auto" w:fill="D9D9D9"/>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shd w:val="clear" w:color="auto" w:fill="D9D9D9"/>
          </w:tcPr>
          <w:p>
            <w:pPr>
              <w:jc w:val="right"/>
              <w:ind w:right="309"/>
              <w:spacing w:after="0"/>
              <w:rPr>
                <w:sz w:val="20"/>
                <w:szCs w:val="20"/>
                <w:color w:val="auto"/>
              </w:rPr>
            </w:pPr>
            <w:r>
              <w:rPr>
                <w:rFonts w:ascii="Arial" w:cs="Arial" w:eastAsia="Arial" w:hAnsi="Arial"/>
                <w:sz w:val="15"/>
                <w:szCs w:val="15"/>
                <w:color w:val="auto"/>
              </w:rPr>
              <w:t>51</w:t>
            </w:r>
          </w:p>
        </w:tc>
        <w:tc>
          <w:tcPr>
            <w:tcW w:w="1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232,697</w:t>
            </w:r>
          </w:p>
        </w:tc>
      </w:tr>
      <w:tr>
        <w:trPr>
          <w:trHeight w:val="212"/>
        </w:trPr>
        <w:tc>
          <w:tcPr>
            <w:tcW w:w="3260" w:type="dxa"/>
            <w:vAlign w:val="bottom"/>
          </w:tcPr>
          <w:p>
            <w:pPr>
              <w:spacing w:after="0"/>
              <w:rPr>
                <w:sz w:val="20"/>
                <w:szCs w:val="20"/>
                <w:color w:val="auto"/>
              </w:rPr>
            </w:pPr>
            <w:r>
              <w:rPr>
                <w:rFonts w:ascii="Arial" w:cs="Arial" w:eastAsia="Arial" w:hAnsi="Arial"/>
                <w:sz w:val="15"/>
                <w:szCs w:val="15"/>
                <w:color w:val="auto"/>
              </w:rPr>
              <w:t>Gary L. Ellis</w:t>
            </w:r>
          </w:p>
        </w:tc>
        <w:tc>
          <w:tcPr>
            <w:tcW w:w="1840" w:type="dxa"/>
            <w:vAlign w:val="bottom"/>
          </w:tcPr>
          <w:p>
            <w:pPr>
              <w:jc w:val="right"/>
              <w:ind w:right="149"/>
              <w:spacing w:after="0"/>
              <w:rPr>
                <w:sz w:val="20"/>
                <w:szCs w:val="20"/>
                <w:color w:val="auto"/>
              </w:rPr>
            </w:pPr>
            <w:r>
              <w:rPr>
                <w:rFonts w:ascii="Arial" w:cs="Arial" w:eastAsia="Arial" w:hAnsi="Arial"/>
                <w:sz w:val="15"/>
                <w:szCs w:val="15"/>
                <w:color w:val="auto"/>
              </w:rPr>
              <w:t>121,750</w:t>
            </w:r>
          </w:p>
        </w:tc>
        <w:tc>
          <w:tcPr>
            <w:tcW w:w="1620" w:type="dxa"/>
            <w:vAlign w:val="bottom"/>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tcPr>
          <w:p>
            <w:pPr>
              <w:jc w:val="right"/>
              <w:ind w:right="309"/>
              <w:spacing w:after="0"/>
              <w:rPr>
                <w:sz w:val="20"/>
                <w:szCs w:val="20"/>
                <w:color w:val="auto"/>
              </w:rPr>
            </w:pPr>
            <w:r>
              <w:rPr>
                <w:rFonts w:ascii="Arial" w:cs="Arial" w:eastAsia="Arial" w:hAnsi="Arial"/>
                <w:sz w:val="15"/>
                <w:szCs w:val="15"/>
                <w:color w:val="auto"/>
              </w:rPr>
              <w:t>3,324</w:t>
            </w:r>
          </w:p>
        </w:tc>
        <w:tc>
          <w:tcPr>
            <w:tcW w:w="1280" w:type="dxa"/>
            <w:vAlign w:val="bottom"/>
          </w:tcPr>
          <w:p>
            <w:pPr>
              <w:jc w:val="right"/>
              <w:spacing w:after="0"/>
              <w:rPr>
                <w:sz w:val="20"/>
                <w:szCs w:val="20"/>
                <w:color w:val="auto"/>
              </w:rPr>
            </w:pPr>
            <w:r>
              <w:rPr>
                <w:rFonts w:ascii="Arial" w:cs="Arial" w:eastAsia="Arial" w:hAnsi="Arial"/>
                <w:sz w:val="15"/>
                <w:szCs w:val="15"/>
                <w:color w:val="auto"/>
              </w:rPr>
              <w:t>239,220</w:t>
            </w:r>
          </w:p>
        </w:tc>
      </w:tr>
      <w:tr>
        <w:trPr>
          <w:trHeight w:val="229"/>
        </w:trPr>
        <w:tc>
          <w:tcPr>
            <w:tcW w:w="3260" w:type="dxa"/>
            <w:vAlign w:val="bottom"/>
            <w:shd w:val="clear" w:color="auto" w:fill="D9D9D9"/>
          </w:tcPr>
          <w:p>
            <w:pPr>
              <w:spacing w:after="0" w:line="229" w:lineRule="exact"/>
              <w:rPr>
                <w:sz w:val="20"/>
                <w:szCs w:val="20"/>
                <w:color w:val="auto"/>
              </w:rPr>
            </w:pPr>
            <w:r>
              <w:rPr>
                <w:rFonts w:ascii="Arial" w:cs="Arial" w:eastAsia="Arial" w:hAnsi="Arial"/>
                <w:sz w:val="15"/>
                <w:szCs w:val="15"/>
                <w:color w:val="auto"/>
              </w:rPr>
              <w:t>Jeffrey M. Ettinger</w:t>
            </w:r>
            <w:r>
              <w:rPr>
                <w:rFonts w:ascii="Arial" w:cs="Arial" w:eastAsia="Arial" w:hAnsi="Arial"/>
                <w:sz w:val="24"/>
                <w:szCs w:val="24"/>
                <w:color w:val="auto"/>
                <w:vertAlign w:val="superscript"/>
              </w:rPr>
              <w:t>(7)</w:t>
            </w:r>
          </w:p>
        </w:tc>
        <w:tc>
          <w:tcPr>
            <w:tcW w:w="18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97,725</w:t>
            </w:r>
          </w:p>
        </w:tc>
        <w:tc>
          <w:tcPr>
            <w:tcW w:w="1620" w:type="dxa"/>
            <w:vAlign w:val="bottom"/>
            <w:shd w:val="clear" w:color="auto" w:fill="D9D9D9"/>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shd w:val="clear" w:color="auto" w:fill="D9D9D9"/>
          </w:tcPr>
          <w:p>
            <w:pPr>
              <w:jc w:val="right"/>
              <w:ind w:right="309"/>
              <w:spacing w:after="0"/>
              <w:rPr>
                <w:sz w:val="20"/>
                <w:szCs w:val="20"/>
                <w:color w:val="auto"/>
              </w:rPr>
            </w:pPr>
            <w:r>
              <w:rPr>
                <w:rFonts w:ascii="Arial" w:cs="Arial" w:eastAsia="Arial" w:hAnsi="Arial"/>
                <w:sz w:val="15"/>
                <w:szCs w:val="15"/>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211,871</w:t>
            </w:r>
          </w:p>
        </w:tc>
      </w:tr>
      <w:tr>
        <w:trPr>
          <w:trHeight w:val="221"/>
        </w:trPr>
        <w:tc>
          <w:tcPr>
            <w:tcW w:w="3260" w:type="dxa"/>
            <w:vAlign w:val="bottom"/>
          </w:tcPr>
          <w:p>
            <w:pPr>
              <w:spacing w:after="0" w:line="220" w:lineRule="exact"/>
              <w:rPr>
                <w:sz w:val="20"/>
                <w:szCs w:val="20"/>
                <w:color w:val="auto"/>
              </w:rPr>
            </w:pPr>
            <w:r>
              <w:rPr>
                <w:rFonts w:ascii="Arial" w:cs="Arial" w:eastAsia="Arial" w:hAnsi="Arial"/>
                <w:sz w:val="15"/>
                <w:szCs w:val="15"/>
                <w:color w:val="auto"/>
              </w:rPr>
              <w:t>Katherine J. Harless</w:t>
            </w:r>
            <w:r>
              <w:rPr>
                <w:rFonts w:ascii="Arial" w:cs="Arial" w:eastAsia="Arial" w:hAnsi="Arial"/>
                <w:sz w:val="24"/>
                <w:szCs w:val="24"/>
                <w:color w:val="auto"/>
                <w:vertAlign w:val="superscript"/>
              </w:rPr>
              <w:t>(8)</w:t>
            </w:r>
          </w:p>
        </w:tc>
        <w:tc>
          <w:tcPr>
            <w:tcW w:w="1840" w:type="dxa"/>
            <w:vAlign w:val="bottom"/>
          </w:tcPr>
          <w:p>
            <w:pPr>
              <w:jc w:val="right"/>
              <w:ind w:right="149"/>
              <w:spacing w:after="0"/>
              <w:rPr>
                <w:sz w:val="20"/>
                <w:szCs w:val="20"/>
                <w:color w:val="auto"/>
              </w:rPr>
            </w:pPr>
            <w:r>
              <w:rPr>
                <w:rFonts w:ascii="Arial" w:cs="Arial" w:eastAsia="Arial" w:hAnsi="Arial"/>
                <w:sz w:val="15"/>
                <w:szCs w:val="15"/>
                <w:color w:val="auto"/>
              </w:rPr>
              <w:t>98,500</w:t>
            </w:r>
          </w:p>
        </w:tc>
        <w:tc>
          <w:tcPr>
            <w:tcW w:w="1620" w:type="dxa"/>
            <w:vAlign w:val="bottom"/>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tcPr>
          <w:p>
            <w:pPr>
              <w:jc w:val="right"/>
              <w:ind w:right="309"/>
              <w:spacing w:after="0"/>
              <w:rPr>
                <w:sz w:val="20"/>
                <w:szCs w:val="20"/>
                <w:color w:val="auto"/>
              </w:rPr>
            </w:pPr>
            <w:r>
              <w:rPr>
                <w:rFonts w:ascii="Arial" w:cs="Arial" w:eastAsia="Arial" w:hAnsi="Arial"/>
                <w:sz w:val="15"/>
                <w:szCs w:val="15"/>
                <w:color w:val="auto"/>
              </w:rPr>
              <w:t>2,438</w:t>
            </w:r>
          </w:p>
        </w:tc>
        <w:tc>
          <w:tcPr>
            <w:tcW w:w="1280" w:type="dxa"/>
            <w:vAlign w:val="bottom"/>
          </w:tcPr>
          <w:p>
            <w:pPr>
              <w:jc w:val="right"/>
              <w:spacing w:after="0"/>
              <w:rPr>
                <w:sz w:val="20"/>
                <w:szCs w:val="20"/>
                <w:color w:val="auto"/>
              </w:rPr>
            </w:pPr>
            <w:r>
              <w:rPr>
                <w:rFonts w:ascii="Arial" w:cs="Arial" w:eastAsia="Arial" w:hAnsi="Arial"/>
                <w:sz w:val="15"/>
                <w:szCs w:val="15"/>
                <w:color w:val="auto"/>
              </w:rPr>
              <w:t>215,084</w:t>
            </w:r>
          </w:p>
        </w:tc>
      </w:tr>
      <w:tr>
        <w:trPr>
          <w:trHeight w:val="221"/>
        </w:trPr>
        <w:tc>
          <w:tcPr>
            <w:tcW w:w="3260" w:type="dxa"/>
            <w:vAlign w:val="bottom"/>
            <w:shd w:val="clear" w:color="auto" w:fill="D9D9D9"/>
          </w:tcPr>
          <w:p>
            <w:pPr>
              <w:spacing w:after="0" w:line="220" w:lineRule="exact"/>
              <w:rPr>
                <w:sz w:val="20"/>
                <w:szCs w:val="20"/>
                <w:color w:val="auto"/>
              </w:rPr>
            </w:pPr>
            <w:r>
              <w:rPr>
                <w:rFonts w:ascii="Arial" w:cs="Arial" w:eastAsia="Arial" w:hAnsi="Arial"/>
                <w:sz w:val="15"/>
                <w:szCs w:val="15"/>
                <w:color w:val="auto"/>
              </w:rPr>
              <w:t>Jeffrey L. Harmening</w:t>
            </w:r>
            <w:r>
              <w:rPr>
                <w:rFonts w:ascii="Arial" w:cs="Arial" w:eastAsia="Arial" w:hAnsi="Arial"/>
                <w:sz w:val="24"/>
                <w:szCs w:val="24"/>
                <w:color w:val="auto"/>
                <w:vertAlign w:val="superscript"/>
              </w:rPr>
              <w:t>(9)</w:t>
            </w:r>
          </w:p>
        </w:tc>
        <w:tc>
          <w:tcPr>
            <w:tcW w:w="18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62,055</w:t>
            </w:r>
          </w:p>
        </w:tc>
        <w:tc>
          <w:tcPr>
            <w:tcW w:w="1620" w:type="dxa"/>
            <w:vAlign w:val="bottom"/>
            <w:shd w:val="clear" w:color="auto" w:fill="D9D9D9"/>
          </w:tcPr>
          <w:p>
            <w:pPr>
              <w:jc w:val="right"/>
              <w:ind w:right="148"/>
              <w:spacing w:after="0"/>
              <w:rPr>
                <w:sz w:val="20"/>
                <w:szCs w:val="20"/>
                <w:color w:val="auto"/>
              </w:rPr>
            </w:pPr>
            <w:r>
              <w:rPr>
                <w:rFonts w:ascii="Arial" w:cs="Arial" w:eastAsia="Arial" w:hAnsi="Arial"/>
                <w:sz w:val="15"/>
                <w:szCs w:val="15"/>
                <w:color w:val="auto"/>
              </w:rPr>
              <w:t>0</w:t>
            </w:r>
          </w:p>
        </w:tc>
        <w:tc>
          <w:tcPr>
            <w:tcW w:w="16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0</w:t>
            </w:r>
          </w:p>
        </w:tc>
        <w:tc>
          <w:tcPr>
            <w:tcW w:w="1780" w:type="dxa"/>
            <w:vAlign w:val="bottom"/>
            <w:shd w:val="clear" w:color="auto" w:fill="D9D9D9"/>
          </w:tcPr>
          <w:p>
            <w:pPr>
              <w:jc w:val="right"/>
              <w:ind w:right="309"/>
              <w:spacing w:after="0"/>
              <w:rPr>
                <w:sz w:val="20"/>
                <w:szCs w:val="20"/>
                <w:color w:val="auto"/>
              </w:rPr>
            </w:pPr>
            <w:r>
              <w:rPr>
                <w:rFonts w:ascii="Arial" w:cs="Arial" w:eastAsia="Arial" w:hAnsi="Arial"/>
                <w:sz w:val="15"/>
                <w:szCs w:val="15"/>
                <w:color w:val="auto"/>
              </w:rPr>
              <w:t>833</w:t>
            </w:r>
          </w:p>
        </w:tc>
        <w:tc>
          <w:tcPr>
            <w:tcW w:w="1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62,888</w:t>
            </w:r>
          </w:p>
        </w:tc>
      </w:tr>
      <w:tr>
        <w:trPr>
          <w:trHeight w:val="212"/>
        </w:trPr>
        <w:tc>
          <w:tcPr>
            <w:tcW w:w="3260" w:type="dxa"/>
            <w:vAlign w:val="bottom"/>
          </w:tcPr>
          <w:p>
            <w:pPr>
              <w:spacing w:after="0"/>
              <w:rPr>
                <w:sz w:val="20"/>
                <w:szCs w:val="20"/>
                <w:color w:val="auto"/>
              </w:rPr>
            </w:pPr>
            <w:r>
              <w:rPr>
                <w:rFonts w:ascii="Arial" w:cs="Arial" w:eastAsia="Arial" w:hAnsi="Arial"/>
                <w:sz w:val="15"/>
                <w:szCs w:val="15"/>
                <w:color w:val="auto"/>
              </w:rPr>
              <w:t>D. Christian Koch</w:t>
            </w:r>
          </w:p>
        </w:tc>
        <w:tc>
          <w:tcPr>
            <w:tcW w:w="1840" w:type="dxa"/>
            <w:vAlign w:val="bottom"/>
          </w:tcPr>
          <w:p>
            <w:pPr>
              <w:jc w:val="right"/>
              <w:ind w:right="149"/>
              <w:spacing w:after="0"/>
              <w:rPr>
                <w:sz w:val="20"/>
                <w:szCs w:val="20"/>
                <w:color w:val="auto"/>
              </w:rPr>
            </w:pPr>
            <w:r>
              <w:rPr>
                <w:rFonts w:ascii="Arial" w:cs="Arial" w:eastAsia="Arial" w:hAnsi="Arial"/>
                <w:sz w:val="15"/>
                <w:szCs w:val="15"/>
                <w:color w:val="auto"/>
              </w:rPr>
              <w:t>95,750</w:t>
            </w:r>
          </w:p>
        </w:tc>
        <w:tc>
          <w:tcPr>
            <w:tcW w:w="1620" w:type="dxa"/>
            <w:vAlign w:val="bottom"/>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tcPr>
          <w:p>
            <w:pPr>
              <w:jc w:val="right"/>
              <w:ind w:right="309"/>
              <w:spacing w:after="0"/>
              <w:rPr>
                <w:sz w:val="20"/>
                <w:szCs w:val="20"/>
                <w:color w:val="auto"/>
              </w:rPr>
            </w:pPr>
            <w:r>
              <w:rPr>
                <w:rFonts w:ascii="Arial" w:cs="Arial" w:eastAsia="Arial" w:hAnsi="Arial"/>
                <w:sz w:val="15"/>
                <w:szCs w:val="15"/>
                <w:color w:val="auto"/>
              </w:rPr>
              <w:t>0</w:t>
            </w:r>
          </w:p>
        </w:tc>
        <w:tc>
          <w:tcPr>
            <w:tcW w:w="1280" w:type="dxa"/>
            <w:vAlign w:val="bottom"/>
          </w:tcPr>
          <w:p>
            <w:pPr>
              <w:jc w:val="right"/>
              <w:spacing w:after="0"/>
              <w:rPr>
                <w:sz w:val="20"/>
                <w:szCs w:val="20"/>
                <w:color w:val="auto"/>
              </w:rPr>
            </w:pPr>
            <w:r>
              <w:rPr>
                <w:rFonts w:ascii="Arial" w:cs="Arial" w:eastAsia="Arial" w:hAnsi="Arial"/>
                <w:sz w:val="15"/>
                <w:szCs w:val="15"/>
                <w:color w:val="auto"/>
              </w:rPr>
              <w:t>209,896</w:t>
            </w:r>
          </w:p>
        </w:tc>
      </w:tr>
      <w:tr>
        <w:trPr>
          <w:trHeight w:val="229"/>
        </w:trPr>
        <w:tc>
          <w:tcPr>
            <w:tcW w:w="3260" w:type="dxa"/>
            <w:vAlign w:val="bottom"/>
            <w:shd w:val="clear" w:color="auto" w:fill="D9D9D9"/>
          </w:tcPr>
          <w:p>
            <w:pPr>
              <w:spacing w:after="0" w:line="229" w:lineRule="exact"/>
              <w:rPr>
                <w:sz w:val="20"/>
                <w:szCs w:val="20"/>
                <w:color w:val="auto"/>
              </w:rPr>
            </w:pPr>
            <w:r>
              <w:rPr>
                <w:rFonts w:ascii="Arial" w:cs="Arial" w:eastAsia="Arial" w:hAnsi="Arial"/>
                <w:sz w:val="15"/>
                <w:szCs w:val="15"/>
                <w:color w:val="auto"/>
              </w:rPr>
              <w:t>Joyce A. Mullen</w:t>
            </w:r>
            <w:r>
              <w:rPr>
                <w:rFonts w:ascii="Arial" w:cs="Arial" w:eastAsia="Arial" w:hAnsi="Arial"/>
                <w:sz w:val="24"/>
                <w:szCs w:val="24"/>
                <w:color w:val="auto"/>
                <w:vertAlign w:val="superscript"/>
              </w:rPr>
              <w:t>(10)</w:t>
            </w:r>
          </w:p>
        </w:tc>
        <w:tc>
          <w:tcPr>
            <w:tcW w:w="18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58,590</w:t>
            </w:r>
          </w:p>
        </w:tc>
        <w:tc>
          <w:tcPr>
            <w:tcW w:w="1620" w:type="dxa"/>
            <w:vAlign w:val="bottom"/>
            <w:shd w:val="clear" w:color="auto" w:fill="D9D9D9"/>
          </w:tcPr>
          <w:p>
            <w:pPr>
              <w:jc w:val="right"/>
              <w:ind w:right="148"/>
              <w:spacing w:after="0"/>
              <w:rPr>
                <w:sz w:val="20"/>
                <w:szCs w:val="20"/>
                <w:color w:val="auto"/>
              </w:rPr>
            </w:pPr>
            <w:r>
              <w:rPr>
                <w:rFonts w:ascii="Arial" w:cs="Arial" w:eastAsia="Arial" w:hAnsi="Arial"/>
                <w:sz w:val="15"/>
                <w:szCs w:val="15"/>
                <w:color w:val="auto"/>
              </w:rPr>
              <w:t>0</w:t>
            </w:r>
          </w:p>
        </w:tc>
        <w:tc>
          <w:tcPr>
            <w:tcW w:w="16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0</w:t>
            </w:r>
          </w:p>
        </w:tc>
        <w:tc>
          <w:tcPr>
            <w:tcW w:w="1780" w:type="dxa"/>
            <w:vAlign w:val="bottom"/>
            <w:shd w:val="clear" w:color="auto" w:fill="D9D9D9"/>
          </w:tcPr>
          <w:p>
            <w:pPr>
              <w:jc w:val="right"/>
              <w:ind w:right="309"/>
              <w:spacing w:after="0"/>
              <w:rPr>
                <w:sz w:val="20"/>
                <w:szCs w:val="20"/>
                <w:color w:val="auto"/>
              </w:rPr>
            </w:pPr>
            <w:r>
              <w:rPr>
                <w:rFonts w:ascii="Arial" w:cs="Arial" w:eastAsia="Arial" w:hAnsi="Arial"/>
                <w:sz w:val="15"/>
                <w:szCs w:val="15"/>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58,590</w:t>
            </w:r>
          </w:p>
        </w:tc>
      </w:tr>
      <w:tr>
        <w:trPr>
          <w:trHeight w:val="212"/>
        </w:trPr>
        <w:tc>
          <w:tcPr>
            <w:tcW w:w="3260" w:type="dxa"/>
            <w:vAlign w:val="bottom"/>
          </w:tcPr>
          <w:p>
            <w:pPr>
              <w:spacing w:after="0"/>
              <w:rPr>
                <w:sz w:val="20"/>
                <w:szCs w:val="20"/>
                <w:color w:val="auto"/>
              </w:rPr>
            </w:pPr>
            <w:r>
              <w:rPr>
                <w:rFonts w:ascii="Arial" w:cs="Arial" w:eastAsia="Arial" w:hAnsi="Arial"/>
                <w:sz w:val="15"/>
                <w:szCs w:val="15"/>
                <w:color w:val="auto"/>
              </w:rPr>
              <w:t>James C. O’Rourke</w:t>
            </w:r>
          </w:p>
        </w:tc>
        <w:tc>
          <w:tcPr>
            <w:tcW w:w="1840" w:type="dxa"/>
            <w:vAlign w:val="bottom"/>
          </w:tcPr>
          <w:p>
            <w:pPr>
              <w:jc w:val="right"/>
              <w:ind w:right="149"/>
              <w:spacing w:after="0"/>
              <w:rPr>
                <w:sz w:val="20"/>
                <w:szCs w:val="20"/>
                <w:color w:val="auto"/>
              </w:rPr>
            </w:pPr>
            <w:r>
              <w:rPr>
                <w:rFonts w:ascii="Arial" w:cs="Arial" w:eastAsia="Arial" w:hAnsi="Arial"/>
                <w:sz w:val="15"/>
                <w:szCs w:val="15"/>
                <w:color w:val="auto"/>
              </w:rPr>
              <w:t>100,560</w:t>
            </w:r>
          </w:p>
        </w:tc>
        <w:tc>
          <w:tcPr>
            <w:tcW w:w="1620" w:type="dxa"/>
            <w:vAlign w:val="bottom"/>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tcPr>
          <w:p>
            <w:pPr>
              <w:jc w:val="right"/>
              <w:ind w:right="309"/>
              <w:spacing w:after="0"/>
              <w:rPr>
                <w:sz w:val="20"/>
                <w:szCs w:val="20"/>
                <w:color w:val="auto"/>
              </w:rPr>
            </w:pPr>
            <w:r>
              <w:rPr>
                <w:rFonts w:ascii="Arial" w:cs="Arial" w:eastAsia="Arial" w:hAnsi="Arial"/>
                <w:sz w:val="15"/>
                <w:szCs w:val="15"/>
                <w:color w:val="auto"/>
              </w:rPr>
              <w:t>1,491</w:t>
            </w:r>
          </w:p>
        </w:tc>
        <w:tc>
          <w:tcPr>
            <w:tcW w:w="1280" w:type="dxa"/>
            <w:vAlign w:val="bottom"/>
          </w:tcPr>
          <w:p>
            <w:pPr>
              <w:jc w:val="right"/>
              <w:spacing w:after="0"/>
              <w:rPr>
                <w:sz w:val="20"/>
                <w:szCs w:val="20"/>
                <w:color w:val="auto"/>
              </w:rPr>
            </w:pPr>
            <w:r>
              <w:rPr>
                <w:rFonts w:ascii="Arial" w:cs="Arial" w:eastAsia="Arial" w:hAnsi="Arial"/>
                <w:sz w:val="15"/>
                <w:szCs w:val="15"/>
                <w:color w:val="auto"/>
              </w:rPr>
              <w:t>216,197</w:t>
            </w:r>
          </w:p>
        </w:tc>
      </w:tr>
      <w:tr>
        <w:trPr>
          <w:trHeight w:val="229"/>
        </w:trPr>
        <w:tc>
          <w:tcPr>
            <w:tcW w:w="3260" w:type="dxa"/>
            <w:vAlign w:val="bottom"/>
            <w:shd w:val="clear" w:color="auto" w:fill="D9D9D9"/>
          </w:tcPr>
          <w:p>
            <w:pPr>
              <w:spacing w:after="0"/>
              <w:rPr>
                <w:sz w:val="20"/>
                <w:szCs w:val="20"/>
                <w:color w:val="auto"/>
              </w:rPr>
            </w:pPr>
            <w:r>
              <w:rPr>
                <w:rFonts w:ascii="Arial" w:cs="Arial" w:eastAsia="Arial" w:hAnsi="Arial"/>
                <w:sz w:val="15"/>
                <w:szCs w:val="15"/>
                <w:color w:val="auto"/>
              </w:rPr>
              <w:t>Gregg W. Steinhafel</w:t>
            </w:r>
          </w:p>
        </w:tc>
        <w:tc>
          <w:tcPr>
            <w:tcW w:w="18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93,000</w:t>
            </w:r>
          </w:p>
        </w:tc>
        <w:tc>
          <w:tcPr>
            <w:tcW w:w="1620" w:type="dxa"/>
            <w:vAlign w:val="bottom"/>
            <w:shd w:val="clear" w:color="auto" w:fill="D9D9D9"/>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shd w:val="clear" w:color="auto" w:fill="D9D9D9"/>
          </w:tcPr>
          <w:p>
            <w:pPr>
              <w:jc w:val="right"/>
              <w:ind w:right="309"/>
              <w:spacing w:after="0"/>
              <w:rPr>
                <w:sz w:val="20"/>
                <w:szCs w:val="20"/>
                <w:color w:val="auto"/>
              </w:rPr>
            </w:pPr>
            <w:r>
              <w:rPr>
                <w:rFonts w:ascii="Arial" w:cs="Arial" w:eastAsia="Arial" w:hAnsi="Arial"/>
                <w:sz w:val="15"/>
                <w:szCs w:val="15"/>
                <w:color w:val="auto"/>
              </w:rPr>
              <w:t>1,325</w:t>
            </w:r>
          </w:p>
        </w:tc>
        <w:tc>
          <w:tcPr>
            <w:tcW w:w="1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208,471</w:t>
            </w:r>
          </w:p>
        </w:tc>
      </w:tr>
      <w:tr>
        <w:trPr>
          <w:trHeight w:val="221"/>
        </w:trPr>
        <w:tc>
          <w:tcPr>
            <w:tcW w:w="3260" w:type="dxa"/>
            <w:vAlign w:val="bottom"/>
          </w:tcPr>
          <w:p>
            <w:pPr>
              <w:spacing w:after="0" w:line="220" w:lineRule="exact"/>
              <w:rPr>
                <w:sz w:val="20"/>
                <w:szCs w:val="20"/>
                <w:color w:val="auto"/>
              </w:rPr>
            </w:pPr>
            <w:r>
              <w:rPr>
                <w:rFonts w:ascii="Arial" w:cs="Arial" w:eastAsia="Arial" w:hAnsi="Arial"/>
                <w:sz w:val="15"/>
                <w:szCs w:val="15"/>
                <w:color w:val="auto"/>
              </w:rPr>
              <w:t>Christopher A. Twomey</w:t>
            </w:r>
            <w:r>
              <w:rPr>
                <w:rFonts w:ascii="Arial" w:cs="Arial" w:eastAsia="Arial" w:hAnsi="Arial"/>
                <w:sz w:val="24"/>
                <w:szCs w:val="24"/>
                <w:color w:val="auto"/>
                <w:vertAlign w:val="superscript"/>
              </w:rPr>
              <w:t>(11)</w:t>
            </w:r>
          </w:p>
        </w:tc>
        <w:tc>
          <w:tcPr>
            <w:tcW w:w="1840" w:type="dxa"/>
            <w:vAlign w:val="bottom"/>
          </w:tcPr>
          <w:p>
            <w:pPr>
              <w:jc w:val="right"/>
              <w:ind w:right="149"/>
              <w:spacing w:after="0"/>
              <w:rPr>
                <w:sz w:val="20"/>
                <w:szCs w:val="20"/>
                <w:color w:val="auto"/>
              </w:rPr>
            </w:pPr>
            <w:r>
              <w:rPr>
                <w:rFonts w:ascii="Arial" w:cs="Arial" w:eastAsia="Arial" w:hAnsi="Arial"/>
                <w:sz w:val="15"/>
                <w:szCs w:val="15"/>
                <w:color w:val="auto"/>
              </w:rPr>
              <w:t>43,755</w:t>
            </w:r>
          </w:p>
        </w:tc>
        <w:tc>
          <w:tcPr>
            <w:tcW w:w="1620" w:type="dxa"/>
            <w:vAlign w:val="bottom"/>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tcPr>
          <w:p>
            <w:pPr>
              <w:jc w:val="right"/>
              <w:ind w:right="309"/>
              <w:spacing w:after="0"/>
              <w:rPr>
                <w:sz w:val="20"/>
                <w:szCs w:val="20"/>
                <w:color w:val="auto"/>
              </w:rPr>
            </w:pPr>
            <w:r>
              <w:rPr>
                <w:rFonts w:ascii="Arial" w:cs="Arial" w:eastAsia="Arial" w:hAnsi="Arial"/>
                <w:sz w:val="15"/>
                <w:szCs w:val="15"/>
                <w:color w:val="auto"/>
              </w:rPr>
              <w:t>1,000</w:t>
            </w:r>
          </w:p>
        </w:tc>
        <w:tc>
          <w:tcPr>
            <w:tcW w:w="1280" w:type="dxa"/>
            <w:vAlign w:val="bottom"/>
          </w:tcPr>
          <w:p>
            <w:pPr>
              <w:jc w:val="right"/>
              <w:spacing w:after="0"/>
              <w:rPr>
                <w:sz w:val="20"/>
                <w:szCs w:val="20"/>
                <w:color w:val="auto"/>
              </w:rPr>
            </w:pPr>
            <w:r>
              <w:rPr>
                <w:rFonts w:ascii="Arial" w:cs="Arial" w:eastAsia="Arial" w:hAnsi="Arial"/>
                <w:sz w:val="15"/>
                <w:szCs w:val="15"/>
                <w:color w:val="auto"/>
              </w:rPr>
              <w:t>158,901</w:t>
            </w:r>
          </w:p>
        </w:tc>
      </w:tr>
      <w:tr>
        <w:trPr>
          <w:trHeight w:val="221"/>
        </w:trPr>
        <w:tc>
          <w:tcPr>
            <w:tcW w:w="3260" w:type="dxa"/>
            <w:vAlign w:val="bottom"/>
            <w:shd w:val="clear" w:color="auto" w:fill="D9D9D9"/>
          </w:tcPr>
          <w:p>
            <w:pPr>
              <w:spacing w:after="0" w:line="220" w:lineRule="exact"/>
              <w:rPr>
                <w:sz w:val="20"/>
                <w:szCs w:val="20"/>
                <w:color w:val="auto"/>
              </w:rPr>
            </w:pPr>
            <w:r>
              <w:rPr>
                <w:rFonts w:ascii="Arial" w:cs="Arial" w:eastAsia="Arial" w:hAnsi="Arial"/>
                <w:sz w:val="15"/>
                <w:szCs w:val="15"/>
                <w:color w:val="auto"/>
              </w:rPr>
              <w:t>Michael G. Vale</w:t>
            </w:r>
            <w:r>
              <w:rPr>
                <w:rFonts w:ascii="Arial" w:cs="Arial" w:eastAsia="Arial" w:hAnsi="Arial"/>
                <w:sz w:val="24"/>
                <w:szCs w:val="24"/>
                <w:color w:val="auto"/>
                <w:vertAlign w:val="superscript"/>
              </w:rPr>
              <w:t>(12)</w:t>
            </w:r>
          </w:p>
        </w:tc>
        <w:tc>
          <w:tcPr>
            <w:tcW w:w="18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98,500</w:t>
            </w:r>
          </w:p>
        </w:tc>
        <w:tc>
          <w:tcPr>
            <w:tcW w:w="1620" w:type="dxa"/>
            <w:vAlign w:val="bottom"/>
            <w:shd w:val="clear" w:color="auto" w:fill="D9D9D9"/>
          </w:tcPr>
          <w:p>
            <w:pPr>
              <w:jc w:val="right"/>
              <w:ind w:right="148"/>
              <w:spacing w:after="0"/>
              <w:rPr>
                <w:sz w:val="20"/>
                <w:szCs w:val="20"/>
                <w:color w:val="auto"/>
              </w:rPr>
            </w:pPr>
            <w:r>
              <w:rPr>
                <w:rFonts w:ascii="Arial" w:cs="Arial" w:eastAsia="Arial" w:hAnsi="Arial"/>
                <w:sz w:val="15"/>
                <w:szCs w:val="15"/>
                <w:color w:val="auto"/>
              </w:rPr>
              <w:t>59,158</w:t>
            </w:r>
          </w:p>
        </w:tc>
        <w:tc>
          <w:tcPr>
            <w:tcW w:w="1640" w:type="dxa"/>
            <w:vAlign w:val="bottom"/>
            <w:shd w:val="clear" w:color="auto" w:fill="D9D9D9"/>
          </w:tcPr>
          <w:p>
            <w:pPr>
              <w:jc w:val="right"/>
              <w:ind w:right="149"/>
              <w:spacing w:after="0"/>
              <w:rPr>
                <w:sz w:val="20"/>
                <w:szCs w:val="20"/>
                <w:color w:val="auto"/>
              </w:rPr>
            </w:pPr>
            <w:r>
              <w:rPr>
                <w:rFonts w:ascii="Arial" w:cs="Arial" w:eastAsia="Arial" w:hAnsi="Arial"/>
                <w:sz w:val="15"/>
                <w:szCs w:val="15"/>
                <w:color w:val="auto"/>
              </w:rPr>
              <w:t>54,988</w:t>
            </w:r>
          </w:p>
        </w:tc>
        <w:tc>
          <w:tcPr>
            <w:tcW w:w="1780" w:type="dxa"/>
            <w:vAlign w:val="bottom"/>
            <w:shd w:val="clear" w:color="auto" w:fill="D9D9D9"/>
          </w:tcPr>
          <w:p>
            <w:pPr>
              <w:jc w:val="right"/>
              <w:ind w:right="309"/>
              <w:spacing w:after="0"/>
              <w:rPr>
                <w:sz w:val="20"/>
                <w:szCs w:val="20"/>
                <w:color w:val="auto"/>
              </w:rPr>
            </w:pPr>
            <w:r>
              <w:rPr>
                <w:rFonts w:ascii="Arial" w:cs="Arial" w:eastAsia="Arial" w:hAnsi="Arial"/>
                <w:sz w:val="15"/>
                <w:szCs w:val="15"/>
                <w:color w:val="auto"/>
              </w:rPr>
              <w:t>1,003</w:t>
            </w:r>
          </w:p>
        </w:tc>
        <w:tc>
          <w:tcPr>
            <w:tcW w:w="12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213,649</w:t>
            </w:r>
          </w:p>
        </w:tc>
      </w:tr>
      <w:tr>
        <w:trPr>
          <w:trHeight w:val="98"/>
        </w:trPr>
        <w:tc>
          <w:tcPr>
            <w:tcW w:w="3260" w:type="dxa"/>
            <w:vAlign w:val="bottom"/>
            <w:tcBorders>
              <w:bottom w:val="single" w:sz="8" w:color="C00000"/>
            </w:tcBorders>
          </w:tcPr>
          <w:p>
            <w:pPr>
              <w:spacing w:after="0"/>
              <w:rPr>
                <w:sz w:val="8"/>
                <w:szCs w:val="8"/>
                <w:color w:val="auto"/>
              </w:rPr>
            </w:pPr>
          </w:p>
        </w:tc>
        <w:tc>
          <w:tcPr>
            <w:tcW w:w="18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80" w:type="dxa"/>
            <w:vAlign w:val="bottom"/>
          </w:tcPr>
          <w:p>
            <w:pPr>
              <w:spacing w:after="0"/>
              <w:rPr>
                <w:sz w:val="8"/>
                <w:szCs w:val="8"/>
                <w:color w:val="auto"/>
              </w:rPr>
            </w:pPr>
          </w:p>
        </w:tc>
      </w:tr>
    </w:tbl>
    <w:p>
      <w:pPr>
        <w:spacing w:after="0" w:line="48" w:lineRule="exact"/>
        <w:rPr>
          <w:sz w:val="20"/>
          <w:szCs w:val="20"/>
          <w:color w:val="auto"/>
        </w:rPr>
      </w:pPr>
    </w:p>
    <w:p>
      <w:pPr>
        <w:ind w:left="502" w:right="440" w:hanging="502"/>
        <w:spacing w:after="0" w:line="255" w:lineRule="auto"/>
        <w:tabs>
          <w:tab w:leader="none" w:pos="5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Unless a director otherwise elected to convert a portion or all of his or her annual retainers into shares of our common stock under our 2010 Plan, annual retainers were paid in cash in four quarterly installments at the beginning of each fiscal quarter.</w:t>
      </w:r>
    </w:p>
    <w:p>
      <w:pPr>
        <w:spacing w:after="0" w:line="25" w:lineRule="exact"/>
        <w:rPr>
          <w:rFonts w:ascii="Arial" w:cs="Arial" w:eastAsia="Arial" w:hAnsi="Arial"/>
          <w:sz w:val="16"/>
          <w:szCs w:val="16"/>
          <w:color w:val="auto"/>
        </w:rPr>
      </w:pPr>
    </w:p>
    <w:p>
      <w:pPr>
        <w:ind w:left="502" w:hanging="502"/>
        <w:spacing w:after="0" w:line="242" w:lineRule="auto"/>
        <w:tabs>
          <w:tab w:leader="none" w:pos="5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November 1, 2018, 1,009 shares of our common stock were granted to each non-employee director with the calculation as to the number of shares based on the average of the closing prices of our common stock during the three months prior to the grant, which was $59.44. However, the amount reported in the table represents the grant date fair value, computed in accordance with Financial Accounting Standards Board (FASB) Accounting Standard Codification (ASC) Topic 718. The closing price on the grant date of $58.63 was used in calculating the grant date fair value. The stock awards granted on November 1, 2018 were the only stock awards granted to directors during fiscal 2019. As of October 31, 2019, no directors held any restricted stock or other unvested stock awards.</w:t>
      </w:r>
    </w:p>
    <w:p>
      <w:pPr>
        <w:spacing w:after="0" w:line="38" w:lineRule="exact"/>
        <w:rPr>
          <w:rFonts w:ascii="Arial" w:cs="Arial" w:eastAsia="Arial" w:hAnsi="Arial"/>
          <w:sz w:val="16"/>
          <w:szCs w:val="16"/>
          <w:color w:val="auto"/>
        </w:rPr>
      </w:pPr>
    </w:p>
    <w:p>
      <w:pPr>
        <w:ind w:left="502" w:hanging="502"/>
        <w:spacing w:after="0" w:line="241" w:lineRule="auto"/>
        <w:tabs>
          <w:tab w:leader="none" w:pos="5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November 1, 2018, a stock option to purchase 4,482 shares of our common stock was granted to each non-employee director. The amount reported in the table represents the grant date fair value computed in accordance with FASB ASC Topic 718. The grant date fair value is based on a Black-Scholes model valuation of $12.2686 per share. The following assumptions were used in the Black-Scholes calculation: a risk-free interest rate of 3.01%; expected life of 6.6 years; expected volatility of 19.998%; and an expected dividend yield of 1.18%. The exercise price per share is equal to 100% of the fair market value of one share of our common stock on the date of grant, as determined by the closing price for our common stock, which was $58.63 on November 1, 2018. The actual value of the stock option awards, if any, to be realized by a director depends upon whether the price of our common stock at exercise is greater than the exercise price of the stock options. The stock option awards granted on November 1, 2018 were the only stock options granted to directors during fiscal 2019.</w:t>
      </w:r>
    </w:p>
    <w:p>
      <w:pPr>
        <w:spacing w:after="0" w:line="41" w:lineRule="exact"/>
        <w:rPr>
          <w:rFonts w:ascii="Arial" w:cs="Arial" w:eastAsia="Arial" w:hAnsi="Arial"/>
          <w:sz w:val="16"/>
          <w:szCs w:val="16"/>
          <w:color w:val="auto"/>
        </w:rPr>
      </w:pPr>
    </w:p>
    <w:p>
      <w:pPr>
        <w:ind w:left="502" w:right="160" w:hanging="502"/>
        <w:spacing w:after="0" w:line="255" w:lineRule="auto"/>
        <w:tabs>
          <w:tab w:leader="none" w:pos="5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October 31, 2019, the aggregate number of stock options (exercisable and unexercisable) held by each director who served during all or part of fiscal 2019 was as follows: Mr. Buhrmaster—54,747;</w:t>
      </w:r>
    </w:p>
    <w:p>
      <w:pPr>
        <w:spacing w:after="0" w:line="1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34" w:name="page35"/>
    <w:bookmarkEnd w:id="34"/>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46" w:lineRule="exact"/>
        <w:rPr>
          <w:sz w:val="20"/>
          <w:szCs w:val="20"/>
          <w:color w:val="auto"/>
        </w:rPr>
      </w:pPr>
    </w:p>
    <w:p>
      <w:pPr>
        <w:ind w:left="502" w:right="140"/>
        <w:spacing w:after="0" w:line="239" w:lineRule="auto"/>
        <w:rPr>
          <w:sz w:val="20"/>
          <w:szCs w:val="20"/>
          <w:color w:val="auto"/>
        </w:rPr>
      </w:pPr>
      <w:r>
        <w:rPr>
          <w:rFonts w:ascii="Arial" w:cs="Arial" w:eastAsia="Arial" w:hAnsi="Arial"/>
          <w:sz w:val="16"/>
          <w:szCs w:val="16"/>
          <w:color w:val="auto"/>
        </w:rPr>
        <w:t>Ms. Cooper—45,503; Mr. Ellis—54,747; Mr. Ettinger—54,747; Ms. Harless—54,747; Mr. Koch—13,279; Mr. O’Rourke—28,613; Mr. Steinhafel— 23,509; Mr. Twomey—18,317; and Dr. Vale—4,482. These numbers are different from the numbers set forth in the “Stock Options” column in footnote</w:t>
      </w:r>
    </w:p>
    <w:p>
      <w:pPr>
        <w:spacing w:after="0" w:line="1" w:lineRule="exact"/>
        <w:rPr>
          <w:sz w:val="20"/>
          <w:szCs w:val="20"/>
          <w:color w:val="auto"/>
        </w:rPr>
      </w:pPr>
    </w:p>
    <w:p>
      <w:pPr>
        <w:ind w:left="502" w:right="300"/>
        <w:spacing w:after="0" w:line="255" w:lineRule="auto"/>
        <w:rPr>
          <w:sz w:val="20"/>
          <w:szCs w:val="20"/>
          <w:color w:val="auto"/>
        </w:rPr>
      </w:pPr>
      <w:r>
        <w:rPr>
          <w:rFonts w:ascii="Arial" w:cs="Arial" w:eastAsia="Arial" w:hAnsi="Arial"/>
          <w:sz w:val="16"/>
          <w:szCs w:val="16"/>
          <w:color w:val="auto"/>
        </w:rPr>
        <w:t>(2) to the “Directors and Executive Officers” stock ownership table beginning on page 61 which (i) sets forth information as of January 21, 2020 and (ii) does not include options that will become exercisable more than 60 days after January 21, 2020.</w:t>
      </w:r>
    </w:p>
    <w:p>
      <w:pPr>
        <w:spacing w:after="0" w:line="25" w:lineRule="exact"/>
        <w:rPr>
          <w:sz w:val="20"/>
          <w:szCs w:val="20"/>
          <w:color w:val="auto"/>
        </w:rPr>
      </w:pPr>
    </w:p>
    <w:p>
      <w:pPr>
        <w:ind w:left="502" w:right="20" w:hanging="502"/>
        <w:spacing w:after="0" w:line="243" w:lineRule="auto"/>
        <w:tabs>
          <w:tab w:leader="none" w:pos="5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generally do not provide perquisites and other personal benefits to our non-employee directors other than Company products for personal use. The amount reported includes for (i) each of Ms. Harless and Messrs. Buhrmaster, Harmening, O’Rourke, Steinhafel and Dr. Vale the value of products, parts, service or accessories, as described under “Company Products” on page 21; (ii) Mr. Twomey a charitable donation under our director matching gift program, as described under “Charitable Giving” on page 21; and (iii) each of Ms. Cooper and Messrs. Buhrmaster, Ellis, and O’Rourke the incremental cost to the Company for spousal travel in connection with an off-site board meeting.</w:t>
      </w:r>
    </w:p>
    <w:p>
      <w:pPr>
        <w:spacing w:after="0" w:line="36" w:lineRule="exact"/>
        <w:rPr>
          <w:rFonts w:ascii="Arial" w:cs="Arial" w:eastAsia="Arial" w:hAnsi="Arial"/>
          <w:sz w:val="16"/>
          <w:szCs w:val="16"/>
          <w:color w:val="auto"/>
        </w:rPr>
      </w:pPr>
    </w:p>
    <w:p>
      <w:pPr>
        <w:ind w:left="502" w:right="160" w:hanging="502"/>
        <w:spacing w:after="0" w:line="255" w:lineRule="auto"/>
        <w:tabs>
          <w:tab w:leader="none" w:pos="5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Buhrmaster retired from our Board in connection with the 2019 Annual Meeting. Accordingly, the fees shown for Mr. Buhrmaster are for the period from November 1, 2018 through March 19, 2019.</w:t>
      </w:r>
    </w:p>
    <w:p>
      <w:pPr>
        <w:spacing w:after="0" w:line="25" w:lineRule="exact"/>
        <w:rPr>
          <w:rFonts w:ascii="Arial" w:cs="Arial" w:eastAsia="Arial" w:hAnsi="Arial"/>
          <w:sz w:val="16"/>
          <w:szCs w:val="16"/>
          <w:color w:val="auto"/>
        </w:rPr>
      </w:pPr>
    </w:p>
    <w:p>
      <w:pPr>
        <w:ind w:left="502" w:right="40" w:hanging="502"/>
        <w:spacing w:after="0" w:line="247" w:lineRule="auto"/>
        <w:tabs>
          <w:tab w:leader="none" w:pos="5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Ettinger elected to convert his calendar 2018 and calendar 2019 retainers into shares of our common stock under the 2010 Plan. On December 16, 2019, based on that day’s closing stock price of $79.90, Mr. Ettinger received 1,262 shares of our common stock in lieu of $100,834 cash that would have been paid in calendar 2019. The amount shown in the “Fees Earned or Paid in Cash” column represents the amount he earned for fiscal 2019.</w:t>
      </w:r>
    </w:p>
    <w:p>
      <w:pPr>
        <w:spacing w:after="0" w:line="32" w:lineRule="exact"/>
        <w:rPr>
          <w:rFonts w:ascii="Arial" w:cs="Arial" w:eastAsia="Arial" w:hAnsi="Arial"/>
          <w:sz w:val="16"/>
          <w:szCs w:val="16"/>
          <w:color w:val="auto"/>
        </w:rPr>
      </w:pPr>
    </w:p>
    <w:p>
      <w:pPr>
        <w:ind w:left="502" w:right="80" w:hanging="502"/>
        <w:spacing w:after="0" w:line="255" w:lineRule="auto"/>
        <w:tabs>
          <w:tab w:leader="none" w:pos="5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Harless elected to defer receipt of her (i) calendar 2018 and calendar 2019 retainers earned in fiscal 2019, and (ii) the annual stock award granted on November 1, 2018, each under the Deferred Plan for Directors.</w:t>
      </w:r>
    </w:p>
    <w:p>
      <w:pPr>
        <w:spacing w:after="0" w:line="25" w:lineRule="exact"/>
        <w:rPr>
          <w:rFonts w:ascii="Arial" w:cs="Arial" w:eastAsia="Arial" w:hAnsi="Arial"/>
          <w:sz w:val="16"/>
          <w:szCs w:val="16"/>
          <w:color w:val="auto"/>
        </w:rPr>
      </w:pPr>
    </w:p>
    <w:p>
      <w:pPr>
        <w:ind w:left="502" w:hanging="502"/>
        <w:spacing w:after="0" w:line="242" w:lineRule="auto"/>
        <w:tabs>
          <w:tab w:leader="none" w:pos="5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Harmening was elected to the Board at our 2019 Annual Meeting. Accordingly, the fees shown for Mr. Harmening are for the period from March 19, 2019 through October 31, 2019. As he was not serving on the Board on November 1, 2018, the date of the fiscal 2019 annual stock award and annual stock option grants, he did not receive such awards in fiscal 2019. Additionally, Mr. Harmening elected to convert his calendar 2019 retainers into shares of our common stock under the 2010 Plan. On December 16, 2019, based on that day’s closing stock price of $79.90, Mr. Harmening received 1,100 shares of our common stock in lieu of $87,890 cash that would have been paid in calendar 2019. The amount shown in the “Fees Earned or Paid in Cash” column represents the amount he earned for fiscal 2019.</w:t>
      </w:r>
    </w:p>
    <w:p>
      <w:pPr>
        <w:spacing w:after="0" w:line="38" w:lineRule="exact"/>
        <w:rPr>
          <w:rFonts w:ascii="Arial" w:cs="Arial" w:eastAsia="Arial" w:hAnsi="Arial"/>
          <w:sz w:val="16"/>
          <w:szCs w:val="16"/>
          <w:color w:val="auto"/>
        </w:rPr>
      </w:pPr>
    </w:p>
    <w:p>
      <w:pPr>
        <w:ind w:left="502" w:hanging="502"/>
        <w:spacing w:after="0" w:line="244" w:lineRule="auto"/>
        <w:tabs>
          <w:tab w:leader="none" w:pos="5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Mullen was elected to the Board at our 2019 Annual Meeting. Accordingly, the fees shown for Ms. Mullen are for the period from March 19, 2019 through October 31, 2019. As she was not serving on the Board on November 1, 2018, the date of the fiscal 2019 annual stock award and annual stock option grants, she did not receive such awards in fiscal 2019. Additionally, Ms. Mullen elected to defer receipt of her retainers earned in fiscal 2019 under the Deferred Plan for Directors.</w:t>
      </w:r>
    </w:p>
    <w:p>
      <w:pPr>
        <w:spacing w:after="0" w:line="35" w:lineRule="exact"/>
        <w:rPr>
          <w:rFonts w:ascii="Arial" w:cs="Arial" w:eastAsia="Arial" w:hAnsi="Arial"/>
          <w:sz w:val="16"/>
          <w:szCs w:val="16"/>
          <w:color w:val="auto"/>
        </w:rPr>
      </w:pPr>
    </w:p>
    <w:p>
      <w:pPr>
        <w:ind w:left="502" w:right="260" w:hanging="502"/>
        <w:spacing w:after="0" w:line="255" w:lineRule="auto"/>
        <w:tabs>
          <w:tab w:leader="none" w:pos="5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Twomey retired from our Board in connection with the 2019 Annual Meeting. Accordingly, the fees shown for Mr. Twomey are for the period from November 1, 2018 through March 19, 2019.</w:t>
      </w:r>
    </w:p>
    <w:p>
      <w:pPr>
        <w:spacing w:after="0" w:line="25" w:lineRule="exact"/>
        <w:rPr>
          <w:rFonts w:ascii="Arial" w:cs="Arial" w:eastAsia="Arial" w:hAnsi="Arial"/>
          <w:sz w:val="16"/>
          <w:szCs w:val="16"/>
          <w:color w:val="auto"/>
        </w:rPr>
      </w:pPr>
    </w:p>
    <w:p>
      <w:pPr>
        <w:ind w:left="502" w:right="160" w:hanging="502"/>
        <w:spacing w:after="0" w:line="255" w:lineRule="auto"/>
        <w:tabs>
          <w:tab w:leader="none" w:pos="5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Dr. Vale elected to defer receipt of his (i) calendar 2018 and calendar 2019 retainers earned in fiscal 2019, and (ii) the annual stock award granted on November 1, 2018, each under the Deferred Plan for Directors.</w:t>
      </w:r>
    </w:p>
    <w:p>
      <w:pPr>
        <w:spacing w:after="0" w:line="1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35" w:name="page36"/>
    <w:bookmarkEnd w:id="35"/>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80" w:lineRule="exact"/>
        <w:rPr>
          <w:sz w:val="20"/>
          <w:szCs w:val="20"/>
          <w:color w:val="auto"/>
        </w:rPr>
      </w:pPr>
    </w:p>
    <w:p>
      <w:pPr>
        <w:jc w:val="center"/>
        <w:ind w:right="18"/>
        <w:spacing w:after="0"/>
        <w:rPr>
          <w:sz w:val="20"/>
          <w:szCs w:val="20"/>
          <w:color w:val="auto"/>
        </w:rPr>
      </w:pPr>
      <w:r>
        <w:rPr>
          <w:rFonts w:ascii="Arial" w:cs="Arial" w:eastAsia="Arial" w:hAnsi="Arial"/>
          <w:sz w:val="20"/>
          <w:szCs w:val="20"/>
          <w:b w:val="1"/>
          <w:bCs w:val="1"/>
          <w:color w:val="FFFFFF"/>
        </w:rPr>
        <w:t>PROPOSAL TWO—RATIFICATION OF SELECTION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259320" cy="295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9320" cy="295910"/>
                    </a:xfrm>
                    <a:prstGeom prst="rect">
                      <a:avLst/>
                    </a:prstGeom>
                    <a:noFill/>
                  </pic:spPr>
                </pic:pic>
              </a:graphicData>
            </a:graphic>
          </wp:anchor>
        </w:drawing>
      </w:r>
    </w:p>
    <w:p>
      <w:pPr>
        <w:jc w:val="center"/>
        <w:ind w:right="38"/>
        <w:spacing w:after="0"/>
        <w:rPr>
          <w:sz w:val="20"/>
          <w:szCs w:val="20"/>
          <w:color w:val="auto"/>
        </w:rPr>
      </w:pPr>
      <w:r>
        <w:rPr>
          <w:rFonts w:ascii="Arial" w:cs="Arial" w:eastAsia="Arial" w:hAnsi="Arial"/>
          <w:sz w:val="20"/>
          <w:szCs w:val="20"/>
          <w:b w:val="1"/>
          <w:bCs w:val="1"/>
          <w:color w:val="FFFFFF"/>
        </w:rPr>
        <w:t>INDEPENDENT REGISTERED PUBLIC ACCOUNTING FIRM</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Selection of Independent Registered Public Accounting Firm</w:t>
      </w:r>
    </w:p>
    <w:p>
      <w:pPr>
        <w:spacing w:after="0" w:line="112" w:lineRule="exact"/>
        <w:rPr>
          <w:sz w:val="20"/>
          <w:szCs w:val="20"/>
          <w:color w:val="auto"/>
        </w:rPr>
      </w:pPr>
    </w:p>
    <w:p>
      <w:pPr>
        <w:ind w:left="2" w:right="40" w:firstLine="408"/>
        <w:spacing w:after="0" w:line="241" w:lineRule="auto"/>
        <w:rPr>
          <w:sz w:val="20"/>
          <w:szCs w:val="20"/>
          <w:color w:val="auto"/>
        </w:rPr>
      </w:pPr>
      <w:r>
        <w:rPr>
          <w:rFonts w:ascii="Arial" w:cs="Arial" w:eastAsia="Arial" w:hAnsi="Arial"/>
          <w:sz w:val="16"/>
          <w:szCs w:val="16"/>
          <w:color w:val="auto"/>
        </w:rPr>
        <w:t>The Audit Committee selects our external auditor. In this regard, the Audit Committee evaluates the qualifications, performance and independence of our external auditor and determines whether to re-engage the current external auditor. As part of its evaluation, the Audit Committee considers, among other factors, the quality and efficiency of the services provided by the external auditor, including the performance, technical expertise, and industry knowledge of the lead audit partner and the audit team assigned to our account; the overall strength and reputation of the external audit firm; the external auditor’s global capabilities relative to our business; the external auditor’s knowledge of our operations; and the external auditor’s fees. Upon consideration of these and other factors, the Audit Committee has selected KPMG LLP, or KPMG, to serve as our external auditor for fiscal 2020.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273" w:lineRule="exact"/>
        <w:rPr>
          <w:sz w:val="20"/>
          <w:szCs w:val="20"/>
          <w:color w:val="auto"/>
        </w:rPr>
      </w:pPr>
    </w:p>
    <w:p>
      <w:pPr>
        <w:ind w:left="2" w:right="740" w:firstLine="408"/>
        <w:spacing w:after="0" w:line="255" w:lineRule="auto"/>
        <w:rPr>
          <w:sz w:val="20"/>
          <w:szCs w:val="20"/>
          <w:color w:val="auto"/>
        </w:rPr>
      </w:pPr>
      <w:r>
        <w:rPr>
          <w:rFonts w:ascii="Arial" w:cs="Arial" w:eastAsia="Arial" w:hAnsi="Arial"/>
          <w:sz w:val="16"/>
          <w:szCs w:val="16"/>
          <w:color w:val="auto"/>
        </w:rPr>
        <w:t>Representatives of KPMG will be present at the annual meeting to answer appropriate questions. They also will have the opportunity to make a statement if they wish to do so.</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Audit, Audit-Related, Tax and Other Fees</w:t>
      </w:r>
    </w:p>
    <w:p>
      <w:pPr>
        <w:spacing w:after="0" w:line="112" w:lineRule="exact"/>
        <w:rPr>
          <w:sz w:val="20"/>
          <w:szCs w:val="20"/>
          <w:color w:val="auto"/>
        </w:rPr>
      </w:pPr>
    </w:p>
    <w:p>
      <w:pPr>
        <w:ind w:left="2" w:right="140" w:firstLine="408"/>
        <w:spacing w:after="0" w:line="255" w:lineRule="auto"/>
        <w:rPr>
          <w:sz w:val="20"/>
          <w:szCs w:val="20"/>
          <w:color w:val="auto"/>
        </w:rPr>
      </w:pPr>
      <w:r>
        <w:rPr>
          <w:rFonts w:ascii="Arial" w:cs="Arial" w:eastAsia="Arial" w:hAnsi="Arial"/>
          <w:sz w:val="16"/>
          <w:szCs w:val="16"/>
          <w:color w:val="auto"/>
        </w:rPr>
        <w:t>The following table sets forth the aggregate fees billed to us for professional services rendered by KPMG for fiscal 2019 and fiscal 2018 by category, as described in the footnotes to the table.</w:t>
      </w:r>
    </w:p>
    <w:p>
      <w:pPr>
        <w:spacing w:after="0" w:line="8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4860" w:type="dxa"/>
            <w:vAlign w:val="bottom"/>
            <w:shd w:val="clear" w:color="auto" w:fill="C00000"/>
          </w:tcPr>
          <w:p>
            <w:pPr>
              <w:spacing w:after="0"/>
              <w:rPr>
                <w:sz w:val="13"/>
                <w:szCs w:val="13"/>
                <w:color w:val="auto"/>
              </w:rPr>
            </w:pPr>
          </w:p>
        </w:tc>
        <w:tc>
          <w:tcPr>
            <w:tcW w:w="5020" w:type="dxa"/>
            <w:vAlign w:val="bottom"/>
            <w:shd w:val="clear" w:color="auto" w:fill="C00000"/>
          </w:tcPr>
          <w:p>
            <w:pPr>
              <w:jc w:val="right"/>
              <w:ind w:right="789"/>
              <w:spacing w:after="0"/>
              <w:rPr>
                <w:sz w:val="20"/>
                <w:szCs w:val="20"/>
                <w:color w:val="auto"/>
              </w:rPr>
            </w:pPr>
            <w:r>
              <w:rPr>
                <w:rFonts w:ascii="Arial" w:cs="Arial" w:eastAsia="Arial" w:hAnsi="Arial"/>
                <w:sz w:val="13"/>
                <w:szCs w:val="13"/>
                <w:b w:val="1"/>
                <w:bCs w:val="1"/>
                <w:color w:val="FFFFFF"/>
              </w:rPr>
              <w:t>Fiscal 2019</w:t>
            </w:r>
          </w:p>
        </w:tc>
        <w:tc>
          <w:tcPr>
            <w:tcW w:w="1540" w:type="dxa"/>
            <w:vAlign w:val="bottom"/>
            <w:shd w:val="clear" w:color="auto" w:fill="C00000"/>
          </w:tcPr>
          <w:p>
            <w:pPr>
              <w:jc w:val="right"/>
              <w:ind w:right="429"/>
              <w:spacing w:after="0"/>
              <w:rPr>
                <w:sz w:val="20"/>
                <w:szCs w:val="20"/>
                <w:color w:val="auto"/>
              </w:rPr>
            </w:pPr>
            <w:r>
              <w:rPr>
                <w:rFonts w:ascii="Arial" w:cs="Arial" w:eastAsia="Arial" w:hAnsi="Arial"/>
                <w:sz w:val="13"/>
                <w:szCs w:val="13"/>
                <w:b w:val="1"/>
                <w:bCs w:val="1"/>
                <w:color w:val="FFFFFF"/>
              </w:rPr>
              <w:t>Fiscal 2018</w:t>
            </w:r>
          </w:p>
        </w:tc>
      </w:tr>
      <w:tr>
        <w:trPr>
          <w:trHeight w:val="159"/>
        </w:trPr>
        <w:tc>
          <w:tcPr>
            <w:tcW w:w="4860" w:type="dxa"/>
            <w:vAlign w:val="bottom"/>
            <w:shd w:val="clear" w:color="auto" w:fill="C00000"/>
          </w:tcPr>
          <w:p>
            <w:pPr>
              <w:spacing w:after="0"/>
              <w:rPr>
                <w:sz w:val="13"/>
                <w:szCs w:val="13"/>
                <w:color w:val="auto"/>
              </w:rPr>
            </w:pPr>
          </w:p>
        </w:tc>
        <w:tc>
          <w:tcPr>
            <w:tcW w:w="5020" w:type="dxa"/>
            <w:vAlign w:val="bottom"/>
            <w:shd w:val="clear" w:color="auto" w:fill="C00000"/>
          </w:tcPr>
          <w:p>
            <w:pPr>
              <w:jc w:val="right"/>
              <w:ind w:right="1049"/>
              <w:spacing w:after="0"/>
              <w:rPr>
                <w:sz w:val="20"/>
                <w:szCs w:val="20"/>
                <w:color w:val="auto"/>
              </w:rPr>
            </w:pPr>
            <w:r>
              <w:rPr>
                <w:rFonts w:ascii="Arial" w:cs="Arial" w:eastAsia="Arial" w:hAnsi="Arial"/>
                <w:sz w:val="13"/>
                <w:szCs w:val="13"/>
                <w:b w:val="1"/>
                <w:bCs w:val="1"/>
                <w:color w:val="FFFFFF"/>
              </w:rPr>
              <w:t>($)</w:t>
            </w:r>
          </w:p>
        </w:tc>
        <w:tc>
          <w:tcPr>
            <w:tcW w:w="1540" w:type="dxa"/>
            <w:vAlign w:val="bottom"/>
            <w:shd w:val="clear" w:color="auto" w:fill="C00000"/>
          </w:tcPr>
          <w:p>
            <w:pPr>
              <w:jc w:val="right"/>
              <w:ind w:right="689"/>
              <w:spacing w:after="0"/>
              <w:rPr>
                <w:sz w:val="20"/>
                <w:szCs w:val="20"/>
                <w:color w:val="auto"/>
              </w:rPr>
            </w:pPr>
            <w:r>
              <w:rPr>
                <w:rFonts w:ascii="Arial" w:cs="Arial" w:eastAsia="Arial" w:hAnsi="Arial"/>
                <w:sz w:val="13"/>
                <w:szCs w:val="13"/>
                <w:b w:val="1"/>
                <w:bCs w:val="1"/>
                <w:color w:val="FFFFFF"/>
              </w:rPr>
              <w:t>($)</w:t>
            </w:r>
          </w:p>
        </w:tc>
      </w:tr>
      <w:tr>
        <w:trPr>
          <w:trHeight w:val="184"/>
        </w:trPr>
        <w:tc>
          <w:tcPr>
            <w:tcW w:w="4860" w:type="dxa"/>
            <w:vAlign w:val="bottom"/>
          </w:tcPr>
          <w:p>
            <w:pPr>
              <w:spacing w:after="0" w:line="184"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5020" w:type="dxa"/>
            <w:vAlign w:val="bottom"/>
          </w:tcPr>
          <w:p>
            <w:pPr>
              <w:jc w:val="right"/>
              <w:ind w:right="289"/>
              <w:spacing w:after="0"/>
              <w:rPr>
                <w:sz w:val="20"/>
                <w:szCs w:val="20"/>
                <w:color w:val="auto"/>
              </w:rPr>
            </w:pPr>
            <w:r>
              <w:rPr>
                <w:rFonts w:ascii="Arial" w:cs="Arial" w:eastAsia="Arial" w:hAnsi="Arial"/>
                <w:sz w:val="15"/>
                <w:szCs w:val="15"/>
                <w:color w:val="auto"/>
              </w:rPr>
              <w:t>2,112,115</w:t>
            </w:r>
          </w:p>
        </w:tc>
        <w:tc>
          <w:tcPr>
            <w:tcW w:w="1540" w:type="dxa"/>
            <w:vAlign w:val="bottom"/>
          </w:tcPr>
          <w:p>
            <w:pPr>
              <w:jc w:val="right"/>
              <w:spacing w:after="0"/>
              <w:rPr>
                <w:sz w:val="20"/>
                <w:szCs w:val="20"/>
                <w:color w:val="auto"/>
              </w:rPr>
            </w:pPr>
            <w:r>
              <w:rPr>
                <w:rFonts w:ascii="Arial" w:cs="Arial" w:eastAsia="Arial" w:hAnsi="Arial"/>
                <w:sz w:val="15"/>
                <w:szCs w:val="15"/>
                <w:color w:val="auto"/>
              </w:rPr>
              <w:t>1,375,200</w:t>
            </w:r>
          </w:p>
        </w:tc>
      </w:tr>
      <w:tr>
        <w:trPr>
          <w:trHeight w:val="184"/>
        </w:trPr>
        <w:tc>
          <w:tcPr>
            <w:tcW w:w="4860" w:type="dxa"/>
            <w:vAlign w:val="bottom"/>
            <w:shd w:val="clear" w:color="auto" w:fill="D9D9D9"/>
          </w:tcPr>
          <w:p>
            <w:pPr>
              <w:spacing w:after="0" w:line="184"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5020" w:type="dxa"/>
            <w:vAlign w:val="bottom"/>
            <w:shd w:val="clear" w:color="auto" w:fill="D9D9D9"/>
          </w:tcPr>
          <w:p>
            <w:pPr>
              <w:jc w:val="right"/>
              <w:ind w:right="289"/>
              <w:spacing w:after="0"/>
              <w:rPr>
                <w:sz w:val="20"/>
                <w:szCs w:val="20"/>
                <w:color w:val="auto"/>
              </w:rPr>
            </w:pPr>
            <w:r>
              <w:rPr>
                <w:rFonts w:ascii="Arial" w:cs="Arial" w:eastAsia="Arial" w:hAnsi="Arial"/>
                <w:sz w:val="15"/>
                <w:szCs w:val="15"/>
                <w:color w:val="auto"/>
              </w:rPr>
              <w:t>61,500</w:t>
            </w:r>
          </w:p>
        </w:tc>
        <w:tc>
          <w:tcPr>
            <w:tcW w:w="15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55,300</w:t>
            </w:r>
          </w:p>
        </w:tc>
      </w:tr>
      <w:tr>
        <w:trPr>
          <w:trHeight w:val="184"/>
        </w:trPr>
        <w:tc>
          <w:tcPr>
            <w:tcW w:w="4860" w:type="dxa"/>
            <w:vAlign w:val="bottom"/>
          </w:tcPr>
          <w:p>
            <w:pPr>
              <w:spacing w:after="0" w:line="184"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5020" w:type="dxa"/>
            <w:vAlign w:val="bottom"/>
          </w:tcPr>
          <w:p>
            <w:pPr>
              <w:jc w:val="right"/>
              <w:ind w:right="289"/>
              <w:spacing w:after="0"/>
              <w:rPr>
                <w:sz w:val="20"/>
                <w:szCs w:val="20"/>
                <w:color w:val="auto"/>
              </w:rPr>
            </w:pPr>
            <w:r>
              <w:rPr>
                <w:rFonts w:ascii="Arial" w:cs="Arial" w:eastAsia="Arial" w:hAnsi="Arial"/>
                <w:sz w:val="15"/>
                <w:szCs w:val="15"/>
                <w:color w:val="auto"/>
              </w:rPr>
              <w:t>228,871</w:t>
            </w:r>
          </w:p>
        </w:tc>
        <w:tc>
          <w:tcPr>
            <w:tcW w:w="1540" w:type="dxa"/>
            <w:vAlign w:val="bottom"/>
          </w:tcPr>
          <w:p>
            <w:pPr>
              <w:jc w:val="right"/>
              <w:spacing w:after="0"/>
              <w:rPr>
                <w:sz w:val="20"/>
                <w:szCs w:val="20"/>
                <w:color w:val="auto"/>
              </w:rPr>
            </w:pPr>
            <w:r>
              <w:rPr>
                <w:rFonts w:ascii="Arial" w:cs="Arial" w:eastAsia="Arial" w:hAnsi="Arial"/>
                <w:sz w:val="15"/>
                <w:szCs w:val="15"/>
                <w:color w:val="auto"/>
              </w:rPr>
              <w:t>225,705</w:t>
            </w:r>
          </w:p>
        </w:tc>
      </w:tr>
      <w:tr>
        <w:trPr>
          <w:trHeight w:val="184"/>
        </w:trPr>
        <w:tc>
          <w:tcPr>
            <w:tcW w:w="4860" w:type="dxa"/>
            <w:vAlign w:val="bottom"/>
            <w:shd w:val="clear" w:color="auto" w:fill="D9D9D9"/>
          </w:tcPr>
          <w:p>
            <w:pPr>
              <w:spacing w:after="0"/>
              <w:rPr>
                <w:sz w:val="20"/>
                <w:szCs w:val="20"/>
                <w:color w:val="auto"/>
              </w:rPr>
            </w:pPr>
            <w:r>
              <w:rPr>
                <w:rFonts w:ascii="Arial" w:cs="Arial" w:eastAsia="Arial" w:hAnsi="Arial"/>
                <w:sz w:val="15"/>
                <w:szCs w:val="15"/>
                <w:color w:val="auto"/>
              </w:rPr>
              <w:t>All Other Fees</w:t>
            </w:r>
          </w:p>
        </w:tc>
        <w:tc>
          <w:tcPr>
            <w:tcW w:w="5020" w:type="dxa"/>
            <w:vAlign w:val="bottom"/>
            <w:shd w:val="clear" w:color="auto" w:fill="D9D9D9"/>
          </w:tcPr>
          <w:p>
            <w:pPr>
              <w:jc w:val="right"/>
              <w:ind w:right="289"/>
              <w:spacing w:after="0"/>
              <w:rPr>
                <w:sz w:val="20"/>
                <w:szCs w:val="20"/>
                <w:color w:val="auto"/>
              </w:rPr>
            </w:pPr>
            <w:r>
              <w:rPr>
                <w:rFonts w:ascii="Arial" w:cs="Arial" w:eastAsia="Arial" w:hAnsi="Arial"/>
                <w:sz w:val="15"/>
                <w:szCs w:val="15"/>
                <w:color w:val="auto"/>
              </w:rPr>
              <w:t>0</w:t>
            </w:r>
          </w:p>
        </w:tc>
        <w:tc>
          <w:tcPr>
            <w:tcW w:w="15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207772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26" w:lineRule="exact"/>
        <w:rPr>
          <w:sz w:val="20"/>
          <w:szCs w:val="20"/>
          <w:color w:val="auto"/>
        </w:rPr>
      </w:pPr>
    </w:p>
    <w:p>
      <w:pPr>
        <w:ind w:left="402" w:right="80" w:hanging="402"/>
        <w:spacing w:after="0" w:line="243" w:lineRule="auto"/>
        <w:tabs>
          <w:tab w:leader="none" w:pos="4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 of aggregate fees billed, or expected to be billed, for fiscal 2019 and fiscal 2018,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 Fees for fiscal 2019 also include audit work related to the CMW acquisition.</w:t>
      </w:r>
    </w:p>
    <w:p>
      <w:pPr>
        <w:spacing w:after="0" w:line="85" w:lineRule="exact"/>
        <w:rPr>
          <w:rFonts w:ascii="Arial" w:cs="Arial" w:eastAsia="Arial" w:hAnsi="Arial"/>
          <w:sz w:val="16"/>
          <w:szCs w:val="16"/>
          <w:color w:val="auto"/>
        </w:rPr>
      </w:pPr>
    </w:p>
    <w:p>
      <w:pPr>
        <w:ind w:left="402" w:hanging="402"/>
        <w:spacing w:after="0"/>
        <w:tabs>
          <w:tab w:leader="none" w:pos="4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 of aggregate fees billed for KPMG’s services related to audits of employee benefit plans.</w:t>
      </w:r>
    </w:p>
    <w:p>
      <w:pPr>
        <w:spacing w:after="0" w:line="97" w:lineRule="exact"/>
        <w:rPr>
          <w:rFonts w:ascii="Arial" w:cs="Arial" w:eastAsia="Arial" w:hAnsi="Arial"/>
          <w:sz w:val="16"/>
          <w:szCs w:val="16"/>
          <w:color w:val="auto"/>
        </w:rPr>
      </w:pPr>
    </w:p>
    <w:p>
      <w:pPr>
        <w:ind w:left="402" w:right="400" w:hanging="402"/>
        <w:spacing w:after="0" w:line="255" w:lineRule="auto"/>
        <w:tabs>
          <w:tab w:leader="none" w:pos="4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 of aggregate fees billed for professional services rendered by KPMG for permissible domestic and international tax consulting, planning and compliance services.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Pre-Approval Policies and Procedures</w:t>
      </w:r>
    </w:p>
    <w:p>
      <w:pPr>
        <w:spacing w:after="0" w:line="112" w:lineRule="exact"/>
        <w:rPr>
          <w:sz w:val="20"/>
          <w:szCs w:val="20"/>
          <w:color w:val="auto"/>
        </w:rPr>
      </w:pPr>
    </w:p>
    <w:p>
      <w:pPr>
        <w:ind w:left="2" w:right="100" w:firstLine="408"/>
        <w:spacing w:after="0" w:line="244" w:lineRule="auto"/>
        <w:rPr>
          <w:sz w:val="20"/>
          <w:szCs w:val="20"/>
          <w:color w:val="auto"/>
        </w:rPr>
      </w:pPr>
      <w:r>
        <w:rPr>
          <w:rFonts w:ascii="Arial" w:cs="Arial" w:eastAsia="Arial" w:hAnsi="Arial"/>
          <w:sz w:val="16"/>
          <w:szCs w:val="16"/>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rules and regulations. All of the services provided to us by KPMG for which we paid Audit Fees, Audit-Related Fees and Tax Fees, as shown in the table above, were pre-approved by the Audit Committee in accordance with these pre-approval policies and procedures.</w:t>
      </w:r>
    </w:p>
    <w:p>
      <w:pPr>
        <w:spacing w:after="0" w:line="282" w:lineRule="exact"/>
        <w:rPr>
          <w:sz w:val="20"/>
          <w:szCs w:val="20"/>
          <w:color w:val="auto"/>
        </w:rPr>
      </w:pPr>
    </w:p>
    <w:tbl>
      <w:tblPr>
        <w:tblLayout w:type="fixed"/>
        <w:tblInd w:w="2" w:type="dxa"/>
        <w:tblCellMar>
          <w:top w:w="0" w:type="dxa"/>
          <w:left w:w="0" w:type="dxa"/>
          <w:bottom w:w="0" w:type="dxa"/>
          <w:right w:w="0" w:type="dxa"/>
        </w:tblCellMar>
      </w:tblPr>
      <w:tr>
        <w:trPr>
          <w:trHeight w:val="240"/>
        </w:trPr>
        <w:tc>
          <w:tcPr>
            <w:tcW w:w="9680" w:type="dxa"/>
            <w:vAlign w:val="bottom"/>
            <w:shd w:val="clear" w:color="auto" w:fill="C00000"/>
          </w:tcPr>
          <w:p>
            <w:pPr>
              <w:jc w:val="center"/>
              <w:ind w:left="367"/>
              <w:spacing w:after="0"/>
              <w:rPr>
                <w:sz w:val="20"/>
                <w:szCs w:val="20"/>
                <w:color w:val="auto"/>
              </w:rPr>
            </w:pPr>
            <w:r>
              <w:rPr>
                <w:rFonts w:ascii="Arial" w:cs="Arial" w:eastAsia="Arial" w:hAnsi="Arial"/>
                <w:sz w:val="20"/>
                <w:szCs w:val="20"/>
                <w:b w:val="1"/>
                <w:bCs w:val="1"/>
                <w:color w:val="FFFFFF"/>
                <w:w w:val="94"/>
              </w:rPr>
              <w:t>The Board of Directors Recommends a Vote FOR Ratification of the Selection of</w:t>
            </w:r>
          </w:p>
        </w:tc>
        <w:tc>
          <w:tcPr>
            <w:tcW w:w="1740" w:type="dxa"/>
            <w:vAlign w:val="bottom"/>
            <w:vMerge w:val="restart"/>
            <w:shd w:val="clear" w:color="auto" w:fill="C00000"/>
          </w:tcPr>
          <w:p>
            <w:pPr>
              <w:ind w:left="900"/>
              <w:spacing w:after="0" w:line="461" w:lineRule="exact"/>
              <w:rPr>
                <w:sz w:val="20"/>
                <w:szCs w:val="20"/>
                <w:color w:val="auto"/>
              </w:rPr>
            </w:pPr>
            <w:r>
              <w:rPr>
                <w:rFonts w:ascii="MS PGothic" w:cs="MS PGothic" w:eastAsia="MS PGothic" w:hAnsi="MS PGothic"/>
                <w:sz w:val="46"/>
                <w:szCs w:val="46"/>
                <w:color w:val="auto"/>
                <w:highlight w:val="white"/>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9680" w:type="dxa"/>
            <w:vAlign w:val="bottom"/>
            <w:shd w:val="clear" w:color="auto" w:fill="C00000"/>
          </w:tcPr>
          <w:p>
            <w:pPr>
              <w:jc w:val="center"/>
              <w:ind w:left="347"/>
              <w:spacing w:after="0"/>
              <w:rPr>
                <w:sz w:val="20"/>
                <w:szCs w:val="20"/>
                <w:color w:val="auto"/>
              </w:rPr>
            </w:pPr>
            <w:r>
              <w:rPr>
                <w:rFonts w:ascii="Arial" w:cs="Arial" w:eastAsia="Arial" w:hAnsi="Arial"/>
                <w:sz w:val="20"/>
                <w:szCs w:val="20"/>
                <w:b w:val="1"/>
                <w:bCs w:val="1"/>
                <w:color w:val="FFFFFF"/>
                <w:w w:val="94"/>
              </w:rPr>
              <w:t>KPMG LLP as Our Independent Registered Public Accounting Firm for Fiscal 2020</w:t>
            </w:r>
          </w:p>
        </w:tc>
        <w:tc>
          <w:tcPr>
            <w:tcW w:w="1740" w:type="dxa"/>
            <w:vAlign w:val="bottom"/>
            <w:vMerge w:val="continue"/>
            <w:shd w:val="clear" w:color="auto" w:fill="C0000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680" w:type="dxa"/>
            <w:vAlign w:val="bottom"/>
          </w:tcPr>
          <w:p>
            <w:pPr>
              <w:jc w:val="right"/>
              <w:ind w:right="3787"/>
              <w:spacing w:after="0"/>
              <w:rPr>
                <w:sz w:val="20"/>
                <w:szCs w:val="20"/>
                <w:color w:val="auto"/>
              </w:rPr>
            </w:pPr>
            <w:r>
              <w:rPr>
                <w:rFonts w:ascii="Arial" w:cs="Arial" w:eastAsia="Arial" w:hAnsi="Arial"/>
                <w:sz w:val="16"/>
                <w:szCs w:val="16"/>
                <w:color w:val="auto"/>
              </w:rPr>
              <w:t>24</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6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-27940</wp:posOffset>
            </wp:positionV>
            <wp:extent cx="3302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2"/>
          </w:cols>
          <w:pgMar w:left="238" w:top="140" w:right="199" w:bottom="1440" w:gutter="0" w:footer="0" w:header="0"/>
        </w:sectPr>
      </w:pPr>
    </w:p>
    <w:bookmarkStart w:id="36" w:name="page37"/>
    <w:bookmarkEnd w:id="36"/>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Audit Committee Report</w:t>
      </w:r>
    </w:p>
    <w:p>
      <w:pPr>
        <w:spacing w:after="0" w:line="112" w:lineRule="exact"/>
        <w:rPr>
          <w:sz w:val="20"/>
          <w:szCs w:val="20"/>
          <w:color w:val="auto"/>
        </w:rPr>
      </w:pPr>
    </w:p>
    <w:p>
      <w:pPr>
        <w:ind w:left="402"/>
        <w:spacing w:after="0"/>
        <w:rPr>
          <w:sz w:val="20"/>
          <w:szCs w:val="20"/>
          <w:color w:val="auto"/>
        </w:rPr>
      </w:pPr>
      <w:r>
        <w:rPr>
          <w:rFonts w:ascii="Arial" w:cs="Arial" w:eastAsia="Arial" w:hAnsi="Arial"/>
          <w:sz w:val="16"/>
          <w:szCs w:val="16"/>
          <w:color w:val="auto"/>
        </w:rPr>
        <w:t>This report is furnished by the Audit Committee with respect to our financial statements for fiscal 2019.</w:t>
      </w:r>
    </w:p>
    <w:p>
      <w:pPr>
        <w:spacing w:after="0" w:line="98" w:lineRule="exact"/>
        <w:rPr>
          <w:sz w:val="20"/>
          <w:szCs w:val="20"/>
          <w:color w:val="auto"/>
        </w:rPr>
      </w:pPr>
    </w:p>
    <w:p>
      <w:pPr>
        <w:ind w:left="2" w:right="40" w:firstLine="408"/>
        <w:spacing w:after="0" w:line="243" w:lineRule="auto"/>
        <w:rPr>
          <w:sz w:val="20"/>
          <w:szCs w:val="20"/>
          <w:color w:val="auto"/>
        </w:rPr>
      </w:pPr>
      <w:r>
        <w:rPr>
          <w:rFonts w:ascii="Arial" w:cs="Arial" w:eastAsia="Arial" w:hAnsi="Arial"/>
          <w:sz w:val="16"/>
          <w:szCs w:val="16"/>
          <w:color w:val="auto"/>
        </w:rPr>
        <w:t>Ultimate responsibility for good corporate governance rests with our Board, whose primary roles and responsibilities involve oversight, counseling and providing direction to our Management in the best long-term interests of Toro and our shareholders. As set forth in its charter, the Audit Committee assists our Board by, among other things, providing oversight of our accounting and financial reporting processes, the audits of our annual financial statements and internal control over financial reporting. A copy of our Audit Committee Charter, which further describes the role and responsibilities of the Audit Committee, is available online at www.thetorocompany.com/corporategovernance.</w:t>
      </w:r>
    </w:p>
    <w:p>
      <w:pPr>
        <w:spacing w:after="0" w:line="86" w:lineRule="exact"/>
        <w:rPr>
          <w:sz w:val="20"/>
          <w:szCs w:val="20"/>
          <w:color w:val="auto"/>
        </w:rPr>
      </w:pPr>
    </w:p>
    <w:p>
      <w:pPr>
        <w:ind w:left="2" w:right="140" w:firstLine="408"/>
        <w:spacing w:after="0" w:line="243" w:lineRule="auto"/>
        <w:rPr>
          <w:sz w:val="20"/>
          <w:szCs w:val="20"/>
          <w:color w:val="auto"/>
        </w:rPr>
      </w:pPr>
      <w:r>
        <w:rPr>
          <w:rFonts w:ascii="Arial" w:cs="Arial" w:eastAsia="Arial" w:hAnsi="Arial"/>
          <w:sz w:val="16"/>
          <w:szCs w:val="16"/>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85" w:lineRule="exact"/>
        <w:rPr>
          <w:sz w:val="20"/>
          <w:szCs w:val="20"/>
          <w:color w:val="auto"/>
        </w:rPr>
      </w:pPr>
    </w:p>
    <w:p>
      <w:pPr>
        <w:ind w:left="402"/>
        <w:spacing w:after="0"/>
        <w:rPr>
          <w:sz w:val="20"/>
          <w:szCs w:val="20"/>
          <w:color w:val="auto"/>
        </w:rPr>
      </w:pPr>
      <w:r>
        <w:rPr>
          <w:rFonts w:ascii="Arial" w:cs="Arial" w:eastAsia="Arial" w:hAnsi="Arial"/>
          <w:sz w:val="16"/>
          <w:szCs w:val="16"/>
          <w:color w:val="auto"/>
        </w:rPr>
        <w:t>In performing its oversight role, the Audit Committee has (i) reviewed and discussed with Management our audited financial statements for fiscal 2019,</w:t>
      </w:r>
    </w:p>
    <w:p>
      <w:pPr>
        <w:ind w:left="2" w:right="600" w:hanging="2"/>
        <w:spacing w:after="0" w:line="244" w:lineRule="auto"/>
        <w:tabs>
          <w:tab w:leader="none" w:pos="2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discussed with representatives of KPMG the matters required to be discussed by PCAOB Auditing Standard 1301 (Communications with Audit Committees),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Toro and its Management.</w:t>
      </w:r>
    </w:p>
    <w:p>
      <w:pPr>
        <w:spacing w:after="0" w:line="85" w:lineRule="exact"/>
        <w:rPr>
          <w:sz w:val="20"/>
          <w:szCs w:val="20"/>
          <w:color w:val="auto"/>
        </w:rPr>
      </w:pPr>
    </w:p>
    <w:p>
      <w:pPr>
        <w:jc w:val="both"/>
        <w:ind w:left="2" w:firstLine="408"/>
        <w:spacing w:after="0" w:line="247" w:lineRule="auto"/>
        <w:rPr>
          <w:sz w:val="20"/>
          <w:szCs w:val="20"/>
          <w:color w:val="auto"/>
        </w:rPr>
      </w:pPr>
      <w:r>
        <w:rPr>
          <w:rFonts w:ascii="Arial" w:cs="Arial" w:eastAsia="Arial" w:hAnsi="Arial"/>
          <w:sz w:val="16"/>
          <w:szCs w:val="16"/>
          <w:color w:val="auto"/>
        </w:rPr>
        <w:t>Based on the review and discussions referred to in the foregoing paragraph and subject to the limitations on its responsibilities set forth in its charter, the Audit Committee recommended to our Board that our audited financial statements for fiscal 2019 be included in our Annual Report on Form 10-K for the fiscal year ended October 31, 2019, for filing with the SEC.</w:t>
      </w:r>
    </w:p>
    <w:p>
      <w:pPr>
        <w:spacing w:after="0" w:line="61"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C00000"/>
        </w:rPr>
        <w:t>Audit Committee:</w:t>
      </w:r>
    </w:p>
    <w:p>
      <w:pPr>
        <w:spacing w:after="0" w:line="2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Janet K. Cooper (Chair)</w:t>
      </w:r>
    </w:p>
    <w:p>
      <w:pPr>
        <w:jc w:val="center"/>
        <w:ind w:right="-41"/>
        <w:spacing w:after="0"/>
        <w:rPr>
          <w:sz w:val="20"/>
          <w:szCs w:val="20"/>
          <w:color w:val="auto"/>
        </w:rPr>
      </w:pPr>
      <w:r>
        <w:rPr>
          <w:rFonts w:ascii="Arial" w:cs="Arial" w:eastAsia="Arial" w:hAnsi="Arial"/>
          <w:sz w:val="16"/>
          <w:szCs w:val="16"/>
          <w:color w:val="auto"/>
        </w:rPr>
        <w:t>Gary L. Ellis</w:t>
      </w:r>
    </w:p>
    <w:p>
      <w:pPr>
        <w:jc w:val="center"/>
        <w:ind w:right="-41"/>
        <w:spacing w:after="0"/>
        <w:rPr>
          <w:sz w:val="20"/>
          <w:szCs w:val="20"/>
          <w:color w:val="auto"/>
        </w:rPr>
      </w:pPr>
      <w:r>
        <w:rPr>
          <w:rFonts w:ascii="Arial" w:cs="Arial" w:eastAsia="Arial" w:hAnsi="Arial"/>
          <w:sz w:val="16"/>
          <w:szCs w:val="16"/>
          <w:color w:val="auto"/>
        </w:rPr>
        <w:t>Katherine J. Harless</w:t>
      </w:r>
    </w:p>
    <w:p>
      <w:pPr>
        <w:jc w:val="center"/>
        <w:ind w:right="-41"/>
        <w:spacing w:after="0"/>
        <w:rPr>
          <w:sz w:val="20"/>
          <w:szCs w:val="20"/>
          <w:color w:val="auto"/>
        </w:rPr>
      </w:pPr>
      <w:r>
        <w:rPr>
          <w:rFonts w:ascii="Arial" w:cs="Arial" w:eastAsia="Arial" w:hAnsi="Arial"/>
          <w:sz w:val="16"/>
          <w:szCs w:val="16"/>
          <w:color w:val="auto"/>
        </w:rPr>
        <w:t>Jeffrey L. Harmening</w:t>
      </w:r>
    </w:p>
    <w:p>
      <w:pPr>
        <w:jc w:val="center"/>
        <w:ind w:right="-41"/>
        <w:spacing w:after="0"/>
        <w:rPr>
          <w:sz w:val="20"/>
          <w:szCs w:val="20"/>
          <w:color w:val="auto"/>
        </w:rPr>
      </w:pPr>
      <w:r>
        <w:rPr>
          <w:rFonts w:ascii="Arial" w:cs="Arial" w:eastAsia="Arial" w:hAnsi="Arial"/>
          <w:sz w:val="16"/>
          <w:szCs w:val="16"/>
          <w:color w:val="auto"/>
        </w:rPr>
        <w:t>Michael G. Vale</w:t>
      </w:r>
    </w:p>
    <w:p>
      <w:pPr>
        <w:spacing w:after="0" w:line="19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2"/>
          </w:cols>
          <w:pgMar w:left="238" w:top="140"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98055" cy="186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8055" cy="186690"/>
                    </a:xfrm>
                    <a:prstGeom prst="rect">
                      <a:avLst/>
                    </a:prstGeom>
                    <a:noFill/>
                  </pic:spPr>
                </pic:pic>
              </a:graphicData>
            </a:graphic>
          </wp:anchor>
        </w:drawing>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FFFFFF"/>
        </w:rPr>
        <w:t>PROPOSAL THREE—ADVISORY APPROVAL OF OUR EXECUTIVE COMPENSATION</w:t>
      </w:r>
    </w:p>
    <w:p>
      <w:pPr>
        <w:spacing w:after="0" w:line="252"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The Board is providing our shareholders with an advisory vote on our executive compensation pursuant to the Dodd-Frank Wall Street Consumer Protection Act, or the Dodd-Frank Act, and Section 14A of the Exchange Act. This advisory vote, commonly known as a say-on-pay vote, is a non-binding vote on the compensation paid to our named executive officers as set forth in the “Executive Compensation” section of this proxy statement beginning on page 28, including in the “Compensation Discussion and Analysis,” the accompanying compensation tables and the corresponding narrative discussion and footnotes. At the 2019 Annual Meeting of Shareholders held on March 19, 2019, over 95% of the votes cast by our shareholders were in favor of our say-on-pay vote. The Compensation &amp; Human Resources Committee believes that such results affirmed shareholder support of our approach to executive compensation.</w:t>
      </w:r>
    </w:p>
    <w:p>
      <w:pPr>
        <w:spacing w:after="0" w:line="88" w:lineRule="exact"/>
        <w:rPr>
          <w:sz w:val="20"/>
          <w:szCs w:val="20"/>
          <w:color w:val="auto"/>
        </w:rPr>
      </w:pPr>
    </w:p>
    <w:p>
      <w:pPr>
        <w:ind w:right="140" w:firstLine="408"/>
        <w:spacing w:after="0" w:line="241" w:lineRule="auto"/>
        <w:rPr>
          <w:sz w:val="20"/>
          <w:szCs w:val="20"/>
          <w:color w:val="auto"/>
        </w:rPr>
      </w:pPr>
      <w:r>
        <w:rPr>
          <w:rFonts w:ascii="Arial" w:cs="Arial" w:eastAsia="Arial" w:hAnsi="Arial"/>
          <w:sz w:val="16"/>
          <w:szCs w:val="16"/>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beginning on page 28, describes our executive compensation program and the executive compensation decisions made by the Compensation &amp; Human Resources Committee in fiscal 2019 in more detail. Important considerations include:</w:t>
      </w:r>
    </w:p>
    <w:p>
      <w:pPr>
        <w:spacing w:after="0" w:line="89" w:lineRule="exact"/>
        <w:rPr>
          <w:sz w:val="20"/>
          <w:szCs w:val="20"/>
          <w:color w:val="auto"/>
        </w:rPr>
      </w:pPr>
    </w:p>
    <w:p>
      <w:pPr>
        <w:ind w:left="800" w:right="840" w:hanging="398"/>
        <w:spacing w:after="0" w:line="255" w:lineRule="auto"/>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A substantial portion of total executive compensation is linked directly to performance and requires that minimum, or threshold, levels of performance be met in order for there to be any payout.</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All incentive compensation awards, including annual and long-term equity and incentive awards, are subject to a “clawback” mechanism.</w:t>
      </w:r>
    </w:p>
    <w:p>
      <w:pPr>
        <w:spacing w:after="0" w:line="97" w:lineRule="exact"/>
        <w:rPr>
          <w:rFonts w:ascii="Arial" w:cs="Arial" w:eastAsia="Arial" w:hAnsi="Arial"/>
          <w:sz w:val="15"/>
          <w:szCs w:val="15"/>
          <w:color w:val="auto"/>
        </w:rPr>
      </w:pPr>
    </w:p>
    <w:p>
      <w:pPr>
        <w:ind w:left="800" w:right="20" w:hanging="398"/>
        <w:spacing w:after="0" w:line="255" w:lineRule="auto"/>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Our CEO and other executive officers do not have employment or severance agreements or arrangements, except as provided for in our change in control severance compensation policy, or CIC policy.</w:t>
      </w:r>
    </w:p>
    <w:p>
      <w:pPr>
        <w:spacing w:after="0" w:line="74" w:lineRule="exact"/>
        <w:rPr>
          <w:rFonts w:ascii="Arial" w:cs="Arial" w:eastAsia="Arial" w:hAnsi="Arial"/>
          <w:sz w:val="15"/>
          <w:szCs w:val="15"/>
          <w:color w:val="auto"/>
        </w:rPr>
      </w:pPr>
    </w:p>
    <w:p>
      <w:pPr>
        <w:ind w:left="800" w:right="740" w:hanging="398"/>
        <w:spacing w:after="0" w:line="255" w:lineRule="auto"/>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We do not provide tax “gross-up” payments under our CIC policy or in connection with any annual or long-term compensation, benefits or perquisites provided to our executive officers.</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Our executive officers receive only modest perquisites.</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We maintain stock ownership guidelines for each of our executive officers.</w:t>
      </w:r>
    </w:p>
    <w:p>
      <w:pPr>
        <w:spacing w:after="0" w:line="97" w:lineRule="exact"/>
        <w:rPr>
          <w:rFonts w:ascii="Arial" w:cs="Arial" w:eastAsia="Arial" w:hAnsi="Arial"/>
          <w:sz w:val="15"/>
          <w:szCs w:val="15"/>
          <w:color w:val="auto"/>
        </w:rPr>
      </w:pPr>
    </w:p>
    <w:p>
      <w:pPr>
        <w:ind w:left="800" w:right="280" w:hanging="398"/>
        <w:spacing w:after="0" w:line="255" w:lineRule="auto"/>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Our insider trading policy prohibits executive officers and directors from purchasing Toro securities on margin, borrowing against any account in which Toro securities are held, or pledging Toro securities as collateral for a loan.</w:t>
      </w:r>
    </w:p>
    <w:p>
      <w:pPr>
        <w:spacing w:after="0" w:line="74" w:lineRule="exact"/>
        <w:rPr>
          <w:rFonts w:ascii="Arial" w:cs="Arial" w:eastAsia="Arial" w:hAnsi="Arial"/>
          <w:sz w:val="15"/>
          <w:szCs w:val="15"/>
          <w:color w:val="auto"/>
        </w:rPr>
      </w:pPr>
    </w:p>
    <w:p>
      <w:pPr>
        <w:ind w:left="800" w:right="160" w:hanging="398"/>
        <w:spacing w:after="0" w:line="247" w:lineRule="auto"/>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Our insider trading policy prohibits employees, executive officers and directors from purchasing any financial instruments (including without limitation collars, equity swaps, prepaid variable forward contracts, and exchange funds) that are designed to hedge or offset any decrease in the market value of Toro securities.</w:t>
      </w:r>
    </w:p>
    <w:p>
      <w:pPr>
        <w:spacing w:after="0" w:line="81" w:lineRule="exact"/>
        <w:rPr>
          <w:rFonts w:ascii="Arial" w:cs="Arial" w:eastAsia="Arial" w:hAnsi="Arial"/>
          <w:sz w:val="15"/>
          <w:szCs w:val="15"/>
          <w:color w:val="auto"/>
        </w:rPr>
      </w:pPr>
    </w:p>
    <w:p>
      <w:pPr>
        <w:ind w:left="800" w:hanging="398"/>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We have an independent Compensation &amp; Human Resources Committee.</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6"/>
          <w:szCs w:val="16"/>
          <w:color w:val="auto"/>
        </w:rPr>
        <w:t>We utilize an independent external compensation consultant.</w:t>
      </w:r>
    </w:p>
    <w:p>
      <w:pPr>
        <w:spacing w:after="0" w:line="98" w:lineRule="exact"/>
        <w:rPr>
          <w:sz w:val="20"/>
          <w:szCs w:val="20"/>
          <w:color w:val="auto"/>
        </w:rPr>
      </w:pPr>
    </w:p>
    <w:p>
      <w:pPr>
        <w:jc w:val="both"/>
        <w:ind w:right="100" w:firstLine="408"/>
        <w:spacing w:after="0" w:line="247" w:lineRule="auto"/>
        <w:rPr>
          <w:sz w:val="20"/>
          <w:szCs w:val="20"/>
          <w:color w:val="auto"/>
        </w:rPr>
      </w:pPr>
      <w:r>
        <w:rPr>
          <w:rFonts w:ascii="Arial" w:cs="Arial" w:eastAsia="Arial" w:hAnsi="Arial"/>
          <w:sz w:val="16"/>
          <w:szCs w:val="16"/>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Accordingly, the Board recommends that our shareholders vote in favor of the say-on-pay vote as set forth in the following resolution:</w:t>
      </w:r>
    </w:p>
    <w:p>
      <w:pPr>
        <w:spacing w:after="0" w:line="98" w:lineRule="exact"/>
        <w:rPr>
          <w:sz w:val="20"/>
          <w:szCs w:val="20"/>
          <w:color w:val="auto"/>
        </w:rPr>
      </w:pPr>
    </w:p>
    <w:p>
      <w:pPr>
        <w:ind w:left="400" w:right="1060"/>
        <w:spacing w:after="0" w:line="247" w:lineRule="auto"/>
        <w:rPr>
          <w:sz w:val="20"/>
          <w:szCs w:val="20"/>
          <w:color w:val="auto"/>
        </w:rPr>
      </w:pPr>
      <w:r>
        <w:rPr>
          <w:rFonts w:ascii="Arial" w:cs="Arial" w:eastAsia="Arial" w:hAnsi="Arial"/>
          <w:sz w:val="16"/>
          <w:szCs w:val="16"/>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81" w:lineRule="exact"/>
        <w:rPr>
          <w:sz w:val="20"/>
          <w:szCs w:val="20"/>
          <w:color w:val="auto"/>
        </w:rPr>
      </w:pPr>
    </w:p>
    <w:p>
      <w:pPr>
        <w:ind w:right="60" w:firstLine="408"/>
        <w:spacing w:after="0" w:line="247" w:lineRule="auto"/>
        <w:rPr>
          <w:sz w:val="20"/>
          <w:szCs w:val="20"/>
          <w:color w:val="auto"/>
        </w:rPr>
      </w:pPr>
      <w:r>
        <w:rPr>
          <w:rFonts w:ascii="Arial" w:cs="Arial" w:eastAsia="Arial" w:hAnsi="Arial"/>
          <w:sz w:val="16"/>
          <w:szCs w:val="16"/>
          <w:color w:val="auto"/>
        </w:rPr>
        <w:t>Shareholders are not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81" w:lineRule="exact"/>
        <w:rPr>
          <w:sz w:val="20"/>
          <w:szCs w:val="20"/>
          <w:color w:val="auto"/>
        </w:rPr>
      </w:pPr>
    </w:p>
    <w:p>
      <w:pPr>
        <w:ind w:right="40" w:firstLine="408"/>
        <w:spacing w:after="0" w:line="247" w:lineRule="auto"/>
        <w:rPr>
          <w:sz w:val="20"/>
          <w:szCs w:val="20"/>
          <w:color w:val="auto"/>
        </w:rPr>
      </w:pPr>
      <w:r>
        <w:rPr>
          <w:rFonts w:ascii="Arial" w:cs="Arial" w:eastAsia="Arial" w:hAnsi="Arial"/>
          <w:sz w:val="16"/>
          <w:szCs w:val="16"/>
          <w:color w:val="auto"/>
        </w:rPr>
        <w:t>In accordance with the result of the advisory vote on the frequency of the say-on-pay vote, which was conducted at the Company’s 2017 Annual Meeting of Shareholders, the Board of Directors has determined that the Company will continue to conduct an executive compensation advisory vote on an annual basis. Accordingly, the next say-on-pay vote will occur in 2021 in connection with our 2021 Annual Meeting of Shareholders.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520" w:type="dxa"/>
            <w:vAlign w:val="bottom"/>
            <w:shd w:val="clear" w:color="auto" w:fill="C00000"/>
          </w:tcPr>
          <w:p>
            <w:pPr>
              <w:jc w:val="center"/>
              <w:ind w:left="607"/>
              <w:spacing w:after="0"/>
              <w:rPr>
                <w:sz w:val="20"/>
                <w:szCs w:val="20"/>
                <w:color w:val="auto"/>
              </w:rPr>
            </w:pPr>
            <w:r>
              <w:rPr>
                <w:rFonts w:ascii="Arial" w:cs="Arial" w:eastAsia="Arial" w:hAnsi="Arial"/>
                <w:sz w:val="20"/>
                <w:szCs w:val="20"/>
                <w:b w:val="1"/>
                <w:bCs w:val="1"/>
                <w:color w:val="FFFFFF"/>
                <w:w w:val="97"/>
              </w:rPr>
              <w:t>The Board of Directors Recommends a Vote FOR Approval, on an</w:t>
            </w:r>
          </w:p>
        </w:tc>
        <w:tc>
          <w:tcPr>
            <w:tcW w:w="1900" w:type="dxa"/>
            <w:vAlign w:val="bottom"/>
            <w:vMerge w:val="restart"/>
            <w:shd w:val="clear" w:color="auto" w:fill="C00000"/>
          </w:tcPr>
          <w:p>
            <w:pPr>
              <w:ind w:left="1140"/>
              <w:spacing w:after="0" w:line="461" w:lineRule="exact"/>
              <w:rPr>
                <w:sz w:val="20"/>
                <w:szCs w:val="20"/>
                <w:color w:val="auto"/>
              </w:rPr>
            </w:pPr>
            <w:r>
              <w:rPr>
                <w:rFonts w:ascii="MS PGothic" w:cs="MS PGothic" w:eastAsia="MS PGothic" w:hAnsi="MS PGothic"/>
                <w:sz w:val="46"/>
                <w:szCs w:val="46"/>
                <w:color w:val="auto"/>
                <w:highlight w:val="white"/>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9520" w:type="dxa"/>
            <w:vAlign w:val="bottom"/>
            <w:shd w:val="clear" w:color="auto" w:fill="C00000"/>
          </w:tcPr>
          <w:p>
            <w:pPr>
              <w:jc w:val="center"/>
              <w:ind w:left="667"/>
              <w:spacing w:after="0"/>
              <w:rPr>
                <w:sz w:val="20"/>
                <w:szCs w:val="20"/>
                <w:color w:val="auto"/>
              </w:rPr>
            </w:pPr>
            <w:r>
              <w:rPr>
                <w:rFonts w:ascii="Arial" w:cs="Arial" w:eastAsia="Arial" w:hAnsi="Arial"/>
                <w:sz w:val="20"/>
                <w:szCs w:val="20"/>
                <w:b w:val="1"/>
                <w:bCs w:val="1"/>
                <w:color w:val="FFFFFF"/>
                <w:w w:val="97"/>
              </w:rPr>
              <w:t>Advisory Basis, of our Executive Compensation, or Say-On-Pay Vote.</w:t>
            </w:r>
          </w:p>
        </w:tc>
        <w:tc>
          <w:tcPr>
            <w:tcW w:w="1900" w:type="dxa"/>
            <w:vAlign w:val="bottom"/>
            <w:vMerge w:val="continue"/>
            <w:shd w:val="clear" w:color="auto" w:fill="C0000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9520" w:type="dxa"/>
            <w:vAlign w:val="bottom"/>
          </w:tcPr>
          <w:p>
            <w:pPr>
              <w:jc w:val="right"/>
              <w:ind w:right="3627"/>
              <w:spacing w:after="0"/>
              <w:rPr>
                <w:sz w:val="20"/>
                <w:szCs w:val="20"/>
                <w:color w:val="auto"/>
              </w:rPr>
            </w:pPr>
            <w:r>
              <w:rPr>
                <w:rFonts w:ascii="Arial" w:cs="Arial" w:eastAsia="Arial" w:hAnsi="Arial"/>
                <w:sz w:val="16"/>
                <w:szCs w:val="16"/>
                <w:color w:val="auto"/>
              </w:rPr>
              <w:t>27</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52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259320" cy="186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FFFFFF"/>
        </w:rPr>
        <w:t>EXECUTIVE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Compensation &amp; Human Resources Committee Report</w:t>
      </w:r>
    </w:p>
    <w:p>
      <w:pPr>
        <w:spacing w:after="0" w:line="118" w:lineRule="exact"/>
        <w:rPr>
          <w:sz w:val="20"/>
          <w:szCs w:val="20"/>
          <w:color w:val="auto"/>
        </w:rPr>
      </w:pPr>
    </w:p>
    <w:p>
      <w:pPr>
        <w:jc w:val="both"/>
        <w:ind w:right="60" w:firstLine="408"/>
        <w:spacing w:after="0" w:line="247" w:lineRule="auto"/>
        <w:rPr>
          <w:sz w:val="20"/>
          <w:szCs w:val="20"/>
          <w:color w:val="auto"/>
        </w:rPr>
      </w:pPr>
      <w:r>
        <w:rPr>
          <w:rFonts w:ascii="Arial" w:cs="Arial" w:eastAsia="Arial" w:hAnsi="Arial"/>
          <w:sz w:val="16"/>
          <w:szCs w:val="16"/>
          <w:color w:val="auto"/>
        </w:rPr>
        <w:t>The Compensation &amp; Human Resources Committee has reviewed and discussed the “Compensation Discussion and Analysis” with Management and, based on such review and discussions, recommended to the Board that the “Compensation Discussion and Analysis” be included in this proxy statement and in our Annual Report on Form 10-K for the fiscal year ended October 31, 2019.</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C00000"/>
        </w:rPr>
        <w:t>Compensation &amp; Human Resources Committee:</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James C. O‘Rourke (Chair)</w:t>
      </w:r>
    </w:p>
    <w:p>
      <w:pPr>
        <w:jc w:val="center"/>
        <w:ind w:right="-39"/>
        <w:spacing w:after="0"/>
        <w:rPr>
          <w:sz w:val="20"/>
          <w:szCs w:val="20"/>
          <w:color w:val="auto"/>
        </w:rPr>
      </w:pPr>
      <w:r>
        <w:rPr>
          <w:rFonts w:ascii="Arial" w:cs="Arial" w:eastAsia="Arial" w:hAnsi="Arial"/>
          <w:sz w:val="16"/>
          <w:szCs w:val="16"/>
          <w:color w:val="auto"/>
        </w:rPr>
        <w:t>Jeffrey M. Ettinger</w:t>
      </w:r>
    </w:p>
    <w:p>
      <w:pPr>
        <w:jc w:val="center"/>
        <w:ind w:right="-39"/>
        <w:spacing w:after="0"/>
        <w:rPr>
          <w:sz w:val="20"/>
          <w:szCs w:val="20"/>
          <w:color w:val="auto"/>
        </w:rPr>
      </w:pPr>
      <w:r>
        <w:rPr>
          <w:rFonts w:ascii="Arial" w:cs="Arial" w:eastAsia="Arial" w:hAnsi="Arial"/>
          <w:sz w:val="16"/>
          <w:szCs w:val="16"/>
          <w:color w:val="auto"/>
        </w:rPr>
        <w:t>D. Christian Koch</w:t>
      </w:r>
    </w:p>
    <w:p>
      <w:pPr>
        <w:jc w:val="center"/>
        <w:ind w:right="-39"/>
        <w:spacing w:after="0"/>
        <w:rPr>
          <w:sz w:val="20"/>
          <w:szCs w:val="20"/>
          <w:color w:val="auto"/>
        </w:rPr>
      </w:pPr>
      <w:r>
        <w:rPr>
          <w:rFonts w:ascii="Arial" w:cs="Arial" w:eastAsia="Arial" w:hAnsi="Arial"/>
          <w:sz w:val="16"/>
          <w:szCs w:val="16"/>
          <w:color w:val="auto"/>
        </w:rPr>
        <w:t>Joyce A. Mullen</w:t>
      </w:r>
    </w:p>
    <w:p>
      <w:pPr>
        <w:jc w:val="center"/>
        <w:ind w:right="-19"/>
        <w:spacing w:after="0"/>
        <w:rPr>
          <w:sz w:val="20"/>
          <w:szCs w:val="20"/>
          <w:color w:val="auto"/>
        </w:rPr>
      </w:pPr>
      <w:r>
        <w:rPr>
          <w:rFonts w:ascii="Arial" w:cs="Arial" w:eastAsia="Arial" w:hAnsi="Arial"/>
          <w:sz w:val="16"/>
          <w:szCs w:val="16"/>
          <w:color w:val="auto"/>
        </w:rPr>
        <w:t>Gregg W. Steinhafel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Compensation Discussion and Analysis</w:t>
      </w:r>
    </w:p>
    <w:p>
      <w:pPr>
        <w:spacing w:after="0" w:line="98" w:lineRule="exact"/>
        <w:rPr>
          <w:sz w:val="20"/>
          <w:szCs w:val="20"/>
          <w:color w:val="auto"/>
        </w:rPr>
      </w:pPr>
    </w:p>
    <w:p>
      <w:pPr>
        <w:ind w:right="380" w:firstLine="408"/>
        <w:spacing w:after="0" w:line="260"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In this Compensation Discussion and Analysis, or CD&amp;A, we describe key principles and approaches used to determine elements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paid or awarded to and earned by the following named executive officers whose compensation is set forth in the “Summary Compensation Table” beginning on page 44:</w:t>
      </w:r>
    </w:p>
    <w:p>
      <w:pPr>
        <w:spacing w:after="0" w:line="71" w:lineRule="exact"/>
        <w:rPr>
          <w:sz w:val="20"/>
          <w:szCs w:val="20"/>
          <w:color w:val="auto"/>
        </w:rPr>
      </w:pPr>
    </w:p>
    <w:p>
      <w:pPr>
        <w:ind w:left="800" w:hanging="398"/>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6"/>
          <w:szCs w:val="16"/>
          <w:color w:val="auto"/>
        </w:rPr>
        <w:t>Richard M. Olson, Chairman of the Board, President and CEO;</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6"/>
          <w:szCs w:val="16"/>
          <w:color w:val="auto"/>
        </w:rPr>
        <w:t>Renee J. Peterson, Vice President, Treasurer and Chief Financial Officer;</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6"/>
          <w:szCs w:val="16"/>
          <w:color w:val="auto"/>
        </w:rPr>
        <w:t>Timothy P. Dordell, former Vice President, Secretary and General Counsel;</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6"/>
          <w:szCs w:val="16"/>
          <w:color w:val="auto"/>
        </w:rPr>
        <w:t>Bradley A. Hamilton, Group Vice President, Commercial, International and Irrigation Businesses;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6"/>
          <w:szCs w:val="16"/>
          <w:color w:val="auto"/>
        </w:rPr>
        <w:t>Richard W. Rodier, Group Vice President, Construction Businesses.</w:t>
      </w:r>
    </w:p>
    <w:p>
      <w:pPr>
        <w:spacing w:after="0" w:line="98" w:lineRule="exact"/>
        <w:rPr>
          <w:sz w:val="20"/>
          <w:szCs w:val="20"/>
          <w:color w:val="auto"/>
        </w:rPr>
      </w:pPr>
    </w:p>
    <w:p>
      <w:pPr>
        <w:ind w:right="160" w:firstLine="408"/>
        <w:spacing w:after="0" w:line="255" w:lineRule="auto"/>
        <w:rPr>
          <w:sz w:val="20"/>
          <w:szCs w:val="20"/>
          <w:color w:val="auto"/>
        </w:rPr>
      </w:pPr>
      <w:r>
        <w:rPr>
          <w:rFonts w:ascii="Arial" w:cs="Arial" w:eastAsia="Arial" w:hAnsi="Arial"/>
          <w:sz w:val="16"/>
          <w:szCs w:val="16"/>
          <w:color w:val="auto"/>
        </w:rPr>
        <w:t>On April 1, 2019, we completed the acquisition of CMW. In connection with the CMW acquisition, Mr. Rodier was promoted to his current role of Group Vice President, Construction Businesses. In addition, Mr. Dordell retired from our Company on January 10, 2020.</w:t>
      </w:r>
    </w:p>
    <w:p>
      <w:pPr>
        <w:spacing w:after="0" w:line="75" w:lineRule="exact"/>
        <w:rPr>
          <w:sz w:val="20"/>
          <w:szCs w:val="20"/>
          <w:color w:val="auto"/>
        </w:rPr>
      </w:pPr>
    </w:p>
    <w:p>
      <w:pPr>
        <w:ind w:right="240" w:firstLine="408"/>
        <w:spacing w:after="0" w:line="247" w:lineRule="auto"/>
        <w:rPr>
          <w:sz w:val="20"/>
          <w:szCs w:val="20"/>
          <w:color w:val="auto"/>
        </w:rPr>
      </w:pPr>
      <w:r>
        <w:rPr>
          <w:rFonts w:ascii="Arial" w:cs="Arial" w:eastAsia="Arial" w:hAnsi="Arial"/>
          <w:sz w:val="16"/>
          <w:szCs w:val="16"/>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Three—Advisory Approval of our Executive Compensation” beginning on page 26.</w:t>
      </w:r>
    </w:p>
    <w:p>
      <w:pPr>
        <w:spacing w:after="0" w:line="61" w:lineRule="exact"/>
        <w:rPr>
          <w:sz w:val="20"/>
          <w:szCs w:val="20"/>
          <w:color w:val="auto"/>
        </w:rPr>
      </w:pPr>
    </w:p>
    <w:p>
      <w:pPr>
        <w:ind w:firstLine="408"/>
        <w:spacing w:after="0" w:line="260" w:lineRule="auto"/>
        <w:rPr>
          <w:sz w:val="20"/>
          <w:szCs w:val="20"/>
          <w:color w:val="auto"/>
        </w:rPr>
      </w:pPr>
      <w:r>
        <w:rPr>
          <w:rFonts w:ascii="Arial" w:cs="Arial" w:eastAsia="Arial" w:hAnsi="Arial"/>
          <w:sz w:val="16"/>
          <w:szCs w:val="16"/>
          <w:b w:val="1"/>
          <w:bCs w:val="1"/>
          <w:i w:val="1"/>
          <w:iCs w:val="1"/>
          <w:color w:val="auto"/>
        </w:rPr>
        <w:t>Executive Compensation Program Objectives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guiding compensation philosophy is to maintain an executive compensation program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to attract, retain, motivate and reward highly qualified and talented executive officers who will enable us to perform better than our competitors and drive long-term shareholder value. The following core principles provide a framework for our executive compensation program:</w:t>
      </w:r>
    </w:p>
    <w:p>
      <w:pPr>
        <w:spacing w:after="0" w:line="71" w:lineRule="exact"/>
        <w:rPr>
          <w:sz w:val="20"/>
          <w:szCs w:val="20"/>
          <w:color w:val="auto"/>
        </w:rPr>
      </w:pPr>
    </w:p>
    <w:p>
      <w:pPr>
        <w:ind w:left="800" w:hanging="398"/>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6"/>
          <w:szCs w:val="16"/>
          <w:color w:val="auto"/>
        </w:rPr>
        <w:t>Align interests of executive officers with shareholder interests;</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6"/>
          <w:szCs w:val="16"/>
          <w:color w:val="auto"/>
        </w:rPr>
        <w:t>Link pay to performance;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6"/>
          <w:szCs w:val="16"/>
          <w:color w:val="auto"/>
        </w:rPr>
        <w:t>Provide competitive target total direct compensation opportunities.</w:t>
      </w:r>
    </w:p>
    <w:p>
      <w:pPr>
        <w:spacing w:after="0" w:line="78" w:lineRule="exact"/>
        <w:rPr>
          <w:sz w:val="20"/>
          <w:szCs w:val="20"/>
          <w:color w:val="auto"/>
        </w:rPr>
      </w:pPr>
    </w:p>
    <w:p>
      <w:pPr>
        <w:jc w:val="both"/>
        <w:ind w:right="200" w:firstLine="408"/>
        <w:spacing w:after="0" w:line="253" w:lineRule="auto"/>
        <w:rPr>
          <w:sz w:val="20"/>
          <w:szCs w:val="20"/>
          <w:color w:val="auto"/>
        </w:rPr>
      </w:pPr>
      <w:r>
        <w:rPr>
          <w:rFonts w:ascii="Arial" w:cs="Arial" w:eastAsia="Arial" w:hAnsi="Arial"/>
          <w:sz w:val="16"/>
          <w:szCs w:val="16"/>
          <w:b w:val="1"/>
          <w:bCs w:val="1"/>
          <w:i w:val="1"/>
          <w:iCs w:val="1"/>
          <w:color w:val="auto"/>
        </w:rPr>
        <w:t xml:space="preserve">Highlights of Compensation Practices. </w:t>
      </w:r>
      <w:r>
        <w:rPr>
          <w:rFonts w:ascii="Arial" w:cs="Arial" w:eastAsia="Arial" w:hAnsi="Arial"/>
          <w:sz w:val="16"/>
          <w:szCs w:val="16"/>
          <w:color w:val="auto"/>
        </w:rPr>
        <w:t>At our 2019 Annual Meeting of Shareholders, our shareholders had the opportunity to vote on an advisory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say-on-pay proposal and over 95% of the votes cast were in favor of such proposal. The Compensation &amp; Human Resources Committee believes that such results affirmed shareholder support of our approach to executive compensation and did not believe it was necessary to, and, therefore, did not, make any significant changes to our executive compensation program in fiscal 2019.</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40" w:name="page41"/>
    <w:bookmarkEnd w:id="40"/>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59320" cy="147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9320" cy="147955"/>
                    </a:xfrm>
                    <a:prstGeom prst="rect">
                      <a:avLst/>
                    </a:prstGeom>
                    <a:noFill/>
                  </pic:spPr>
                </pic:pic>
              </a:graphicData>
            </a:graphic>
          </wp:anchor>
        </w:drawing>
      </w:r>
    </w:p>
    <w:p>
      <w:pPr>
        <w:spacing w:after="0" w:line="82" w:lineRule="exact"/>
        <w:rPr>
          <w:sz w:val="20"/>
          <w:szCs w:val="20"/>
          <w:color w:val="auto"/>
        </w:rPr>
      </w:pPr>
    </w:p>
    <w:p>
      <w:pPr>
        <w:ind w:left="22"/>
        <w:spacing w:after="0"/>
        <w:rPr>
          <w:sz w:val="20"/>
          <w:szCs w:val="20"/>
          <w:color w:val="auto"/>
        </w:rPr>
      </w:pPr>
      <w:r>
        <w:rPr>
          <w:rFonts w:ascii="Arial" w:cs="Arial" w:eastAsia="Arial" w:hAnsi="Arial"/>
          <w:sz w:val="16"/>
          <w:szCs w:val="16"/>
          <w:b w:val="1"/>
          <w:bCs w:val="1"/>
          <w:color w:val="FFFFFF"/>
        </w:rPr>
        <w:t>What We Do:</w:t>
      </w:r>
    </w:p>
    <w:p>
      <w:pPr>
        <w:spacing w:after="0" w:line="81" w:lineRule="exact"/>
        <w:rPr>
          <w:sz w:val="20"/>
          <w:szCs w:val="20"/>
          <w:color w:val="auto"/>
        </w:rPr>
      </w:pPr>
    </w:p>
    <w:p>
      <w:pPr>
        <w:ind w:left="402" w:right="140" w:hanging="402"/>
        <w:spacing w:after="0" w:line="247" w:lineRule="auto"/>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link a substantial portion of total executive compensation directly to performance and require that minimum, or threshold, levels of performance be met in order for there to be any payout.</w:t>
      </w:r>
    </w:p>
    <w:p>
      <w:pPr>
        <w:spacing w:after="0" w:line="25" w:lineRule="exact"/>
        <w:rPr>
          <w:rFonts w:ascii="MS PGothic" w:cs="MS PGothic" w:eastAsia="MS PGothic" w:hAnsi="MS PGothic"/>
          <w:sz w:val="16"/>
          <w:szCs w:val="16"/>
          <w:color w:val="auto"/>
          <w:shd w:val="clear" w:color="auto" w:fill="C00000"/>
        </w:rPr>
      </w:pPr>
    </w:p>
    <w:p>
      <w:pPr>
        <w:ind w:left="402" w:right="140" w:hanging="402"/>
        <w:spacing w:after="0" w:line="247" w:lineRule="auto"/>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utilize a mix of earnings, revenue and asset-based performance measures for our annual cash incentive awards and long-term performance share awards.</w:t>
      </w:r>
    </w:p>
    <w:p>
      <w:pPr>
        <w:spacing w:after="0" w:line="25"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cap annual cash incentive award and long-term performance share award payouts at 200% of the target award.</w:t>
      </w:r>
    </w:p>
    <w:p>
      <w:pPr>
        <w:spacing w:after="0" w:line="48" w:lineRule="exact"/>
        <w:rPr>
          <w:rFonts w:ascii="MS PGothic" w:cs="MS PGothic" w:eastAsia="MS PGothic" w:hAnsi="MS PGothic"/>
          <w:sz w:val="16"/>
          <w:szCs w:val="16"/>
          <w:color w:val="auto"/>
          <w:shd w:val="clear" w:color="auto" w:fill="C00000"/>
        </w:rPr>
      </w:pPr>
    </w:p>
    <w:p>
      <w:pPr>
        <w:ind w:left="402" w:right="160" w:hanging="402"/>
        <w:spacing w:after="0" w:line="247" w:lineRule="auto"/>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utilize three-year performance share awards, the payouts of which vary based on performance and are contingent upon the achievement of three-year performance goals.</w:t>
      </w:r>
    </w:p>
    <w:p>
      <w:pPr>
        <w:spacing w:after="0" w:line="25"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utilize stock options, the value of which is contingent upon long-term stock price performance.</w:t>
      </w:r>
    </w:p>
    <w:p>
      <w:pPr>
        <w:spacing w:after="0" w:line="48"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impose a minimum vesting requirement of three years or more for our time-based equity awards.</w:t>
      </w:r>
    </w:p>
    <w:p>
      <w:pPr>
        <w:spacing w:after="0" w:line="48"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maintain stock ownership guidelines for our executive officers.</w:t>
      </w:r>
    </w:p>
    <w:p>
      <w:pPr>
        <w:spacing w:after="0" w:line="48"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include clawback provisions within our annual cash incentive and long-term incentive awards.</w:t>
      </w:r>
    </w:p>
    <w:p>
      <w:pPr>
        <w:spacing w:after="0" w:line="48"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have an independent Compensation &amp; Human Resources Committee which is advised by an independent external compensation consultant.</w:t>
      </w:r>
    </w:p>
    <w:p>
      <w:pPr>
        <w:spacing w:after="0" w:line="48" w:lineRule="exact"/>
        <w:rPr>
          <w:rFonts w:ascii="MS PGothic" w:cs="MS PGothic" w:eastAsia="MS PGothic" w:hAnsi="MS PGothic"/>
          <w:sz w:val="16"/>
          <w:szCs w:val="16"/>
          <w:color w:val="auto"/>
          <w:shd w:val="clear" w:color="auto" w:fill="C00000"/>
        </w:rPr>
      </w:pPr>
    </w:p>
    <w:p>
      <w:pPr>
        <w:ind w:left="402" w:hanging="402"/>
        <w:spacing w:after="0"/>
        <w:tabs>
          <w:tab w:leader="none" w:pos="402" w:val="left"/>
        </w:tabs>
        <w:numPr>
          <w:ilvl w:val="0"/>
          <w:numId w:val="37"/>
        </w:numPr>
        <w:rPr>
          <w:rFonts w:ascii="MS PGothic" w:cs="MS PGothic" w:eastAsia="MS PGothic" w:hAnsi="MS PGothic"/>
          <w:sz w:val="16"/>
          <w:szCs w:val="16"/>
          <w:color w:val="auto"/>
          <w:shd w:val="clear" w:color="auto" w:fill="C00000"/>
        </w:rPr>
      </w:pPr>
      <w:r>
        <w:rPr>
          <w:rFonts w:ascii="Arial" w:cs="Arial" w:eastAsia="Arial" w:hAnsi="Arial"/>
          <w:sz w:val="16"/>
          <w:szCs w:val="16"/>
          <w:color w:val="auto"/>
        </w:rPr>
        <w:t>We provide our shareholders with the opportunity to cast an advisory say-on-pay vote on an annual basis.</w:t>
      </w:r>
    </w:p>
    <w:p>
      <w:pPr>
        <w:spacing w:after="0" w:line="115" w:lineRule="exact"/>
        <w:rPr>
          <w:sz w:val="20"/>
          <w:szCs w:val="20"/>
          <w:color w:val="auto"/>
        </w:rPr>
      </w:pPr>
    </w:p>
    <w:p>
      <w:pPr>
        <w:ind w:left="22"/>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59320" cy="2413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9320" cy="241300"/>
                    </a:xfrm>
                    <a:prstGeom prst="rect">
                      <a:avLst/>
                    </a:prstGeom>
                    <a:noFill/>
                  </pic:spPr>
                </pic:pic>
              </a:graphicData>
            </a:graphic>
          </wp:anchor>
        </w:drawing>
      </w:r>
    </w:p>
    <w:p>
      <w:pPr>
        <w:spacing w:after="0" w:line="73" w:lineRule="exact"/>
        <w:rPr>
          <w:sz w:val="20"/>
          <w:szCs w:val="20"/>
          <w:color w:val="auto"/>
        </w:rPr>
      </w:pPr>
    </w:p>
    <w:p>
      <w:pPr>
        <w:ind w:left="422"/>
        <w:spacing w:after="0"/>
        <w:rPr>
          <w:sz w:val="20"/>
          <w:szCs w:val="20"/>
          <w:color w:val="auto"/>
        </w:rPr>
      </w:pPr>
      <w:r>
        <w:rPr>
          <w:rFonts w:ascii="Arial" w:cs="Arial" w:eastAsia="Arial" w:hAnsi="Arial"/>
          <w:sz w:val="16"/>
          <w:szCs w:val="16"/>
          <w:color w:val="auto"/>
        </w:rPr>
        <w:t>We do not allow repricing or exchange of any equity awards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00965" cy="933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17" w:lineRule="exact"/>
        <w:rPr>
          <w:sz w:val="20"/>
          <w:szCs w:val="20"/>
          <w:color w:val="auto"/>
        </w:rPr>
      </w:pPr>
    </w:p>
    <w:p>
      <w:pPr>
        <w:ind w:left="422"/>
        <w:spacing w:after="0"/>
        <w:rPr>
          <w:sz w:val="20"/>
          <w:szCs w:val="20"/>
          <w:color w:val="auto"/>
        </w:rPr>
      </w:pPr>
      <w:r>
        <w:rPr>
          <w:rFonts w:ascii="Arial" w:cs="Arial" w:eastAsia="Arial" w:hAnsi="Arial"/>
          <w:sz w:val="16"/>
          <w:szCs w:val="16"/>
          <w:color w:val="auto"/>
        </w:rPr>
        <w:t>We do not have individual employment agreements with our CEO or any other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00965" cy="933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17" w:lineRule="exact"/>
        <w:rPr>
          <w:sz w:val="20"/>
          <w:szCs w:val="20"/>
          <w:color w:val="auto"/>
        </w:rPr>
      </w:pPr>
    </w:p>
    <w:p>
      <w:pPr>
        <w:ind w:left="422"/>
        <w:spacing w:after="0"/>
        <w:rPr>
          <w:sz w:val="20"/>
          <w:szCs w:val="20"/>
          <w:color w:val="auto"/>
        </w:rPr>
      </w:pPr>
      <w:r>
        <w:rPr>
          <w:rFonts w:ascii="Arial" w:cs="Arial" w:eastAsia="Arial" w:hAnsi="Arial"/>
          <w:sz w:val="16"/>
          <w:szCs w:val="16"/>
          <w:color w:val="auto"/>
        </w:rPr>
        <w:t>We do not provide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00965" cy="933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17" w:lineRule="exact"/>
        <w:rPr>
          <w:sz w:val="20"/>
          <w:szCs w:val="20"/>
          <w:color w:val="auto"/>
        </w:rPr>
      </w:pPr>
    </w:p>
    <w:p>
      <w:pPr>
        <w:ind w:left="422"/>
        <w:spacing w:after="0"/>
        <w:rPr>
          <w:sz w:val="20"/>
          <w:szCs w:val="20"/>
          <w:color w:val="auto"/>
        </w:rPr>
      </w:pPr>
      <w:r>
        <w:rPr>
          <w:rFonts w:ascii="Arial" w:cs="Arial" w:eastAsia="Arial" w:hAnsi="Arial"/>
          <w:sz w:val="16"/>
          <w:szCs w:val="16"/>
          <w:color w:val="auto"/>
        </w:rPr>
        <w:t>We do not provide gross-up payments to cover personal income taxes or excise taxes that pertain to executive 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00965" cy="933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0965" cy="93345"/>
                    </a:xfrm>
                    <a:prstGeom prst="rect">
                      <a:avLst/>
                    </a:prstGeom>
                    <a:noFill/>
                  </pic:spPr>
                </pic:pic>
              </a:graphicData>
            </a:graphic>
          </wp:anchor>
        </w:drawing>
      </w:r>
    </w:p>
    <w:p>
      <w:pPr>
        <w:spacing w:after="0" w:line="17" w:lineRule="exact"/>
        <w:rPr>
          <w:sz w:val="20"/>
          <w:szCs w:val="20"/>
          <w:color w:val="auto"/>
        </w:rPr>
      </w:pPr>
    </w:p>
    <w:p>
      <w:pPr>
        <w:ind w:left="422"/>
        <w:spacing w:after="0"/>
        <w:rPr>
          <w:sz w:val="20"/>
          <w:szCs w:val="20"/>
          <w:color w:val="auto"/>
        </w:rPr>
      </w:pPr>
      <w:r>
        <w:rPr>
          <w:rFonts w:ascii="Arial" w:cs="Arial" w:eastAsia="Arial" w:hAnsi="Arial"/>
          <w:sz w:val="16"/>
          <w:szCs w:val="16"/>
          <w:color w:val="auto"/>
        </w:rPr>
        <w:t>We do not allow hedging or pledging of Toro securities by our executive officers.</w:t>
      </w:r>
    </w:p>
    <w:p>
      <w:pPr>
        <w:spacing w:after="0" w:line="66" w:lineRule="exact"/>
        <w:rPr>
          <w:sz w:val="20"/>
          <w:szCs w:val="20"/>
          <w:color w:val="auto"/>
        </w:rPr>
      </w:pPr>
    </w:p>
    <w:p>
      <w:pPr>
        <w:ind w:left="2" w:right="240" w:firstLine="408"/>
        <w:spacing w:after="0" w:line="260" w:lineRule="auto"/>
        <w:rPr>
          <w:sz w:val="20"/>
          <w:szCs w:val="20"/>
          <w:color w:val="auto"/>
        </w:rPr>
      </w:pPr>
      <w:r>
        <w:rPr>
          <w:rFonts w:ascii="Arial" w:cs="Arial" w:eastAsia="Arial" w:hAnsi="Arial"/>
          <w:sz w:val="16"/>
          <w:szCs w:val="16"/>
          <w:b w:val="1"/>
          <w:bCs w:val="1"/>
          <w:i w:val="1"/>
          <w:iCs w:val="1"/>
          <w:color w:val="auto"/>
        </w:rPr>
        <w:t xml:space="preserve">Pay Levels/Mix. </w:t>
      </w:r>
      <w:r>
        <w:rPr>
          <w:rFonts w:ascii="Arial" w:cs="Arial" w:eastAsia="Arial" w:hAnsi="Arial"/>
          <w:sz w:val="16"/>
          <w:szCs w:val="16"/>
          <w:color w:val="auto"/>
        </w:rPr>
        <w:t>A significant portion of our executive officers’ target total direct compensation is comprised of short- and long-term variable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or at risk, compensation to directly link their pay to performance. Generally, higher level executive positions have a higher level of pay that is performance-based. For fiscal 2019:</w:t>
      </w:r>
    </w:p>
    <w:p>
      <w:pPr>
        <w:spacing w:after="0" w:line="47" w:lineRule="exact"/>
        <w:rPr>
          <w:sz w:val="20"/>
          <w:szCs w:val="20"/>
          <w:color w:val="auto"/>
        </w:rPr>
      </w:pPr>
    </w:p>
    <w:p>
      <w:pPr>
        <w:ind w:left="802" w:hanging="398"/>
        <w:spacing w:after="0"/>
        <w:tabs>
          <w:tab w:leader="none" w:pos="802" w:val="left"/>
        </w:tabs>
        <w:numPr>
          <w:ilvl w:val="0"/>
          <w:numId w:val="38"/>
        </w:numPr>
        <w:rPr>
          <w:rFonts w:ascii="Arial" w:cs="Arial" w:eastAsia="Arial" w:hAnsi="Arial"/>
          <w:sz w:val="15"/>
          <w:szCs w:val="15"/>
          <w:color w:val="auto"/>
        </w:rPr>
      </w:pPr>
      <w:r>
        <w:rPr>
          <w:rFonts w:ascii="Arial" w:cs="Arial" w:eastAsia="Arial" w:hAnsi="Arial"/>
          <w:sz w:val="16"/>
          <w:szCs w:val="16"/>
          <w:color w:val="auto"/>
        </w:rPr>
        <w:t>84% of the target total direct compensation for our Chairman and CEO was performance-based, and</w:t>
      </w:r>
    </w:p>
    <w:p>
      <w:pPr>
        <w:spacing w:after="0" w:line="85" w:lineRule="exact"/>
        <w:rPr>
          <w:rFonts w:ascii="Arial" w:cs="Arial" w:eastAsia="Arial" w:hAnsi="Arial"/>
          <w:sz w:val="15"/>
          <w:szCs w:val="15"/>
          <w:color w:val="auto"/>
        </w:rPr>
      </w:pPr>
    </w:p>
    <w:p>
      <w:pPr>
        <w:ind w:left="802" w:hanging="398"/>
        <w:spacing w:after="0"/>
        <w:tabs>
          <w:tab w:leader="none" w:pos="802" w:val="left"/>
        </w:tabs>
        <w:numPr>
          <w:ilvl w:val="0"/>
          <w:numId w:val="38"/>
        </w:numPr>
        <w:rPr>
          <w:rFonts w:ascii="Arial" w:cs="Arial" w:eastAsia="Arial" w:hAnsi="Arial"/>
          <w:sz w:val="15"/>
          <w:szCs w:val="15"/>
          <w:color w:val="auto"/>
        </w:rPr>
      </w:pPr>
      <w:r>
        <w:rPr>
          <w:rFonts w:ascii="Arial" w:cs="Arial" w:eastAsia="Arial" w:hAnsi="Arial"/>
          <w:sz w:val="16"/>
          <w:szCs w:val="16"/>
          <w:color w:val="auto"/>
        </w:rPr>
        <w:t>68% of the target total direct compensation for our other named executive officers was performance-based.</w:t>
      </w:r>
    </w:p>
    <w:p>
      <w:pPr>
        <w:spacing w:after="0" w:line="86" w:lineRule="exact"/>
        <w:rPr>
          <w:sz w:val="20"/>
          <w:szCs w:val="20"/>
          <w:color w:val="auto"/>
        </w:rPr>
      </w:pPr>
    </w:p>
    <w:p>
      <w:pPr>
        <w:ind w:left="2" w:firstLine="408"/>
        <w:spacing w:after="0" w:line="244" w:lineRule="auto"/>
        <w:rPr>
          <w:sz w:val="20"/>
          <w:szCs w:val="20"/>
          <w:color w:val="auto"/>
        </w:rPr>
      </w:pPr>
      <w:r>
        <w:rPr>
          <w:rFonts w:ascii="Arial" w:cs="Arial" w:eastAsia="Arial" w:hAnsi="Arial"/>
          <w:sz w:val="16"/>
          <w:szCs w:val="16"/>
          <w:color w:val="auto"/>
        </w:rPr>
        <w:t>Short-term variable compensation is in the form of annual cash incentive awards. Long-term variable compensation is in the form of stock options that vest over three years and three-year performance share awards. We target pay opportunities within a competitive range of the market 50</w:t>
      </w:r>
      <w:r>
        <w:rPr>
          <w:rFonts w:ascii="Arial" w:cs="Arial" w:eastAsia="Arial" w:hAnsi="Arial"/>
          <w:sz w:val="13"/>
          <w:szCs w:val="13"/>
          <w:color w:val="auto"/>
        </w:rPr>
        <w:t>th</w:t>
      </w:r>
      <w:r>
        <w:rPr>
          <w:rFonts w:ascii="Arial" w:cs="Arial" w:eastAsia="Arial" w:hAnsi="Arial"/>
          <w:sz w:val="16"/>
          <w:szCs w:val="16"/>
          <w:color w:val="auto"/>
        </w:rPr>
        <w:t xml:space="preserve"> percentile for each element of compensation and in total; however, variance around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is dependent on a number of factors. We also provide our executive officers with modest perquisites and market competitive retirement and benefit plans.</w:t>
      </w:r>
    </w:p>
    <w:p>
      <w:pPr>
        <w:sectPr>
          <w:pgSz w:w="11900" w:h="16838" w:orient="portrait"/>
          <w:cols w:equalWidth="0" w:num="1">
            <w:col w:w="11362"/>
          </w:cols>
          <w:pgMar w:left="238" w:top="140" w:right="299" w:bottom="1440" w:gutter="0" w:footer="0" w:header="0"/>
        </w:sectPr>
      </w:pPr>
    </w:p>
    <w:p>
      <w:pPr>
        <w:spacing w:after="0" w:line="69" w:lineRule="exact"/>
        <w:rPr>
          <w:sz w:val="20"/>
          <w:szCs w:val="20"/>
          <w:color w:val="auto"/>
        </w:rPr>
      </w:pPr>
    </w:p>
    <w:p>
      <w:pPr>
        <w:jc w:val="center"/>
        <w:ind w:right="118"/>
        <w:spacing w:after="0"/>
        <w:rPr>
          <w:sz w:val="20"/>
          <w:szCs w:val="20"/>
          <w:color w:val="auto"/>
        </w:rPr>
      </w:pPr>
      <w:r>
        <w:rPr>
          <w:rFonts w:ascii="Arial" w:cs="Arial" w:eastAsia="Arial" w:hAnsi="Arial"/>
          <w:sz w:val="15"/>
          <w:szCs w:val="15"/>
          <w:b w:val="1"/>
          <w:bCs w:val="1"/>
          <w:color w:val="C00000"/>
        </w:rPr>
        <w:t>Chairman and CEO</w:t>
      </w:r>
    </w:p>
    <w:p>
      <w:pPr>
        <w:spacing w:after="0" w:line="17" w:lineRule="exact"/>
        <w:rPr>
          <w:sz w:val="20"/>
          <w:szCs w:val="20"/>
          <w:color w:val="auto"/>
        </w:rPr>
      </w:pPr>
    </w:p>
    <w:p>
      <w:pPr>
        <w:jc w:val="center"/>
        <w:ind w:right="118"/>
        <w:spacing w:after="0"/>
        <w:rPr>
          <w:sz w:val="20"/>
          <w:szCs w:val="20"/>
          <w:color w:val="auto"/>
        </w:rPr>
      </w:pPr>
      <w:r>
        <w:rPr>
          <w:rFonts w:ascii="Arial" w:cs="Arial" w:eastAsia="Arial" w:hAnsi="Arial"/>
          <w:sz w:val="14"/>
          <w:szCs w:val="14"/>
          <w:b w:val="1"/>
          <w:bCs w:val="1"/>
          <w:color w:val="C0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36830</wp:posOffset>
            </wp:positionV>
            <wp:extent cx="2162810" cy="16338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62810" cy="1633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1700"/>
        <w:spacing w:after="0"/>
        <w:rPr>
          <w:sz w:val="20"/>
          <w:szCs w:val="20"/>
          <w:color w:val="auto"/>
        </w:rPr>
      </w:pPr>
      <w:r>
        <w:rPr>
          <w:rFonts w:ascii="Arial" w:cs="Arial" w:eastAsia="Arial" w:hAnsi="Arial"/>
          <w:sz w:val="15"/>
          <w:szCs w:val="15"/>
          <w:b w:val="1"/>
          <w:bCs w:val="1"/>
          <w:color w:val="C00000"/>
        </w:rPr>
        <w:t>Other Named Executive Officers</w:t>
      </w:r>
    </w:p>
    <w:p>
      <w:pPr>
        <w:spacing w:after="0" w:line="17" w:lineRule="exact"/>
        <w:rPr>
          <w:sz w:val="20"/>
          <w:szCs w:val="20"/>
          <w:color w:val="auto"/>
        </w:rPr>
      </w:pPr>
    </w:p>
    <w:p>
      <w:pPr>
        <w:jc w:val="center"/>
        <w:ind w:right="1700"/>
        <w:spacing w:after="0"/>
        <w:rPr>
          <w:sz w:val="20"/>
          <w:szCs w:val="20"/>
          <w:color w:val="auto"/>
        </w:rPr>
      </w:pPr>
      <w:r>
        <w:rPr>
          <w:rFonts w:ascii="Arial" w:cs="Arial" w:eastAsia="Arial" w:hAnsi="Arial"/>
          <w:sz w:val="14"/>
          <w:szCs w:val="14"/>
          <w:b w:val="1"/>
          <w:bCs w:val="1"/>
          <w:color w:val="C0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36830</wp:posOffset>
            </wp:positionV>
            <wp:extent cx="2162810" cy="16338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62810" cy="16338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22" w:space="720"/>
            <w:col w:w="4320"/>
          </w:cols>
          <w:pgMar w:left="238" w:top="14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62"/>
          </w:cols>
          <w:pgMar w:left="238" w:top="140" w:right="29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7" w:lineRule="exact"/>
        <w:rPr>
          <w:sz w:val="20"/>
          <w:szCs w:val="20"/>
          <w:color w:val="auto"/>
        </w:rPr>
      </w:pPr>
    </w:p>
    <w:p>
      <w:pPr>
        <w:ind w:firstLine="408"/>
        <w:spacing w:after="0" w:line="260" w:lineRule="auto"/>
        <w:rPr>
          <w:sz w:val="20"/>
          <w:szCs w:val="20"/>
          <w:color w:val="auto"/>
        </w:rPr>
      </w:pPr>
      <w:r>
        <w:rPr>
          <w:rFonts w:ascii="Arial" w:cs="Arial" w:eastAsia="Arial" w:hAnsi="Arial"/>
          <w:sz w:val="16"/>
          <w:szCs w:val="16"/>
          <w:b w:val="1"/>
          <w:bCs w:val="1"/>
          <w:i w:val="1"/>
          <w:iCs w:val="1"/>
          <w:color w:val="auto"/>
        </w:rPr>
        <w:t xml:space="preserve">Annual Cash Incentives. </w:t>
      </w:r>
      <w:r>
        <w:rPr>
          <w:rFonts w:ascii="Arial" w:cs="Arial" w:eastAsia="Arial" w:hAnsi="Arial"/>
          <w:sz w:val="16"/>
          <w:szCs w:val="16"/>
          <w:color w:val="auto"/>
        </w:rPr>
        <w:t>As described in more detail under “Annual Cash Incentives” beginning on page 33, our fiscal 2019 corporate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(reflective of adjustments made based on defined adjustment events, which, among other things, resulted in the exclusion of all financial impacts related to the CMW acquisition) resulted in a corporate performance payout of 59.65% of target: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Corporate:</w:t>
            </w:r>
          </w:p>
        </w:tc>
        <w:tc>
          <w:tcPr>
            <w:tcW w:w="2040" w:type="dxa"/>
            <w:vAlign w:val="bottom"/>
            <w:shd w:val="clear" w:color="auto" w:fill="C00000"/>
          </w:tcPr>
          <w:p>
            <w:pPr>
              <w:jc w:val="center"/>
              <w:ind w:left="590"/>
              <w:spacing w:after="0"/>
              <w:rPr>
                <w:sz w:val="20"/>
                <w:szCs w:val="20"/>
                <w:color w:val="auto"/>
              </w:rPr>
            </w:pPr>
            <w:r>
              <w:rPr>
                <w:rFonts w:ascii="Arial" w:cs="Arial" w:eastAsia="Arial" w:hAnsi="Arial"/>
                <w:sz w:val="13"/>
                <w:szCs w:val="13"/>
                <w:b w:val="1"/>
                <w:bCs w:val="1"/>
                <w:color w:val="FFFFFF"/>
                <w:w w:val="98"/>
              </w:rPr>
              <w:t>Threshold</w:t>
            </w:r>
          </w:p>
        </w:tc>
        <w:tc>
          <w:tcPr>
            <w:tcW w:w="14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Target</w:t>
            </w:r>
          </w:p>
        </w:tc>
        <w:tc>
          <w:tcPr>
            <w:tcW w:w="1560" w:type="dxa"/>
            <w:vAlign w:val="bottom"/>
            <w:shd w:val="clear" w:color="auto" w:fill="C00000"/>
          </w:tcPr>
          <w:p>
            <w:pPr>
              <w:jc w:val="center"/>
              <w:ind w:right="50"/>
              <w:spacing w:after="0"/>
              <w:rPr>
                <w:sz w:val="20"/>
                <w:szCs w:val="20"/>
                <w:color w:val="auto"/>
              </w:rPr>
            </w:pPr>
            <w:r>
              <w:rPr>
                <w:rFonts w:ascii="Arial" w:cs="Arial" w:eastAsia="Arial" w:hAnsi="Arial"/>
                <w:sz w:val="13"/>
                <w:szCs w:val="13"/>
                <w:b w:val="1"/>
                <w:bCs w:val="1"/>
                <w:color w:val="FFFFFF"/>
                <w:w w:val="99"/>
              </w:rPr>
              <w:t>Maximum</w:t>
            </w:r>
          </w:p>
        </w:tc>
        <w:tc>
          <w:tcPr>
            <w:tcW w:w="2860" w:type="dxa"/>
            <w:vAlign w:val="bottom"/>
            <w:shd w:val="clear" w:color="auto" w:fill="C00000"/>
          </w:tcPr>
          <w:p>
            <w:pPr>
              <w:spacing w:after="0"/>
              <w:rPr>
                <w:sz w:val="13"/>
                <w:szCs w:val="13"/>
                <w:color w:val="auto"/>
              </w:rPr>
            </w:pPr>
          </w:p>
        </w:tc>
      </w:tr>
      <w:tr>
        <w:trPr>
          <w:trHeight w:val="159"/>
        </w:trPr>
        <w:tc>
          <w:tcPr>
            <w:tcW w:w="354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Fiscal 2019 Performance Measures</w:t>
            </w:r>
          </w:p>
        </w:tc>
        <w:tc>
          <w:tcPr>
            <w:tcW w:w="2040" w:type="dxa"/>
            <w:vAlign w:val="bottom"/>
            <w:shd w:val="clear" w:color="auto" w:fill="C00000"/>
          </w:tcPr>
          <w:p>
            <w:pPr>
              <w:jc w:val="center"/>
              <w:ind w:left="590"/>
              <w:spacing w:after="0"/>
              <w:rPr>
                <w:sz w:val="20"/>
                <w:szCs w:val="20"/>
                <w:color w:val="auto"/>
              </w:rPr>
            </w:pPr>
            <w:r>
              <w:rPr>
                <w:rFonts w:ascii="Arial" w:cs="Arial" w:eastAsia="Arial" w:hAnsi="Arial"/>
                <w:sz w:val="13"/>
                <w:szCs w:val="13"/>
                <w:b w:val="1"/>
                <w:bCs w:val="1"/>
                <w:color w:val="FFFFFF"/>
              </w:rPr>
              <w:t>(40% payout)</w:t>
            </w:r>
          </w:p>
        </w:tc>
        <w:tc>
          <w:tcPr>
            <w:tcW w:w="14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9"/>
              </w:rPr>
              <w:t>(100% payout)</w:t>
            </w:r>
          </w:p>
        </w:tc>
        <w:tc>
          <w:tcPr>
            <w:tcW w:w="1560" w:type="dxa"/>
            <w:vAlign w:val="bottom"/>
            <w:shd w:val="clear" w:color="auto" w:fill="C00000"/>
          </w:tcPr>
          <w:p>
            <w:pPr>
              <w:jc w:val="center"/>
              <w:ind w:right="50"/>
              <w:spacing w:after="0"/>
              <w:rPr>
                <w:sz w:val="20"/>
                <w:szCs w:val="20"/>
                <w:color w:val="auto"/>
              </w:rPr>
            </w:pPr>
            <w:r>
              <w:rPr>
                <w:rFonts w:ascii="Arial" w:cs="Arial" w:eastAsia="Arial" w:hAnsi="Arial"/>
                <w:sz w:val="13"/>
                <w:szCs w:val="13"/>
                <w:b w:val="1"/>
                <w:bCs w:val="1"/>
                <w:color w:val="FFFFFF"/>
                <w:w w:val="99"/>
              </w:rPr>
              <w:t>(200% payout)</w:t>
            </w:r>
          </w:p>
        </w:tc>
        <w:tc>
          <w:tcPr>
            <w:tcW w:w="28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Actual</w:t>
            </w:r>
          </w:p>
        </w:tc>
      </w:tr>
      <w:tr>
        <w:trPr>
          <w:trHeight w:val="186"/>
        </w:trPr>
        <w:tc>
          <w:tcPr>
            <w:tcW w:w="3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5"/>
                <w:szCs w:val="15"/>
                <w:color w:val="auto"/>
                <w:w w:val="95"/>
              </w:rPr>
              <w:t>$2.78</w:t>
            </w:r>
          </w:p>
        </w:tc>
      </w:tr>
      <w:tr>
        <w:trPr>
          <w:trHeight w:val="170"/>
        </w:trPr>
        <w:tc>
          <w:tcPr>
            <w:tcW w:w="3540" w:type="dxa"/>
            <w:vAlign w:val="bottom"/>
          </w:tcPr>
          <w:p>
            <w:pPr>
              <w:spacing w:after="0" w:line="170" w:lineRule="exact"/>
              <w:rPr>
                <w:sz w:val="20"/>
                <w:szCs w:val="20"/>
                <w:color w:val="auto"/>
              </w:rPr>
            </w:pPr>
            <w:r>
              <w:rPr>
                <w:rFonts w:ascii="Arial" w:cs="Arial" w:eastAsia="Arial" w:hAnsi="Arial"/>
                <w:sz w:val="15"/>
                <w:szCs w:val="15"/>
                <w:color w:val="auto"/>
              </w:rPr>
              <w:t>50% diluted net EPS</w:t>
            </w:r>
          </w:p>
        </w:tc>
        <w:tc>
          <w:tcPr>
            <w:tcW w:w="2040" w:type="dxa"/>
            <w:vAlign w:val="bottom"/>
          </w:tcPr>
          <w:p>
            <w:pPr>
              <w:jc w:val="center"/>
              <w:ind w:left="590"/>
              <w:spacing w:after="0" w:line="170" w:lineRule="exact"/>
              <w:rPr>
                <w:sz w:val="20"/>
                <w:szCs w:val="20"/>
                <w:color w:val="auto"/>
              </w:rPr>
            </w:pPr>
            <w:r>
              <w:rPr>
                <w:rFonts w:ascii="Arial" w:cs="Arial" w:eastAsia="Arial" w:hAnsi="Arial"/>
                <w:sz w:val="15"/>
                <w:szCs w:val="15"/>
                <w:color w:val="auto"/>
              </w:rPr>
              <w:t>$2.35</w:t>
            </w:r>
          </w:p>
        </w:tc>
        <w:tc>
          <w:tcPr>
            <w:tcW w:w="1420" w:type="dxa"/>
            <w:vAlign w:val="bottom"/>
          </w:tcPr>
          <w:p>
            <w:pPr>
              <w:jc w:val="center"/>
              <w:spacing w:after="0" w:line="170" w:lineRule="exact"/>
              <w:rPr>
                <w:sz w:val="20"/>
                <w:szCs w:val="20"/>
                <w:color w:val="auto"/>
              </w:rPr>
            </w:pPr>
            <w:r>
              <w:rPr>
                <w:rFonts w:ascii="Arial" w:cs="Arial" w:eastAsia="Arial" w:hAnsi="Arial"/>
                <w:sz w:val="15"/>
                <w:szCs w:val="15"/>
                <w:color w:val="auto"/>
                <w:w w:val="95"/>
              </w:rPr>
              <w:t>$2.94</w:t>
            </w:r>
          </w:p>
        </w:tc>
        <w:tc>
          <w:tcPr>
            <w:tcW w:w="1560" w:type="dxa"/>
            <w:vAlign w:val="bottom"/>
          </w:tcPr>
          <w:p>
            <w:pPr>
              <w:jc w:val="center"/>
              <w:ind w:right="50"/>
              <w:spacing w:after="0" w:line="170" w:lineRule="exact"/>
              <w:rPr>
                <w:sz w:val="20"/>
                <w:szCs w:val="20"/>
                <w:color w:val="auto"/>
              </w:rPr>
            </w:pPr>
            <w:r>
              <w:rPr>
                <w:rFonts w:ascii="Arial" w:cs="Arial" w:eastAsia="Arial" w:hAnsi="Arial"/>
                <w:sz w:val="15"/>
                <w:szCs w:val="15"/>
                <w:color w:val="auto"/>
                <w:w w:val="95"/>
              </w:rPr>
              <w:t>$3.53</w:t>
            </w:r>
          </w:p>
        </w:tc>
        <w:tc>
          <w:tcPr>
            <w:tcW w:w="2860" w:type="dxa"/>
            <w:vAlign w:val="bottom"/>
          </w:tcPr>
          <w:p>
            <w:pPr>
              <w:jc w:val="center"/>
              <w:spacing w:after="0" w:line="170" w:lineRule="exact"/>
              <w:rPr>
                <w:sz w:val="20"/>
                <w:szCs w:val="20"/>
                <w:color w:val="auto"/>
              </w:rPr>
            </w:pPr>
            <w:r>
              <w:rPr>
                <w:rFonts w:ascii="Arial" w:cs="Arial" w:eastAsia="Arial" w:hAnsi="Arial"/>
                <w:sz w:val="15"/>
                <w:szCs w:val="15"/>
                <w:color w:val="auto"/>
                <w:w w:val="97"/>
              </w:rPr>
              <w:t>(between threshold and target)</w:t>
            </w:r>
          </w:p>
        </w:tc>
      </w:tr>
      <w:tr>
        <w:trPr>
          <w:trHeight w:val="186"/>
        </w:trPr>
        <w:tc>
          <w:tcPr>
            <w:tcW w:w="3540" w:type="dxa"/>
            <w:vAlign w:val="bottom"/>
            <w:shd w:val="clear" w:color="auto" w:fill="D9D9D9"/>
          </w:tcPr>
          <w:p>
            <w:pPr>
              <w:spacing w:after="0"/>
              <w:rPr>
                <w:sz w:val="16"/>
                <w:szCs w:val="16"/>
                <w:color w:val="auto"/>
              </w:rPr>
            </w:pPr>
          </w:p>
        </w:tc>
        <w:tc>
          <w:tcPr>
            <w:tcW w:w="204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1560" w:type="dxa"/>
            <w:vAlign w:val="bottom"/>
            <w:shd w:val="clear" w:color="auto" w:fill="D9D9D9"/>
          </w:tcPr>
          <w:p>
            <w:pPr>
              <w:spacing w:after="0"/>
              <w:rPr>
                <w:sz w:val="16"/>
                <w:szCs w:val="16"/>
                <w:color w:val="auto"/>
              </w:rPr>
            </w:pPr>
          </w:p>
        </w:tc>
        <w:tc>
          <w:tcPr>
            <w:tcW w:w="2860" w:type="dxa"/>
            <w:vAlign w:val="bottom"/>
            <w:shd w:val="clear" w:color="auto" w:fill="D9D9D9"/>
          </w:tcPr>
          <w:p>
            <w:pPr>
              <w:jc w:val="center"/>
              <w:spacing w:after="0"/>
              <w:rPr>
                <w:sz w:val="20"/>
                <w:szCs w:val="20"/>
                <w:color w:val="auto"/>
              </w:rPr>
            </w:pPr>
            <w:r>
              <w:rPr>
                <w:rFonts w:ascii="Arial" w:cs="Arial" w:eastAsia="Arial" w:hAnsi="Arial"/>
                <w:sz w:val="15"/>
                <w:szCs w:val="15"/>
                <w:color w:val="auto"/>
                <w:w w:val="93"/>
              </w:rPr>
              <w:t>1.5%</w:t>
            </w:r>
          </w:p>
        </w:tc>
      </w:tr>
      <w:tr>
        <w:trPr>
          <w:trHeight w:val="170"/>
        </w:trPr>
        <w:tc>
          <w:tcPr>
            <w:tcW w:w="3540" w:type="dxa"/>
            <w:vAlign w:val="bottom"/>
            <w:shd w:val="clear" w:color="auto" w:fill="D9D9D9"/>
          </w:tcPr>
          <w:p>
            <w:pPr>
              <w:spacing w:after="0" w:line="170" w:lineRule="exact"/>
              <w:rPr>
                <w:sz w:val="20"/>
                <w:szCs w:val="20"/>
                <w:color w:val="auto"/>
              </w:rPr>
            </w:pPr>
            <w:r>
              <w:rPr>
                <w:rFonts w:ascii="Arial" w:cs="Arial" w:eastAsia="Arial" w:hAnsi="Arial"/>
                <w:sz w:val="15"/>
                <w:szCs w:val="15"/>
                <w:color w:val="auto"/>
              </w:rPr>
              <w:t>30% corporate revenue growth</w:t>
            </w:r>
          </w:p>
        </w:tc>
        <w:tc>
          <w:tcPr>
            <w:tcW w:w="2040" w:type="dxa"/>
            <w:vAlign w:val="bottom"/>
            <w:shd w:val="clear" w:color="auto" w:fill="D9D9D9"/>
          </w:tcPr>
          <w:p>
            <w:pPr>
              <w:jc w:val="center"/>
              <w:ind w:left="590"/>
              <w:spacing w:after="0" w:line="170" w:lineRule="exact"/>
              <w:rPr>
                <w:sz w:val="20"/>
                <w:szCs w:val="20"/>
                <w:color w:val="auto"/>
              </w:rPr>
            </w:pPr>
            <w:r>
              <w:rPr>
                <w:rFonts w:ascii="Arial" w:cs="Arial" w:eastAsia="Arial" w:hAnsi="Arial"/>
                <w:sz w:val="15"/>
                <w:szCs w:val="15"/>
                <w:color w:val="auto"/>
                <w:w w:val="99"/>
              </w:rPr>
              <w:t>3.6%</w:t>
            </w:r>
          </w:p>
        </w:tc>
        <w:tc>
          <w:tcPr>
            <w:tcW w:w="1420" w:type="dxa"/>
            <w:vAlign w:val="bottom"/>
            <w:shd w:val="clear" w:color="auto" w:fill="D9D9D9"/>
          </w:tcPr>
          <w:p>
            <w:pPr>
              <w:jc w:val="center"/>
              <w:spacing w:after="0" w:line="170" w:lineRule="exact"/>
              <w:rPr>
                <w:sz w:val="20"/>
                <w:szCs w:val="20"/>
                <w:color w:val="auto"/>
              </w:rPr>
            </w:pPr>
            <w:r>
              <w:rPr>
                <w:rFonts w:ascii="Arial" w:cs="Arial" w:eastAsia="Arial" w:hAnsi="Arial"/>
                <w:sz w:val="15"/>
                <w:szCs w:val="15"/>
                <w:color w:val="auto"/>
                <w:w w:val="93"/>
              </w:rPr>
              <w:t>5.6%</w:t>
            </w:r>
          </w:p>
        </w:tc>
        <w:tc>
          <w:tcPr>
            <w:tcW w:w="1560" w:type="dxa"/>
            <w:vAlign w:val="bottom"/>
            <w:shd w:val="clear" w:color="auto" w:fill="D9D9D9"/>
          </w:tcPr>
          <w:p>
            <w:pPr>
              <w:jc w:val="center"/>
              <w:ind w:right="70"/>
              <w:spacing w:after="0" w:line="170" w:lineRule="exact"/>
              <w:rPr>
                <w:sz w:val="20"/>
                <w:szCs w:val="20"/>
                <w:color w:val="auto"/>
              </w:rPr>
            </w:pPr>
            <w:r>
              <w:rPr>
                <w:rFonts w:ascii="Arial" w:cs="Arial" w:eastAsia="Arial" w:hAnsi="Arial"/>
                <w:sz w:val="15"/>
                <w:szCs w:val="15"/>
                <w:color w:val="auto"/>
                <w:w w:val="99"/>
              </w:rPr>
              <w:t>7.6%</w:t>
            </w:r>
          </w:p>
        </w:tc>
        <w:tc>
          <w:tcPr>
            <w:tcW w:w="2860" w:type="dxa"/>
            <w:vAlign w:val="bottom"/>
            <w:shd w:val="clear" w:color="auto" w:fill="D9D9D9"/>
          </w:tcPr>
          <w:p>
            <w:pPr>
              <w:jc w:val="center"/>
              <w:spacing w:after="0" w:line="170" w:lineRule="exact"/>
              <w:rPr>
                <w:sz w:val="20"/>
                <w:szCs w:val="20"/>
                <w:color w:val="auto"/>
              </w:rPr>
            </w:pPr>
            <w:r>
              <w:rPr>
                <w:rFonts w:ascii="Arial" w:cs="Arial" w:eastAsia="Arial" w:hAnsi="Arial"/>
                <w:sz w:val="15"/>
                <w:szCs w:val="15"/>
                <w:color w:val="auto"/>
                <w:w w:val="97"/>
              </w:rPr>
              <w:t>(below threshold)</w:t>
            </w:r>
          </w:p>
        </w:tc>
      </w:tr>
      <w:tr>
        <w:trPr>
          <w:trHeight w:val="186"/>
        </w:trPr>
        <w:tc>
          <w:tcPr>
            <w:tcW w:w="3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5"/>
                <w:szCs w:val="15"/>
                <w:color w:val="auto"/>
                <w:w w:val="95"/>
              </w:rPr>
              <w:t>2.27160</w:t>
            </w:r>
          </w:p>
        </w:tc>
      </w:tr>
      <w:tr>
        <w:trPr>
          <w:trHeight w:val="170"/>
        </w:trPr>
        <w:tc>
          <w:tcPr>
            <w:tcW w:w="3540" w:type="dxa"/>
            <w:vAlign w:val="bottom"/>
          </w:tcPr>
          <w:p>
            <w:pPr>
              <w:spacing w:after="0" w:line="170" w:lineRule="exact"/>
              <w:rPr>
                <w:sz w:val="20"/>
                <w:szCs w:val="20"/>
                <w:color w:val="auto"/>
              </w:rPr>
            </w:pPr>
            <w:r>
              <w:rPr>
                <w:rFonts w:ascii="Arial" w:cs="Arial" w:eastAsia="Arial" w:hAnsi="Arial"/>
                <w:sz w:val="15"/>
                <w:szCs w:val="15"/>
                <w:color w:val="auto"/>
              </w:rPr>
              <w:t>20% corporate average net assets turns</w:t>
            </w:r>
          </w:p>
        </w:tc>
        <w:tc>
          <w:tcPr>
            <w:tcW w:w="2040" w:type="dxa"/>
            <w:vAlign w:val="bottom"/>
          </w:tcPr>
          <w:p>
            <w:pPr>
              <w:jc w:val="center"/>
              <w:ind w:left="590"/>
              <w:spacing w:after="0" w:line="170" w:lineRule="exact"/>
              <w:rPr>
                <w:sz w:val="20"/>
                <w:szCs w:val="20"/>
                <w:color w:val="auto"/>
              </w:rPr>
            </w:pPr>
            <w:r>
              <w:rPr>
                <w:rFonts w:ascii="Arial" w:cs="Arial" w:eastAsia="Arial" w:hAnsi="Arial"/>
                <w:sz w:val="15"/>
                <w:szCs w:val="15"/>
                <w:color w:val="auto"/>
                <w:w w:val="99"/>
              </w:rPr>
              <w:t>1.98127</w:t>
            </w:r>
          </w:p>
        </w:tc>
        <w:tc>
          <w:tcPr>
            <w:tcW w:w="1420" w:type="dxa"/>
            <w:vAlign w:val="bottom"/>
          </w:tcPr>
          <w:p>
            <w:pPr>
              <w:jc w:val="center"/>
              <w:spacing w:after="0" w:line="170" w:lineRule="exact"/>
              <w:rPr>
                <w:sz w:val="20"/>
                <w:szCs w:val="20"/>
                <w:color w:val="auto"/>
              </w:rPr>
            </w:pPr>
            <w:r>
              <w:rPr>
                <w:rFonts w:ascii="Arial" w:cs="Arial" w:eastAsia="Arial" w:hAnsi="Arial"/>
                <w:sz w:val="15"/>
                <w:szCs w:val="15"/>
                <w:color w:val="auto"/>
                <w:w w:val="95"/>
              </w:rPr>
              <w:t>2.33090</w:t>
            </w:r>
          </w:p>
        </w:tc>
        <w:tc>
          <w:tcPr>
            <w:tcW w:w="1560" w:type="dxa"/>
            <w:vAlign w:val="bottom"/>
          </w:tcPr>
          <w:p>
            <w:pPr>
              <w:jc w:val="center"/>
              <w:ind w:right="50"/>
              <w:spacing w:after="0" w:line="170" w:lineRule="exact"/>
              <w:rPr>
                <w:sz w:val="20"/>
                <w:szCs w:val="20"/>
                <w:color w:val="auto"/>
              </w:rPr>
            </w:pPr>
            <w:r>
              <w:rPr>
                <w:rFonts w:ascii="Arial" w:cs="Arial" w:eastAsia="Arial" w:hAnsi="Arial"/>
                <w:sz w:val="15"/>
                <w:szCs w:val="15"/>
                <w:color w:val="auto"/>
                <w:w w:val="95"/>
              </w:rPr>
              <w:t>2.68054</w:t>
            </w:r>
          </w:p>
        </w:tc>
        <w:tc>
          <w:tcPr>
            <w:tcW w:w="2860" w:type="dxa"/>
            <w:vAlign w:val="bottom"/>
          </w:tcPr>
          <w:p>
            <w:pPr>
              <w:jc w:val="center"/>
              <w:spacing w:after="0" w:line="170" w:lineRule="exact"/>
              <w:rPr>
                <w:sz w:val="20"/>
                <w:szCs w:val="20"/>
                <w:color w:val="auto"/>
              </w:rPr>
            </w:pPr>
            <w:r>
              <w:rPr>
                <w:rFonts w:ascii="Arial" w:cs="Arial" w:eastAsia="Arial" w:hAnsi="Arial"/>
                <w:sz w:val="15"/>
                <w:szCs w:val="15"/>
                <w:color w:val="auto"/>
                <w:w w:val="97"/>
              </w:rPr>
              <w:t>(between threshold and target)</w:t>
            </w:r>
          </w:p>
        </w:tc>
      </w:tr>
      <w:tr>
        <w:trPr>
          <w:trHeight w:val="196"/>
        </w:trPr>
        <w:tc>
          <w:tcPr>
            <w:tcW w:w="3540" w:type="dxa"/>
            <w:vAlign w:val="bottom"/>
            <w:shd w:val="clear" w:color="auto" w:fill="D9D9D9"/>
          </w:tcPr>
          <w:p>
            <w:pPr>
              <w:spacing w:after="0"/>
              <w:rPr>
                <w:sz w:val="20"/>
                <w:szCs w:val="20"/>
                <w:color w:val="auto"/>
              </w:rPr>
            </w:pPr>
            <w:r>
              <w:rPr>
                <w:rFonts w:ascii="Arial" w:cs="Arial" w:eastAsia="Arial" w:hAnsi="Arial"/>
                <w:sz w:val="15"/>
                <w:szCs w:val="15"/>
                <w:b w:val="1"/>
                <w:bCs w:val="1"/>
                <w:color w:val="auto"/>
              </w:rPr>
              <w:t>Corporate performance payout</w:t>
            </w:r>
          </w:p>
        </w:tc>
        <w:tc>
          <w:tcPr>
            <w:tcW w:w="204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1560" w:type="dxa"/>
            <w:vAlign w:val="bottom"/>
            <w:shd w:val="clear" w:color="auto" w:fill="D9D9D9"/>
          </w:tcPr>
          <w:p>
            <w:pPr>
              <w:spacing w:after="0"/>
              <w:rPr>
                <w:sz w:val="17"/>
                <w:szCs w:val="17"/>
                <w:color w:val="auto"/>
              </w:rPr>
            </w:pPr>
          </w:p>
        </w:tc>
        <w:tc>
          <w:tcPr>
            <w:tcW w:w="2860" w:type="dxa"/>
            <w:vAlign w:val="bottom"/>
            <w:shd w:val="clear" w:color="auto" w:fill="D9D9D9"/>
          </w:tcPr>
          <w:p>
            <w:pPr>
              <w:jc w:val="center"/>
              <w:spacing w:after="0"/>
              <w:rPr>
                <w:sz w:val="20"/>
                <w:szCs w:val="20"/>
                <w:color w:val="auto"/>
              </w:rPr>
            </w:pPr>
            <w:r>
              <w:rPr>
                <w:rFonts w:ascii="Arial" w:cs="Arial" w:eastAsia="Arial" w:hAnsi="Arial"/>
                <w:sz w:val="15"/>
                <w:szCs w:val="15"/>
                <w:b w:val="1"/>
                <w:bCs w:val="1"/>
                <w:color w:val="auto"/>
                <w:w w:val="97"/>
              </w:rPr>
              <w:t>59.65% of target</w:t>
            </w:r>
          </w:p>
        </w:tc>
      </w:tr>
    </w:tbl>
    <w:p>
      <w:pPr>
        <w:spacing w:after="0" w:line="89" w:lineRule="exact"/>
        <w:rPr>
          <w:sz w:val="20"/>
          <w:szCs w:val="20"/>
          <w:color w:val="auto"/>
        </w:rPr>
      </w:pPr>
    </w:p>
    <w:p>
      <w:pPr>
        <w:ind w:right="360" w:firstLine="408"/>
        <w:spacing w:after="0" w:line="253" w:lineRule="auto"/>
        <w:rPr>
          <w:sz w:val="20"/>
          <w:szCs w:val="20"/>
          <w:color w:val="auto"/>
        </w:rPr>
      </w:pPr>
      <w:r>
        <w:rPr>
          <w:rFonts w:ascii="Arial" w:cs="Arial" w:eastAsia="Arial" w:hAnsi="Arial"/>
          <w:sz w:val="16"/>
          <w:szCs w:val="16"/>
          <w:b w:val="1"/>
          <w:bCs w:val="1"/>
          <w:i w:val="1"/>
          <w:iCs w:val="1"/>
          <w:color w:val="auto"/>
        </w:rPr>
        <w:t xml:space="preserve">Long-Term Incentives. </w:t>
      </w:r>
      <w:r>
        <w:rPr>
          <w:rFonts w:ascii="Arial" w:cs="Arial" w:eastAsia="Arial" w:hAnsi="Arial"/>
          <w:sz w:val="16"/>
          <w:szCs w:val="16"/>
          <w:color w:val="auto"/>
        </w:rPr>
        <w:t>As described in more detail under “Long-Term Incentives—Performance Measures for the Performance Period Ending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2019” on page 41, the three-year cumulative corporate performance for fiscal 2017 to fiscal 2019 (reflective of adjustments made based on defined adjustment events, which, among other things, resulted in the exclusion of all financial impacts related to the CMW acquisition) resulted in a payout of 122.06% of target: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Fiscal 2017 to Fiscal 2019</w:t>
            </w:r>
          </w:p>
        </w:tc>
        <w:tc>
          <w:tcPr>
            <w:tcW w:w="1520" w:type="dxa"/>
            <w:vAlign w:val="bottom"/>
            <w:shd w:val="clear" w:color="auto" w:fill="C00000"/>
          </w:tcPr>
          <w:p>
            <w:pPr>
              <w:jc w:val="right"/>
              <w:ind w:right="490"/>
              <w:spacing w:after="0"/>
              <w:rPr>
                <w:sz w:val="20"/>
                <w:szCs w:val="20"/>
                <w:color w:val="auto"/>
              </w:rPr>
            </w:pPr>
            <w:r>
              <w:rPr>
                <w:rFonts w:ascii="Arial" w:cs="Arial" w:eastAsia="Arial" w:hAnsi="Arial"/>
                <w:sz w:val="13"/>
                <w:szCs w:val="13"/>
                <w:b w:val="1"/>
                <w:bCs w:val="1"/>
                <w:color w:val="FFFFFF"/>
              </w:rPr>
              <w:t>Threshold</w:t>
            </w:r>
          </w:p>
        </w:tc>
        <w:tc>
          <w:tcPr>
            <w:tcW w:w="1500" w:type="dxa"/>
            <w:vAlign w:val="bottom"/>
            <w:shd w:val="clear" w:color="auto" w:fill="C00000"/>
          </w:tcPr>
          <w:p>
            <w:pPr>
              <w:jc w:val="right"/>
              <w:ind w:right="590"/>
              <w:spacing w:after="0"/>
              <w:rPr>
                <w:sz w:val="20"/>
                <w:szCs w:val="20"/>
                <w:color w:val="auto"/>
              </w:rPr>
            </w:pPr>
            <w:r>
              <w:rPr>
                <w:rFonts w:ascii="Arial" w:cs="Arial" w:eastAsia="Arial" w:hAnsi="Arial"/>
                <w:sz w:val="13"/>
                <w:szCs w:val="13"/>
                <w:b w:val="1"/>
                <w:bCs w:val="1"/>
                <w:color w:val="FFFFFF"/>
              </w:rPr>
              <w:t>Target</w:t>
            </w:r>
          </w:p>
        </w:tc>
        <w:tc>
          <w:tcPr>
            <w:tcW w:w="1680" w:type="dxa"/>
            <w:vAlign w:val="bottom"/>
            <w:shd w:val="clear" w:color="auto" w:fill="C00000"/>
          </w:tcPr>
          <w:p>
            <w:pPr>
              <w:jc w:val="right"/>
              <w:ind w:right="650"/>
              <w:spacing w:after="0"/>
              <w:rPr>
                <w:sz w:val="20"/>
                <w:szCs w:val="20"/>
                <w:color w:val="auto"/>
              </w:rPr>
            </w:pPr>
            <w:r>
              <w:rPr>
                <w:rFonts w:ascii="Arial" w:cs="Arial" w:eastAsia="Arial" w:hAnsi="Arial"/>
                <w:sz w:val="13"/>
                <w:szCs w:val="13"/>
                <w:b w:val="1"/>
                <w:bCs w:val="1"/>
                <w:color w:val="FFFFFF"/>
              </w:rPr>
              <w:t>Maximum</w:t>
            </w:r>
          </w:p>
        </w:tc>
        <w:tc>
          <w:tcPr>
            <w:tcW w:w="2900" w:type="dxa"/>
            <w:vAlign w:val="bottom"/>
            <w:shd w:val="clear" w:color="auto" w:fill="C00000"/>
          </w:tcPr>
          <w:p>
            <w:pPr>
              <w:spacing w:after="0"/>
              <w:rPr>
                <w:sz w:val="13"/>
                <w:szCs w:val="13"/>
                <w:color w:val="auto"/>
              </w:rPr>
            </w:pPr>
          </w:p>
        </w:tc>
      </w:tr>
      <w:tr>
        <w:trPr>
          <w:trHeight w:val="159"/>
        </w:trPr>
        <w:tc>
          <w:tcPr>
            <w:tcW w:w="38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Performance Measures</w:t>
            </w:r>
          </w:p>
        </w:tc>
        <w:tc>
          <w:tcPr>
            <w:tcW w:w="1520" w:type="dxa"/>
            <w:vAlign w:val="bottom"/>
            <w:shd w:val="clear" w:color="auto" w:fill="C00000"/>
          </w:tcPr>
          <w:p>
            <w:pPr>
              <w:jc w:val="right"/>
              <w:ind w:right="390"/>
              <w:spacing w:after="0"/>
              <w:rPr>
                <w:sz w:val="20"/>
                <w:szCs w:val="20"/>
                <w:color w:val="auto"/>
              </w:rPr>
            </w:pPr>
            <w:r>
              <w:rPr>
                <w:rFonts w:ascii="Arial" w:cs="Arial" w:eastAsia="Arial" w:hAnsi="Arial"/>
                <w:sz w:val="13"/>
                <w:szCs w:val="13"/>
                <w:b w:val="1"/>
                <w:bCs w:val="1"/>
                <w:color w:val="FFFFFF"/>
              </w:rPr>
              <w:t>(40% payout)</w:t>
            </w:r>
          </w:p>
        </w:tc>
        <w:tc>
          <w:tcPr>
            <w:tcW w:w="1500" w:type="dxa"/>
            <w:vAlign w:val="bottom"/>
            <w:shd w:val="clear" w:color="auto" w:fill="C00000"/>
          </w:tcPr>
          <w:p>
            <w:pPr>
              <w:jc w:val="right"/>
              <w:ind w:right="350"/>
              <w:spacing w:after="0"/>
              <w:rPr>
                <w:sz w:val="20"/>
                <w:szCs w:val="20"/>
                <w:color w:val="auto"/>
              </w:rPr>
            </w:pPr>
            <w:r>
              <w:rPr>
                <w:rFonts w:ascii="Arial" w:cs="Arial" w:eastAsia="Arial" w:hAnsi="Arial"/>
                <w:sz w:val="13"/>
                <w:szCs w:val="13"/>
                <w:b w:val="1"/>
                <w:bCs w:val="1"/>
                <w:color w:val="FFFFFF"/>
              </w:rPr>
              <w:t>(100% payout)</w:t>
            </w:r>
          </w:p>
        </w:tc>
        <w:tc>
          <w:tcPr>
            <w:tcW w:w="1680" w:type="dxa"/>
            <w:vAlign w:val="bottom"/>
            <w:shd w:val="clear" w:color="auto" w:fill="C00000"/>
          </w:tcPr>
          <w:p>
            <w:pPr>
              <w:jc w:val="right"/>
              <w:ind w:right="510"/>
              <w:spacing w:after="0"/>
              <w:rPr>
                <w:sz w:val="20"/>
                <w:szCs w:val="20"/>
                <w:color w:val="auto"/>
              </w:rPr>
            </w:pPr>
            <w:r>
              <w:rPr>
                <w:rFonts w:ascii="Arial" w:cs="Arial" w:eastAsia="Arial" w:hAnsi="Arial"/>
                <w:sz w:val="13"/>
                <w:szCs w:val="13"/>
                <w:b w:val="1"/>
                <w:bCs w:val="1"/>
                <w:color w:val="FFFFFF"/>
              </w:rPr>
              <w:t>(200% payout)</w:t>
            </w:r>
          </w:p>
        </w:tc>
        <w:tc>
          <w:tcPr>
            <w:tcW w:w="2900" w:type="dxa"/>
            <w:vAlign w:val="bottom"/>
            <w:shd w:val="clear" w:color="auto" w:fill="C00000"/>
          </w:tcPr>
          <w:p>
            <w:pPr>
              <w:jc w:val="center"/>
              <w:ind w:right="108"/>
              <w:spacing w:after="0"/>
              <w:rPr>
                <w:sz w:val="20"/>
                <w:szCs w:val="20"/>
                <w:color w:val="auto"/>
              </w:rPr>
            </w:pPr>
            <w:r>
              <w:rPr>
                <w:rFonts w:ascii="Arial" w:cs="Arial" w:eastAsia="Arial" w:hAnsi="Arial"/>
                <w:sz w:val="13"/>
                <w:szCs w:val="13"/>
                <w:b w:val="1"/>
                <w:bCs w:val="1"/>
                <w:color w:val="FFFFFF"/>
              </w:rPr>
              <w:t>Actual</w:t>
            </w:r>
          </w:p>
        </w:tc>
      </w:tr>
      <w:tr>
        <w:trPr>
          <w:trHeight w:val="186"/>
        </w:trPr>
        <w:tc>
          <w:tcPr>
            <w:tcW w:w="3820" w:type="dxa"/>
            <w:vAlign w:val="bottom"/>
          </w:tcPr>
          <w:p>
            <w:pPr>
              <w:spacing w:after="0"/>
              <w:rPr>
                <w:sz w:val="20"/>
                <w:szCs w:val="20"/>
                <w:color w:val="auto"/>
              </w:rPr>
            </w:pPr>
            <w:r>
              <w:rPr>
                <w:rFonts w:ascii="Arial" w:cs="Arial" w:eastAsia="Arial" w:hAnsi="Arial"/>
                <w:sz w:val="15"/>
                <w:szCs w:val="15"/>
                <w:color w:val="auto"/>
              </w:rPr>
              <w:t>40% cumulative corporate net income</w:t>
            </w: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00" w:type="dxa"/>
            <w:vAlign w:val="bottom"/>
          </w:tcPr>
          <w:p>
            <w:pPr>
              <w:jc w:val="center"/>
              <w:ind w:right="128"/>
              <w:spacing w:after="0"/>
              <w:rPr>
                <w:sz w:val="20"/>
                <w:szCs w:val="20"/>
                <w:color w:val="auto"/>
              </w:rPr>
            </w:pPr>
            <w:r>
              <w:rPr>
                <w:rFonts w:ascii="Arial" w:cs="Arial" w:eastAsia="Arial" w:hAnsi="Arial"/>
                <w:sz w:val="15"/>
                <w:szCs w:val="15"/>
                <w:color w:val="auto"/>
                <w:w w:val="99"/>
              </w:rPr>
              <w:t>$899,352</w:t>
            </w:r>
          </w:p>
        </w:tc>
      </w:tr>
      <w:tr>
        <w:trPr>
          <w:trHeight w:val="170"/>
        </w:trPr>
        <w:tc>
          <w:tcPr>
            <w:tcW w:w="3820" w:type="dxa"/>
            <w:vAlign w:val="bottom"/>
          </w:tcPr>
          <w:p>
            <w:pPr>
              <w:ind w:left="80"/>
              <w:spacing w:after="0" w:line="170" w:lineRule="exact"/>
              <w:rPr>
                <w:sz w:val="20"/>
                <w:szCs w:val="20"/>
                <w:color w:val="auto"/>
              </w:rPr>
            </w:pPr>
            <w:r>
              <w:rPr>
                <w:rFonts w:ascii="Arial" w:cs="Arial" w:eastAsia="Arial" w:hAnsi="Arial"/>
                <w:sz w:val="15"/>
                <w:szCs w:val="15"/>
                <w:color w:val="auto"/>
              </w:rPr>
              <w:t>plus after-tax interest (in thousands)*</w:t>
            </w:r>
          </w:p>
        </w:tc>
        <w:tc>
          <w:tcPr>
            <w:tcW w:w="1520" w:type="dxa"/>
            <w:vAlign w:val="bottom"/>
          </w:tcPr>
          <w:p>
            <w:pPr>
              <w:jc w:val="right"/>
              <w:ind w:right="130"/>
              <w:spacing w:after="0" w:line="170" w:lineRule="exact"/>
              <w:rPr>
                <w:sz w:val="20"/>
                <w:szCs w:val="20"/>
                <w:color w:val="auto"/>
              </w:rPr>
            </w:pPr>
            <w:r>
              <w:rPr>
                <w:rFonts w:ascii="Arial" w:cs="Arial" w:eastAsia="Arial" w:hAnsi="Arial"/>
                <w:sz w:val="15"/>
                <w:szCs w:val="15"/>
                <w:color w:val="auto"/>
              </w:rPr>
              <w:t>$672,901</w:t>
            </w:r>
          </w:p>
        </w:tc>
        <w:tc>
          <w:tcPr>
            <w:tcW w:w="1500" w:type="dxa"/>
            <w:vAlign w:val="bottom"/>
          </w:tcPr>
          <w:p>
            <w:pPr>
              <w:jc w:val="right"/>
              <w:ind w:right="110"/>
              <w:spacing w:after="0" w:line="170" w:lineRule="exact"/>
              <w:rPr>
                <w:sz w:val="20"/>
                <w:szCs w:val="20"/>
                <w:color w:val="auto"/>
              </w:rPr>
            </w:pPr>
            <w:r>
              <w:rPr>
                <w:rFonts w:ascii="Arial" w:cs="Arial" w:eastAsia="Arial" w:hAnsi="Arial"/>
                <w:sz w:val="15"/>
                <w:szCs w:val="15"/>
                <w:color w:val="auto"/>
              </w:rPr>
              <w:t>$841,126</w:t>
            </w:r>
          </w:p>
        </w:tc>
        <w:tc>
          <w:tcPr>
            <w:tcW w:w="1680" w:type="dxa"/>
            <w:vAlign w:val="bottom"/>
          </w:tcPr>
          <w:p>
            <w:pPr>
              <w:jc w:val="right"/>
              <w:ind w:right="270"/>
              <w:spacing w:after="0" w:line="170" w:lineRule="exact"/>
              <w:rPr>
                <w:sz w:val="20"/>
                <w:szCs w:val="20"/>
                <w:color w:val="auto"/>
              </w:rPr>
            </w:pPr>
            <w:r>
              <w:rPr>
                <w:rFonts w:ascii="Arial" w:cs="Arial" w:eastAsia="Arial" w:hAnsi="Arial"/>
                <w:sz w:val="15"/>
                <w:szCs w:val="15"/>
                <w:color w:val="auto"/>
              </w:rPr>
              <w:t>$953,273</w:t>
            </w:r>
          </w:p>
        </w:tc>
        <w:tc>
          <w:tcPr>
            <w:tcW w:w="2900" w:type="dxa"/>
            <w:vAlign w:val="bottom"/>
          </w:tcPr>
          <w:p>
            <w:pPr>
              <w:jc w:val="center"/>
              <w:ind w:right="108"/>
              <w:spacing w:after="0" w:line="170" w:lineRule="exact"/>
              <w:rPr>
                <w:sz w:val="20"/>
                <w:szCs w:val="20"/>
                <w:color w:val="auto"/>
              </w:rPr>
            </w:pPr>
            <w:r>
              <w:rPr>
                <w:rFonts w:ascii="Arial" w:cs="Arial" w:eastAsia="Arial" w:hAnsi="Arial"/>
                <w:sz w:val="15"/>
                <w:szCs w:val="15"/>
                <w:color w:val="auto"/>
                <w:w w:val="98"/>
              </w:rPr>
              <w:t>(between target and maximum)</w:t>
            </w:r>
          </w:p>
        </w:tc>
      </w:tr>
      <w:tr>
        <w:trPr>
          <w:trHeight w:val="186"/>
        </w:trPr>
        <w:tc>
          <w:tcPr>
            <w:tcW w:w="3820" w:type="dxa"/>
            <w:vAlign w:val="bottom"/>
            <w:shd w:val="clear" w:color="auto" w:fill="D9D9D9"/>
          </w:tcPr>
          <w:p>
            <w:pPr>
              <w:spacing w:after="0"/>
              <w:rPr>
                <w:sz w:val="20"/>
                <w:szCs w:val="20"/>
                <w:color w:val="auto"/>
              </w:rPr>
            </w:pPr>
            <w:r>
              <w:rPr>
                <w:rFonts w:ascii="Arial" w:cs="Arial" w:eastAsia="Arial" w:hAnsi="Arial"/>
                <w:sz w:val="15"/>
                <w:szCs w:val="15"/>
                <w:color w:val="auto"/>
              </w:rPr>
              <w:t>30% cumulative corporate revenue</w:t>
            </w:r>
          </w:p>
        </w:tc>
        <w:tc>
          <w:tcPr>
            <w:tcW w:w="1520" w:type="dxa"/>
            <w:vAlign w:val="bottom"/>
            <w:shd w:val="clear" w:color="auto" w:fill="D9D9D9"/>
          </w:tcPr>
          <w:p>
            <w:pPr>
              <w:spacing w:after="0"/>
              <w:rPr>
                <w:sz w:val="16"/>
                <w:szCs w:val="16"/>
                <w:color w:val="auto"/>
              </w:rPr>
            </w:pPr>
          </w:p>
        </w:tc>
        <w:tc>
          <w:tcPr>
            <w:tcW w:w="1500" w:type="dxa"/>
            <w:vAlign w:val="bottom"/>
            <w:shd w:val="clear" w:color="auto" w:fill="D9D9D9"/>
          </w:tcPr>
          <w:p>
            <w:pPr>
              <w:spacing w:after="0"/>
              <w:rPr>
                <w:sz w:val="16"/>
                <w:szCs w:val="16"/>
                <w:color w:val="auto"/>
              </w:rPr>
            </w:pPr>
          </w:p>
        </w:tc>
        <w:tc>
          <w:tcPr>
            <w:tcW w:w="1680" w:type="dxa"/>
            <w:vAlign w:val="bottom"/>
            <w:shd w:val="clear" w:color="auto" w:fill="D9D9D9"/>
          </w:tcPr>
          <w:p>
            <w:pPr>
              <w:spacing w:after="0"/>
              <w:rPr>
                <w:sz w:val="16"/>
                <w:szCs w:val="16"/>
                <w:color w:val="auto"/>
              </w:rPr>
            </w:pPr>
          </w:p>
        </w:tc>
        <w:tc>
          <w:tcPr>
            <w:tcW w:w="2900" w:type="dxa"/>
            <w:vAlign w:val="bottom"/>
            <w:shd w:val="clear" w:color="auto" w:fill="D9D9D9"/>
          </w:tcPr>
          <w:p>
            <w:pPr>
              <w:jc w:val="center"/>
              <w:ind w:right="128"/>
              <w:spacing w:after="0"/>
              <w:rPr>
                <w:sz w:val="20"/>
                <w:szCs w:val="20"/>
                <w:color w:val="auto"/>
              </w:rPr>
            </w:pPr>
            <w:r>
              <w:rPr>
                <w:rFonts w:ascii="Arial" w:cs="Arial" w:eastAsia="Arial" w:hAnsi="Arial"/>
                <w:sz w:val="15"/>
                <w:szCs w:val="15"/>
                <w:color w:val="auto"/>
                <w:w w:val="98"/>
              </w:rPr>
              <w:t>$7,783,380</w:t>
            </w:r>
          </w:p>
        </w:tc>
      </w:tr>
      <w:tr>
        <w:trPr>
          <w:trHeight w:val="170"/>
        </w:trPr>
        <w:tc>
          <w:tcPr>
            <w:tcW w:w="3820" w:type="dxa"/>
            <w:vAlign w:val="bottom"/>
            <w:shd w:val="clear" w:color="auto" w:fill="D9D9D9"/>
          </w:tcPr>
          <w:p>
            <w:pPr>
              <w:ind w:left="120"/>
              <w:spacing w:after="0" w:line="170" w:lineRule="exact"/>
              <w:rPr>
                <w:sz w:val="20"/>
                <w:szCs w:val="20"/>
                <w:color w:val="auto"/>
              </w:rPr>
            </w:pPr>
            <w:r>
              <w:rPr>
                <w:rFonts w:ascii="Arial" w:cs="Arial" w:eastAsia="Arial" w:hAnsi="Arial"/>
                <w:sz w:val="15"/>
                <w:szCs w:val="15"/>
                <w:color w:val="auto"/>
              </w:rPr>
              <w:t>(in thousands)</w:t>
            </w:r>
          </w:p>
        </w:tc>
        <w:tc>
          <w:tcPr>
            <w:tcW w:w="1520" w:type="dxa"/>
            <w:vAlign w:val="bottom"/>
            <w:shd w:val="clear" w:color="auto" w:fill="D9D9D9"/>
          </w:tcPr>
          <w:p>
            <w:pPr>
              <w:jc w:val="right"/>
              <w:ind w:right="130"/>
              <w:spacing w:after="0" w:line="170" w:lineRule="exact"/>
              <w:rPr>
                <w:sz w:val="20"/>
                <w:szCs w:val="20"/>
                <w:color w:val="auto"/>
              </w:rPr>
            </w:pPr>
            <w:r>
              <w:rPr>
                <w:rFonts w:ascii="Arial" w:cs="Arial" w:eastAsia="Arial" w:hAnsi="Arial"/>
                <w:sz w:val="15"/>
                <w:szCs w:val="15"/>
                <w:color w:val="auto"/>
              </w:rPr>
              <w:t>$7,496,834</w:t>
            </w:r>
          </w:p>
        </w:tc>
        <w:tc>
          <w:tcPr>
            <w:tcW w:w="1500" w:type="dxa"/>
            <w:vAlign w:val="bottom"/>
            <w:shd w:val="clear" w:color="auto" w:fill="D9D9D9"/>
          </w:tcPr>
          <w:p>
            <w:pPr>
              <w:jc w:val="right"/>
              <w:ind w:right="110"/>
              <w:spacing w:after="0" w:line="170" w:lineRule="exact"/>
              <w:rPr>
                <w:sz w:val="20"/>
                <w:szCs w:val="20"/>
                <w:color w:val="auto"/>
              </w:rPr>
            </w:pPr>
            <w:r>
              <w:rPr>
                <w:rFonts w:ascii="Arial" w:cs="Arial" w:eastAsia="Arial" w:hAnsi="Arial"/>
                <w:sz w:val="15"/>
                <w:szCs w:val="15"/>
                <w:color w:val="auto"/>
              </w:rPr>
              <w:t>$7,963,555</w:t>
            </w:r>
          </w:p>
        </w:tc>
        <w:tc>
          <w:tcPr>
            <w:tcW w:w="1680" w:type="dxa"/>
            <w:vAlign w:val="bottom"/>
            <w:shd w:val="clear" w:color="auto" w:fill="D9D9D9"/>
          </w:tcPr>
          <w:p>
            <w:pPr>
              <w:jc w:val="right"/>
              <w:ind w:right="270"/>
              <w:spacing w:after="0" w:line="170" w:lineRule="exact"/>
              <w:rPr>
                <w:sz w:val="20"/>
                <w:szCs w:val="20"/>
                <w:color w:val="auto"/>
              </w:rPr>
            </w:pPr>
            <w:r>
              <w:rPr>
                <w:rFonts w:ascii="Arial" w:cs="Arial" w:eastAsia="Arial" w:hAnsi="Arial"/>
                <w:sz w:val="15"/>
                <w:szCs w:val="15"/>
                <w:color w:val="auto"/>
              </w:rPr>
              <w:t>$8,419,010</w:t>
            </w:r>
          </w:p>
        </w:tc>
        <w:tc>
          <w:tcPr>
            <w:tcW w:w="2900" w:type="dxa"/>
            <w:vAlign w:val="bottom"/>
            <w:shd w:val="clear" w:color="auto" w:fill="D9D9D9"/>
          </w:tcPr>
          <w:p>
            <w:pPr>
              <w:jc w:val="center"/>
              <w:ind w:right="108"/>
              <w:spacing w:after="0" w:line="170" w:lineRule="exact"/>
              <w:rPr>
                <w:sz w:val="20"/>
                <w:szCs w:val="20"/>
                <w:color w:val="auto"/>
              </w:rPr>
            </w:pPr>
            <w:r>
              <w:rPr>
                <w:rFonts w:ascii="Arial" w:cs="Arial" w:eastAsia="Arial" w:hAnsi="Arial"/>
                <w:sz w:val="15"/>
                <w:szCs w:val="15"/>
                <w:color w:val="auto"/>
                <w:w w:val="97"/>
              </w:rPr>
              <w:t>(between threshold and target)</w:t>
            </w:r>
          </w:p>
        </w:tc>
      </w:tr>
      <w:tr>
        <w:trPr>
          <w:trHeight w:val="186"/>
        </w:trPr>
        <w:tc>
          <w:tcPr>
            <w:tcW w:w="3820" w:type="dxa"/>
            <w:vAlign w:val="bottom"/>
          </w:tcPr>
          <w:p>
            <w:pPr>
              <w:spacing w:after="0"/>
              <w:rPr>
                <w:sz w:val="20"/>
                <w:szCs w:val="20"/>
                <w:color w:val="auto"/>
              </w:rPr>
            </w:pPr>
            <w:r>
              <w:rPr>
                <w:rFonts w:ascii="Arial" w:cs="Arial" w:eastAsia="Arial" w:hAnsi="Arial"/>
                <w:sz w:val="15"/>
                <w:szCs w:val="15"/>
                <w:color w:val="auto"/>
              </w:rPr>
              <w:t>30% cumulative corporate average</w:t>
            </w: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00" w:type="dxa"/>
            <w:vAlign w:val="bottom"/>
          </w:tcPr>
          <w:p>
            <w:pPr>
              <w:jc w:val="center"/>
              <w:ind w:right="128"/>
              <w:spacing w:after="0"/>
              <w:rPr>
                <w:sz w:val="20"/>
                <w:szCs w:val="20"/>
                <w:color w:val="auto"/>
              </w:rPr>
            </w:pPr>
            <w:r>
              <w:rPr>
                <w:rFonts w:ascii="Arial" w:cs="Arial" w:eastAsia="Arial" w:hAnsi="Arial"/>
                <w:sz w:val="15"/>
                <w:szCs w:val="15"/>
                <w:color w:val="auto"/>
                <w:w w:val="99"/>
              </w:rPr>
              <w:t>7.11110</w:t>
            </w:r>
          </w:p>
        </w:tc>
      </w:tr>
      <w:tr>
        <w:trPr>
          <w:trHeight w:val="170"/>
        </w:trPr>
        <w:tc>
          <w:tcPr>
            <w:tcW w:w="3820" w:type="dxa"/>
            <w:vAlign w:val="bottom"/>
          </w:tcPr>
          <w:p>
            <w:pPr>
              <w:ind w:left="120"/>
              <w:spacing w:after="0" w:line="170" w:lineRule="exact"/>
              <w:rPr>
                <w:sz w:val="20"/>
                <w:szCs w:val="20"/>
                <w:color w:val="auto"/>
              </w:rPr>
            </w:pPr>
            <w:r>
              <w:rPr>
                <w:rFonts w:ascii="Arial" w:cs="Arial" w:eastAsia="Arial" w:hAnsi="Arial"/>
                <w:sz w:val="15"/>
                <w:szCs w:val="15"/>
                <w:color w:val="auto"/>
              </w:rPr>
              <w:t>net assets turns</w:t>
            </w:r>
          </w:p>
        </w:tc>
        <w:tc>
          <w:tcPr>
            <w:tcW w:w="1520" w:type="dxa"/>
            <w:vAlign w:val="bottom"/>
          </w:tcPr>
          <w:p>
            <w:pPr>
              <w:jc w:val="right"/>
              <w:ind w:right="130"/>
              <w:spacing w:after="0" w:line="170" w:lineRule="exact"/>
              <w:rPr>
                <w:sz w:val="20"/>
                <w:szCs w:val="20"/>
                <w:color w:val="auto"/>
              </w:rPr>
            </w:pPr>
            <w:r>
              <w:rPr>
                <w:rFonts w:ascii="Arial" w:cs="Arial" w:eastAsia="Arial" w:hAnsi="Arial"/>
                <w:sz w:val="15"/>
                <w:szCs w:val="15"/>
                <w:color w:val="auto"/>
              </w:rPr>
              <w:t>5.80531</w:t>
            </w:r>
          </w:p>
        </w:tc>
        <w:tc>
          <w:tcPr>
            <w:tcW w:w="1500" w:type="dxa"/>
            <w:vAlign w:val="bottom"/>
          </w:tcPr>
          <w:p>
            <w:pPr>
              <w:jc w:val="right"/>
              <w:ind w:right="110"/>
              <w:spacing w:after="0" w:line="170" w:lineRule="exact"/>
              <w:rPr>
                <w:sz w:val="20"/>
                <w:szCs w:val="20"/>
                <w:color w:val="auto"/>
              </w:rPr>
            </w:pPr>
            <w:r>
              <w:rPr>
                <w:rFonts w:ascii="Arial" w:cs="Arial" w:eastAsia="Arial" w:hAnsi="Arial"/>
                <w:sz w:val="15"/>
                <w:szCs w:val="15"/>
                <w:color w:val="auto"/>
              </w:rPr>
              <w:t>6.82977</w:t>
            </w:r>
          </w:p>
        </w:tc>
        <w:tc>
          <w:tcPr>
            <w:tcW w:w="1680" w:type="dxa"/>
            <w:vAlign w:val="bottom"/>
          </w:tcPr>
          <w:p>
            <w:pPr>
              <w:jc w:val="right"/>
              <w:ind w:right="270"/>
              <w:spacing w:after="0" w:line="170" w:lineRule="exact"/>
              <w:rPr>
                <w:sz w:val="20"/>
                <w:szCs w:val="20"/>
                <w:color w:val="auto"/>
              </w:rPr>
            </w:pPr>
            <w:r>
              <w:rPr>
                <w:rFonts w:ascii="Arial" w:cs="Arial" w:eastAsia="Arial" w:hAnsi="Arial"/>
                <w:sz w:val="15"/>
                <w:szCs w:val="15"/>
                <w:color w:val="auto"/>
              </w:rPr>
              <w:t>7.85424</w:t>
            </w:r>
          </w:p>
        </w:tc>
        <w:tc>
          <w:tcPr>
            <w:tcW w:w="2900" w:type="dxa"/>
            <w:vAlign w:val="bottom"/>
          </w:tcPr>
          <w:p>
            <w:pPr>
              <w:jc w:val="center"/>
              <w:ind w:right="108"/>
              <w:spacing w:after="0" w:line="170" w:lineRule="exact"/>
              <w:rPr>
                <w:sz w:val="20"/>
                <w:szCs w:val="20"/>
                <w:color w:val="auto"/>
              </w:rPr>
            </w:pPr>
            <w:r>
              <w:rPr>
                <w:rFonts w:ascii="Arial" w:cs="Arial" w:eastAsia="Arial" w:hAnsi="Arial"/>
                <w:sz w:val="15"/>
                <w:szCs w:val="15"/>
                <w:color w:val="auto"/>
                <w:w w:val="98"/>
              </w:rPr>
              <w:t>(between target and maximum)</w:t>
            </w:r>
          </w:p>
        </w:tc>
      </w:tr>
      <w:tr>
        <w:trPr>
          <w:trHeight w:val="168"/>
        </w:trPr>
        <w:tc>
          <w:tcPr>
            <w:tcW w:w="3820" w:type="dxa"/>
            <w:vAlign w:val="bottom"/>
            <w:shd w:val="clear" w:color="auto" w:fill="D9D9D9"/>
          </w:tcPr>
          <w:p>
            <w:pPr>
              <w:spacing w:after="0" w:line="168" w:lineRule="exact"/>
              <w:rPr>
                <w:sz w:val="20"/>
                <w:szCs w:val="20"/>
                <w:color w:val="auto"/>
              </w:rPr>
            </w:pPr>
            <w:r>
              <w:rPr>
                <w:rFonts w:ascii="Arial" w:cs="Arial" w:eastAsia="Arial" w:hAnsi="Arial"/>
                <w:sz w:val="15"/>
                <w:szCs w:val="15"/>
                <w:b w:val="1"/>
                <w:bCs w:val="1"/>
                <w:color w:val="auto"/>
              </w:rPr>
              <w:t>Fiscal 2017 to fiscal 2019 performance share award</w:t>
            </w:r>
          </w:p>
        </w:tc>
        <w:tc>
          <w:tcPr>
            <w:tcW w:w="1520" w:type="dxa"/>
            <w:vAlign w:val="bottom"/>
            <w:shd w:val="clear" w:color="auto" w:fill="D9D9D9"/>
          </w:tcPr>
          <w:p>
            <w:pPr>
              <w:spacing w:after="0"/>
              <w:rPr>
                <w:sz w:val="14"/>
                <w:szCs w:val="14"/>
                <w:color w:val="auto"/>
              </w:rPr>
            </w:pPr>
          </w:p>
        </w:tc>
        <w:tc>
          <w:tcPr>
            <w:tcW w:w="1500" w:type="dxa"/>
            <w:vAlign w:val="bottom"/>
            <w:shd w:val="clear" w:color="auto" w:fill="D9D9D9"/>
          </w:tcPr>
          <w:p>
            <w:pPr>
              <w:spacing w:after="0"/>
              <w:rPr>
                <w:sz w:val="14"/>
                <w:szCs w:val="14"/>
                <w:color w:val="auto"/>
              </w:rPr>
            </w:pPr>
          </w:p>
        </w:tc>
        <w:tc>
          <w:tcPr>
            <w:tcW w:w="1680" w:type="dxa"/>
            <w:vAlign w:val="bottom"/>
            <w:shd w:val="clear" w:color="auto" w:fill="D9D9D9"/>
          </w:tcPr>
          <w:p>
            <w:pPr>
              <w:spacing w:after="0"/>
              <w:rPr>
                <w:sz w:val="14"/>
                <w:szCs w:val="14"/>
                <w:color w:val="auto"/>
              </w:rPr>
            </w:pPr>
          </w:p>
        </w:tc>
        <w:tc>
          <w:tcPr>
            <w:tcW w:w="2900" w:type="dxa"/>
            <w:vAlign w:val="bottom"/>
            <w:shd w:val="clear" w:color="auto" w:fill="D9D9D9"/>
          </w:tcPr>
          <w:p>
            <w:pPr>
              <w:spacing w:after="0"/>
              <w:rPr>
                <w:sz w:val="14"/>
                <w:szCs w:val="14"/>
                <w:color w:val="auto"/>
              </w:rPr>
            </w:pPr>
          </w:p>
        </w:tc>
      </w:tr>
      <w:tr>
        <w:trPr>
          <w:trHeight w:val="188"/>
        </w:trPr>
        <w:tc>
          <w:tcPr>
            <w:tcW w:w="3820" w:type="dxa"/>
            <w:vAlign w:val="bottom"/>
            <w:shd w:val="clear" w:color="auto" w:fill="D9D9D9"/>
          </w:tcPr>
          <w:p>
            <w:pPr>
              <w:spacing w:after="0"/>
              <w:rPr>
                <w:sz w:val="20"/>
                <w:szCs w:val="20"/>
                <w:color w:val="auto"/>
              </w:rPr>
            </w:pPr>
            <w:r>
              <w:rPr>
                <w:rFonts w:ascii="Arial" w:cs="Arial" w:eastAsia="Arial" w:hAnsi="Arial"/>
                <w:sz w:val="15"/>
                <w:szCs w:val="15"/>
                <w:b w:val="1"/>
                <w:bCs w:val="1"/>
                <w:color w:val="auto"/>
              </w:rPr>
              <w:t>payout</w:t>
            </w:r>
          </w:p>
        </w:tc>
        <w:tc>
          <w:tcPr>
            <w:tcW w:w="1520" w:type="dxa"/>
            <w:vAlign w:val="bottom"/>
            <w:shd w:val="clear" w:color="auto" w:fill="D9D9D9"/>
          </w:tcPr>
          <w:p>
            <w:pPr>
              <w:spacing w:after="0"/>
              <w:rPr>
                <w:sz w:val="16"/>
                <w:szCs w:val="16"/>
                <w:color w:val="auto"/>
              </w:rPr>
            </w:pPr>
          </w:p>
        </w:tc>
        <w:tc>
          <w:tcPr>
            <w:tcW w:w="1500" w:type="dxa"/>
            <w:vAlign w:val="bottom"/>
            <w:shd w:val="clear" w:color="auto" w:fill="D9D9D9"/>
          </w:tcPr>
          <w:p>
            <w:pPr>
              <w:spacing w:after="0"/>
              <w:rPr>
                <w:sz w:val="16"/>
                <w:szCs w:val="16"/>
                <w:color w:val="auto"/>
              </w:rPr>
            </w:pPr>
          </w:p>
        </w:tc>
        <w:tc>
          <w:tcPr>
            <w:tcW w:w="1680" w:type="dxa"/>
            <w:vAlign w:val="bottom"/>
            <w:shd w:val="clear" w:color="auto" w:fill="D9D9D9"/>
          </w:tcPr>
          <w:p>
            <w:pPr>
              <w:spacing w:after="0"/>
              <w:rPr>
                <w:sz w:val="16"/>
                <w:szCs w:val="16"/>
                <w:color w:val="auto"/>
              </w:rPr>
            </w:pPr>
          </w:p>
        </w:tc>
        <w:tc>
          <w:tcPr>
            <w:tcW w:w="2900" w:type="dxa"/>
            <w:vAlign w:val="bottom"/>
            <w:shd w:val="clear" w:color="auto" w:fill="D9D9D9"/>
          </w:tcPr>
          <w:p>
            <w:pPr>
              <w:jc w:val="center"/>
              <w:ind w:right="128"/>
              <w:spacing w:after="0"/>
              <w:rPr>
                <w:sz w:val="20"/>
                <w:szCs w:val="20"/>
                <w:color w:val="auto"/>
              </w:rPr>
            </w:pPr>
            <w:r>
              <w:rPr>
                <w:rFonts w:ascii="Arial" w:cs="Arial" w:eastAsia="Arial" w:hAnsi="Arial"/>
                <w:sz w:val="15"/>
                <w:szCs w:val="15"/>
                <w:b w:val="1"/>
                <w:bCs w:val="1"/>
                <w:color w:val="auto"/>
                <w:w w:val="98"/>
              </w:rPr>
              <w:t>122.06%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207772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9"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tab/>
        <w:t>Cumulative corporate net income plus after-tax interest is defined as net earnings plus interest expense, net of taxes.</w:t>
      </w:r>
    </w:p>
    <w:p>
      <w:pPr>
        <w:spacing w:after="0" w:line="78" w:lineRule="exact"/>
        <w:rPr>
          <w:sz w:val="20"/>
          <w:szCs w:val="20"/>
          <w:color w:val="auto"/>
        </w:rPr>
      </w:pPr>
    </w:p>
    <w:p>
      <w:pPr>
        <w:ind w:firstLine="408"/>
        <w:spacing w:after="0" w:line="260" w:lineRule="auto"/>
        <w:rPr>
          <w:sz w:val="20"/>
          <w:szCs w:val="20"/>
          <w:color w:val="auto"/>
        </w:rPr>
      </w:pPr>
      <w:r>
        <w:rPr>
          <w:rFonts w:ascii="Arial" w:cs="Arial" w:eastAsia="Arial" w:hAnsi="Arial"/>
          <w:sz w:val="16"/>
          <w:szCs w:val="16"/>
          <w:b w:val="1"/>
          <w:bCs w:val="1"/>
          <w:color w:val="auto"/>
        </w:rPr>
        <w:t xml:space="preserve">How We Make Compensation Decisions. </w:t>
      </w:r>
      <w:r>
        <w:rPr>
          <w:rFonts w:ascii="Arial" w:cs="Arial" w:eastAsia="Arial" w:hAnsi="Arial"/>
          <w:sz w:val="16"/>
          <w:szCs w:val="16"/>
          <w:color w:val="auto"/>
        </w:rPr>
        <w:t>There are several elements to our executive officer compensation decision-making, which we believe allow</w:t>
      </w:r>
      <w:r>
        <w:rPr>
          <w:rFonts w:ascii="Arial" w:cs="Arial" w:eastAsia="Arial" w:hAnsi="Arial"/>
          <w:sz w:val="16"/>
          <w:szCs w:val="16"/>
          <w:b w:val="1"/>
          <w:bCs w:val="1"/>
          <w:color w:val="auto"/>
        </w:rPr>
        <w:t xml:space="preserve"> </w:t>
      </w:r>
      <w:r>
        <w:rPr>
          <w:rFonts w:ascii="Arial" w:cs="Arial" w:eastAsia="Arial" w:hAnsi="Arial"/>
          <w:sz w:val="16"/>
          <w:szCs w:val="16"/>
          <w:color w:val="auto"/>
        </w:rPr>
        <w:t>us to most effectively implement our established compensation philosophy. The Compensation &amp; Human Resources Committee, its independent external compensation consultant and Management all have a role in decision making for executive officer compensation. These roles are described below:</w:t>
      </w:r>
    </w:p>
    <w:p>
      <w:pPr>
        <w:spacing w:after="0" w:line="51" w:lineRule="exact"/>
        <w:rPr>
          <w:sz w:val="20"/>
          <w:szCs w:val="20"/>
          <w:color w:val="auto"/>
        </w:rPr>
      </w:pPr>
    </w:p>
    <w:p>
      <w:pPr>
        <w:ind w:right="360" w:firstLine="408"/>
        <w:spacing w:after="0" w:line="253" w:lineRule="auto"/>
        <w:rPr>
          <w:sz w:val="20"/>
          <w:szCs w:val="20"/>
          <w:color w:val="auto"/>
        </w:rPr>
      </w:pPr>
      <w:r>
        <w:rPr>
          <w:rFonts w:ascii="Arial" w:cs="Arial" w:eastAsia="Arial" w:hAnsi="Arial"/>
          <w:sz w:val="16"/>
          <w:szCs w:val="16"/>
          <w:b w:val="1"/>
          <w:bCs w:val="1"/>
          <w:i w:val="1"/>
          <w:iCs w:val="1"/>
          <w:color w:val="auto"/>
        </w:rPr>
        <w:t xml:space="preserve">Role of the Compensation &amp; Human Resources Committee. </w:t>
      </w:r>
      <w:r>
        <w:rPr>
          <w:rFonts w:ascii="Arial" w:cs="Arial" w:eastAsia="Arial" w:hAnsi="Arial"/>
          <w:sz w:val="16"/>
          <w:szCs w:val="16"/>
          <w:color w:val="auto"/>
        </w:rPr>
        <w:t>The Compensation &amp; Human Resources Committee, which is comprised solely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directors, oversees our executive compensation program. Within its duties, the Committee approves compensation for each of our executive officers. In addition, compensation approved by the Committee for our Chairman and CEO is submitted to the independent directors of the Board for ratification. In doing so, the Committee:</w:t>
      </w:r>
    </w:p>
    <w:p>
      <w:pPr>
        <w:spacing w:after="0" w:line="77" w:lineRule="exact"/>
        <w:rPr>
          <w:sz w:val="20"/>
          <w:szCs w:val="20"/>
          <w:color w:val="auto"/>
        </w:rPr>
      </w:pPr>
    </w:p>
    <w:p>
      <w:pPr>
        <w:ind w:left="800" w:right="60" w:hanging="398"/>
        <w:spacing w:after="0" w:line="255" w:lineRule="auto"/>
        <w:tabs>
          <w:tab w:leader="none" w:pos="800" w:val="left"/>
        </w:tabs>
        <w:numPr>
          <w:ilvl w:val="0"/>
          <w:numId w:val="39"/>
        </w:numPr>
        <w:rPr>
          <w:rFonts w:ascii="Arial" w:cs="Arial" w:eastAsia="Arial" w:hAnsi="Arial"/>
          <w:sz w:val="15"/>
          <w:szCs w:val="15"/>
          <w:color w:val="auto"/>
        </w:rPr>
      </w:pPr>
      <w:r>
        <w:rPr>
          <w:rFonts w:ascii="Arial" w:cs="Arial" w:eastAsia="Arial" w:hAnsi="Arial"/>
          <w:sz w:val="16"/>
          <w:szCs w:val="16"/>
          <w:color w:val="auto"/>
        </w:rPr>
        <w:t>Approves the total direct executive compensation package for each executive officer, including his or her base salary, annual cash incentive award and long-term incentive awards;</w:t>
      </w:r>
    </w:p>
    <w:p>
      <w:pPr>
        <w:spacing w:after="0" w:line="74" w:lineRule="exact"/>
        <w:rPr>
          <w:rFonts w:ascii="Arial" w:cs="Arial" w:eastAsia="Arial" w:hAnsi="Arial"/>
          <w:sz w:val="15"/>
          <w:szCs w:val="15"/>
          <w:color w:val="auto"/>
        </w:rPr>
      </w:pPr>
    </w:p>
    <w:p>
      <w:pPr>
        <w:ind w:left="800" w:right="440" w:hanging="398"/>
        <w:spacing w:after="0" w:line="255" w:lineRule="auto"/>
        <w:tabs>
          <w:tab w:leader="none" w:pos="800" w:val="left"/>
        </w:tabs>
        <w:numPr>
          <w:ilvl w:val="0"/>
          <w:numId w:val="39"/>
        </w:numPr>
        <w:rPr>
          <w:rFonts w:ascii="Arial" w:cs="Arial" w:eastAsia="Arial" w:hAnsi="Arial"/>
          <w:sz w:val="15"/>
          <w:szCs w:val="15"/>
          <w:color w:val="auto"/>
        </w:rPr>
      </w:pPr>
      <w:r>
        <w:rPr>
          <w:rFonts w:ascii="Arial" w:cs="Arial" w:eastAsia="Arial" w:hAnsi="Arial"/>
          <w:sz w:val="16"/>
          <w:szCs w:val="16"/>
          <w:color w:val="auto"/>
        </w:rPr>
        <w:t>Reviews and approves corporate and division financial performance measures, weightings, goals and performance adjustment events, if any, related to our annual and long-term incentive awards;</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6"/>
          <w:szCs w:val="16"/>
          <w:color w:val="auto"/>
        </w:rPr>
        <w:t>Reviews and approves annual cash incentive award payouts and long-term performance share award payouts;</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6"/>
          <w:szCs w:val="16"/>
          <w:color w:val="auto"/>
        </w:rPr>
        <w:t>Evaluates market competitiveness of each of our executive officer’s compensation (in total and by each individual element);</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6"/>
          <w:szCs w:val="16"/>
          <w:color w:val="auto"/>
        </w:rPr>
        <w:t>Evaluates proposed changes to other elements of our executive compensation program;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6"/>
          <w:szCs w:val="16"/>
          <w:color w:val="auto"/>
        </w:rPr>
        <w:t>Approves any executive officer compensation changes in connection with merger and acquisition transactions.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jc w:val="both"/>
        <w:ind w:right="140" w:firstLine="408"/>
        <w:spacing w:after="0" w:line="247" w:lineRule="auto"/>
        <w:rPr>
          <w:sz w:val="20"/>
          <w:szCs w:val="20"/>
          <w:color w:val="auto"/>
        </w:rPr>
      </w:pPr>
      <w:r>
        <w:rPr>
          <w:rFonts w:ascii="Arial" w:cs="Arial" w:eastAsia="Arial" w:hAnsi="Arial"/>
          <w:sz w:val="16"/>
          <w:szCs w:val="16"/>
          <w:color w:val="auto"/>
        </w:rPr>
        <w:t>During fiscal 2019, the Committee received input from Willis Towers Watson, its independent external compensation consultant, and our Management, including our Chairman and CEO, Vice President, Human Resources and Distributor Development and our Managing Director, Total Rewards and Employee Services.</w:t>
      </w:r>
    </w:p>
    <w:p>
      <w:pPr>
        <w:spacing w:after="0" w:line="61" w:lineRule="exact"/>
        <w:rPr>
          <w:sz w:val="20"/>
          <w:szCs w:val="20"/>
          <w:color w:val="auto"/>
        </w:rPr>
      </w:pPr>
    </w:p>
    <w:p>
      <w:pPr>
        <w:ind w:right="640" w:firstLine="408"/>
        <w:spacing w:after="0" w:line="281" w:lineRule="auto"/>
        <w:rPr>
          <w:sz w:val="20"/>
          <w:szCs w:val="20"/>
          <w:color w:val="auto"/>
        </w:rPr>
      </w:pPr>
      <w:r>
        <w:rPr>
          <w:rFonts w:ascii="Arial" w:cs="Arial" w:eastAsia="Arial" w:hAnsi="Arial"/>
          <w:sz w:val="16"/>
          <w:szCs w:val="16"/>
          <w:b w:val="1"/>
          <w:bCs w:val="1"/>
          <w:i w:val="1"/>
          <w:iCs w:val="1"/>
          <w:color w:val="auto"/>
        </w:rPr>
        <w:t xml:space="preserve">Role of the Independent External Compensation Consultant. </w:t>
      </w:r>
      <w:r>
        <w:rPr>
          <w:rFonts w:ascii="Arial" w:cs="Arial" w:eastAsia="Arial" w:hAnsi="Arial"/>
          <w:sz w:val="16"/>
          <w:szCs w:val="16"/>
          <w:color w:val="auto"/>
        </w:rPr>
        <w:t>The Committee has sole authority to hire consultants, approve their fees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the nature and scope of their work. The Committee may replace consultants or hire additional consultants at any time.</w:t>
      </w:r>
    </w:p>
    <w:p>
      <w:pPr>
        <w:spacing w:after="0" w:line="55"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A representative from Willis Towers Watson attended three of the four Committee meetings in fiscal 2019, including attendance in executive session without Management present, and generally communicated with the Chair of the Committee in advance of, and/or following, such Committee meetings. During fiscal 2019, Willis Towers Watson reviewed and discussed executive compensation structure and trends with Management and the Committee and provided market data for all of our executive officers, including our named executive officers, along with a comparison of those executive officers’ current base salaries, target total cash compensation and total direct compensation to the market 25</w:t>
      </w:r>
      <w:r>
        <w:rPr>
          <w:rFonts w:ascii="Arial" w:cs="Arial" w:eastAsia="Arial" w:hAnsi="Arial"/>
          <w:sz w:val="13"/>
          <w:szCs w:val="13"/>
          <w:color w:val="auto"/>
        </w:rPr>
        <w:t>th</w:t>
      </w:r>
      <w:r>
        <w:rPr>
          <w:rFonts w:ascii="Arial" w:cs="Arial" w:eastAsia="Arial" w:hAnsi="Arial"/>
          <w:sz w:val="16"/>
          <w:szCs w:val="16"/>
          <w:color w:val="auto"/>
        </w:rPr>
        <w:t>, 50</w:t>
      </w:r>
      <w:r>
        <w:rPr>
          <w:rFonts w:ascii="Arial" w:cs="Arial" w:eastAsia="Arial" w:hAnsi="Arial"/>
          <w:sz w:val="13"/>
          <w:szCs w:val="13"/>
          <w:color w:val="auto"/>
        </w:rPr>
        <w:t>th</w:t>
      </w:r>
      <w:r>
        <w:rPr>
          <w:rFonts w:ascii="Arial" w:cs="Arial" w:eastAsia="Arial" w:hAnsi="Arial"/>
          <w:sz w:val="16"/>
          <w:szCs w:val="16"/>
          <w:color w:val="auto"/>
        </w:rPr>
        <w:t xml:space="preserve"> and 75</w:t>
      </w:r>
      <w:r>
        <w:rPr>
          <w:rFonts w:ascii="Arial" w:cs="Arial" w:eastAsia="Arial" w:hAnsi="Arial"/>
          <w:sz w:val="13"/>
          <w:szCs w:val="13"/>
          <w:color w:val="auto"/>
        </w:rPr>
        <w:t>th</w:t>
      </w:r>
      <w:r>
        <w:rPr>
          <w:rFonts w:ascii="Arial" w:cs="Arial" w:eastAsia="Arial" w:hAnsi="Arial"/>
          <w:sz w:val="16"/>
          <w:szCs w:val="16"/>
          <w:color w:val="auto"/>
        </w:rPr>
        <w:t xml:space="preserve"> percentiles. Additionally, during fiscal 2019, Willis Towers Watson reviewed and discussed executive officer compensation recommendations made by Management in advance of applicable Committee meetings and participated in discussions at the Committee meetings regarding those recommendations. Willis Towers Watson is engaged by the Committee from time to time to perform other compensation consulting services, which in fiscal 2019 included a review of non-employee director compensation, an assessment of risk as it relates to our incentive plans, and compensation consulting services relating to the acquisition of CMW, including providing advice and market trends relating to compensation in connection with significant merger and acquisition transactions, as well as providing recommendations on in-cycle incentives and retention strategies.</w:t>
      </w:r>
    </w:p>
    <w:p>
      <w:pPr>
        <w:spacing w:after="0" w:line="252" w:lineRule="exact"/>
        <w:rPr>
          <w:sz w:val="20"/>
          <w:szCs w:val="20"/>
          <w:color w:val="auto"/>
        </w:rPr>
      </w:pPr>
    </w:p>
    <w:p>
      <w:pPr>
        <w:ind w:right="240" w:firstLine="408"/>
        <w:spacing w:after="0" w:line="248" w:lineRule="auto"/>
        <w:rPr>
          <w:sz w:val="20"/>
          <w:szCs w:val="20"/>
          <w:color w:val="auto"/>
        </w:rPr>
      </w:pPr>
      <w:r>
        <w:rPr>
          <w:rFonts w:ascii="Arial" w:cs="Arial" w:eastAsia="Arial" w:hAnsi="Arial"/>
          <w:sz w:val="16"/>
          <w:szCs w:val="16"/>
          <w:b w:val="1"/>
          <w:bCs w:val="1"/>
          <w:i w:val="1"/>
          <w:iCs w:val="1"/>
          <w:color w:val="auto"/>
        </w:rPr>
        <w:t xml:space="preserve">Role of Management. </w:t>
      </w:r>
      <w:r>
        <w:rPr>
          <w:rFonts w:ascii="Arial" w:cs="Arial" w:eastAsia="Arial" w:hAnsi="Arial"/>
          <w:sz w:val="16"/>
          <w:szCs w:val="16"/>
          <w:color w:val="auto"/>
        </w:rPr>
        <w:t>Management’s role is to provide current compensation information and information regarding executive officer duties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responsibilities to Willis Towers Watson and provide analysis and recommendations on executive officer compensation to the Committee based on the comparison to market; the executive’s level of professional experience; the executive’s duties and responsibilities, including as a result of the completion and/or integration of significant acquisitions; individual performance; future potential; tenure in the position; corporate, division and/or plant performance, as applicable; internal pay comparisons; and outside market factors, including general economic conditions. None of our executive officers provides input or recommendations with respect to his or her own compensation.</w:t>
      </w:r>
    </w:p>
    <w:p>
      <w:pPr>
        <w:spacing w:after="0" w:line="60" w:lineRule="exact"/>
        <w:rPr>
          <w:sz w:val="20"/>
          <w:szCs w:val="20"/>
          <w:color w:val="auto"/>
        </w:rPr>
      </w:pPr>
    </w:p>
    <w:p>
      <w:pPr>
        <w:ind w:right="20" w:firstLine="408"/>
        <w:spacing w:after="0" w:line="246" w:lineRule="auto"/>
        <w:rPr>
          <w:sz w:val="20"/>
          <w:szCs w:val="20"/>
          <w:color w:val="auto"/>
        </w:rPr>
      </w:pPr>
      <w:r>
        <w:rPr>
          <w:rFonts w:ascii="Arial" w:cs="Arial" w:eastAsia="Arial" w:hAnsi="Arial"/>
          <w:sz w:val="16"/>
          <w:szCs w:val="16"/>
          <w:b w:val="1"/>
          <w:bCs w:val="1"/>
          <w:i w:val="1"/>
          <w:iCs w:val="1"/>
          <w:color w:val="auto"/>
        </w:rPr>
        <w:t xml:space="preserve">Use of Market Data. </w:t>
      </w:r>
      <w:r>
        <w:rPr>
          <w:rFonts w:ascii="Arial" w:cs="Arial" w:eastAsia="Arial" w:hAnsi="Arial"/>
          <w:sz w:val="16"/>
          <w:szCs w:val="16"/>
          <w:color w:val="auto"/>
        </w:rPr>
        <w:t>Since one of the objectives of our executive compensation program is to provide market competitive compensation opportunities,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fiscal 2019 the Committee used market data provided by Willis Towers Watson to help evaluate and make compensation decisions. Market data, which is size-adjusted, is provided by Willis Towers Watson through its executive compensation database, which includes over 1,000 participating companies.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for executive compensation purposes. The market data provided by Willis Towers Watson was in aggregate form and, therefore, individual data for participating companies in the survey was not considered when determining executive officer compensation in total or for any individual officer or element.</w:t>
      </w:r>
    </w:p>
    <w:p>
      <w:pPr>
        <w:spacing w:after="0" w:line="64" w:lineRule="exact"/>
        <w:rPr>
          <w:sz w:val="20"/>
          <w:szCs w:val="20"/>
          <w:color w:val="auto"/>
        </w:rPr>
      </w:pPr>
    </w:p>
    <w:p>
      <w:pPr>
        <w:ind w:right="220" w:firstLine="408"/>
        <w:spacing w:after="0" w:line="253" w:lineRule="auto"/>
        <w:rPr>
          <w:sz w:val="20"/>
          <w:szCs w:val="20"/>
          <w:color w:val="auto"/>
        </w:rPr>
      </w:pPr>
      <w:r>
        <w:rPr>
          <w:rFonts w:ascii="Arial" w:cs="Arial" w:eastAsia="Arial" w:hAnsi="Arial"/>
          <w:sz w:val="16"/>
          <w:szCs w:val="16"/>
          <w:b w:val="1"/>
          <w:bCs w:val="1"/>
          <w:color w:val="auto"/>
        </w:rPr>
        <w:t xml:space="preserve">Elements of Our Executive Compensation Program. </w:t>
      </w:r>
      <w:r>
        <w:rPr>
          <w:rFonts w:ascii="Arial" w:cs="Arial" w:eastAsia="Arial" w:hAnsi="Arial"/>
          <w:sz w:val="16"/>
          <w:szCs w:val="16"/>
          <w:color w:val="auto"/>
        </w:rPr>
        <w:t>During fiscal 2019, our executive compensation program consisted of the following key</w:t>
      </w:r>
      <w:r>
        <w:rPr>
          <w:rFonts w:ascii="Arial" w:cs="Arial" w:eastAsia="Arial" w:hAnsi="Arial"/>
          <w:sz w:val="16"/>
          <w:szCs w:val="16"/>
          <w:b w:val="1"/>
          <w:bCs w:val="1"/>
          <w:color w:val="auto"/>
        </w:rPr>
        <w:t xml:space="preserve"> </w:t>
      </w:r>
      <w:r>
        <w:rPr>
          <w:rFonts w:ascii="Arial" w:cs="Arial" w:eastAsia="Arial" w:hAnsi="Arial"/>
          <w:sz w:val="16"/>
          <w:szCs w:val="16"/>
          <w:color w:val="auto"/>
        </w:rPr>
        <w:t>elements: base salary, annual cash incentive, long-term incentives in the form of stock options and performance share awards, health and welfare benefits, retirement plans and perquisites. The following table provides some of the key characteristics of and purpose for each element along with some key actions taken during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wp:posOffset>
            </wp:positionV>
            <wp:extent cx="7259320" cy="1168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9320" cy="11684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060" w:type="dxa"/>
            <w:vAlign w:val="bottom"/>
          </w:tcPr>
          <w:p>
            <w:pPr>
              <w:spacing w:after="0"/>
              <w:rPr>
                <w:sz w:val="20"/>
                <w:szCs w:val="20"/>
                <w:color w:val="auto"/>
              </w:rPr>
            </w:pPr>
            <w:r>
              <w:rPr>
                <w:rFonts w:ascii="Arial" w:cs="Arial" w:eastAsia="Arial" w:hAnsi="Arial"/>
                <w:sz w:val="13"/>
                <w:szCs w:val="13"/>
                <w:b w:val="1"/>
                <w:bCs w:val="1"/>
                <w:color w:val="FFFFFF"/>
              </w:rPr>
              <w:t>Element</w:t>
            </w:r>
          </w:p>
        </w:tc>
        <w:tc>
          <w:tcPr>
            <w:tcW w:w="3100" w:type="dxa"/>
            <w:vAlign w:val="bottom"/>
          </w:tcPr>
          <w:p>
            <w:pPr>
              <w:ind w:left="1080"/>
              <w:spacing w:after="0"/>
              <w:rPr>
                <w:sz w:val="20"/>
                <w:szCs w:val="20"/>
                <w:color w:val="auto"/>
              </w:rPr>
            </w:pPr>
            <w:r>
              <w:rPr>
                <w:rFonts w:ascii="Arial" w:cs="Arial" w:eastAsia="Arial" w:hAnsi="Arial"/>
                <w:sz w:val="13"/>
                <w:szCs w:val="13"/>
                <w:b w:val="1"/>
                <w:bCs w:val="1"/>
                <w:color w:val="FFFFFF"/>
              </w:rPr>
              <w:t>Key Characteristics</w:t>
            </w:r>
          </w:p>
        </w:tc>
        <w:tc>
          <w:tcPr>
            <w:tcW w:w="2820" w:type="dxa"/>
            <w:vAlign w:val="bottom"/>
          </w:tcPr>
          <w:p>
            <w:pPr>
              <w:ind w:left="1240"/>
              <w:spacing w:after="0"/>
              <w:rPr>
                <w:sz w:val="20"/>
                <w:szCs w:val="20"/>
                <w:color w:val="auto"/>
              </w:rPr>
            </w:pPr>
            <w:r>
              <w:rPr>
                <w:rFonts w:ascii="Arial" w:cs="Arial" w:eastAsia="Arial" w:hAnsi="Arial"/>
                <w:sz w:val="13"/>
                <w:szCs w:val="13"/>
                <w:b w:val="1"/>
                <w:bCs w:val="1"/>
                <w:color w:val="FFFFFF"/>
              </w:rPr>
              <w:t>Purpose</w:t>
            </w:r>
          </w:p>
        </w:tc>
      </w:tr>
      <w:tr>
        <w:trPr>
          <w:trHeight w:val="197"/>
        </w:trPr>
        <w:tc>
          <w:tcPr>
            <w:tcW w:w="1060" w:type="dxa"/>
            <w:vAlign w:val="bottom"/>
          </w:tcPr>
          <w:p>
            <w:pPr>
              <w:spacing w:after="0"/>
              <w:rPr>
                <w:sz w:val="20"/>
                <w:szCs w:val="20"/>
                <w:color w:val="auto"/>
              </w:rPr>
            </w:pPr>
            <w:r>
              <w:rPr>
                <w:rFonts w:ascii="Arial" w:cs="Arial" w:eastAsia="Arial" w:hAnsi="Arial"/>
                <w:sz w:val="15"/>
                <w:szCs w:val="15"/>
                <w:color w:val="auto"/>
              </w:rPr>
              <w:t>Base Salary</w:t>
            </w:r>
          </w:p>
        </w:tc>
        <w:tc>
          <w:tcPr>
            <w:tcW w:w="3100" w:type="dxa"/>
            <w:vAlign w:val="bottom"/>
          </w:tcPr>
          <w:p>
            <w:pPr>
              <w:ind w:left="260"/>
              <w:spacing w:after="0"/>
              <w:rPr>
                <w:sz w:val="20"/>
                <w:szCs w:val="20"/>
                <w:color w:val="auto"/>
              </w:rPr>
            </w:pPr>
            <w:r>
              <w:rPr>
                <w:rFonts w:ascii="Arial" w:cs="Arial" w:eastAsia="Arial" w:hAnsi="Arial"/>
                <w:sz w:val="15"/>
                <w:szCs w:val="15"/>
                <w:color w:val="auto"/>
              </w:rPr>
              <w:t>A fixed amount, paid in cash and reviewed</w:t>
            </w:r>
          </w:p>
        </w:tc>
        <w:tc>
          <w:tcPr>
            <w:tcW w:w="2820" w:type="dxa"/>
            <w:vAlign w:val="bottom"/>
          </w:tcPr>
          <w:p>
            <w:pPr>
              <w:ind w:left="60"/>
              <w:spacing w:after="0"/>
              <w:rPr>
                <w:sz w:val="20"/>
                <w:szCs w:val="20"/>
                <w:color w:val="auto"/>
              </w:rPr>
            </w:pPr>
            <w:r>
              <w:rPr>
                <w:rFonts w:ascii="Arial" w:cs="Arial" w:eastAsia="Arial" w:hAnsi="Arial"/>
                <w:sz w:val="15"/>
                <w:szCs w:val="15"/>
                <w:color w:val="auto"/>
              </w:rPr>
              <w:t>Provide a source of fixed income that is</w:t>
            </w:r>
          </w:p>
        </w:tc>
      </w:tr>
      <w:tr>
        <w:trPr>
          <w:trHeight w:val="172"/>
        </w:trPr>
        <w:tc>
          <w:tcPr>
            <w:tcW w:w="1060" w:type="dxa"/>
            <w:vAlign w:val="bottom"/>
          </w:tcPr>
          <w:p>
            <w:pPr>
              <w:spacing w:after="0"/>
              <w:rPr>
                <w:sz w:val="14"/>
                <w:szCs w:val="14"/>
                <w:color w:val="auto"/>
              </w:rPr>
            </w:pPr>
          </w:p>
        </w:tc>
        <w:tc>
          <w:tcPr>
            <w:tcW w:w="3100" w:type="dxa"/>
            <w:vAlign w:val="bottom"/>
          </w:tcPr>
          <w:p>
            <w:pPr>
              <w:ind w:left="260"/>
              <w:spacing w:after="0"/>
              <w:rPr>
                <w:sz w:val="20"/>
                <w:szCs w:val="20"/>
                <w:color w:val="auto"/>
              </w:rPr>
            </w:pPr>
            <w:r>
              <w:rPr>
                <w:rFonts w:ascii="Arial" w:cs="Arial" w:eastAsia="Arial" w:hAnsi="Arial"/>
                <w:sz w:val="15"/>
                <w:szCs w:val="15"/>
                <w:color w:val="auto"/>
              </w:rPr>
              <w:t>annually and,</w:t>
            </w:r>
          </w:p>
        </w:tc>
        <w:tc>
          <w:tcPr>
            <w:tcW w:w="2820" w:type="dxa"/>
            <w:vAlign w:val="bottom"/>
          </w:tcPr>
          <w:p>
            <w:pPr>
              <w:ind w:left="60"/>
              <w:spacing w:after="0"/>
              <w:rPr>
                <w:sz w:val="20"/>
                <w:szCs w:val="20"/>
                <w:color w:val="auto"/>
              </w:rPr>
            </w:pPr>
            <w:r>
              <w:rPr>
                <w:rFonts w:ascii="Arial" w:cs="Arial" w:eastAsia="Arial" w:hAnsi="Arial"/>
                <w:sz w:val="15"/>
                <w:szCs w:val="15"/>
                <w:color w:val="auto"/>
                <w:w w:val="97"/>
              </w:rPr>
              <w:t>market competitive and reflects scope and</w:t>
            </w:r>
          </w:p>
        </w:tc>
      </w:tr>
      <w:tr>
        <w:trPr>
          <w:trHeight w:val="202"/>
        </w:trPr>
        <w:tc>
          <w:tcPr>
            <w:tcW w:w="1060" w:type="dxa"/>
            <w:vAlign w:val="bottom"/>
          </w:tcPr>
          <w:p>
            <w:pPr>
              <w:spacing w:after="0"/>
              <w:rPr>
                <w:sz w:val="17"/>
                <w:szCs w:val="17"/>
                <w:color w:val="auto"/>
              </w:rPr>
            </w:pPr>
          </w:p>
        </w:tc>
        <w:tc>
          <w:tcPr>
            <w:tcW w:w="3100" w:type="dxa"/>
            <w:vAlign w:val="bottom"/>
          </w:tcPr>
          <w:p>
            <w:pPr>
              <w:ind w:left="260"/>
              <w:spacing w:after="0"/>
              <w:rPr>
                <w:sz w:val="20"/>
                <w:szCs w:val="20"/>
                <w:color w:val="auto"/>
              </w:rPr>
            </w:pPr>
            <w:r>
              <w:rPr>
                <w:rFonts w:ascii="Arial" w:cs="Arial" w:eastAsia="Arial" w:hAnsi="Arial"/>
                <w:sz w:val="15"/>
                <w:szCs w:val="15"/>
                <w:color w:val="auto"/>
              </w:rPr>
              <w:t>if appropriate, adjusted.</w:t>
            </w:r>
          </w:p>
        </w:tc>
        <w:tc>
          <w:tcPr>
            <w:tcW w:w="2820" w:type="dxa"/>
            <w:vAlign w:val="bottom"/>
          </w:tcPr>
          <w:p>
            <w:pPr>
              <w:ind w:left="60"/>
              <w:spacing w:after="0"/>
              <w:rPr>
                <w:sz w:val="20"/>
                <w:szCs w:val="20"/>
                <w:color w:val="auto"/>
              </w:rPr>
            </w:pPr>
            <w:r>
              <w:rPr>
                <w:rFonts w:ascii="Arial" w:cs="Arial" w:eastAsia="Arial" w:hAnsi="Arial"/>
                <w:sz w:val="15"/>
                <w:szCs w:val="15"/>
                <w:color w:val="auto"/>
              </w:rPr>
              <w:t>responsibility of the position held.</w:t>
            </w: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FFFFFF"/>
        </w:rPr>
        <w:t>Key Fiscal 2019 Actions</w:t>
      </w:r>
    </w:p>
    <w:p>
      <w:pPr>
        <w:spacing w:after="0" w:line="48"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Named executive officers received base salary increases ranging from 3.0% to 14.3% of their then current annual base salaries. Mr. Rodier also received a base salary increase of 26.2% in connection with his promotion to Group Vice President, Construction Businesses, following the CMW acquisition on April 1, 2019.</w:t>
      </w:r>
    </w:p>
    <w:p>
      <w:pPr>
        <w:spacing w:after="0" w:line="200" w:lineRule="exact"/>
        <w:rPr>
          <w:sz w:val="20"/>
          <w:szCs w:val="20"/>
          <w:color w:val="auto"/>
        </w:rPr>
      </w:pPr>
    </w:p>
    <w:p>
      <w:pPr>
        <w:sectPr>
          <w:pgSz w:w="11900" w:h="16838" w:orient="portrait"/>
          <w:cols w:equalWidth="0" w:num="2">
            <w:col w:w="7000" w:space="140"/>
            <w:col w:w="4280"/>
          </w:cols>
          <w:pgMar w:left="240" w:top="140" w:right="239" w:bottom="1440" w:gutter="0" w:footer="0" w:header="0"/>
          <w:type w:val="continuous"/>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shd w:val="clear" w:color="auto" w:fill="C00000"/>
          </w:tcPr>
          <w:p>
            <w:pPr>
              <w:ind w:left="20"/>
              <w:spacing w:after="0"/>
              <w:rPr>
                <w:sz w:val="20"/>
                <w:szCs w:val="20"/>
                <w:color w:val="auto"/>
              </w:rPr>
            </w:pPr>
            <w:r>
              <w:rPr>
                <w:rFonts w:ascii="Arial" w:cs="Arial" w:eastAsia="Arial" w:hAnsi="Arial"/>
                <w:sz w:val="13"/>
                <w:szCs w:val="13"/>
                <w:b w:val="1"/>
                <w:bCs w:val="1"/>
                <w:color w:val="FFFFFF"/>
              </w:rPr>
              <w:t>Element</w:t>
            </w:r>
          </w:p>
        </w:tc>
        <w:tc>
          <w:tcPr>
            <w:tcW w:w="3120" w:type="dxa"/>
            <w:vAlign w:val="bottom"/>
            <w:shd w:val="clear" w:color="auto" w:fill="C00000"/>
          </w:tcPr>
          <w:p>
            <w:pPr>
              <w:ind w:left="1060"/>
              <w:spacing w:after="0"/>
              <w:rPr>
                <w:sz w:val="20"/>
                <w:szCs w:val="20"/>
                <w:color w:val="auto"/>
              </w:rPr>
            </w:pPr>
            <w:r>
              <w:rPr>
                <w:rFonts w:ascii="Arial" w:cs="Arial" w:eastAsia="Arial" w:hAnsi="Arial"/>
                <w:sz w:val="13"/>
                <w:szCs w:val="13"/>
                <w:b w:val="1"/>
                <w:bCs w:val="1"/>
                <w:color w:val="FFFFFF"/>
              </w:rPr>
              <w:t>Key Characteristics</w:t>
            </w:r>
          </w:p>
        </w:tc>
        <w:tc>
          <w:tcPr>
            <w:tcW w:w="2860" w:type="dxa"/>
            <w:vAlign w:val="bottom"/>
            <w:shd w:val="clear" w:color="auto" w:fill="C00000"/>
          </w:tcPr>
          <w:p>
            <w:pPr>
              <w:ind w:left="1200"/>
              <w:spacing w:after="0"/>
              <w:rPr>
                <w:sz w:val="20"/>
                <w:szCs w:val="20"/>
                <w:color w:val="auto"/>
              </w:rPr>
            </w:pPr>
            <w:r>
              <w:rPr>
                <w:rFonts w:ascii="Arial" w:cs="Arial" w:eastAsia="Arial" w:hAnsi="Arial"/>
                <w:sz w:val="13"/>
                <w:szCs w:val="13"/>
                <w:b w:val="1"/>
                <w:bCs w:val="1"/>
                <w:color w:val="FFFFFF"/>
              </w:rPr>
              <w:t>Purpose</w:t>
            </w:r>
          </w:p>
        </w:tc>
        <w:tc>
          <w:tcPr>
            <w:tcW w:w="4340" w:type="dxa"/>
            <w:vAlign w:val="bottom"/>
            <w:shd w:val="clear" w:color="auto" w:fill="C00000"/>
          </w:tcPr>
          <w:p>
            <w:pPr>
              <w:ind w:left="1460"/>
              <w:spacing w:after="0"/>
              <w:rPr>
                <w:sz w:val="20"/>
                <w:szCs w:val="20"/>
                <w:color w:val="auto"/>
              </w:rPr>
            </w:pPr>
            <w:r>
              <w:rPr>
                <w:rFonts w:ascii="Arial" w:cs="Arial" w:eastAsia="Arial" w:hAnsi="Arial"/>
                <w:sz w:val="13"/>
                <w:szCs w:val="13"/>
                <w:b w:val="1"/>
                <w:bCs w:val="1"/>
                <w:color w:val="FFFFFF"/>
              </w:rPr>
              <w:t>Key Fiscal 2019 Actions</w:t>
            </w:r>
          </w:p>
        </w:tc>
      </w:tr>
      <w:tr>
        <w:trPr>
          <w:trHeight w:val="186"/>
        </w:trPr>
        <w:tc>
          <w:tcPr>
            <w:tcW w:w="1100" w:type="dxa"/>
            <w:vAlign w:val="bottom"/>
            <w:shd w:val="clear" w:color="auto" w:fill="D9D9D9"/>
          </w:tcPr>
          <w:p>
            <w:pPr>
              <w:ind w:left="20"/>
              <w:spacing w:after="0"/>
              <w:rPr>
                <w:sz w:val="20"/>
                <w:szCs w:val="20"/>
                <w:color w:val="auto"/>
              </w:rPr>
            </w:pPr>
            <w:r>
              <w:rPr>
                <w:rFonts w:ascii="Arial" w:cs="Arial" w:eastAsia="Arial" w:hAnsi="Arial"/>
                <w:sz w:val="15"/>
                <w:szCs w:val="15"/>
                <w:color w:val="auto"/>
              </w:rPr>
              <w:t>Annual Cash</w:t>
            </w:r>
          </w:p>
        </w:tc>
        <w:tc>
          <w:tcPr>
            <w:tcW w:w="3120" w:type="dxa"/>
            <w:vAlign w:val="bottom"/>
            <w:shd w:val="clear" w:color="auto" w:fill="D9D9D9"/>
          </w:tcPr>
          <w:p>
            <w:pPr>
              <w:ind w:left="240"/>
              <w:spacing w:after="0"/>
              <w:rPr>
                <w:sz w:val="20"/>
                <w:szCs w:val="20"/>
                <w:color w:val="auto"/>
              </w:rPr>
            </w:pPr>
            <w:r>
              <w:rPr>
                <w:rFonts w:ascii="Arial" w:cs="Arial" w:eastAsia="Arial" w:hAnsi="Arial"/>
                <w:sz w:val="15"/>
                <w:szCs w:val="15"/>
                <w:color w:val="auto"/>
              </w:rPr>
              <w:t>A variable, short-term element of</w:t>
            </w:r>
          </w:p>
        </w:tc>
        <w:tc>
          <w:tcPr>
            <w:tcW w:w="2860" w:type="dxa"/>
            <w:vAlign w:val="bottom"/>
            <w:shd w:val="clear" w:color="auto" w:fill="D9D9D9"/>
          </w:tcPr>
          <w:p>
            <w:pPr>
              <w:ind w:left="20"/>
              <w:spacing w:after="0"/>
              <w:rPr>
                <w:sz w:val="20"/>
                <w:szCs w:val="20"/>
                <w:color w:val="auto"/>
              </w:rPr>
            </w:pPr>
            <w:r>
              <w:rPr>
                <w:rFonts w:ascii="Arial" w:cs="Arial" w:eastAsia="Arial" w:hAnsi="Arial"/>
                <w:sz w:val="15"/>
                <w:szCs w:val="15"/>
                <w:color w:val="auto"/>
              </w:rPr>
              <w:t>Motivate and reward our executive officers</w:t>
            </w: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At the beginning of fiscal 2019, target awards as a percent of</w:t>
            </w:r>
          </w:p>
        </w:tc>
      </w:tr>
      <w:tr>
        <w:trPr>
          <w:trHeight w:val="172"/>
        </w:trPr>
        <w:tc>
          <w:tcPr>
            <w:tcW w:w="1100" w:type="dxa"/>
            <w:vAlign w:val="bottom"/>
            <w:shd w:val="clear" w:color="auto" w:fill="D9D9D9"/>
          </w:tcPr>
          <w:p>
            <w:pPr>
              <w:ind w:left="20"/>
              <w:spacing w:after="0"/>
              <w:rPr>
                <w:sz w:val="20"/>
                <w:szCs w:val="20"/>
                <w:color w:val="auto"/>
              </w:rPr>
            </w:pPr>
            <w:r>
              <w:rPr>
                <w:rFonts w:ascii="Arial" w:cs="Arial" w:eastAsia="Arial" w:hAnsi="Arial"/>
                <w:sz w:val="15"/>
                <w:szCs w:val="15"/>
                <w:color w:val="auto"/>
              </w:rPr>
              <w:t>Incentive</w:t>
            </w:r>
          </w:p>
        </w:tc>
        <w:tc>
          <w:tcPr>
            <w:tcW w:w="3120" w:type="dxa"/>
            <w:vAlign w:val="bottom"/>
            <w:shd w:val="clear" w:color="auto" w:fill="D9D9D9"/>
          </w:tcPr>
          <w:p>
            <w:pPr>
              <w:ind w:left="240"/>
              <w:spacing w:after="0"/>
              <w:rPr>
                <w:sz w:val="20"/>
                <w:szCs w:val="20"/>
                <w:color w:val="auto"/>
              </w:rPr>
            </w:pPr>
            <w:r>
              <w:rPr>
                <w:rFonts w:ascii="Arial" w:cs="Arial" w:eastAsia="Arial" w:hAnsi="Arial"/>
                <w:sz w:val="15"/>
                <w:szCs w:val="15"/>
                <w:color w:val="auto"/>
                <w:w w:val="98"/>
              </w:rPr>
              <w:t>compensation that is payable in cash based</w:t>
            </w:r>
          </w:p>
        </w:tc>
        <w:tc>
          <w:tcPr>
            <w:tcW w:w="2860" w:type="dxa"/>
            <w:vAlign w:val="bottom"/>
            <w:shd w:val="clear" w:color="auto" w:fill="D9D9D9"/>
          </w:tcPr>
          <w:p>
            <w:pPr>
              <w:ind w:left="20"/>
              <w:spacing w:after="0"/>
              <w:rPr>
                <w:sz w:val="20"/>
                <w:szCs w:val="20"/>
                <w:color w:val="auto"/>
              </w:rPr>
            </w:pPr>
            <w:r>
              <w:rPr>
                <w:rFonts w:ascii="Arial" w:cs="Arial" w:eastAsia="Arial" w:hAnsi="Arial"/>
                <w:sz w:val="15"/>
                <w:szCs w:val="15"/>
                <w:color w:val="auto"/>
              </w:rPr>
              <w:t>for achievement of annual financial</w:t>
            </w: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base salary for named executive officers were established at</w:t>
            </w:r>
          </w:p>
        </w:tc>
      </w:tr>
      <w:tr>
        <w:trPr>
          <w:trHeight w:val="172"/>
        </w:trPr>
        <w:tc>
          <w:tcPr>
            <w:tcW w:w="1100" w:type="dxa"/>
            <w:vAlign w:val="bottom"/>
            <w:shd w:val="clear" w:color="auto" w:fill="D9D9D9"/>
          </w:tcPr>
          <w:p>
            <w:pPr>
              <w:spacing w:after="0"/>
              <w:rPr>
                <w:sz w:val="14"/>
                <w:szCs w:val="14"/>
                <w:color w:val="auto"/>
              </w:rPr>
            </w:pPr>
          </w:p>
        </w:tc>
        <w:tc>
          <w:tcPr>
            <w:tcW w:w="3120" w:type="dxa"/>
            <w:vAlign w:val="bottom"/>
            <w:shd w:val="clear" w:color="auto" w:fill="D9D9D9"/>
          </w:tcPr>
          <w:p>
            <w:pPr>
              <w:ind w:left="240"/>
              <w:spacing w:after="0"/>
              <w:rPr>
                <w:sz w:val="20"/>
                <w:szCs w:val="20"/>
                <w:color w:val="auto"/>
              </w:rPr>
            </w:pPr>
            <w:r>
              <w:rPr>
                <w:rFonts w:ascii="Arial" w:cs="Arial" w:eastAsia="Arial" w:hAnsi="Arial"/>
                <w:sz w:val="15"/>
                <w:szCs w:val="15"/>
                <w:color w:val="auto"/>
              </w:rPr>
              <w:t>on achievement of key pre-established</w:t>
            </w:r>
          </w:p>
        </w:tc>
        <w:tc>
          <w:tcPr>
            <w:tcW w:w="2860" w:type="dxa"/>
            <w:vAlign w:val="bottom"/>
            <w:shd w:val="clear" w:color="auto" w:fill="D9D9D9"/>
          </w:tcPr>
          <w:p>
            <w:pPr>
              <w:ind w:left="20"/>
              <w:spacing w:after="0"/>
              <w:rPr>
                <w:sz w:val="20"/>
                <w:szCs w:val="20"/>
                <w:color w:val="auto"/>
              </w:rPr>
            </w:pPr>
            <w:r>
              <w:rPr>
                <w:rFonts w:ascii="Arial" w:cs="Arial" w:eastAsia="Arial" w:hAnsi="Arial"/>
                <w:sz w:val="15"/>
                <w:szCs w:val="15"/>
                <w:color w:val="auto"/>
              </w:rPr>
              <w:t>business goals intended to drive overall</w:t>
            </w: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50% to 110% of fiscal year base salary. In April 2019, in</w:t>
            </w:r>
          </w:p>
        </w:tc>
      </w:tr>
      <w:tr>
        <w:trPr>
          <w:trHeight w:val="172"/>
        </w:trPr>
        <w:tc>
          <w:tcPr>
            <w:tcW w:w="1100" w:type="dxa"/>
            <w:vAlign w:val="bottom"/>
            <w:shd w:val="clear" w:color="auto" w:fill="D9D9D9"/>
          </w:tcPr>
          <w:p>
            <w:pPr>
              <w:spacing w:after="0"/>
              <w:rPr>
                <w:sz w:val="14"/>
                <w:szCs w:val="14"/>
                <w:color w:val="auto"/>
              </w:rPr>
            </w:pPr>
          </w:p>
        </w:tc>
        <w:tc>
          <w:tcPr>
            <w:tcW w:w="3120" w:type="dxa"/>
            <w:vAlign w:val="bottom"/>
            <w:shd w:val="clear" w:color="auto" w:fill="D9D9D9"/>
          </w:tcPr>
          <w:p>
            <w:pPr>
              <w:ind w:left="240"/>
              <w:spacing w:after="0"/>
              <w:rPr>
                <w:sz w:val="20"/>
                <w:szCs w:val="20"/>
                <w:color w:val="auto"/>
              </w:rPr>
            </w:pPr>
            <w:r>
              <w:rPr>
                <w:rFonts w:ascii="Arial" w:cs="Arial" w:eastAsia="Arial" w:hAnsi="Arial"/>
                <w:sz w:val="15"/>
                <w:szCs w:val="15"/>
                <w:color w:val="auto"/>
              </w:rPr>
              <w:t>annual corporate financial goals and, for</w:t>
            </w:r>
          </w:p>
        </w:tc>
        <w:tc>
          <w:tcPr>
            <w:tcW w:w="2860" w:type="dxa"/>
            <w:vAlign w:val="bottom"/>
            <w:shd w:val="clear" w:color="auto" w:fill="D9D9D9"/>
          </w:tcPr>
          <w:p>
            <w:pPr>
              <w:ind w:left="20"/>
              <w:spacing w:after="0"/>
              <w:rPr>
                <w:sz w:val="20"/>
                <w:szCs w:val="20"/>
                <w:color w:val="auto"/>
              </w:rPr>
            </w:pPr>
            <w:r>
              <w:rPr>
                <w:rFonts w:ascii="Arial" w:cs="Arial" w:eastAsia="Arial" w:hAnsi="Arial"/>
                <w:sz w:val="15"/>
                <w:szCs w:val="15"/>
                <w:color w:val="auto"/>
              </w:rPr>
              <w:t>company and division/business</w:t>
            </w: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connection with his promotion to Group Vice President,</w:t>
            </w:r>
          </w:p>
        </w:tc>
      </w:tr>
      <w:tr>
        <w:trPr>
          <w:trHeight w:val="172"/>
        </w:trPr>
        <w:tc>
          <w:tcPr>
            <w:tcW w:w="1100" w:type="dxa"/>
            <w:vAlign w:val="bottom"/>
            <w:shd w:val="clear" w:color="auto" w:fill="D9D9D9"/>
          </w:tcPr>
          <w:p>
            <w:pPr>
              <w:spacing w:after="0"/>
              <w:rPr>
                <w:sz w:val="14"/>
                <w:szCs w:val="14"/>
                <w:color w:val="auto"/>
              </w:rPr>
            </w:pPr>
          </w:p>
        </w:tc>
        <w:tc>
          <w:tcPr>
            <w:tcW w:w="3120" w:type="dxa"/>
            <w:vAlign w:val="bottom"/>
            <w:shd w:val="clear" w:color="auto" w:fill="D9D9D9"/>
          </w:tcPr>
          <w:p>
            <w:pPr>
              <w:ind w:left="240"/>
              <w:spacing w:after="0"/>
              <w:rPr>
                <w:sz w:val="20"/>
                <w:szCs w:val="20"/>
                <w:color w:val="auto"/>
              </w:rPr>
            </w:pPr>
            <w:r>
              <w:rPr>
                <w:rFonts w:ascii="Arial" w:cs="Arial" w:eastAsia="Arial" w:hAnsi="Arial"/>
                <w:sz w:val="15"/>
                <w:szCs w:val="15"/>
                <w:color w:val="auto"/>
              </w:rPr>
              <w:t>division participants, division and/or</w:t>
            </w:r>
          </w:p>
        </w:tc>
        <w:tc>
          <w:tcPr>
            <w:tcW w:w="2860" w:type="dxa"/>
            <w:vAlign w:val="bottom"/>
            <w:shd w:val="clear" w:color="auto" w:fill="D9D9D9"/>
          </w:tcPr>
          <w:p>
            <w:pPr>
              <w:ind w:left="20"/>
              <w:spacing w:after="0"/>
              <w:rPr>
                <w:sz w:val="20"/>
                <w:szCs w:val="20"/>
                <w:color w:val="auto"/>
              </w:rPr>
            </w:pPr>
            <w:r>
              <w:rPr>
                <w:rFonts w:ascii="Arial" w:cs="Arial" w:eastAsia="Arial" w:hAnsi="Arial"/>
                <w:sz w:val="15"/>
                <w:szCs w:val="15"/>
                <w:color w:val="auto"/>
              </w:rPr>
              <w:t>performance.</w:t>
            </w: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w w:val="99"/>
              </w:rPr>
              <w:t>Construction Businesses, Mr. Rodier’s target award as a percent</w:t>
            </w:r>
          </w:p>
        </w:tc>
      </w:tr>
      <w:tr>
        <w:trPr>
          <w:trHeight w:val="177"/>
        </w:trPr>
        <w:tc>
          <w:tcPr>
            <w:tcW w:w="1100" w:type="dxa"/>
            <w:vAlign w:val="bottom"/>
            <w:shd w:val="clear" w:color="auto" w:fill="D9D9D9"/>
          </w:tcPr>
          <w:p>
            <w:pPr>
              <w:spacing w:after="0"/>
              <w:rPr>
                <w:sz w:val="15"/>
                <w:szCs w:val="15"/>
                <w:color w:val="auto"/>
              </w:rPr>
            </w:pPr>
          </w:p>
        </w:tc>
        <w:tc>
          <w:tcPr>
            <w:tcW w:w="3120" w:type="dxa"/>
            <w:vAlign w:val="bottom"/>
            <w:shd w:val="clear" w:color="auto" w:fill="D9D9D9"/>
          </w:tcPr>
          <w:p>
            <w:pPr>
              <w:ind w:left="240"/>
              <w:spacing w:after="0"/>
              <w:rPr>
                <w:sz w:val="20"/>
                <w:szCs w:val="20"/>
                <w:color w:val="auto"/>
              </w:rPr>
            </w:pPr>
            <w:r>
              <w:rPr>
                <w:rFonts w:ascii="Arial" w:cs="Arial" w:eastAsia="Arial" w:hAnsi="Arial"/>
                <w:sz w:val="15"/>
                <w:szCs w:val="15"/>
                <w:color w:val="auto"/>
              </w:rPr>
              <w:t>business financial goals.</w:t>
            </w:r>
          </w:p>
        </w:tc>
        <w:tc>
          <w:tcPr>
            <w:tcW w:w="2860" w:type="dxa"/>
            <w:vAlign w:val="bottom"/>
            <w:shd w:val="clear" w:color="auto" w:fill="D9D9D9"/>
          </w:tcPr>
          <w:p>
            <w:pPr>
              <w:spacing w:after="0"/>
              <w:rPr>
                <w:sz w:val="15"/>
                <w:szCs w:val="15"/>
                <w:color w:val="auto"/>
              </w:rPr>
            </w:pP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of base salary was increased from 50% to 60%.</w:t>
            </w:r>
          </w:p>
        </w:tc>
      </w:tr>
      <w:tr>
        <w:trPr>
          <w:trHeight w:val="215"/>
        </w:trPr>
        <w:tc>
          <w:tcPr>
            <w:tcW w:w="1100" w:type="dxa"/>
            <w:vAlign w:val="bottom"/>
            <w:shd w:val="clear" w:color="auto" w:fill="D9D9D9"/>
          </w:tcPr>
          <w:p>
            <w:pPr>
              <w:spacing w:after="0"/>
              <w:rPr>
                <w:sz w:val="18"/>
                <w:szCs w:val="18"/>
                <w:color w:val="auto"/>
              </w:rPr>
            </w:pPr>
          </w:p>
        </w:tc>
        <w:tc>
          <w:tcPr>
            <w:tcW w:w="3120" w:type="dxa"/>
            <w:vAlign w:val="bottom"/>
            <w:shd w:val="clear" w:color="auto" w:fill="D9D9D9"/>
          </w:tcPr>
          <w:p>
            <w:pPr>
              <w:spacing w:after="0"/>
              <w:rPr>
                <w:sz w:val="18"/>
                <w:szCs w:val="18"/>
                <w:color w:val="auto"/>
              </w:rPr>
            </w:pPr>
          </w:p>
        </w:tc>
        <w:tc>
          <w:tcPr>
            <w:tcW w:w="2860" w:type="dxa"/>
            <w:vAlign w:val="bottom"/>
            <w:shd w:val="clear" w:color="auto" w:fill="D9D9D9"/>
          </w:tcPr>
          <w:p>
            <w:pPr>
              <w:spacing w:after="0"/>
              <w:rPr>
                <w:sz w:val="18"/>
                <w:szCs w:val="18"/>
                <w:color w:val="auto"/>
              </w:rPr>
            </w:pP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Corporate performance measures and weightings were</w:t>
            </w:r>
          </w:p>
        </w:tc>
      </w:tr>
      <w:tr>
        <w:trPr>
          <w:trHeight w:val="172"/>
        </w:trPr>
        <w:tc>
          <w:tcPr>
            <w:tcW w:w="1100" w:type="dxa"/>
            <w:vAlign w:val="bottom"/>
            <w:shd w:val="clear" w:color="auto" w:fill="D9D9D9"/>
          </w:tcPr>
          <w:p>
            <w:pPr>
              <w:spacing w:after="0"/>
              <w:rPr>
                <w:sz w:val="14"/>
                <w:szCs w:val="14"/>
                <w:color w:val="auto"/>
              </w:rPr>
            </w:pPr>
          </w:p>
        </w:tc>
        <w:tc>
          <w:tcPr>
            <w:tcW w:w="3120" w:type="dxa"/>
            <w:vAlign w:val="bottom"/>
            <w:shd w:val="clear" w:color="auto" w:fill="D9D9D9"/>
          </w:tcPr>
          <w:p>
            <w:pPr>
              <w:spacing w:after="0"/>
              <w:rPr>
                <w:sz w:val="14"/>
                <w:szCs w:val="14"/>
                <w:color w:val="auto"/>
              </w:rPr>
            </w:pPr>
          </w:p>
        </w:tc>
        <w:tc>
          <w:tcPr>
            <w:tcW w:w="2860" w:type="dxa"/>
            <w:vAlign w:val="bottom"/>
            <w:shd w:val="clear" w:color="auto" w:fill="D9D9D9"/>
          </w:tcPr>
          <w:p>
            <w:pPr>
              <w:spacing w:after="0"/>
              <w:rPr>
                <w:sz w:val="14"/>
                <w:szCs w:val="14"/>
                <w:color w:val="auto"/>
              </w:rPr>
            </w:pP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established for Messrs. Olson, Dordell and Hamilton and Ms.</w:t>
            </w:r>
          </w:p>
        </w:tc>
      </w:tr>
      <w:tr>
        <w:trPr>
          <w:trHeight w:val="172"/>
        </w:trPr>
        <w:tc>
          <w:tcPr>
            <w:tcW w:w="1100" w:type="dxa"/>
            <w:vAlign w:val="bottom"/>
            <w:shd w:val="clear" w:color="auto" w:fill="D9D9D9"/>
          </w:tcPr>
          <w:p>
            <w:pPr>
              <w:spacing w:after="0"/>
              <w:rPr>
                <w:sz w:val="14"/>
                <w:szCs w:val="14"/>
                <w:color w:val="auto"/>
              </w:rPr>
            </w:pPr>
          </w:p>
        </w:tc>
        <w:tc>
          <w:tcPr>
            <w:tcW w:w="3120" w:type="dxa"/>
            <w:vAlign w:val="bottom"/>
            <w:shd w:val="clear" w:color="auto" w:fill="D9D9D9"/>
          </w:tcPr>
          <w:p>
            <w:pPr>
              <w:spacing w:after="0"/>
              <w:rPr>
                <w:sz w:val="14"/>
                <w:szCs w:val="14"/>
                <w:color w:val="auto"/>
              </w:rPr>
            </w:pPr>
          </w:p>
        </w:tc>
        <w:tc>
          <w:tcPr>
            <w:tcW w:w="2860" w:type="dxa"/>
            <w:vAlign w:val="bottom"/>
            <w:shd w:val="clear" w:color="auto" w:fill="D9D9D9"/>
          </w:tcPr>
          <w:p>
            <w:pPr>
              <w:spacing w:after="0"/>
              <w:rPr>
                <w:sz w:val="14"/>
                <w:szCs w:val="14"/>
                <w:color w:val="auto"/>
              </w:rPr>
            </w:pP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Peterson for fiscal 2019. In addition to corporate performance</w:t>
            </w:r>
          </w:p>
        </w:tc>
      </w:tr>
      <w:tr>
        <w:trPr>
          <w:trHeight w:val="172"/>
        </w:trPr>
        <w:tc>
          <w:tcPr>
            <w:tcW w:w="1100" w:type="dxa"/>
            <w:vAlign w:val="bottom"/>
            <w:shd w:val="clear" w:color="auto" w:fill="D9D9D9"/>
          </w:tcPr>
          <w:p>
            <w:pPr>
              <w:spacing w:after="0"/>
              <w:rPr>
                <w:sz w:val="14"/>
                <w:szCs w:val="14"/>
                <w:color w:val="auto"/>
              </w:rPr>
            </w:pPr>
          </w:p>
        </w:tc>
        <w:tc>
          <w:tcPr>
            <w:tcW w:w="3120" w:type="dxa"/>
            <w:vAlign w:val="bottom"/>
            <w:shd w:val="clear" w:color="auto" w:fill="D9D9D9"/>
          </w:tcPr>
          <w:p>
            <w:pPr>
              <w:spacing w:after="0"/>
              <w:rPr>
                <w:sz w:val="14"/>
                <w:szCs w:val="14"/>
                <w:color w:val="auto"/>
              </w:rPr>
            </w:pPr>
          </w:p>
        </w:tc>
        <w:tc>
          <w:tcPr>
            <w:tcW w:w="2860" w:type="dxa"/>
            <w:vAlign w:val="bottom"/>
            <w:shd w:val="clear" w:color="auto" w:fill="D9D9D9"/>
          </w:tcPr>
          <w:p>
            <w:pPr>
              <w:spacing w:after="0"/>
              <w:rPr>
                <w:sz w:val="14"/>
                <w:szCs w:val="14"/>
                <w:color w:val="auto"/>
              </w:rPr>
            </w:pP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measures and weightings, division and business performance</w:t>
            </w:r>
          </w:p>
        </w:tc>
      </w:tr>
      <w:tr>
        <w:trPr>
          <w:trHeight w:val="172"/>
        </w:trPr>
        <w:tc>
          <w:tcPr>
            <w:tcW w:w="1100" w:type="dxa"/>
            <w:vAlign w:val="bottom"/>
            <w:shd w:val="clear" w:color="auto" w:fill="D9D9D9"/>
          </w:tcPr>
          <w:p>
            <w:pPr>
              <w:spacing w:after="0"/>
              <w:rPr>
                <w:sz w:val="14"/>
                <w:szCs w:val="14"/>
                <w:color w:val="auto"/>
              </w:rPr>
            </w:pPr>
          </w:p>
        </w:tc>
        <w:tc>
          <w:tcPr>
            <w:tcW w:w="3120" w:type="dxa"/>
            <w:vAlign w:val="bottom"/>
            <w:shd w:val="clear" w:color="auto" w:fill="D9D9D9"/>
          </w:tcPr>
          <w:p>
            <w:pPr>
              <w:spacing w:after="0"/>
              <w:rPr>
                <w:sz w:val="14"/>
                <w:szCs w:val="14"/>
                <w:color w:val="auto"/>
              </w:rPr>
            </w:pPr>
          </w:p>
        </w:tc>
        <w:tc>
          <w:tcPr>
            <w:tcW w:w="2860" w:type="dxa"/>
            <w:vAlign w:val="bottom"/>
            <w:shd w:val="clear" w:color="auto" w:fill="D9D9D9"/>
          </w:tcPr>
          <w:p>
            <w:pPr>
              <w:spacing w:after="0"/>
              <w:rPr>
                <w:sz w:val="14"/>
                <w:szCs w:val="14"/>
                <w:color w:val="auto"/>
              </w:rPr>
            </w:pP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measures and weightings were established for Mr. Rodier for</w:t>
            </w:r>
          </w:p>
        </w:tc>
      </w:tr>
      <w:tr>
        <w:trPr>
          <w:trHeight w:val="194"/>
        </w:trPr>
        <w:tc>
          <w:tcPr>
            <w:tcW w:w="1100" w:type="dxa"/>
            <w:vAlign w:val="bottom"/>
            <w:shd w:val="clear" w:color="auto" w:fill="D9D9D9"/>
          </w:tcPr>
          <w:p>
            <w:pPr>
              <w:spacing w:after="0"/>
              <w:rPr>
                <w:sz w:val="16"/>
                <w:szCs w:val="16"/>
                <w:color w:val="auto"/>
              </w:rPr>
            </w:pPr>
          </w:p>
        </w:tc>
        <w:tc>
          <w:tcPr>
            <w:tcW w:w="3120" w:type="dxa"/>
            <w:vAlign w:val="bottom"/>
            <w:shd w:val="clear" w:color="auto" w:fill="D9D9D9"/>
          </w:tcPr>
          <w:p>
            <w:pPr>
              <w:spacing w:after="0"/>
              <w:rPr>
                <w:sz w:val="16"/>
                <w:szCs w:val="16"/>
                <w:color w:val="auto"/>
              </w:rPr>
            </w:pPr>
          </w:p>
        </w:tc>
        <w:tc>
          <w:tcPr>
            <w:tcW w:w="2860" w:type="dxa"/>
            <w:vAlign w:val="bottom"/>
            <w:shd w:val="clear" w:color="auto" w:fill="D9D9D9"/>
          </w:tcPr>
          <w:p>
            <w:pPr>
              <w:spacing w:after="0"/>
              <w:rPr>
                <w:sz w:val="16"/>
                <w:szCs w:val="16"/>
                <w:color w:val="auto"/>
              </w:rPr>
            </w:pPr>
          </w:p>
        </w:tc>
        <w:tc>
          <w:tcPr>
            <w:tcW w:w="4340" w:type="dxa"/>
            <w:vAlign w:val="bottom"/>
            <w:shd w:val="clear" w:color="auto" w:fill="D9D9D9"/>
          </w:tcPr>
          <w:p>
            <w:pPr>
              <w:ind w:left="60"/>
              <w:spacing w:after="0"/>
              <w:rPr>
                <w:sz w:val="20"/>
                <w:szCs w:val="20"/>
                <w:color w:val="auto"/>
              </w:rPr>
            </w:pPr>
            <w:r>
              <w:rPr>
                <w:rFonts w:ascii="Arial" w:cs="Arial" w:eastAsia="Arial" w:hAnsi="Arial"/>
                <w:sz w:val="15"/>
                <w:szCs w:val="15"/>
                <w:color w:val="auto"/>
              </w:rPr>
              <w:t>fiscal 2019.</w:t>
            </w:r>
          </w:p>
        </w:tc>
      </w:tr>
    </w:tbl>
    <w:p>
      <w:pPr>
        <w:spacing w:after="0" w:line="13" w:lineRule="exact"/>
        <w:rPr>
          <w:sz w:val="20"/>
          <w:szCs w:val="20"/>
          <w:color w:val="auto"/>
        </w:rPr>
      </w:pPr>
    </w:p>
    <w:p>
      <w:pPr>
        <w:sectPr>
          <w:pgSz w:w="11900" w:h="16838" w:orient="portrait"/>
          <w:cols w:equalWidth="0" w:num="1">
            <w:col w:w="11460"/>
          </w:cols>
          <w:pgMar w:left="240" w:top="140" w:right="199" w:bottom="1440" w:gutter="0" w:footer="0" w:header="0"/>
        </w:sectPr>
      </w:pPr>
    </w:p>
    <w:p>
      <w:pPr>
        <w:ind w:left="20"/>
        <w:spacing w:after="0"/>
        <w:tabs>
          <w:tab w:leader="none" w:pos="1320" w:val="left"/>
        </w:tabs>
        <w:rPr>
          <w:sz w:val="20"/>
          <w:szCs w:val="20"/>
          <w:color w:val="auto"/>
        </w:rPr>
      </w:pPr>
      <w:r>
        <w:rPr>
          <w:rFonts w:ascii="Arial" w:cs="Arial" w:eastAsia="Arial" w:hAnsi="Arial"/>
          <w:sz w:val="15"/>
          <w:szCs w:val="15"/>
          <w:color w:val="auto"/>
        </w:rPr>
        <w:t>Long-Term</w:t>
      </w:r>
      <w:r>
        <w:rPr>
          <w:sz w:val="20"/>
          <w:szCs w:val="20"/>
          <w:color w:val="auto"/>
        </w:rPr>
        <w:tab/>
      </w:r>
      <w:r>
        <w:rPr>
          <w:rFonts w:ascii="Arial" w:cs="Arial" w:eastAsia="Arial" w:hAnsi="Arial"/>
          <w:sz w:val="14"/>
          <w:szCs w:val="14"/>
          <w:color w:val="auto"/>
        </w:rPr>
        <w:t>A variable, long-term element of</w:t>
      </w:r>
    </w:p>
    <w:p>
      <w:pPr>
        <w:ind w:left="20"/>
        <w:spacing w:after="0"/>
        <w:tabs>
          <w:tab w:leader="none" w:pos="1320" w:val="left"/>
        </w:tabs>
        <w:rPr>
          <w:sz w:val="20"/>
          <w:szCs w:val="20"/>
          <w:color w:val="auto"/>
        </w:rPr>
      </w:pPr>
      <w:r>
        <w:rPr>
          <w:rFonts w:ascii="Arial" w:cs="Arial" w:eastAsia="Arial" w:hAnsi="Arial"/>
          <w:sz w:val="14"/>
          <w:szCs w:val="14"/>
          <w:color w:val="auto"/>
        </w:rPr>
        <w:t>Incentives</w:t>
      </w:r>
      <w:r>
        <w:rPr>
          <w:sz w:val="20"/>
          <w:szCs w:val="20"/>
          <w:color w:val="auto"/>
        </w:rPr>
        <w:tab/>
      </w:r>
      <w:r>
        <w:rPr>
          <w:rFonts w:ascii="Arial" w:cs="Arial" w:eastAsia="Arial" w:hAnsi="Arial"/>
          <w:sz w:val="14"/>
          <w:szCs w:val="14"/>
          <w:color w:val="auto"/>
        </w:rPr>
        <w:t>compensation that is provided in the form of</w:t>
      </w:r>
    </w:p>
    <w:p>
      <w:pPr>
        <w:spacing w:after="0" w:line="11" w:lineRule="exact"/>
        <w:rPr>
          <w:sz w:val="20"/>
          <w:szCs w:val="20"/>
          <w:color w:val="auto"/>
        </w:rPr>
      </w:pPr>
    </w:p>
    <w:p>
      <w:pPr>
        <w:ind w:left="1340" w:right="40"/>
        <w:spacing w:after="0" w:line="239" w:lineRule="auto"/>
        <w:rPr>
          <w:sz w:val="20"/>
          <w:szCs w:val="20"/>
          <w:color w:val="auto"/>
        </w:rPr>
      </w:pPr>
      <w:r>
        <w:rPr>
          <w:rFonts w:ascii="Arial" w:cs="Arial" w:eastAsia="Arial" w:hAnsi="Arial"/>
          <w:sz w:val="15"/>
          <w:szCs w:val="15"/>
          <w:color w:val="auto"/>
        </w:rPr>
        <w:t>stock options and performance share awards. Stock options are time-based and vest no more frequently than ratably over three years and performance share awards are payable based on achievement of cumulative financial goals after three years and are paid out in shares of our common stock.</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Health and Welfare Includes medical and dental insurance; life,</w:t>
      </w:r>
    </w:p>
    <w:p>
      <w:pPr>
        <w:spacing w:after="0" w:line="11" w:lineRule="exact"/>
        <w:rPr>
          <w:sz w:val="20"/>
          <w:szCs w:val="20"/>
          <w:color w:val="auto"/>
        </w:rPr>
      </w:pPr>
    </w:p>
    <w:p>
      <w:pPr>
        <w:ind w:left="1340" w:right="400" w:hanging="1319"/>
        <w:spacing w:after="0" w:line="279" w:lineRule="auto"/>
        <w:tabs>
          <w:tab w:leader="none" w:pos="1320" w:val="left"/>
        </w:tabs>
        <w:rPr>
          <w:sz w:val="20"/>
          <w:szCs w:val="20"/>
          <w:color w:val="auto"/>
        </w:rPr>
      </w:pPr>
      <w:r>
        <w:rPr>
          <w:rFonts w:ascii="Arial" w:cs="Arial" w:eastAsia="Arial" w:hAnsi="Arial"/>
          <w:sz w:val="14"/>
          <w:szCs w:val="14"/>
          <w:color w:val="auto"/>
        </w:rPr>
        <w:t>Benefits</w:t>
      </w:r>
      <w:r>
        <w:rPr>
          <w:sz w:val="20"/>
          <w:szCs w:val="20"/>
          <w:color w:val="auto"/>
        </w:rPr>
        <w:tab/>
      </w:r>
      <w:r>
        <w:rPr>
          <w:rFonts w:ascii="Arial" w:cs="Arial" w:eastAsia="Arial" w:hAnsi="Arial"/>
          <w:sz w:val="14"/>
          <w:szCs w:val="14"/>
          <w:color w:val="auto"/>
        </w:rPr>
        <w:t>accidental death and dismemberment insurance; and disability insurance.</w:t>
      </w:r>
    </w:p>
    <w:p>
      <w:pPr>
        <w:spacing w:after="0" w:line="6" w:lineRule="exact"/>
        <w:rPr>
          <w:sz w:val="20"/>
          <w:szCs w:val="20"/>
          <w:color w:val="auto"/>
        </w:rPr>
      </w:pPr>
    </w:p>
    <w:p>
      <w:pPr>
        <w:ind w:left="1340" w:right="160" w:hanging="1310"/>
        <w:spacing w:after="0" w:line="241" w:lineRule="auto"/>
        <w:tabs>
          <w:tab w:leader="none" w:pos="1320" w:val="left"/>
        </w:tabs>
        <w:rPr>
          <w:sz w:val="20"/>
          <w:szCs w:val="20"/>
          <w:color w:val="auto"/>
        </w:rPr>
      </w:pPr>
      <w:r>
        <w:rPr>
          <w:rFonts w:ascii="Arial" w:cs="Arial" w:eastAsia="Arial" w:hAnsi="Arial"/>
          <w:sz w:val="15"/>
          <w:szCs w:val="15"/>
          <w:color w:val="auto"/>
        </w:rPr>
        <w:t>Retirement Plans</w:t>
        <w:tab/>
        <w:t>Includes a defined contribution retirement plan and certain nonqualified retirement plans.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4"/>
          <w:szCs w:val="14"/>
          <w:color w:val="auto"/>
        </w:rPr>
        <w:t>Align the interests of our executive officers with our shareholders; encourage focus on long-term company financial performance measures that are deemed strategically and operationally important to our Company; promote retention of our executive officers; and encourage significant ownership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-2693035</wp:posOffset>
            </wp:positionH>
            <wp:positionV relativeFrom="paragraph">
              <wp:posOffset>220980</wp:posOffset>
            </wp:positionV>
            <wp:extent cx="7259320" cy="349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9320" cy="349885"/>
                    </a:xfrm>
                    <a:prstGeom prst="rect">
                      <a:avLst/>
                    </a:prstGeom>
                    <a:noFill/>
                  </pic:spPr>
                </pic:pic>
              </a:graphicData>
            </a:graphic>
          </wp:anchor>
        </w:drawing>
      </w:r>
    </w:p>
    <w:p>
      <w:pPr>
        <w:spacing w:after="0" w:line="342" w:lineRule="exact"/>
        <w:rPr>
          <w:sz w:val="20"/>
          <w:szCs w:val="20"/>
          <w:color w:val="auto"/>
        </w:rPr>
      </w:pPr>
    </w:p>
    <w:p>
      <w:pPr>
        <w:ind w:right="280"/>
        <w:spacing w:after="0" w:line="245" w:lineRule="auto"/>
        <w:rPr>
          <w:sz w:val="20"/>
          <w:szCs w:val="20"/>
          <w:color w:val="auto"/>
        </w:rPr>
      </w:pPr>
      <w:r>
        <w:rPr>
          <w:rFonts w:ascii="Arial" w:cs="Arial" w:eastAsia="Arial" w:hAnsi="Arial"/>
          <w:sz w:val="15"/>
          <w:szCs w:val="15"/>
          <w:color w:val="auto"/>
        </w:rPr>
        <w:t>Provide competitive health and welfare benefits.</w:t>
      </w:r>
    </w:p>
    <w:p>
      <w:pPr>
        <w:spacing w:after="0" w:line="199"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Provide an opportunity for employees to save and prepare financially for retirement.</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4"/>
          <w:szCs w:val="14"/>
          <w:color w:val="auto"/>
        </w:rPr>
        <w:t>Our named executive officers were granted stock options and performance share awards. Additionally, Mr. Rodier was granted restricted stock units in connection with his promotion to Group Vice President, Construction Businesses in April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spacing w:after="0" w:line="245" w:lineRule="auto"/>
        <w:rPr>
          <w:sz w:val="20"/>
          <w:szCs w:val="20"/>
          <w:color w:val="auto"/>
        </w:rPr>
      </w:pPr>
      <w:r>
        <w:rPr>
          <w:rFonts w:ascii="Arial" w:cs="Arial" w:eastAsia="Arial" w:hAnsi="Arial"/>
          <w:sz w:val="15"/>
          <w:szCs w:val="15"/>
          <w:color w:val="auto"/>
        </w:rPr>
        <w:t>No significant changes were made to health and welfare benefits for fiscal 2019.</w:t>
      </w:r>
    </w:p>
    <w:p>
      <w:pPr>
        <w:spacing w:after="0" w:line="199"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In 2019, we changed our Company matching formula in our defined contribution retirement plan from $0.50 for each dollar, to matching dollar for dollar, up to a maximum of 4% of eligible compensation. Additionally, as a result of increasing the matching formula, we did not make a discretionary ESOP contribution. We also changed our Supplemental Benefit Plan such that all employer contributions were considered for earnings above the IRS compensation limit. For calendar year 2019, this included matching contributions and the investment savings contribution.</w:t>
      </w:r>
    </w:p>
    <w:p>
      <w:pPr>
        <w:spacing w:after="0" w:line="6" w:lineRule="exact"/>
        <w:rPr>
          <w:sz w:val="20"/>
          <w:szCs w:val="20"/>
          <w:color w:val="auto"/>
        </w:rPr>
      </w:pPr>
    </w:p>
    <w:p>
      <w:pPr>
        <w:sectPr>
          <w:pgSz w:w="11900" w:h="16838" w:orient="portrait"/>
          <w:cols w:equalWidth="0" w:num="3">
            <w:col w:w="4180" w:space="60"/>
            <w:col w:w="2820" w:space="80"/>
            <w:col w:w="4320"/>
          </w:cols>
          <w:pgMar w:left="240" w:top="140" w:right="19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040" w:type="dxa"/>
            <w:vAlign w:val="bottom"/>
            <w:shd w:val="clear" w:color="auto" w:fill="D9D9D9"/>
          </w:tcPr>
          <w:p>
            <w:pPr>
              <w:ind w:left="20"/>
              <w:spacing w:after="0"/>
              <w:rPr>
                <w:sz w:val="20"/>
                <w:szCs w:val="20"/>
                <w:color w:val="auto"/>
              </w:rPr>
            </w:pPr>
            <w:r>
              <w:rPr>
                <w:rFonts w:ascii="Arial" w:cs="Arial" w:eastAsia="Arial" w:hAnsi="Arial"/>
                <w:sz w:val="15"/>
                <w:szCs w:val="15"/>
                <w:color w:val="auto"/>
              </w:rPr>
              <w:t>Perquisites</w:t>
            </w:r>
          </w:p>
        </w:tc>
        <w:tc>
          <w:tcPr>
            <w:tcW w:w="3040" w:type="dxa"/>
            <w:vAlign w:val="bottom"/>
            <w:shd w:val="clear" w:color="auto" w:fill="D9D9D9"/>
          </w:tcPr>
          <w:p>
            <w:pPr>
              <w:ind w:left="300"/>
              <w:spacing w:after="0"/>
              <w:rPr>
                <w:sz w:val="20"/>
                <w:szCs w:val="20"/>
                <w:color w:val="auto"/>
              </w:rPr>
            </w:pPr>
            <w:r>
              <w:rPr>
                <w:rFonts w:ascii="Arial" w:cs="Arial" w:eastAsia="Arial" w:hAnsi="Arial"/>
                <w:sz w:val="15"/>
                <w:szCs w:val="15"/>
                <w:color w:val="auto"/>
              </w:rPr>
              <w:t>Includes a financial planning allowance,</w:t>
            </w:r>
          </w:p>
        </w:tc>
        <w:tc>
          <w:tcPr>
            <w:tcW w:w="7340" w:type="dxa"/>
            <w:vAlign w:val="bottom"/>
            <w:shd w:val="clear" w:color="auto" w:fill="D9D9D9"/>
          </w:tcPr>
          <w:p>
            <w:pPr>
              <w:ind w:left="160"/>
              <w:spacing w:after="0"/>
              <w:rPr>
                <w:sz w:val="20"/>
                <w:szCs w:val="20"/>
                <w:color w:val="auto"/>
              </w:rPr>
            </w:pPr>
            <w:r>
              <w:rPr>
                <w:rFonts w:ascii="Arial" w:cs="Arial" w:eastAsia="Arial" w:hAnsi="Arial"/>
                <w:sz w:val="15"/>
                <w:szCs w:val="15"/>
                <w:color w:val="auto"/>
              </w:rPr>
              <w:t>Assist in promoting the personal financial   No significant changes were made to perquisites for fiscal 2019.</w:t>
            </w:r>
          </w:p>
        </w:tc>
        <w:tc>
          <w:tcPr>
            <w:tcW w:w="40" w:type="dxa"/>
            <w:vAlign w:val="bottom"/>
          </w:tcPr>
          <w:p>
            <w:pPr>
              <w:spacing w:after="0"/>
              <w:rPr>
                <w:sz w:val="15"/>
                <w:szCs w:val="15"/>
                <w:color w:val="auto"/>
              </w:rPr>
            </w:pPr>
          </w:p>
        </w:tc>
      </w:tr>
      <w:tr>
        <w:trPr>
          <w:trHeight w:val="172"/>
        </w:trPr>
        <w:tc>
          <w:tcPr>
            <w:tcW w:w="1040" w:type="dxa"/>
            <w:vAlign w:val="bottom"/>
            <w:shd w:val="clear" w:color="auto" w:fill="D9D9D9"/>
          </w:tcPr>
          <w:p>
            <w:pPr>
              <w:spacing w:after="0"/>
              <w:rPr>
                <w:sz w:val="14"/>
                <w:szCs w:val="14"/>
                <w:color w:val="auto"/>
              </w:rPr>
            </w:pPr>
          </w:p>
        </w:tc>
        <w:tc>
          <w:tcPr>
            <w:tcW w:w="3040" w:type="dxa"/>
            <w:vAlign w:val="bottom"/>
            <w:shd w:val="clear" w:color="auto" w:fill="D9D9D9"/>
          </w:tcPr>
          <w:p>
            <w:pPr>
              <w:ind w:left="300"/>
              <w:spacing w:after="0"/>
              <w:rPr>
                <w:sz w:val="20"/>
                <w:szCs w:val="20"/>
                <w:color w:val="auto"/>
              </w:rPr>
            </w:pPr>
            <w:r>
              <w:rPr>
                <w:rFonts w:ascii="Arial" w:cs="Arial" w:eastAsia="Arial" w:hAnsi="Arial"/>
                <w:sz w:val="15"/>
                <w:szCs w:val="15"/>
                <w:color w:val="auto"/>
              </w:rPr>
              <w:t>Company products, company-leased</w:t>
            </w:r>
          </w:p>
        </w:tc>
        <w:tc>
          <w:tcPr>
            <w:tcW w:w="7340" w:type="dxa"/>
            <w:vAlign w:val="bottom"/>
            <w:shd w:val="clear" w:color="auto" w:fill="D9D9D9"/>
          </w:tcPr>
          <w:p>
            <w:pPr>
              <w:ind w:left="160"/>
              <w:spacing w:after="0"/>
              <w:rPr>
                <w:sz w:val="20"/>
                <w:szCs w:val="20"/>
                <w:color w:val="auto"/>
              </w:rPr>
            </w:pPr>
            <w:r>
              <w:rPr>
                <w:rFonts w:ascii="Arial" w:cs="Arial" w:eastAsia="Arial" w:hAnsi="Arial"/>
                <w:sz w:val="15"/>
                <w:szCs w:val="15"/>
                <w:color w:val="auto"/>
              </w:rPr>
              <w:t>security of our executive officers; promote</w:t>
            </w:r>
          </w:p>
        </w:tc>
        <w:tc>
          <w:tcPr>
            <w:tcW w:w="40" w:type="dxa"/>
            <w:vAlign w:val="bottom"/>
          </w:tcPr>
          <w:p>
            <w:pPr>
              <w:spacing w:after="0"/>
              <w:rPr>
                <w:sz w:val="14"/>
                <w:szCs w:val="14"/>
                <w:color w:val="auto"/>
              </w:rPr>
            </w:pPr>
          </w:p>
        </w:tc>
      </w:tr>
      <w:tr>
        <w:trPr>
          <w:trHeight w:val="172"/>
        </w:trPr>
        <w:tc>
          <w:tcPr>
            <w:tcW w:w="1040" w:type="dxa"/>
            <w:vAlign w:val="bottom"/>
            <w:shd w:val="clear" w:color="auto" w:fill="D9D9D9"/>
          </w:tcPr>
          <w:p>
            <w:pPr>
              <w:spacing w:after="0"/>
              <w:rPr>
                <w:sz w:val="14"/>
                <w:szCs w:val="14"/>
                <w:color w:val="auto"/>
              </w:rPr>
            </w:pPr>
          </w:p>
        </w:tc>
        <w:tc>
          <w:tcPr>
            <w:tcW w:w="3040" w:type="dxa"/>
            <w:vAlign w:val="bottom"/>
            <w:shd w:val="clear" w:color="auto" w:fill="D9D9D9"/>
          </w:tcPr>
          <w:p>
            <w:pPr>
              <w:ind w:left="300"/>
              <w:spacing w:after="0"/>
              <w:rPr>
                <w:sz w:val="20"/>
                <w:szCs w:val="20"/>
                <w:color w:val="auto"/>
              </w:rPr>
            </w:pPr>
            <w:r>
              <w:rPr>
                <w:rFonts w:ascii="Arial" w:cs="Arial" w:eastAsia="Arial" w:hAnsi="Arial"/>
                <w:sz w:val="15"/>
                <w:szCs w:val="15"/>
                <w:color w:val="auto"/>
              </w:rPr>
              <w:t>automobile, and executive physical.</w:t>
            </w:r>
          </w:p>
        </w:tc>
        <w:tc>
          <w:tcPr>
            <w:tcW w:w="7340" w:type="dxa"/>
            <w:vAlign w:val="bottom"/>
            <w:shd w:val="clear" w:color="auto" w:fill="D9D9D9"/>
          </w:tcPr>
          <w:p>
            <w:pPr>
              <w:ind w:left="160"/>
              <w:spacing w:after="0"/>
              <w:rPr>
                <w:sz w:val="20"/>
                <w:szCs w:val="20"/>
                <w:color w:val="auto"/>
              </w:rPr>
            </w:pPr>
            <w:r>
              <w:rPr>
                <w:rFonts w:ascii="Arial" w:cs="Arial" w:eastAsia="Arial" w:hAnsi="Arial"/>
                <w:sz w:val="15"/>
                <w:szCs w:val="15"/>
                <w:color w:val="auto"/>
              </w:rPr>
              <w:t>the personal use of our products by our</w:t>
            </w:r>
          </w:p>
        </w:tc>
        <w:tc>
          <w:tcPr>
            <w:tcW w:w="40" w:type="dxa"/>
            <w:vAlign w:val="bottom"/>
          </w:tcPr>
          <w:p>
            <w:pPr>
              <w:spacing w:after="0"/>
              <w:rPr>
                <w:sz w:val="14"/>
                <w:szCs w:val="14"/>
                <w:color w:val="auto"/>
              </w:rPr>
            </w:pPr>
          </w:p>
        </w:tc>
      </w:tr>
      <w:tr>
        <w:trPr>
          <w:trHeight w:val="172"/>
        </w:trPr>
        <w:tc>
          <w:tcPr>
            <w:tcW w:w="1040" w:type="dxa"/>
            <w:vAlign w:val="bottom"/>
            <w:shd w:val="clear" w:color="auto" w:fill="D9D9D9"/>
          </w:tcPr>
          <w:p>
            <w:pPr>
              <w:spacing w:after="0"/>
              <w:rPr>
                <w:sz w:val="14"/>
                <w:szCs w:val="14"/>
                <w:color w:val="auto"/>
              </w:rPr>
            </w:pPr>
          </w:p>
        </w:tc>
        <w:tc>
          <w:tcPr>
            <w:tcW w:w="3040" w:type="dxa"/>
            <w:vAlign w:val="bottom"/>
            <w:shd w:val="clear" w:color="auto" w:fill="D9D9D9"/>
          </w:tcPr>
          <w:p>
            <w:pPr>
              <w:spacing w:after="0"/>
              <w:rPr>
                <w:sz w:val="14"/>
                <w:szCs w:val="14"/>
                <w:color w:val="auto"/>
              </w:rPr>
            </w:pPr>
          </w:p>
        </w:tc>
        <w:tc>
          <w:tcPr>
            <w:tcW w:w="7340" w:type="dxa"/>
            <w:vAlign w:val="bottom"/>
            <w:shd w:val="clear" w:color="auto" w:fill="D9D9D9"/>
          </w:tcPr>
          <w:p>
            <w:pPr>
              <w:ind w:left="160"/>
              <w:spacing w:after="0"/>
              <w:rPr>
                <w:sz w:val="20"/>
                <w:szCs w:val="20"/>
                <w:color w:val="auto"/>
              </w:rPr>
            </w:pPr>
            <w:r>
              <w:rPr>
                <w:rFonts w:ascii="Arial" w:cs="Arial" w:eastAsia="Arial" w:hAnsi="Arial"/>
                <w:sz w:val="15"/>
                <w:szCs w:val="15"/>
                <w:color w:val="auto"/>
              </w:rPr>
              <w:t>executive officers; promote the attraction</w:t>
            </w:r>
          </w:p>
        </w:tc>
        <w:tc>
          <w:tcPr>
            <w:tcW w:w="40" w:type="dxa"/>
            <w:vAlign w:val="bottom"/>
          </w:tcPr>
          <w:p>
            <w:pPr>
              <w:spacing w:after="0"/>
              <w:rPr>
                <w:sz w:val="14"/>
                <w:szCs w:val="14"/>
                <w:color w:val="auto"/>
              </w:rPr>
            </w:pPr>
          </w:p>
        </w:tc>
      </w:tr>
      <w:tr>
        <w:trPr>
          <w:trHeight w:val="172"/>
        </w:trPr>
        <w:tc>
          <w:tcPr>
            <w:tcW w:w="1040" w:type="dxa"/>
            <w:vAlign w:val="bottom"/>
            <w:shd w:val="clear" w:color="auto" w:fill="D9D9D9"/>
          </w:tcPr>
          <w:p>
            <w:pPr>
              <w:spacing w:after="0"/>
              <w:rPr>
                <w:sz w:val="14"/>
                <w:szCs w:val="14"/>
                <w:color w:val="auto"/>
              </w:rPr>
            </w:pPr>
          </w:p>
        </w:tc>
        <w:tc>
          <w:tcPr>
            <w:tcW w:w="3040" w:type="dxa"/>
            <w:vAlign w:val="bottom"/>
            <w:shd w:val="clear" w:color="auto" w:fill="D9D9D9"/>
          </w:tcPr>
          <w:p>
            <w:pPr>
              <w:spacing w:after="0"/>
              <w:rPr>
                <w:sz w:val="14"/>
                <w:szCs w:val="14"/>
                <w:color w:val="auto"/>
              </w:rPr>
            </w:pPr>
          </w:p>
        </w:tc>
        <w:tc>
          <w:tcPr>
            <w:tcW w:w="7340" w:type="dxa"/>
            <w:vAlign w:val="bottom"/>
            <w:shd w:val="clear" w:color="auto" w:fill="D9D9D9"/>
          </w:tcPr>
          <w:p>
            <w:pPr>
              <w:ind w:left="160"/>
              <w:spacing w:after="0"/>
              <w:rPr>
                <w:sz w:val="20"/>
                <w:szCs w:val="20"/>
                <w:color w:val="auto"/>
              </w:rPr>
            </w:pPr>
            <w:r>
              <w:rPr>
                <w:rFonts w:ascii="Arial" w:cs="Arial" w:eastAsia="Arial" w:hAnsi="Arial"/>
                <w:sz w:val="15"/>
                <w:szCs w:val="15"/>
                <w:color w:val="auto"/>
              </w:rPr>
              <w:t>and retention of our executive officers; and</w:t>
            </w:r>
          </w:p>
        </w:tc>
        <w:tc>
          <w:tcPr>
            <w:tcW w:w="40" w:type="dxa"/>
            <w:vAlign w:val="bottom"/>
          </w:tcPr>
          <w:p>
            <w:pPr>
              <w:spacing w:after="0"/>
              <w:rPr>
                <w:sz w:val="14"/>
                <w:szCs w:val="14"/>
                <w:color w:val="auto"/>
              </w:rPr>
            </w:pPr>
          </w:p>
        </w:tc>
      </w:tr>
      <w:tr>
        <w:trPr>
          <w:trHeight w:val="172"/>
        </w:trPr>
        <w:tc>
          <w:tcPr>
            <w:tcW w:w="1040" w:type="dxa"/>
            <w:vAlign w:val="bottom"/>
            <w:shd w:val="clear" w:color="auto" w:fill="D9D9D9"/>
          </w:tcPr>
          <w:p>
            <w:pPr>
              <w:spacing w:after="0"/>
              <w:rPr>
                <w:sz w:val="14"/>
                <w:szCs w:val="14"/>
                <w:color w:val="auto"/>
              </w:rPr>
            </w:pPr>
          </w:p>
        </w:tc>
        <w:tc>
          <w:tcPr>
            <w:tcW w:w="3040" w:type="dxa"/>
            <w:vAlign w:val="bottom"/>
            <w:shd w:val="clear" w:color="auto" w:fill="D9D9D9"/>
          </w:tcPr>
          <w:p>
            <w:pPr>
              <w:spacing w:after="0"/>
              <w:rPr>
                <w:sz w:val="14"/>
                <w:szCs w:val="14"/>
                <w:color w:val="auto"/>
              </w:rPr>
            </w:pPr>
          </w:p>
        </w:tc>
        <w:tc>
          <w:tcPr>
            <w:tcW w:w="7340" w:type="dxa"/>
            <w:vAlign w:val="bottom"/>
            <w:shd w:val="clear" w:color="auto" w:fill="D9D9D9"/>
          </w:tcPr>
          <w:p>
            <w:pPr>
              <w:ind w:left="160"/>
              <w:spacing w:after="0"/>
              <w:rPr>
                <w:sz w:val="20"/>
                <w:szCs w:val="20"/>
                <w:color w:val="auto"/>
              </w:rPr>
            </w:pPr>
            <w:r>
              <w:rPr>
                <w:rFonts w:ascii="Arial" w:cs="Arial" w:eastAsia="Arial" w:hAnsi="Arial"/>
                <w:sz w:val="15"/>
                <w:szCs w:val="15"/>
                <w:color w:val="auto"/>
              </w:rPr>
              <w:t>promote the wellbeing of our executive</w:t>
            </w:r>
          </w:p>
        </w:tc>
        <w:tc>
          <w:tcPr>
            <w:tcW w:w="40" w:type="dxa"/>
            <w:vAlign w:val="bottom"/>
          </w:tcPr>
          <w:p>
            <w:pPr>
              <w:spacing w:after="0"/>
              <w:rPr>
                <w:sz w:val="14"/>
                <w:szCs w:val="14"/>
                <w:color w:val="auto"/>
              </w:rPr>
            </w:pPr>
          </w:p>
        </w:tc>
      </w:tr>
      <w:tr>
        <w:trPr>
          <w:trHeight w:val="194"/>
        </w:trPr>
        <w:tc>
          <w:tcPr>
            <w:tcW w:w="1040" w:type="dxa"/>
            <w:vAlign w:val="bottom"/>
            <w:shd w:val="clear" w:color="auto" w:fill="D9D9D9"/>
          </w:tcPr>
          <w:p>
            <w:pPr>
              <w:spacing w:after="0"/>
              <w:rPr>
                <w:sz w:val="16"/>
                <w:szCs w:val="16"/>
                <w:color w:val="auto"/>
              </w:rPr>
            </w:pPr>
          </w:p>
        </w:tc>
        <w:tc>
          <w:tcPr>
            <w:tcW w:w="3040" w:type="dxa"/>
            <w:vAlign w:val="bottom"/>
            <w:shd w:val="clear" w:color="auto" w:fill="D9D9D9"/>
          </w:tcPr>
          <w:p>
            <w:pPr>
              <w:spacing w:after="0"/>
              <w:rPr>
                <w:sz w:val="16"/>
                <w:szCs w:val="16"/>
                <w:color w:val="auto"/>
              </w:rPr>
            </w:pPr>
          </w:p>
        </w:tc>
        <w:tc>
          <w:tcPr>
            <w:tcW w:w="7340" w:type="dxa"/>
            <w:vAlign w:val="bottom"/>
            <w:shd w:val="clear" w:color="auto" w:fill="D9D9D9"/>
          </w:tcPr>
          <w:p>
            <w:pPr>
              <w:ind w:left="160"/>
              <w:spacing w:after="0"/>
              <w:rPr>
                <w:sz w:val="20"/>
                <w:szCs w:val="20"/>
                <w:color w:val="auto"/>
              </w:rPr>
            </w:pPr>
            <w:r>
              <w:rPr>
                <w:rFonts w:ascii="Arial" w:cs="Arial" w:eastAsia="Arial" w:hAnsi="Arial"/>
                <w:sz w:val="15"/>
                <w:szCs w:val="15"/>
                <w:color w:val="auto"/>
              </w:rPr>
              <w:t>officers.</w:t>
            </w:r>
          </w:p>
        </w:tc>
        <w:tc>
          <w:tcPr>
            <w:tcW w:w="40" w:type="dxa"/>
            <w:vAlign w:val="bottom"/>
          </w:tcPr>
          <w:p>
            <w:pPr>
              <w:spacing w:after="0"/>
              <w:rPr>
                <w:sz w:val="16"/>
                <w:szCs w:val="16"/>
                <w:color w:val="auto"/>
              </w:rPr>
            </w:pPr>
          </w:p>
        </w:tc>
      </w:tr>
      <w:tr>
        <w:trPr>
          <w:trHeight w:val="391"/>
        </w:trPr>
        <w:tc>
          <w:tcPr>
            <w:tcW w:w="10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340" w:type="dxa"/>
            <w:vAlign w:val="bottom"/>
          </w:tcPr>
          <w:p>
            <w:pPr>
              <w:ind w:left="1540"/>
              <w:spacing w:after="0"/>
              <w:rPr>
                <w:sz w:val="20"/>
                <w:szCs w:val="20"/>
                <w:color w:val="auto"/>
              </w:rPr>
            </w:pPr>
            <w:r>
              <w:rPr>
                <w:rFonts w:ascii="Arial" w:cs="Arial" w:eastAsia="Arial" w:hAnsi="Arial"/>
                <w:sz w:val="16"/>
                <w:szCs w:val="16"/>
                <w:color w:val="auto"/>
              </w:rPr>
              <w:t>32</w:t>
            </w:r>
          </w:p>
        </w:tc>
        <w:tc>
          <w:tcPr>
            <w:tcW w:w="40" w:type="dxa"/>
            <w:vAlign w:val="bottom"/>
          </w:tcPr>
          <w:p>
            <w:pPr>
              <w:spacing w:after="0"/>
              <w:rPr>
                <w:sz w:val="24"/>
                <w:szCs w:val="24"/>
                <w:color w:val="auto"/>
              </w:rPr>
            </w:pPr>
          </w:p>
        </w:tc>
      </w:tr>
      <w:tr>
        <w:trPr>
          <w:trHeight w:val="91"/>
        </w:trPr>
        <w:tc>
          <w:tcPr>
            <w:tcW w:w="1040" w:type="dxa"/>
            <w:vAlign w:val="bottom"/>
            <w:tcBorders>
              <w:bottom w:val="single" w:sz="8" w:color="9A9A9A"/>
            </w:tcBorders>
          </w:tcPr>
          <w:p>
            <w:pPr>
              <w:spacing w:after="0"/>
              <w:rPr>
                <w:sz w:val="7"/>
                <w:szCs w:val="7"/>
                <w:color w:val="auto"/>
              </w:rPr>
            </w:pPr>
          </w:p>
        </w:tc>
        <w:tc>
          <w:tcPr>
            <w:tcW w:w="3040" w:type="dxa"/>
            <w:vAlign w:val="bottom"/>
            <w:tcBorders>
              <w:bottom w:val="single" w:sz="8" w:color="9A9A9A"/>
            </w:tcBorders>
          </w:tcPr>
          <w:p>
            <w:pPr>
              <w:spacing w:after="0"/>
              <w:rPr>
                <w:sz w:val="7"/>
                <w:szCs w:val="7"/>
                <w:color w:val="auto"/>
              </w:rPr>
            </w:pPr>
          </w:p>
        </w:tc>
        <w:tc>
          <w:tcPr>
            <w:tcW w:w="73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type w:val="continuous"/>
        </w:sectPr>
      </w:pPr>
    </w:p>
    <w:bookmarkStart w:id="44" w:name="page45"/>
    <w:bookmarkEnd w:id="44"/>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2" w:right="340" w:firstLine="408"/>
        <w:spacing w:after="0" w:line="255" w:lineRule="auto"/>
        <w:rPr>
          <w:sz w:val="20"/>
          <w:szCs w:val="20"/>
          <w:color w:val="auto"/>
        </w:rPr>
      </w:pPr>
      <w:r>
        <w:rPr>
          <w:rFonts w:ascii="Arial" w:cs="Arial" w:eastAsia="Arial" w:hAnsi="Arial"/>
          <w:sz w:val="16"/>
          <w:szCs w:val="16"/>
          <w:color w:val="auto"/>
        </w:rPr>
        <w:t>We describe each key element of our executive compensation program in more detail in the following pages, along with the compensation decisions made in fiscal 2019.</w:t>
      </w:r>
    </w:p>
    <w:p>
      <w:pPr>
        <w:spacing w:after="0" w:line="55" w:lineRule="exact"/>
        <w:rPr>
          <w:sz w:val="20"/>
          <w:szCs w:val="20"/>
          <w:color w:val="auto"/>
        </w:rPr>
      </w:pPr>
    </w:p>
    <w:p>
      <w:pPr>
        <w:ind w:left="402"/>
        <w:spacing w:after="0"/>
        <w:rPr>
          <w:sz w:val="20"/>
          <w:szCs w:val="20"/>
          <w:color w:val="auto"/>
        </w:rPr>
      </w:pPr>
      <w:r>
        <w:rPr>
          <w:rFonts w:ascii="Arial" w:cs="Arial" w:eastAsia="Arial" w:hAnsi="Arial"/>
          <w:sz w:val="16"/>
          <w:szCs w:val="16"/>
          <w:b w:val="1"/>
          <w:bCs w:val="1"/>
          <w:i w:val="1"/>
          <w:iCs w:val="1"/>
          <w:color w:val="auto"/>
        </w:rPr>
        <w:t>Base Salary.</w:t>
      </w:r>
    </w:p>
    <w:p>
      <w:pPr>
        <w:spacing w:after="0" w:line="102" w:lineRule="exact"/>
        <w:rPr>
          <w:sz w:val="20"/>
          <w:szCs w:val="20"/>
          <w:color w:val="auto"/>
        </w:rPr>
      </w:pPr>
    </w:p>
    <w:p>
      <w:pPr>
        <w:ind w:left="2" w:right="60" w:firstLine="408"/>
        <w:spacing w:after="0" w:line="251"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review base salaries for our executive officers on an annual basis to ensure that they remain market competitive and reflect the scope</w:t>
      </w:r>
      <w:r>
        <w:rPr>
          <w:rFonts w:ascii="Arial" w:cs="Arial" w:eastAsia="Arial" w:hAnsi="Arial"/>
          <w:sz w:val="16"/>
          <w:szCs w:val="16"/>
          <w:i w:val="1"/>
          <w:iCs w:val="1"/>
          <w:color w:val="auto"/>
        </w:rPr>
        <w:t xml:space="preserve"> </w:t>
      </w:r>
      <w:r>
        <w:rPr>
          <w:rFonts w:ascii="Arial" w:cs="Arial" w:eastAsia="Arial" w:hAnsi="Arial"/>
          <w:sz w:val="16"/>
          <w:szCs w:val="16"/>
          <w:color w:val="auto"/>
        </w:rPr>
        <w:t>and responsibility of their positions. Base salaries for our executive officers are reviewed and discussed at the regular meeting of the Compensation &amp; Human Resources Committee held in November or December of each year. Additionally, base salaries for executive officers are periodically reviewed upon a significant change in an executive officer’s responsibilities or role.</w:t>
      </w:r>
    </w:p>
    <w:p>
      <w:pPr>
        <w:spacing w:after="0" w:line="64" w:lineRule="exact"/>
        <w:rPr>
          <w:sz w:val="20"/>
          <w:szCs w:val="20"/>
          <w:color w:val="auto"/>
        </w:rPr>
      </w:pPr>
    </w:p>
    <w:p>
      <w:pPr>
        <w:ind w:left="2" w:right="180" w:firstLine="408"/>
        <w:spacing w:after="0" w:line="248" w:lineRule="auto"/>
        <w:rPr>
          <w:sz w:val="20"/>
          <w:szCs w:val="20"/>
          <w:color w:val="auto"/>
        </w:rPr>
      </w:pP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When we recommended fiscal 2019 base salaries for our named executive officers, the following factors were considered:</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base salary; positioning relative to competitive market data; scope and complexity of the position, including as a result of the completion of the CMW acquisition; experience; tenure; historical and current levels of function, division, and individual performance; future potential; and internal pay comparisons. Fiscal 2019 annual base salaries, fiscal 2019 annual base salary increases compared to fiscal 2018 and fiscal 2019 annual base salaries compared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are provided in the table below for our named executive officers:</w:t>
      </w:r>
    </w:p>
    <w:p>
      <w:pPr>
        <w:spacing w:after="0" w:line="89"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160" w:type="dxa"/>
            <w:vAlign w:val="bottom"/>
            <w:shd w:val="clear" w:color="auto" w:fill="C00000"/>
          </w:tcPr>
          <w:p>
            <w:pPr>
              <w:spacing w:after="0"/>
              <w:rPr>
                <w:sz w:val="13"/>
                <w:szCs w:val="13"/>
                <w:color w:val="auto"/>
              </w:rPr>
            </w:pPr>
          </w:p>
        </w:tc>
        <w:tc>
          <w:tcPr>
            <w:tcW w:w="3320" w:type="dxa"/>
            <w:vAlign w:val="bottom"/>
            <w:shd w:val="clear" w:color="auto" w:fill="C00000"/>
          </w:tcPr>
          <w:p>
            <w:pPr>
              <w:jc w:val="right"/>
              <w:ind w:right="989"/>
              <w:spacing w:after="0"/>
              <w:rPr>
                <w:sz w:val="20"/>
                <w:szCs w:val="20"/>
                <w:color w:val="auto"/>
              </w:rPr>
            </w:pPr>
            <w:r>
              <w:rPr>
                <w:rFonts w:ascii="Arial" w:cs="Arial" w:eastAsia="Arial" w:hAnsi="Arial"/>
                <w:sz w:val="13"/>
                <w:szCs w:val="13"/>
                <w:b w:val="1"/>
                <w:bCs w:val="1"/>
                <w:color w:val="FFFFFF"/>
              </w:rPr>
              <w:t>Fiscal 2019</w:t>
            </w:r>
          </w:p>
        </w:tc>
        <w:tc>
          <w:tcPr>
            <w:tcW w:w="2960" w:type="dxa"/>
            <w:vAlign w:val="bottom"/>
            <w:shd w:val="clear" w:color="auto" w:fill="C00000"/>
          </w:tcPr>
          <w:p>
            <w:pPr>
              <w:jc w:val="right"/>
              <w:ind w:right="649"/>
              <w:spacing w:after="0"/>
              <w:rPr>
                <w:sz w:val="20"/>
                <w:szCs w:val="20"/>
                <w:color w:val="auto"/>
              </w:rPr>
            </w:pPr>
            <w:r>
              <w:rPr>
                <w:rFonts w:ascii="Arial" w:cs="Arial" w:eastAsia="Arial" w:hAnsi="Arial"/>
                <w:sz w:val="13"/>
                <w:szCs w:val="13"/>
                <w:b w:val="1"/>
                <w:bCs w:val="1"/>
                <w:color w:val="FFFFFF"/>
              </w:rPr>
              <w:t>Fiscal 2019 Annual Base Salary</w:t>
            </w:r>
          </w:p>
        </w:tc>
        <w:tc>
          <w:tcPr>
            <w:tcW w:w="2980" w:type="dxa"/>
            <w:vAlign w:val="bottom"/>
            <w:shd w:val="clear" w:color="auto" w:fill="C00000"/>
          </w:tcPr>
          <w:p>
            <w:pPr>
              <w:jc w:val="right"/>
              <w:ind w:right="530"/>
              <w:spacing w:after="0"/>
              <w:rPr>
                <w:sz w:val="20"/>
                <w:szCs w:val="20"/>
                <w:color w:val="auto"/>
              </w:rPr>
            </w:pPr>
            <w:r>
              <w:rPr>
                <w:rFonts w:ascii="Arial" w:cs="Arial" w:eastAsia="Arial" w:hAnsi="Arial"/>
                <w:sz w:val="13"/>
                <w:szCs w:val="13"/>
                <w:b w:val="1"/>
                <w:bCs w:val="1"/>
                <w:color w:val="FFFFFF"/>
              </w:rPr>
              <w:t>Fiscal 2019 Annual Base Salary</w:t>
            </w:r>
          </w:p>
        </w:tc>
      </w:tr>
      <w:tr>
        <w:trPr>
          <w:trHeight w:val="163"/>
        </w:trPr>
        <w:tc>
          <w:tcPr>
            <w:tcW w:w="21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3320" w:type="dxa"/>
            <w:vAlign w:val="bottom"/>
            <w:shd w:val="clear" w:color="auto" w:fill="C00000"/>
          </w:tcPr>
          <w:p>
            <w:pPr>
              <w:jc w:val="right"/>
              <w:ind w:right="729"/>
              <w:spacing w:after="0"/>
              <w:rPr>
                <w:sz w:val="20"/>
                <w:szCs w:val="20"/>
                <w:color w:val="auto"/>
              </w:rPr>
            </w:pPr>
            <w:r>
              <w:rPr>
                <w:rFonts w:ascii="Arial" w:cs="Arial" w:eastAsia="Arial" w:hAnsi="Arial"/>
                <w:sz w:val="13"/>
                <w:szCs w:val="13"/>
                <w:b w:val="1"/>
                <w:bCs w:val="1"/>
                <w:color w:val="FFFFFF"/>
              </w:rPr>
              <w:t>Annual Base Salary</w:t>
            </w:r>
          </w:p>
        </w:tc>
        <w:tc>
          <w:tcPr>
            <w:tcW w:w="2960" w:type="dxa"/>
            <w:vAlign w:val="bottom"/>
            <w:shd w:val="clear" w:color="auto" w:fill="C00000"/>
          </w:tcPr>
          <w:p>
            <w:pPr>
              <w:jc w:val="right"/>
              <w:ind w:right="589"/>
              <w:spacing w:after="0"/>
              <w:rPr>
                <w:sz w:val="20"/>
                <w:szCs w:val="20"/>
                <w:color w:val="auto"/>
              </w:rPr>
            </w:pPr>
            <w:r>
              <w:rPr>
                <w:rFonts w:ascii="Arial" w:cs="Arial" w:eastAsia="Arial" w:hAnsi="Arial"/>
                <w:sz w:val="13"/>
                <w:szCs w:val="13"/>
                <w:b w:val="1"/>
                <w:bCs w:val="1"/>
                <w:color w:val="FFFFFF"/>
              </w:rPr>
              <w:t>Change Compared to Fiscal 2018</w:t>
            </w:r>
          </w:p>
        </w:tc>
        <w:tc>
          <w:tcPr>
            <w:tcW w:w="2980" w:type="dxa"/>
            <w:vAlign w:val="bottom"/>
            <w:shd w:val="clear" w:color="auto" w:fill="C00000"/>
          </w:tcPr>
          <w:p>
            <w:pPr>
              <w:jc w:val="right"/>
              <w:ind w:right="390"/>
              <w:spacing w:after="0" w:line="164" w:lineRule="exact"/>
              <w:rPr>
                <w:sz w:val="20"/>
                <w:szCs w:val="20"/>
                <w:color w:val="auto"/>
              </w:rPr>
            </w:pPr>
            <w:r>
              <w:rPr>
                <w:rFonts w:ascii="Arial" w:cs="Arial" w:eastAsia="Arial" w:hAnsi="Arial"/>
                <w:sz w:val="11"/>
                <w:szCs w:val="11"/>
                <w:b w:val="1"/>
                <w:bCs w:val="1"/>
                <w:color w:val="FFFFFF"/>
              </w:rPr>
              <w:t>Compared to Market 50</w:t>
            </w:r>
            <w:r>
              <w:rPr>
                <w:rFonts w:ascii="Arial" w:cs="Arial" w:eastAsia="Arial" w:hAnsi="Arial"/>
                <w:sz w:val="18"/>
                <w:szCs w:val="18"/>
                <w:b w:val="1"/>
                <w:bCs w:val="1"/>
                <w:color w:val="FFFFFF"/>
                <w:vertAlign w:val="superscript"/>
              </w:rPr>
              <w:t>th</w:t>
            </w:r>
            <w:r>
              <w:rPr>
                <w:rFonts w:ascii="Arial" w:cs="Arial" w:eastAsia="Arial" w:hAnsi="Arial"/>
                <w:sz w:val="11"/>
                <w:szCs w:val="11"/>
                <w:b w:val="1"/>
                <w:bCs w:val="1"/>
                <w:color w:val="FFFFFF"/>
              </w:rPr>
              <w:t xml:space="preserve"> Percentile</w:t>
            </w:r>
          </w:p>
        </w:tc>
      </w:tr>
      <w:tr>
        <w:trPr>
          <w:trHeight w:val="184"/>
        </w:trPr>
        <w:tc>
          <w:tcPr>
            <w:tcW w:w="2160" w:type="dxa"/>
            <w:vAlign w:val="bottom"/>
          </w:tcPr>
          <w:p>
            <w:pPr>
              <w:spacing w:after="0"/>
              <w:rPr>
                <w:sz w:val="20"/>
                <w:szCs w:val="20"/>
                <w:color w:val="auto"/>
              </w:rPr>
            </w:pPr>
            <w:r>
              <w:rPr>
                <w:rFonts w:ascii="Arial" w:cs="Arial" w:eastAsia="Arial" w:hAnsi="Arial"/>
                <w:sz w:val="15"/>
                <w:szCs w:val="15"/>
                <w:color w:val="auto"/>
              </w:rPr>
              <w:t>Mr. Olson</w:t>
            </w:r>
          </w:p>
        </w:tc>
        <w:tc>
          <w:tcPr>
            <w:tcW w:w="3320" w:type="dxa"/>
            <w:vAlign w:val="bottom"/>
          </w:tcPr>
          <w:p>
            <w:pPr>
              <w:jc w:val="right"/>
              <w:ind w:right="189"/>
              <w:spacing w:after="0"/>
              <w:rPr>
                <w:sz w:val="20"/>
                <w:szCs w:val="20"/>
                <w:color w:val="auto"/>
              </w:rPr>
            </w:pPr>
            <w:r>
              <w:rPr>
                <w:rFonts w:ascii="Arial" w:cs="Arial" w:eastAsia="Arial" w:hAnsi="Arial"/>
                <w:sz w:val="15"/>
                <w:szCs w:val="15"/>
                <w:color w:val="auto"/>
              </w:rPr>
              <w:t>$925,000</w:t>
            </w:r>
          </w:p>
        </w:tc>
        <w:tc>
          <w:tcPr>
            <w:tcW w:w="2960" w:type="dxa"/>
            <w:vAlign w:val="bottom"/>
          </w:tcPr>
          <w:p>
            <w:pPr>
              <w:jc w:val="right"/>
              <w:ind w:right="229"/>
              <w:spacing w:after="0"/>
              <w:rPr>
                <w:sz w:val="20"/>
                <w:szCs w:val="20"/>
                <w:color w:val="auto"/>
              </w:rPr>
            </w:pPr>
            <w:r>
              <w:rPr>
                <w:rFonts w:ascii="Arial" w:cs="Arial" w:eastAsia="Arial" w:hAnsi="Arial"/>
                <w:sz w:val="15"/>
                <w:szCs w:val="15"/>
                <w:color w:val="auto"/>
              </w:rPr>
              <w:t>5.7%</w:t>
            </w:r>
          </w:p>
        </w:tc>
        <w:tc>
          <w:tcPr>
            <w:tcW w:w="2980" w:type="dxa"/>
            <w:vAlign w:val="bottom"/>
          </w:tcPr>
          <w:p>
            <w:pPr>
              <w:jc w:val="right"/>
              <w:spacing w:after="0"/>
              <w:rPr>
                <w:sz w:val="20"/>
                <w:szCs w:val="20"/>
                <w:color w:val="auto"/>
              </w:rPr>
            </w:pPr>
            <w:r>
              <w:rPr>
                <w:rFonts w:ascii="Arial" w:cs="Arial" w:eastAsia="Arial" w:hAnsi="Arial"/>
                <w:sz w:val="15"/>
                <w:szCs w:val="15"/>
                <w:color w:val="auto"/>
              </w:rPr>
              <w:t>6% below</w:t>
            </w:r>
          </w:p>
        </w:tc>
      </w:tr>
      <w:tr>
        <w:trPr>
          <w:trHeight w:val="184"/>
        </w:trPr>
        <w:tc>
          <w:tcPr>
            <w:tcW w:w="216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3320" w:type="dxa"/>
            <w:vAlign w:val="bottom"/>
            <w:shd w:val="clear" w:color="auto" w:fill="D9D9D9"/>
          </w:tcPr>
          <w:p>
            <w:pPr>
              <w:jc w:val="right"/>
              <w:ind w:right="189"/>
              <w:spacing w:after="0"/>
              <w:rPr>
                <w:sz w:val="20"/>
                <w:szCs w:val="20"/>
                <w:color w:val="auto"/>
              </w:rPr>
            </w:pPr>
            <w:r>
              <w:rPr>
                <w:rFonts w:ascii="Arial" w:cs="Arial" w:eastAsia="Arial" w:hAnsi="Arial"/>
                <w:sz w:val="15"/>
                <w:szCs w:val="15"/>
                <w:color w:val="auto"/>
              </w:rPr>
              <w:t>$535,500</w:t>
            </w:r>
          </w:p>
        </w:tc>
        <w:tc>
          <w:tcPr>
            <w:tcW w:w="2960" w:type="dxa"/>
            <w:vAlign w:val="bottom"/>
            <w:shd w:val="clear" w:color="auto" w:fill="D9D9D9"/>
          </w:tcPr>
          <w:p>
            <w:pPr>
              <w:jc w:val="right"/>
              <w:ind w:right="229"/>
              <w:spacing w:after="0"/>
              <w:rPr>
                <w:sz w:val="20"/>
                <w:szCs w:val="20"/>
                <w:color w:val="auto"/>
              </w:rPr>
            </w:pPr>
            <w:r>
              <w:rPr>
                <w:rFonts w:ascii="Arial" w:cs="Arial" w:eastAsia="Arial" w:hAnsi="Arial"/>
                <w:sz w:val="15"/>
                <w:szCs w:val="15"/>
                <w:color w:val="auto"/>
              </w:rPr>
              <w:t>3.0%</w:t>
            </w:r>
          </w:p>
        </w:tc>
        <w:tc>
          <w:tcPr>
            <w:tcW w:w="29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 above</w:t>
            </w:r>
          </w:p>
        </w:tc>
      </w:tr>
      <w:tr>
        <w:trPr>
          <w:trHeight w:val="184"/>
        </w:trPr>
        <w:tc>
          <w:tcPr>
            <w:tcW w:w="2160" w:type="dxa"/>
            <w:vAlign w:val="bottom"/>
          </w:tcPr>
          <w:p>
            <w:pPr>
              <w:spacing w:after="0"/>
              <w:rPr>
                <w:sz w:val="20"/>
                <w:szCs w:val="20"/>
                <w:color w:val="auto"/>
              </w:rPr>
            </w:pPr>
            <w:r>
              <w:rPr>
                <w:rFonts w:ascii="Arial" w:cs="Arial" w:eastAsia="Arial" w:hAnsi="Arial"/>
                <w:sz w:val="15"/>
                <w:szCs w:val="15"/>
                <w:color w:val="auto"/>
              </w:rPr>
              <w:t>Mr. Dordell</w:t>
            </w:r>
          </w:p>
        </w:tc>
        <w:tc>
          <w:tcPr>
            <w:tcW w:w="3320" w:type="dxa"/>
            <w:vAlign w:val="bottom"/>
          </w:tcPr>
          <w:p>
            <w:pPr>
              <w:jc w:val="right"/>
              <w:ind w:right="189"/>
              <w:spacing w:after="0"/>
              <w:rPr>
                <w:sz w:val="20"/>
                <w:szCs w:val="20"/>
                <w:color w:val="auto"/>
              </w:rPr>
            </w:pPr>
            <w:r>
              <w:rPr>
                <w:rFonts w:ascii="Arial" w:cs="Arial" w:eastAsia="Arial" w:hAnsi="Arial"/>
                <w:sz w:val="15"/>
                <w:szCs w:val="15"/>
                <w:color w:val="auto"/>
              </w:rPr>
              <w:t>$451,000</w:t>
            </w:r>
          </w:p>
        </w:tc>
        <w:tc>
          <w:tcPr>
            <w:tcW w:w="2960" w:type="dxa"/>
            <w:vAlign w:val="bottom"/>
          </w:tcPr>
          <w:p>
            <w:pPr>
              <w:jc w:val="right"/>
              <w:ind w:right="229"/>
              <w:spacing w:after="0"/>
              <w:rPr>
                <w:sz w:val="20"/>
                <w:szCs w:val="20"/>
                <w:color w:val="auto"/>
              </w:rPr>
            </w:pPr>
            <w:r>
              <w:rPr>
                <w:rFonts w:ascii="Arial" w:cs="Arial" w:eastAsia="Arial" w:hAnsi="Arial"/>
                <w:sz w:val="15"/>
                <w:szCs w:val="15"/>
                <w:color w:val="auto"/>
              </w:rPr>
              <w:t>3.0%</w:t>
            </w:r>
          </w:p>
        </w:tc>
        <w:tc>
          <w:tcPr>
            <w:tcW w:w="2980" w:type="dxa"/>
            <w:vAlign w:val="bottom"/>
          </w:tcPr>
          <w:p>
            <w:pPr>
              <w:jc w:val="right"/>
              <w:spacing w:after="0"/>
              <w:rPr>
                <w:sz w:val="20"/>
                <w:szCs w:val="20"/>
                <w:color w:val="auto"/>
              </w:rPr>
            </w:pPr>
            <w:r>
              <w:rPr>
                <w:rFonts w:ascii="Arial" w:cs="Arial" w:eastAsia="Arial" w:hAnsi="Arial"/>
                <w:sz w:val="15"/>
                <w:szCs w:val="15"/>
                <w:color w:val="auto"/>
              </w:rPr>
              <w:t>2% above</w:t>
            </w:r>
          </w:p>
        </w:tc>
      </w:tr>
      <w:tr>
        <w:trPr>
          <w:trHeight w:val="184"/>
        </w:trPr>
        <w:tc>
          <w:tcPr>
            <w:tcW w:w="2160" w:type="dxa"/>
            <w:vAlign w:val="bottom"/>
            <w:shd w:val="clear" w:color="auto" w:fill="D9D9D9"/>
          </w:tcPr>
          <w:p>
            <w:pPr>
              <w:spacing w:after="0"/>
              <w:rPr>
                <w:sz w:val="20"/>
                <w:szCs w:val="20"/>
                <w:color w:val="auto"/>
              </w:rPr>
            </w:pPr>
            <w:r>
              <w:rPr>
                <w:rFonts w:ascii="Arial" w:cs="Arial" w:eastAsia="Arial" w:hAnsi="Arial"/>
                <w:sz w:val="15"/>
                <w:szCs w:val="15"/>
                <w:color w:val="auto"/>
              </w:rPr>
              <w:t>Mr. Hamilton</w:t>
            </w:r>
          </w:p>
        </w:tc>
        <w:tc>
          <w:tcPr>
            <w:tcW w:w="3320" w:type="dxa"/>
            <w:vAlign w:val="bottom"/>
            <w:shd w:val="clear" w:color="auto" w:fill="D9D9D9"/>
          </w:tcPr>
          <w:p>
            <w:pPr>
              <w:jc w:val="right"/>
              <w:ind w:right="189"/>
              <w:spacing w:after="0"/>
              <w:rPr>
                <w:sz w:val="20"/>
                <w:szCs w:val="20"/>
                <w:color w:val="auto"/>
              </w:rPr>
            </w:pPr>
            <w:r>
              <w:rPr>
                <w:rFonts w:ascii="Arial" w:cs="Arial" w:eastAsia="Arial" w:hAnsi="Arial"/>
                <w:sz w:val="15"/>
                <w:szCs w:val="15"/>
                <w:color w:val="auto"/>
              </w:rPr>
              <w:t>$400,000</w:t>
            </w:r>
          </w:p>
        </w:tc>
        <w:tc>
          <w:tcPr>
            <w:tcW w:w="2960" w:type="dxa"/>
            <w:vAlign w:val="bottom"/>
            <w:shd w:val="clear" w:color="auto" w:fill="D9D9D9"/>
          </w:tcPr>
          <w:p>
            <w:pPr>
              <w:jc w:val="right"/>
              <w:ind w:right="229"/>
              <w:spacing w:after="0"/>
              <w:rPr>
                <w:sz w:val="20"/>
                <w:szCs w:val="20"/>
                <w:color w:val="auto"/>
              </w:rPr>
            </w:pPr>
            <w:r>
              <w:rPr>
                <w:rFonts w:ascii="Arial" w:cs="Arial" w:eastAsia="Arial" w:hAnsi="Arial"/>
                <w:sz w:val="15"/>
                <w:szCs w:val="15"/>
                <w:color w:val="auto"/>
              </w:rPr>
              <w:t>14.3%</w:t>
            </w:r>
          </w:p>
        </w:tc>
        <w:tc>
          <w:tcPr>
            <w:tcW w:w="29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15% below</w:t>
            </w:r>
          </w:p>
        </w:tc>
      </w:tr>
      <w:tr>
        <w:trPr>
          <w:trHeight w:val="328"/>
        </w:trPr>
        <w:tc>
          <w:tcPr>
            <w:tcW w:w="2160" w:type="dxa"/>
            <w:vAlign w:val="bottom"/>
          </w:tcPr>
          <w:p>
            <w:pPr>
              <w:spacing w:after="0"/>
              <w:rPr>
                <w:sz w:val="20"/>
                <w:szCs w:val="20"/>
                <w:color w:val="auto"/>
              </w:rPr>
            </w:pPr>
            <w:r>
              <w:rPr>
                <w:rFonts w:ascii="Arial" w:cs="Arial" w:eastAsia="Arial" w:hAnsi="Arial"/>
                <w:sz w:val="15"/>
                <w:szCs w:val="15"/>
                <w:color w:val="auto"/>
              </w:rPr>
              <w:t>Mr. Rodier</w:t>
            </w:r>
            <w:r>
              <w:rPr>
                <w:rFonts w:ascii="Arial" w:cs="Arial" w:eastAsia="Arial" w:hAnsi="Arial"/>
                <w:sz w:val="24"/>
                <w:szCs w:val="24"/>
                <w:color w:val="auto"/>
                <w:vertAlign w:val="superscript"/>
              </w:rPr>
              <w:t>(1)</w:t>
            </w:r>
          </w:p>
        </w:tc>
        <w:tc>
          <w:tcPr>
            <w:tcW w:w="3320" w:type="dxa"/>
            <w:vAlign w:val="bottom"/>
          </w:tcPr>
          <w:p>
            <w:pPr>
              <w:jc w:val="right"/>
              <w:ind w:right="189"/>
              <w:spacing w:after="0"/>
              <w:rPr>
                <w:sz w:val="20"/>
                <w:szCs w:val="20"/>
                <w:color w:val="auto"/>
              </w:rPr>
            </w:pPr>
            <w:r>
              <w:rPr>
                <w:rFonts w:ascii="Arial" w:cs="Arial" w:eastAsia="Arial" w:hAnsi="Arial"/>
                <w:sz w:val="15"/>
                <w:szCs w:val="15"/>
                <w:color w:val="auto"/>
              </w:rPr>
              <w:t>$385,000</w:t>
            </w:r>
          </w:p>
        </w:tc>
        <w:tc>
          <w:tcPr>
            <w:tcW w:w="2960" w:type="dxa"/>
            <w:vAlign w:val="bottom"/>
          </w:tcPr>
          <w:p>
            <w:pPr>
              <w:jc w:val="right"/>
              <w:ind w:right="229"/>
              <w:spacing w:after="0"/>
              <w:rPr>
                <w:sz w:val="20"/>
                <w:szCs w:val="20"/>
                <w:color w:val="auto"/>
              </w:rPr>
            </w:pPr>
            <w:r>
              <w:rPr>
                <w:rFonts w:ascii="Arial" w:cs="Arial" w:eastAsia="Arial" w:hAnsi="Arial"/>
                <w:sz w:val="15"/>
                <w:szCs w:val="15"/>
                <w:color w:val="auto"/>
              </w:rPr>
              <w:t>32.8%</w:t>
            </w:r>
          </w:p>
        </w:tc>
        <w:tc>
          <w:tcPr>
            <w:tcW w:w="2980" w:type="dxa"/>
            <w:vAlign w:val="bottom"/>
          </w:tcPr>
          <w:p>
            <w:pPr>
              <w:jc w:val="right"/>
              <w:spacing w:after="0"/>
              <w:rPr>
                <w:sz w:val="20"/>
                <w:szCs w:val="20"/>
                <w:color w:val="auto"/>
              </w:rPr>
            </w:pPr>
            <w:r>
              <w:rPr>
                <w:rFonts w:ascii="Arial" w:cs="Arial" w:eastAsia="Arial" w:hAnsi="Arial"/>
                <w:sz w:val="15"/>
                <w:szCs w:val="15"/>
                <w:color w:val="auto"/>
              </w:rPr>
              <w:t>11%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07772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ind w:left="402" w:right="320" w:hanging="402"/>
        <w:spacing w:after="0" w:line="244" w:lineRule="auto"/>
        <w:tabs>
          <w:tab w:leader="none" w:pos="4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Numbers for Mr. Rodier represent his annual base salary, as increased on April 1, 2019, the increase expressed as a percentage of his April 1, 2019 annual base salary compared to fiscal 2018 annual base salary, along with the comparison of his April 1, 2019 annual base salary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for a group vice president role. Mr. Rodier’s actual fiscal year base salary earnings are disclosed in the “Salary” column of the “Summary Compensation Table” beginning on page 44.</w:t>
      </w:r>
    </w:p>
    <w:p>
      <w:pPr>
        <w:spacing w:after="0" w:line="85" w:lineRule="exact"/>
        <w:rPr>
          <w:sz w:val="20"/>
          <w:szCs w:val="20"/>
          <w:color w:val="auto"/>
        </w:rPr>
      </w:pPr>
    </w:p>
    <w:p>
      <w:pPr>
        <w:ind w:left="2" w:right="280" w:firstLine="408"/>
        <w:spacing w:after="0" w:line="238" w:lineRule="auto"/>
        <w:rPr>
          <w:sz w:val="20"/>
          <w:szCs w:val="20"/>
          <w:color w:val="auto"/>
        </w:rPr>
      </w:pPr>
      <w:r>
        <w:rPr>
          <w:rFonts w:ascii="Arial" w:cs="Arial" w:eastAsia="Arial" w:hAnsi="Arial"/>
          <w:sz w:val="16"/>
          <w:szCs w:val="16"/>
          <w:color w:val="auto"/>
        </w:rPr>
        <w:t>Mr. Olson’s fiscal 2019 annual base salary was increased to $925,000; this 5.7% increase was designed to bring his base salary closer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Base salary increases for Ms. Peterson and Mr. Dordell were intended to bring their respective annual base salaries to the market</w:t>
      </w:r>
    </w:p>
    <w:p>
      <w:pPr>
        <w:ind w:left="2"/>
        <w:spacing w:after="0" w:line="242" w:lineRule="auto"/>
        <w:rPr>
          <w:sz w:val="20"/>
          <w:szCs w:val="20"/>
          <w:color w:val="auto"/>
        </w:rPr>
      </w:pPr>
      <w:r>
        <w:rPr>
          <w:rFonts w:ascii="Arial" w:cs="Arial" w:eastAsia="Arial" w:hAnsi="Arial"/>
          <w:sz w:val="16"/>
          <w:szCs w:val="16"/>
          <w:color w:val="auto"/>
        </w:rPr>
        <w:t>50</w:t>
      </w:r>
      <w:r>
        <w:rPr>
          <w:rFonts w:ascii="Arial" w:cs="Arial" w:eastAsia="Arial" w:hAnsi="Arial"/>
          <w:sz w:val="13"/>
          <w:szCs w:val="13"/>
          <w:color w:val="auto"/>
        </w:rPr>
        <w:t>th</w:t>
      </w:r>
      <w:r>
        <w:rPr>
          <w:rFonts w:ascii="Arial" w:cs="Arial" w:eastAsia="Arial" w:hAnsi="Arial"/>
          <w:sz w:val="16"/>
          <w:szCs w:val="16"/>
          <w:color w:val="auto"/>
        </w:rPr>
        <w:t xml:space="preserve"> percentile and those increases are representative of market merit increases for executive officers. Mr. Hamilton was promoted to Group Vice President in early fiscal 2018 which resulted in increased responsibility for multiple businesses. Therefore, in both fiscal 2018 and fiscal 2019, the Compensation &amp; Human Resources Committee provided increases to base salary to reflect the significant increase in his duties and responsibilities. At the beginning of fiscal 2019, in connection with his role as the Vice President of our Commercial division, the Compensation &amp; Human Resources Committee increased Mr. Rodier’s salary by 5.2% to $305,000. On April 1, 2019, in connection with our acquisition of CMW, Mr. Rodier was promoted to Group Vice President, Construction Businesses. In recognition of his significantly broadened scope and responsibilities, the Compensation &amp; Human Resources Committee increased Mr. Rodier’s base salary by 26.2%, to $385,000, resulting in an overall increase from his fiscal 2018 base salary of 32.8%.</w:t>
      </w:r>
    </w:p>
    <w:p>
      <w:pPr>
        <w:spacing w:after="0" w:line="68" w:lineRule="exact"/>
        <w:rPr>
          <w:sz w:val="20"/>
          <w:szCs w:val="20"/>
          <w:color w:val="auto"/>
        </w:rPr>
      </w:pPr>
    </w:p>
    <w:p>
      <w:pPr>
        <w:ind w:left="402"/>
        <w:spacing w:after="0"/>
        <w:rPr>
          <w:sz w:val="20"/>
          <w:szCs w:val="20"/>
          <w:color w:val="auto"/>
        </w:rPr>
      </w:pPr>
      <w:r>
        <w:rPr>
          <w:rFonts w:ascii="Arial" w:cs="Arial" w:eastAsia="Arial" w:hAnsi="Arial"/>
          <w:sz w:val="16"/>
          <w:szCs w:val="16"/>
          <w:b w:val="1"/>
          <w:bCs w:val="1"/>
          <w:i w:val="1"/>
          <w:iCs w:val="1"/>
          <w:color w:val="auto"/>
        </w:rPr>
        <w:t>Annual Cash Incentives.</w:t>
      </w:r>
    </w:p>
    <w:p>
      <w:pPr>
        <w:spacing w:after="0" w:line="102" w:lineRule="exact"/>
        <w:rPr>
          <w:sz w:val="20"/>
          <w:szCs w:val="20"/>
          <w:color w:val="auto"/>
        </w:rPr>
      </w:pPr>
    </w:p>
    <w:p>
      <w:pPr>
        <w:jc w:val="both"/>
        <w:ind w:left="2" w:right="340" w:firstLine="408"/>
        <w:spacing w:after="0" w:line="257"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To help ensure we meet our compensation program objective of linking pay to performance, we provide the opportunity for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to earn an annual cash incentive, which is designed to motivate attainment and reward accomplishment of annual financial business goals. This is done by establishing financial goals that link to our annual financial plan.</w:t>
      </w:r>
    </w:p>
    <w:p>
      <w:pPr>
        <w:spacing w:after="0" w:line="74" w:lineRule="exact"/>
        <w:rPr>
          <w:sz w:val="20"/>
          <w:szCs w:val="20"/>
          <w:color w:val="auto"/>
        </w:rPr>
      </w:pPr>
    </w:p>
    <w:p>
      <w:pPr>
        <w:ind w:left="2" w:right="80" w:firstLine="408"/>
        <w:spacing w:after="0" w:line="242" w:lineRule="auto"/>
        <w:rPr>
          <w:sz w:val="20"/>
          <w:szCs w:val="20"/>
          <w:color w:val="auto"/>
        </w:rPr>
      </w:pPr>
      <w:r>
        <w:rPr>
          <w:rFonts w:ascii="Arial" w:cs="Arial" w:eastAsia="Arial" w:hAnsi="Arial"/>
          <w:sz w:val="16"/>
          <w:szCs w:val="16"/>
          <w:color w:val="auto"/>
        </w:rPr>
        <w:t>At the beginning of each fiscal year, during its regular meeting held in November or December, the Compensation &amp; Human Resources Committee approves a target award expressed as a percentage of base salary for each executive officer. Additionally, the Committee approves specific performance measures, weightings, goals and performance adjustment events, if any, at the corporate and division and/or business level for the fiscal year. The performance measures are derived from a list of performance measures included in our 2010 Plan. For each performance measure, a threshold, target and maximum level of performance is defined, which have corresponding payout percentages. During the fiscal year, the Committee reviews progress against the established goals. In addition, as needed during the fiscal year, the Committee reviews significant events that have occurred at our Company, including merger and acquisition activity, and assesses whether such events</w:t>
      </w:r>
    </w:p>
    <w:p>
      <w:pPr>
        <w:spacing w:after="0" w:line="18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45" w:name="page46"/>
    <w:bookmarkEnd w:id="45"/>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2" w:right="200"/>
        <w:spacing w:after="0" w:line="244" w:lineRule="auto"/>
        <w:rPr>
          <w:sz w:val="20"/>
          <w:szCs w:val="20"/>
          <w:color w:val="auto"/>
        </w:rPr>
      </w:pPr>
      <w:r>
        <w:rPr>
          <w:rFonts w:ascii="Arial" w:cs="Arial" w:eastAsia="Arial" w:hAnsi="Arial"/>
          <w:sz w:val="16"/>
          <w:szCs w:val="16"/>
          <w:color w:val="auto"/>
        </w:rPr>
        <w:t>necessitate a change in target awards or performance measures, weightings and goals for any annual cash incentive award granted to our executive officers. Following the end of the fiscal year, at the Committee’s regular meeting held in November or December, Management presents a summary of, and the Committee certifies, actual performance as compared to the established goals along with a corresponding payout percentage, which is expressed as a percent of target performance. Annual cash incentive awards are paid out to the executive officers in December.</w:t>
      </w:r>
    </w:p>
    <w:p>
      <w:pPr>
        <w:spacing w:after="0" w:line="69" w:lineRule="exact"/>
        <w:rPr>
          <w:sz w:val="20"/>
          <w:szCs w:val="20"/>
          <w:color w:val="auto"/>
        </w:rPr>
      </w:pPr>
    </w:p>
    <w:p>
      <w:pPr>
        <w:ind w:left="2" w:right="40" w:firstLine="408"/>
        <w:spacing w:after="0" w:line="244" w:lineRule="auto"/>
        <w:rPr>
          <w:sz w:val="20"/>
          <w:szCs w:val="20"/>
          <w:color w:val="auto"/>
        </w:rPr>
      </w:pPr>
      <w:r>
        <w:rPr>
          <w:rFonts w:ascii="Arial" w:cs="Arial" w:eastAsia="Arial" w:hAnsi="Arial"/>
          <w:sz w:val="16"/>
          <w:szCs w:val="16"/>
          <w:i w:val="1"/>
          <w:iCs w:val="1"/>
          <w:color w:val="auto"/>
        </w:rPr>
        <w:t>Target Awards</w:t>
      </w:r>
      <w:r>
        <w:rPr>
          <w:rFonts w:ascii="Arial" w:cs="Arial" w:eastAsia="Arial" w:hAnsi="Arial"/>
          <w:sz w:val="16"/>
          <w:szCs w:val="16"/>
          <w:color w:val="auto"/>
        </w:rPr>
        <w:t>. When determining the target award for each executive officer, the Committee reviews the market 50</w:t>
      </w:r>
      <w:r>
        <w:rPr>
          <w:rFonts w:ascii="Arial" w:cs="Arial" w:eastAsia="Arial" w:hAnsi="Arial"/>
          <w:sz w:val="13"/>
          <w:szCs w:val="13"/>
          <w:color w:val="auto"/>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percentile for target total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(sum of base salary and target annual cash incentive) for the position in which such executive officer serves. Our objective is that when we achieve target levels of performance for each measure, resulting total cash compensation paid to our executive officers is within a reasonable range of the market 50</w:t>
      </w:r>
      <w:r>
        <w:rPr>
          <w:rFonts w:ascii="Arial" w:cs="Arial" w:eastAsia="Arial" w:hAnsi="Arial"/>
          <w:sz w:val="13"/>
          <w:szCs w:val="13"/>
          <w:color w:val="auto"/>
        </w:rPr>
        <w:t>th</w:t>
      </w:r>
      <w:r>
        <w:rPr>
          <w:rFonts w:ascii="Arial" w:cs="Arial" w:eastAsia="Arial" w:hAnsi="Arial"/>
          <w:sz w:val="16"/>
          <w:szCs w:val="16"/>
          <w:color w:val="auto"/>
        </w:rPr>
        <w:t xml:space="preserve"> percentile. Actual total cash compensation will generally exceed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if actual performance for each measure exceeds established target annual financial business goals and will generally be less than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if actual performance for each measure is below established target annual financial business goals. In addition to considering the market data, the Committee also considers experience, tenure, scope and complexity of the executive officer’s position, individual contributions and performance, as well as internal pay equity. Actual awards can range from 0% (if threshold levels of performance are not met) to 200% of the target award (if maximum levels of performance are met for all of the performance measures) and the resulting competitiveness of total cash compensation will also vary accordingly.</w:t>
      </w:r>
    </w:p>
    <w:p>
      <w:pPr>
        <w:spacing w:after="0" w:line="85" w:lineRule="exact"/>
        <w:rPr>
          <w:sz w:val="20"/>
          <w:szCs w:val="20"/>
          <w:color w:val="auto"/>
        </w:rPr>
      </w:pPr>
    </w:p>
    <w:p>
      <w:pPr>
        <w:jc w:val="both"/>
        <w:ind w:left="2" w:right="220" w:firstLine="408"/>
        <w:spacing w:after="0" w:line="243" w:lineRule="auto"/>
        <w:rPr>
          <w:sz w:val="20"/>
          <w:szCs w:val="20"/>
          <w:color w:val="auto"/>
        </w:rPr>
      </w:pPr>
      <w:r>
        <w:rPr>
          <w:rFonts w:ascii="Arial" w:cs="Arial" w:eastAsia="Arial" w:hAnsi="Arial"/>
          <w:sz w:val="16"/>
          <w:szCs w:val="16"/>
          <w:color w:val="auto"/>
        </w:rPr>
        <w:t>In December 2018, the Committee approved the fiscal 2019 target awards for our named executive officers. In addition, in connection with our CMW acquisition, the Committee approved a new annual cash incentive for Mr. Rodier that included an increase to his target award percentage, with such award being effective April 1, 2019. The fiscal 2019 target annual cash incentive award percentage, the change in the target award percentage, the resulting fiscal 2019 target total cash compensation (sum of fiscal 2019 annual base salary and fiscal 2019 target annual cash incentive award) and the comparison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are provided below.</w:t>
      </w:r>
    </w:p>
    <w:p>
      <w:pPr>
        <w:spacing w:after="0" w:line="75"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1780" w:type="dxa"/>
            <w:vAlign w:val="bottom"/>
            <w:shd w:val="clear" w:color="auto" w:fill="C00000"/>
          </w:tcPr>
          <w:p>
            <w:pPr>
              <w:spacing w:after="0"/>
              <w:rPr>
                <w:sz w:val="10"/>
                <w:szCs w:val="10"/>
                <w:color w:val="auto"/>
              </w:rPr>
            </w:pPr>
          </w:p>
        </w:tc>
        <w:tc>
          <w:tcPr>
            <w:tcW w:w="2240" w:type="dxa"/>
            <w:vAlign w:val="bottom"/>
            <w:shd w:val="clear" w:color="auto" w:fill="C00000"/>
          </w:tcPr>
          <w:p>
            <w:pPr>
              <w:spacing w:after="0"/>
              <w:rPr>
                <w:sz w:val="10"/>
                <w:szCs w:val="10"/>
                <w:color w:val="auto"/>
              </w:rPr>
            </w:pPr>
          </w:p>
        </w:tc>
        <w:tc>
          <w:tcPr>
            <w:tcW w:w="1480" w:type="dxa"/>
            <w:vAlign w:val="bottom"/>
            <w:shd w:val="clear" w:color="auto" w:fill="C00000"/>
          </w:tcPr>
          <w:p>
            <w:pPr>
              <w:spacing w:after="0"/>
              <w:rPr>
                <w:sz w:val="10"/>
                <w:szCs w:val="10"/>
                <w:color w:val="auto"/>
              </w:rPr>
            </w:pPr>
          </w:p>
        </w:tc>
        <w:tc>
          <w:tcPr>
            <w:tcW w:w="1320" w:type="dxa"/>
            <w:vAlign w:val="bottom"/>
            <w:shd w:val="clear" w:color="auto" w:fill="C00000"/>
          </w:tcPr>
          <w:p>
            <w:pPr>
              <w:spacing w:after="0"/>
              <w:rPr>
                <w:sz w:val="10"/>
                <w:szCs w:val="10"/>
                <w:color w:val="auto"/>
              </w:rPr>
            </w:pPr>
          </w:p>
        </w:tc>
        <w:tc>
          <w:tcPr>
            <w:tcW w:w="1440" w:type="dxa"/>
            <w:vAlign w:val="bottom"/>
            <w:shd w:val="clear" w:color="auto" w:fill="C00000"/>
          </w:tcPr>
          <w:p>
            <w:pPr>
              <w:spacing w:after="0"/>
              <w:rPr>
                <w:sz w:val="10"/>
                <w:szCs w:val="10"/>
                <w:color w:val="auto"/>
              </w:rPr>
            </w:pPr>
          </w:p>
        </w:tc>
        <w:tc>
          <w:tcPr>
            <w:tcW w:w="1480" w:type="dxa"/>
            <w:vAlign w:val="bottom"/>
            <w:shd w:val="clear" w:color="auto" w:fill="C00000"/>
          </w:tcPr>
          <w:p>
            <w:pPr>
              <w:spacing w:after="0"/>
              <w:rPr>
                <w:sz w:val="10"/>
                <w:szCs w:val="10"/>
                <w:color w:val="auto"/>
              </w:rPr>
            </w:pPr>
          </w:p>
        </w:tc>
        <w:tc>
          <w:tcPr>
            <w:tcW w:w="1680" w:type="dxa"/>
            <w:vAlign w:val="bottom"/>
            <w:shd w:val="clear" w:color="auto" w:fill="C00000"/>
          </w:tcPr>
          <w:p>
            <w:pPr>
              <w:jc w:val="center"/>
              <w:ind w:right="35"/>
              <w:spacing w:after="0"/>
              <w:rPr>
                <w:sz w:val="20"/>
                <w:szCs w:val="20"/>
                <w:color w:val="auto"/>
              </w:rPr>
            </w:pPr>
            <w:r>
              <w:rPr>
                <w:rFonts w:ascii="Arial" w:cs="Arial" w:eastAsia="Arial" w:hAnsi="Arial"/>
                <w:sz w:val="11"/>
                <w:szCs w:val="11"/>
                <w:b w:val="1"/>
                <w:bCs w:val="1"/>
                <w:color w:val="FFFFFF"/>
              </w:rPr>
              <w:t>Fiscal 2019 Target</w:t>
            </w:r>
          </w:p>
        </w:tc>
      </w:tr>
      <w:tr>
        <w:trPr>
          <w:trHeight w:val="123"/>
        </w:trPr>
        <w:tc>
          <w:tcPr>
            <w:tcW w:w="1780" w:type="dxa"/>
            <w:vAlign w:val="bottom"/>
            <w:shd w:val="clear" w:color="auto" w:fill="C00000"/>
          </w:tcPr>
          <w:p>
            <w:pPr>
              <w:spacing w:after="0"/>
              <w:rPr>
                <w:sz w:val="10"/>
                <w:szCs w:val="10"/>
                <w:color w:val="auto"/>
              </w:rPr>
            </w:pPr>
          </w:p>
        </w:tc>
        <w:tc>
          <w:tcPr>
            <w:tcW w:w="2240" w:type="dxa"/>
            <w:vAlign w:val="bottom"/>
            <w:shd w:val="clear" w:color="auto" w:fill="C00000"/>
          </w:tcPr>
          <w:p>
            <w:pPr>
              <w:spacing w:after="0"/>
              <w:rPr>
                <w:sz w:val="10"/>
                <w:szCs w:val="10"/>
                <w:color w:val="auto"/>
              </w:rPr>
            </w:pPr>
          </w:p>
        </w:tc>
        <w:tc>
          <w:tcPr>
            <w:tcW w:w="1480" w:type="dxa"/>
            <w:vAlign w:val="bottom"/>
            <w:shd w:val="clear" w:color="auto" w:fill="C00000"/>
          </w:tcPr>
          <w:p>
            <w:pPr>
              <w:spacing w:after="0"/>
              <w:rPr>
                <w:sz w:val="10"/>
                <w:szCs w:val="10"/>
                <w:color w:val="auto"/>
              </w:rPr>
            </w:pPr>
          </w:p>
        </w:tc>
        <w:tc>
          <w:tcPr>
            <w:tcW w:w="1320" w:type="dxa"/>
            <w:vAlign w:val="bottom"/>
            <w:shd w:val="clear" w:color="auto" w:fill="C00000"/>
          </w:tcPr>
          <w:p>
            <w:pPr>
              <w:jc w:val="center"/>
              <w:ind w:right="134"/>
              <w:spacing w:after="0" w:line="123" w:lineRule="exact"/>
              <w:rPr>
                <w:sz w:val="20"/>
                <w:szCs w:val="20"/>
                <w:color w:val="auto"/>
              </w:rPr>
            </w:pPr>
            <w:r>
              <w:rPr>
                <w:rFonts w:ascii="Arial" w:cs="Arial" w:eastAsia="Arial" w:hAnsi="Arial"/>
                <w:sz w:val="11"/>
                <w:szCs w:val="11"/>
                <w:b w:val="1"/>
                <w:bCs w:val="1"/>
                <w:color w:val="FFFFFF"/>
              </w:rPr>
              <w:t>Fiscal 2019</w:t>
            </w:r>
          </w:p>
        </w:tc>
        <w:tc>
          <w:tcPr>
            <w:tcW w:w="1440" w:type="dxa"/>
            <w:vAlign w:val="bottom"/>
            <w:shd w:val="clear" w:color="auto" w:fill="C00000"/>
          </w:tcPr>
          <w:p>
            <w:pPr>
              <w:jc w:val="center"/>
              <w:ind w:right="74"/>
              <w:spacing w:after="0" w:line="123" w:lineRule="exact"/>
              <w:rPr>
                <w:sz w:val="20"/>
                <w:szCs w:val="20"/>
                <w:color w:val="auto"/>
              </w:rPr>
            </w:pPr>
            <w:r>
              <w:rPr>
                <w:rFonts w:ascii="Arial" w:cs="Arial" w:eastAsia="Arial" w:hAnsi="Arial"/>
                <w:sz w:val="11"/>
                <w:szCs w:val="11"/>
                <w:b w:val="1"/>
                <w:bCs w:val="1"/>
                <w:color w:val="FFFFFF"/>
              </w:rPr>
              <w:t>Fiscal 2019</w:t>
            </w:r>
          </w:p>
        </w:tc>
        <w:tc>
          <w:tcPr>
            <w:tcW w:w="1480" w:type="dxa"/>
            <w:vAlign w:val="bottom"/>
            <w:shd w:val="clear" w:color="auto" w:fill="C00000"/>
          </w:tcPr>
          <w:p>
            <w:pPr>
              <w:jc w:val="center"/>
              <w:ind w:right="174"/>
              <w:spacing w:after="0" w:line="123" w:lineRule="exact"/>
              <w:rPr>
                <w:sz w:val="20"/>
                <w:szCs w:val="20"/>
                <w:color w:val="auto"/>
              </w:rPr>
            </w:pPr>
            <w:r>
              <w:rPr>
                <w:rFonts w:ascii="Arial" w:cs="Arial" w:eastAsia="Arial" w:hAnsi="Arial"/>
                <w:sz w:val="11"/>
                <w:szCs w:val="11"/>
                <w:b w:val="1"/>
                <w:bCs w:val="1"/>
                <w:color w:val="FFFFFF"/>
              </w:rPr>
              <w:t>Fiscal 2019</w:t>
            </w:r>
          </w:p>
        </w:tc>
        <w:tc>
          <w:tcPr>
            <w:tcW w:w="1680" w:type="dxa"/>
            <w:vAlign w:val="bottom"/>
            <w:shd w:val="clear" w:color="auto" w:fill="C00000"/>
          </w:tcPr>
          <w:p>
            <w:pPr>
              <w:jc w:val="center"/>
              <w:ind w:right="35"/>
              <w:spacing w:after="0" w:line="123" w:lineRule="exact"/>
              <w:rPr>
                <w:sz w:val="20"/>
                <w:szCs w:val="20"/>
                <w:color w:val="auto"/>
              </w:rPr>
            </w:pPr>
            <w:r>
              <w:rPr>
                <w:rFonts w:ascii="Arial" w:cs="Arial" w:eastAsia="Arial" w:hAnsi="Arial"/>
                <w:sz w:val="11"/>
                <w:szCs w:val="11"/>
                <w:b w:val="1"/>
                <w:bCs w:val="1"/>
                <w:color w:val="FFFFFF"/>
              </w:rPr>
              <w:t>Total Cash</w:t>
            </w:r>
          </w:p>
        </w:tc>
      </w:tr>
      <w:tr>
        <w:trPr>
          <w:trHeight w:val="123"/>
        </w:trPr>
        <w:tc>
          <w:tcPr>
            <w:tcW w:w="1780" w:type="dxa"/>
            <w:vAlign w:val="bottom"/>
            <w:shd w:val="clear" w:color="auto" w:fill="C00000"/>
          </w:tcPr>
          <w:p>
            <w:pPr>
              <w:spacing w:after="0"/>
              <w:rPr>
                <w:sz w:val="10"/>
                <w:szCs w:val="10"/>
                <w:color w:val="auto"/>
              </w:rPr>
            </w:pPr>
          </w:p>
        </w:tc>
        <w:tc>
          <w:tcPr>
            <w:tcW w:w="2240" w:type="dxa"/>
            <w:vAlign w:val="bottom"/>
            <w:shd w:val="clear" w:color="auto" w:fill="C00000"/>
          </w:tcPr>
          <w:p>
            <w:pPr>
              <w:jc w:val="center"/>
              <w:ind w:left="613"/>
              <w:spacing w:after="0" w:line="123" w:lineRule="exact"/>
              <w:rPr>
                <w:sz w:val="20"/>
                <w:szCs w:val="20"/>
                <w:color w:val="auto"/>
              </w:rPr>
            </w:pPr>
            <w:r>
              <w:rPr>
                <w:rFonts w:ascii="Arial" w:cs="Arial" w:eastAsia="Arial" w:hAnsi="Arial"/>
                <w:sz w:val="11"/>
                <w:szCs w:val="11"/>
                <w:b w:val="1"/>
                <w:bCs w:val="1"/>
                <w:color w:val="FFFFFF"/>
              </w:rPr>
              <w:t>Fiscal 2019</w:t>
            </w:r>
          </w:p>
        </w:tc>
        <w:tc>
          <w:tcPr>
            <w:tcW w:w="1480" w:type="dxa"/>
            <w:vAlign w:val="bottom"/>
            <w:shd w:val="clear" w:color="auto" w:fill="C00000"/>
          </w:tcPr>
          <w:p>
            <w:pPr>
              <w:jc w:val="center"/>
              <w:ind w:right="153"/>
              <w:spacing w:after="0" w:line="123" w:lineRule="exact"/>
              <w:rPr>
                <w:sz w:val="20"/>
                <w:szCs w:val="20"/>
                <w:color w:val="auto"/>
              </w:rPr>
            </w:pPr>
            <w:r>
              <w:rPr>
                <w:rFonts w:ascii="Arial" w:cs="Arial" w:eastAsia="Arial" w:hAnsi="Arial"/>
                <w:sz w:val="11"/>
                <w:szCs w:val="11"/>
                <w:b w:val="1"/>
                <w:bCs w:val="1"/>
                <w:color w:val="FFFFFF"/>
              </w:rPr>
              <w:t>Fiscal 2019</w:t>
            </w:r>
          </w:p>
        </w:tc>
        <w:tc>
          <w:tcPr>
            <w:tcW w:w="1320" w:type="dxa"/>
            <w:vAlign w:val="bottom"/>
            <w:shd w:val="clear" w:color="auto" w:fill="C00000"/>
          </w:tcPr>
          <w:p>
            <w:pPr>
              <w:jc w:val="center"/>
              <w:ind w:right="134"/>
              <w:spacing w:after="0" w:line="123" w:lineRule="exact"/>
              <w:rPr>
                <w:sz w:val="20"/>
                <w:szCs w:val="20"/>
                <w:color w:val="auto"/>
              </w:rPr>
            </w:pPr>
            <w:r>
              <w:rPr>
                <w:rFonts w:ascii="Arial" w:cs="Arial" w:eastAsia="Arial" w:hAnsi="Arial"/>
                <w:sz w:val="11"/>
                <w:szCs w:val="11"/>
                <w:b w:val="1"/>
                <w:bCs w:val="1"/>
                <w:color w:val="FFFFFF"/>
              </w:rPr>
              <w:t>Target Award</w:t>
            </w:r>
          </w:p>
        </w:tc>
        <w:tc>
          <w:tcPr>
            <w:tcW w:w="1440" w:type="dxa"/>
            <w:vAlign w:val="bottom"/>
            <w:shd w:val="clear" w:color="auto" w:fill="C00000"/>
          </w:tcPr>
          <w:p>
            <w:pPr>
              <w:jc w:val="center"/>
              <w:ind w:right="74"/>
              <w:spacing w:after="0" w:line="123" w:lineRule="exact"/>
              <w:rPr>
                <w:sz w:val="20"/>
                <w:szCs w:val="20"/>
                <w:color w:val="auto"/>
              </w:rPr>
            </w:pPr>
            <w:r>
              <w:rPr>
                <w:rFonts w:ascii="Arial" w:cs="Arial" w:eastAsia="Arial" w:hAnsi="Arial"/>
                <w:sz w:val="11"/>
                <w:szCs w:val="11"/>
                <w:b w:val="1"/>
                <w:bCs w:val="1"/>
                <w:color w:val="FFFFFF"/>
              </w:rPr>
              <w:t>Target Annual Cash</w:t>
            </w:r>
          </w:p>
        </w:tc>
        <w:tc>
          <w:tcPr>
            <w:tcW w:w="1480" w:type="dxa"/>
            <w:vAlign w:val="bottom"/>
            <w:shd w:val="clear" w:color="auto" w:fill="C00000"/>
          </w:tcPr>
          <w:p>
            <w:pPr>
              <w:jc w:val="center"/>
              <w:ind w:right="194"/>
              <w:spacing w:after="0" w:line="123" w:lineRule="exact"/>
              <w:rPr>
                <w:sz w:val="20"/>
                <w:szCs w:val="20"/>
                <w:color w:val="auto"/>
              </w:rPr>
            </w:pPr>
            <w:r>
              <w:rPr>
                <w:rFonts w:ascii="Arial" w:cs="Arial" w:eastAsia="Arial" w:hAnsi="Arial"/>
                <w:sz w:val="11"/>
                <w:szCs w:val="11"/>
                <w:b w:val="1"/>
                <w:bCs w:val="1"/>
                <w:color w:val="FFFFFF"/>
              </w:rPr>
              <w:t>Target Total Cash</w:t>
            </w:r>
          </w:p>
        </w:tc>
        <w:tc>
          <w:tcPr>
            <w:tcW w:w="1680" w:type="dxa"/>
            <w:vAlign w:val="bottom"/>
            <w:shd w:val="clear" w:color="auto" w:fill="C00000"/>
          </w:tcPr>
          <w:p>
            <w:pPr>
              <w:jc w:val="center"/>
              <w:ind w:right="35"/>
              <w:spacing w:after="0" w:line="123" w:lineRule="exact"/>
              <w:rPr>
                <w:sz w:val="20"/>
                <w:szCs w:val="20"/>
                <w:color w:val="auto"/>
              </w:rPr>
            </w:pPr>
            <w:r>
              <w:rPr>
                <w:rFonts w:ascii="Arial" w:cs="Arial" w:eastAsia="Arial" w:hAnsi="Arial"/>
                <w:sz w:val="11"/>
                <w:szCs w:val="11"/>
                <w:b w:val="1"/>
                <w:bCs w:val="1"/>
                <w:color w:val="FFFFFF"/>
              </w:rPr>
              <w:t>Compensation</w:t>
            </w:r>
          </w:p>
        </w:tc>
      </w:tr>
      <w:tr>
        <w:trPr>
          <w:trHeight w:val="123"/>
        </w:trPr>
        <w:tc>
          <w:tcPr>
            <w:tcW w:w="1780" w:type="dxa"/>
            <w:vAlign w:val="bottom"/>
            <w:shd w:val="clear" w:color="auto" w:fill="C00000"/>
          </w:tcPr>
          <w:p>
            <w:pPr>
              <w:spacing w:after="0"/>
              <w:rPr>
                <w:sz w:val="10"/>
                <w:szCs w:val="10"/>
                <w:color w:val="auto"/>
              </w:rPr>
            </w:pPr>
          </w:p>
        </w:tc>
        <w:tc>
          <w:tcPr>
            <w:tcW w:w="2240" w:type="dxa"/>
            <w:vAlign w:val="bottom"/>
            <w:shd w:val="clear" w:color="auto" w:fill="C00000"/>
          </w:tcPr>
          <w:p>
            <w:pPr>
              <w:jc w:val="center"/>
              <w:ind w:left="613"/>
              <w:spacing w:after="0" w:line="123" w:lineRule="exact"/>
              <w:rPr>
                <w:sz w:val="20"/>
                <w:szCs w:val="20"/>
                <w:color w:val="auto"/>
              </w:rPr>
            </w:pPr>
            <w:r>
              <w:rPr>
                <w:rFonts w:ascii="Arial" w:cs="Arial" w:eastAsia="Arial" w:hAnsi="Arial"/>
                <w:sz w:val="11"/>
                <w:szCs w:val="11"/>
                <w:b w:val="1"/>
                <w:bCs w:val="1"/>
                <w:color w:val="FFFFFF"/>
              </w:rPr>
              <w:t>Annual Base Salary</w:t>
            </w:r>
          </w:p>
        </w:tc>
        <w:tc>
          <w:tcPr>
            <w:tcW w:w="1480" w:type="dxa"/>
            <w:vAlign w:val="bottom"/>
            <w:shd w:val="clear" w:color="auto" w:fill="C00000"/>
          </w:tcPr>
          <w:p>
            <w:pPr>
              <w:jc w:val="center"/>
              <w:ind w:right="153"/>
              <w:spacing w:after="0" w:line="123" w:lineRule="exact"/>
              <w:rPr>
                <w:sz w:val="20"/>
                <w:szCs w:val="20"/>
                <w:color w:val="auto"/>
              </w:rPr>
            </w:pPr>
            <w:r>
              <w:rPr>
                <w:rFonts w:ascii="Arial" w:cs="Arial" w:eastAsia="Arial" w:hAnsi="Arial"/>
                <w:sz w:val="11"/>
                <w:szCs w:val="11"/>
                <w:b w:val="1"/>
                <w:bCs w:val="1"/>
                <w:color w:val="FFFFFF"/>
              </w:rPr>
              <w:t>Award at Target</w:t>
            </w:r>
          </w:p>
        </w:tc>
        <w:tc>
          <w:tcPr>
            <w:tcW w:w="1320" w:type="dxa"/>
            <w:vAlign w:val="bottom"/>
            <w:shd w:val="clear" w:color="auto" w:fill="C00000"/>
          </w:tcPr>
          <w:p>
            <w:pPr>
              <w:jc w:val="center"/>
              <w:ind w:right="154"/>
              <w:spacing w:after="0" w:line="123" w:lineRule="exact"/>
              <w:rPr>
                <w:sz w:val="20"/>
                <w:szCs w:val="20"/>
                <w:color w:val="auto"/>
              </w:rPr>
            </w:pPr>
            <w:r>
              <w:rPr>
                <w:rFonts w:ascii="Arial" w:cs="Arial" w:eastAsia="Arial" w:hAnsi="Arial"/>
                <w:sz w:val="11"/>
                <w:szCs w:val="11"/>
                <w:b w:val="1"/>
                <w:bCs w:val="1"/>
                <w:color w:val="FFFFFF"/>
              </w:rPr>
              <w:t>Percentage</w:t>
            </w:r>
          </w:p>
        </w:tc>
        <w:tc>
          <w:tcPr>
            <w:tcW w:w="1440" w:type="dxa"/>
            <w:vAlign w:val="bottom"/>
            <w:shd w:val="clear" w:color="auto" w:fill="C00000"/>
          </w:tcPr>
          <w:p>
            <w:pPr>
              <w:jc w:val="center"/>
              <w:ind w:right="94"/>
              <w:spacing w:after="0" w:line="123" w:lineRule="exact"/>
              <w:rPr>
                <w:sz w:val="20"/>
                <w:szCs w:val="20"/>
                <w:color w:val="auto"/>
              </w:rPr>
            </w:pPr>
            <w:r>
              <w:rPr>
                <w:rFonts w:ascii="Arial" w:cs="Arial" w:eastAsia="Arial" w:hAnsi="Arial"/>
                <w:sz w:val="11"/>
                <w:szCs w:val="11"/>
                <w:b w:val="1"/>
                <w:bCs w:val="1"/>
                <w:color w:val="FFFFFF"/>
              </w:rPr>
              <w:t>Incentive Award</w:t>
            </w:r>
          </w:p>
        </w:tc>
        <w:tc>
          <w:tcPr>
            <w:tcW w:w="1480" w:type="dxa"/>
            <w:vAlign w:val="bottom"/>
            <w:shd w:val="clear" w:color="auto" w:fill="C00000"/>
          </w:tcPr>
          <w:p>
            <w:pPr>
              <w:jc w:val="center"/>
              <w:ind w:right="174"/>
              <w:spacing w:after="0" w:line="123" w:lineRule="exact"/>
              <w:rPr>
                <w:sz w:val="20"/>
                <w:szCs w:val="20"/>
                <w:color w:val="auto"/>
              </w:rPr>
            </w:pPr>
            <w:r>
              <w:rPr>
                <w:rFonts w:ascii="Arial" w:cs="Arial" w:eastAsia="Arial" w:hAnsi="Arial"/>
                <w:sz w:val="11"/>
                <w:szCs w:val="11"/>
                <w:b w:val="1"/>
                <w:bCs w:val="1"/>
                <w:color w:val="FFFFFF"/>
              </w:rPr>
              <w:t>Compensation</w:t>
            </w:r>
          </w:p>
        </w:tc>
        <w:tc>
          <w:tcPr>
            <w:tcW w:w="1680" w:type="dxa"/>
            <w:vAlign w:val="bottom"/>
            <w:shd w:val="clear" w:color="auto" w:fill="C00000"/>
          </w:tcPr>
          <w:p>
            <w:pPr>
              <w:jc w:val="center"/>
              <w:ind w:right="35"/>
              <w:spacing w:after="0" w:line="123" w:lineRule="exact"/>
              <w:rPr>
                <w:sz w:val="20"/>
                <w:szCs w:val="20"/>
                <w:color w:val="auto"/>
              </w:rPr>
            </w:pPr>
            <w:r>
              <w:rPr>
                <w:rFonts w:ascii="Arial" w:cs="Arial" w:eastAsia="Arial" w:hAnsi="Arial"/>
                <w:sz w:val="11"/>
                <w:szCs w:val="11"/>
                <w:b w:val="1"/>
                <w:bCs w:val="1"/>
                <w:color w:val="FFFFFF"/>
              </w:rPr>
              <w:t>Compared to Market</w:t>
            </w:r>
          </w:p>
        </w:tc>
      </w:tr>
      <w:tr>
        <w:trPr>
          <w:trHeight w:val="142"/>
        </w:trPr>
        <w:tc>
          <w:tcPr>
            <w:tcW w:w="1780" w:type="dxa"/>
            <w:vAlign w:val="bottom"/>
            <w:shd w:val="clear" w:color="auto" w:fill="C00000"/>
          </w:tcPr>
          <w:p>
            <w:pPr>
              <w:spacing w:after="0"/>
              <w:rPr>
                <w:sz w:val="20"/>
                <w:szCs w:val="20"/>
                <w:color w:val="auto"/>
              </w:rPr>
            </w:pPr>
            <w:r>
              <w:rPr>
                <w:rFonts w:ascii="Arial" w:cs="Arial" w:eastAsia="Arial" w:hAnsi="Arial"/>
                <w:sz w:val="11"/>
                <w:szCs w:val="11"/>
                <w:b w:val="1"/>
                <w:bCs w:val="1"/>
                <w:color w:val="FFFFFF"/>
              </w:rPr>
              <w:t>Name</w:t>
            </w:r>
          </w:p>
        </w:tc>
        <w:tc>
          <w:tcPr>
            <w:tcW w:w="2240" w:type="dxa"/>
            <w:vAlign w:val="bottom"/>
            <w:shd w:val="clear" w:color="auto" w:fill="C00000"/>
          </w:tcPr>
          <w:p>
            <w:pPr>
              <w:jc w:val="center"/>
              <w:ind w:left="593"/>
              <w:spacing w:after="0"/>
              <w:rPr>
                <w:sz w:val="20"/>
                <w:szCs w:val="20"/>
                <w:color w:val="auto"/>
              </w:rPr>
            </w:pPr>
            <w:r>
              <w:rPr>
                <w:rFonts w:ascii="Arial" w:cs="Arial" w:eastAsia="Arial" w:hAnsi="Arial"/>
                <w:sz w:val="11"/>
                <w:szCs w:val="11"/>
                <w:b w:val="1"/>
                <w:bCs w:val="1"/>
                <w:color w:val="FFFFFF"/>
              </w:rPr>
              <w:t>($)</w:t>
            </w:r>
          </w:p>
        </w:tc>
        <w:tc>
          <w:tcPr>
            <w:tcW w:w="1480" w:type="dxa"/>
            <w:vAlign w:val="bottom"/>
            <w:shd w:val="clear" w:color="auto" w:fill="C00000"/>
          </w:tcPr>
          <w:p>
            <w:pPr>
              <w:jc w:val="center"/>
              <w:ind w:right="153"/>
              <w:spacing w:after="0"/>
              <w:rPr>
                <w:sz w:val="20"/>
                <w:szCs w:val="20"/>
                <w:color w:val="auto"/>
              </w:rPr>
            </w:pPr>
            <w:r>
              <w:rPr>
                <w:rFonts w:ascii="Arial" w:cs="Arial" w:eastAsia="Arial" w:hAnsi="Arial"/>
                <w:sz w:val="11"/>
                <w:szCs w:val="11"/>
                <w:b w:val="1"/>
                <w:bCs w:val="1"/>
                <w:color w:val="FFFFFF"/>
              </w:rPr>
              <w:t>(% of base salary)</w:t>
            </w:r>
          </w:p>
        </w:tc>
        <w:tc>
          <w:tcPr>
            <w:tcW w:w="1320" w:type="dxa"/>
            <w:vAlign w:val="bottom"/>
            <w:shd w:val="clear" w:color="auto" w:fill="C00000"/>
          </w:tcPr>
          <w:p>
            <w:pPr>
              <w:jc w:val="center"/>
              <w:ind w:right="154"/>
              <w:spacing w:after="0"/>
              <w:rPr>
                <w:sz w:val="20"/>
                <w:szCs w:val="20"/>
                <w:color w:val="auto"/>
              </w:rPr>
            </w:pPr>
            <w:r>
              <w:rPr>
                <w:rFonts w:ascii="Arial" w:cs="Arial" w:eastAsia="Arial" w:hAnsi="Arial"/>
                <w:sz w:val="11"/>
                <w:szCs w:val="11"/>
                <w:b w:val="1"/>
                <w:bCs w:val="1"/>
                <w:color w:val="FFFFFF"/>
              </w:rPr>
              <w:t>Change</w:t>
            </w:r>
          </w:p>
        </w:tc>
        <w:tc>
          <w:tcPr>
            <w:tcW w:w="1440" w:type="dxa"/>
            <w:vAlign w:val="bottom"/>
            <w:shd w:val="clear" w:color="auto" w:fill="C00000"/>
          </w:tcPr>
          <w:p>
            <w:pPr>
              <w:jc w:val="center"/>
              <w:ind w:right="74"/>
              <w:spacing w:after="0"/>
              <w:rPr>
                <w:sz w:val="20"/>
                <w:szCs w:val="20"/>
                <w:color w:val="auto"/>
              </w:rPr>
            </w:pPr>
            <w:r>
              <w:rPr>
                <w:rFonts w:ascii="Arial" w:cs="Arial" w:eastAsia="Arial" w:hAnsi="Arial"/>
                <w:sz w:val="11"/>
                <w:szCs w:val="11"/>
                <w:b w:val="1"/>
                <w:bCs w:val="1"/>
                <w:color w:val="FFFFFF"/>
              </w:rPr>
              <w:t>($)</w:t>
            </w:r>
          </w:p>
        </w:tc>
        <w:tc>
          <w:tcPr>
            <w:tcW w:w="1480" w:type="dxa"/>
            <w:vAlign w:val="bottom"/>
            <w:shd w:val="clear" w:color="auto" w:fill="C00000"/>
          </w:tcPr>
          <w:p>
            <w:pPr>
              <w:jc w:val="center"/>
              <w:ind w:right="194"/>
              <w:spacing w:after="0"/>
              <w:rPr>
                <w:sz w:val="20"/>
                <w:szCs w:val="20"/>
                <w:color w:val="auto"/>
              </w:rPr>
            </w:pPr>
            <w:r>
              <w:rPr>
                <w:rFonts w:ascii="Arial" w:cs="Arial" w:eastAsia="Arial" w:hAnsi="Arial"/>
                <w:sz w:val="11"/>
                <w:szCs w:val="11"/>
                <w:b w:val="1"/>
                <w:bCs w:val="1"/>
                <w:color w:val="FFFFFF"/>
              </w:rPr>
              <w:t>($)</w:t>
            </w:r>
          </w:p>
        </w:tc>
        <w:tc>
          <w:tcPr>
            <w:tcW w:w="1680" w:type="dxa"/>
            <w:vAlign w:val="bottom"/>
            <w:shd w:val="clear" w:color="auto" w:fill="C00000"/>
          </w:tcPr>
          <w:p>
            <w:pPr>
              <w:jc w:val="center"/>
              <w:ind w:right="35"/>
              <w:spacing w:after="0"/>
              <w:rPr>
                <w:sz w:val="20"/>
                <w:szCs w:val="20"/>
                <w:color w:val="auto"/>
              </w:rPr>
            </w:pPr>
            <w:r>
              <w:rPr>
                <w:rFonts w:ascii="Arial" w:cs="Arial" w:eastAsia="Arial" w:hAnsi="Arial"/>
                <w:sz w:val="11"/>
                <w:szCs w:val="11"/>
                <w:b w:val="1"/>
                <w:bCs w:val="1"/>
                <w:color w:val="FFFFFF"/>
              </w:rPr>
              <w:t>50</w:t>
            </w:r>
            <w:r>
              <w:rPr>
                <w:rFonts w:ascii="Arial" w:cs="Arial" w:eastAsia="Arial" w:hAnsi="Arial"/>
                <w:sz w:val="9"/>
                <w:szCs w:val="9"/>
                <w:b w:val="1"/>
                <w:bCs w:val="1"/>
                <w:color w:val="FFFFFF"/>
              </w:rPr>
              <w:t>th</w:t>
            </w:r>
            <w:r>
              <w:rPr>
                <w:rFonts w:ascii="Arial" w:cs="Arial" w:eastAsia="Arial" w:hAnsi="Arial"/>
                <w:sz w:val="11"/>
                <w:szCs w:val="11"/>
                <w:b w:val="1"/>
                <w:bCs w:val="1"/>
                <w:color w:val="FFFFFF"/>
              </w:rPr>
              <w:t xml:space="preserve"> Percentile</w:t>
            </w:r>
          </w:p>
        </w:tc>
      </w:tr>
      <w:tr>
        <w:trPr>
          <w:trHeight w:val="184"/>
        </w:trPr>
        <w:tc>
          <w:tcPr>
            <w:tcW w:w="1780" w:type="dxa"/>
            <w:vAlign w:val="bottom"/>
          </w:tcPr>
          <w:p>
            <w:pPr>
              <w:spacing w:after="0"/>
              <w:rPr>
                <w:sz w:val="20"/>
                <w:szCs w:val="20"/>
                <w:color w:val="auto"/>
              </w:rPr>
            </w:pPr>
            <w:r>
              <w:rPr>
                <w:rFonts w:ascii="Arial" w:cs="Arial" w:eastAsia="Arial" w:hAnsi="Arial"/>
                <w:sz w:val="15"/>
                <w:szCs w:val="15"/>
                <w:color w:val="auto"/>
              </w:rPr>
              <w:t>Mr. Olson</w:t>
            </w:r>
          </w:p>
        </w:tc>
        <w:tc>
          <w:tcPr>
            <w:tcW w:w="2240" w:type="dxa"/>
            <w:vAlign w:val="bottom"/>
          </w:tcPr>
          <w:p>
            <w:pPr>
              <w:jc w:val="right"/>
              <w:ind w:right="73"/>
              <w:spacing w:after="0"/>
              <w:rPr>
                <w:sz w:val="20"/>
                <w:szCs w:val="20"/>
                <w:color w:val="auto"/>
              </w:rPr>
            </w:pPr>
            <w:r>
              <w:rPr>
                <w:rFonts w:ascii="Arial" w:cs="Arial" w:eastAsia="Arial" w:hAnsi="Arial"/>
                <w:sz w:val="15"/>
                <w:szCs w:val="15"/>
                <w:color w:val="auto"/>
              </w:rPr>
              <w:t>925,000</w:t>
            </w:r>
          </w:p>
        </w:tc>
        <w:tc>
          <w:tcPr>
            <w:tcW w:w="1480" w:type="dxa"/>
            <w:vAlign w:val="bottom"/>
          </w:tcPr>
          <w:p>
            <w:pPr>
              <w:jc w:val="right"/>
              <w:ind w:right="133"/>
              <w:spacing w:after="0"/>
              <w:rPr>
                <w:sz w:val="20"/>
                <w:szCs w:val="20"/>
                <w:color w:val="auto"/>
              </w:rPr>
            </w:pPr>
            <w:r>
              <w:rPr>
                <w:rFonts w:ascii="Arial" w:cs="Arial" w:eastAsia="Arial" w:hAnsi="Arial"/>
                <w:sz w:val="15"/>
                <w:szCs w:val="15"/>
                <w:color w:val="auto"/>
              </w:rPr>
              <w:t>110%</w:t>
            </w:r>
          </w:p>
        </w:tc>
        <w:tc>
          <w:tcPr>
            <w:tcW w:w="1320" w:type="dxa"/>
            <w:vAlign w:val="bottom"/>
          </w:tcPr>
          <w:p>
            <w:pPr>
              <w:jc w:val="right"/>
              <w:ind w:right="54"/>
              <w:spacing w:after="0"/>
              <w:rPr>
                <w:sz w:val="20"/>
                <w:szCs w:val="20"/>
                <w:color w:val="auto"/>
              </w:rPr>
            </w:pPr>
            <w:r>
              <w:rPr>
                <w:rFonts w:ascii="Arial" w:cs="Arial" w:eastAsia="Arial" w:hAnsi="Arial"/>
                <w:sz w:val="15"/>
                <w:szCs w:val="15"/>
                <w:color w:val="auto"/>
              </w:rPr>
              <w:t>No Change</w:t>
            </w:r>
          </w:p>
        </w:tc>
        <w:tc>
          <w:tcPr>
            <w:tcW w:w="1440" w:type="dxa"/>
            <w:vAlign w:val="bottom"/>
          </w:tcPr>
          <w:p>
            <w:pPr>
              <w:jc w:val="right"/>
              <w:ind w:right="94"/>
              <w:spacing w:after="0"/>
              <w:rPr>
                <w:sz w:val="20"/>
                <w:szCs w:val="20"/>
                <w:color w:val="auto"/>
              </w:rPr>
            </w:pPr>
            <w:r>
              <w:rPr>
                <w:rFonts w:ascii="Arial" w:cs="Arial" w:eastAsia="Arial" w:hAnsi="Arial"/>
                <w:sz w:val="15"/>
                <w:szCs w:val="15"/>
                <w:color w:val="auto"/>
              </w:rPr>
              <w:t>1,017,500</w:t>
            </w:r>
          </w:p>
        </w:tc>
        <w:tc>
          <w:tcPr>
            <w:tcW w:w="1480" w:type="dxa"/>
            <w:vAlign w:val="bottom"/>
          </w:tcPr>
          <w:p>
            <w:pPr>
              <w:jc w:val="right"/>
              <w:ind w:right="154"/>
              <w:spacing w:after="0"/>
              <w:rPr>
                <w:sz w:val="20"/>
                <w:szCs w:val="20"/>
                <w:color w:val="auto"/>
              </w:rPr>
            </w:pPr>
            <w:r>
              <w:rPr>
                <w:rFonts w:ascii="Arial" w:cs="Arial" w:eastAsia="Arial" w:hAnsi="Arial"/>
                <w:sz w:val="15"/>
                <w:szCs w:val="15"/>
                <w:color w:val="auto"/>
              </w:rPr>
              <w:t>1,942,500</w:t>
            </w:r>
          </w:p>
        </w:tc>
        <w:tc>
          <w:tcPr>
            <w:tcW w:w="1680" w:type="dxa"/>
            <w:vAlign w:val="bottom"/>
          </w:tcPr>
          <w:p>
            <w:pPr>
              <w:jc w:val="right"/>
              <w:spacing w:after="0"/>
              <w:rPr>
                <w:sz w:val="20"/>
                <w:szCs w:val="20"/>
                <w:color w:val="auto"/>
              </w:rPr>
            </w:pPr>
            <w:r>
              <w:rPr>
                <w:rFonts w:ascii="Arial" w:cs="Arial" w:eastAsia="Arial" w:hAnsi="Arial"/>
                <w:sz w:val="15"/>
                <w:szCs w:val="15"/>
                <w:color w:val="auto"/>
              </w:rPr>
              <w:t>8% below</w:t>
            </w:r>
          </w:p>
        </w:tc>
      </w:tr>
      <w:tr>
        <w:trPr>
          <w:trHeight w:val="184"/>
        </w:trPr>
        <w:tc>
          <w:tcPr>
            <w:tcW w:w="178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2240" w:type="dxa"/>
            <w:vAlign w:val="bottom"/>
            <w:shd w:val="clear" w:color="auto" w:fill="D9D9D9"/>
          </w:tcPr>
          <w:p>
            <w:pPr>
              <w:jc w:val="right"/>
              <w:ind w:right="73"/>
              <w:spacing w:after="0"/>
              <w:rPr>
                <w:sz w:val="20"/>
                <w:szCs w:val="20"/>
                <w:color w:val="auto"/>
              </w:rPr>
            </w:pPr>
            <w:r>
              <w:rPr>
                <w:rFonts w:ascii="Arial" w:cs="Arial" w:eastAsia="Arial" w:hAnsi="Arial"/>
                <w:sz w:val="15"/>
                <w:szCs w:val="15"/>
                <w:color w:val="auto"/>
              </w:rPr>
              <w:t>535,500</w:t>
            </w:r>
          </w:p>
        </w:tc>
        <w:tc>
          <w:tcPr>
            <w:tcW w:w="1480" w:type="dxa"/>
            <w:vAlign w:val="bottom"/>
            <w:shd w:val="clear" w:color="auto" w:fill="D9D9D9"/>
          </w:tcPr>
          <w:p>
            <w:pPr>
              <w:jc w:val="right"/>
              <w:ind w:right="133"/>
              <w:spacing w:after="0"/>
              <w:rPr>
                <w:sz w:val="20"/>
                <w:szCs w:val="20"/>
                <w:color w:val="auto"/>
              </w:rPr>
            </w:pPr>
            <w:r>
              <w:rPr>
                <w:rFonts w:ascii="Arial" w:cs="Arial" w:eastAsia="Arial" w:hAnsi="Arial"/>
                <w:sz w:val="15"/>
                <w:szCs w:val="15"/>
                <w:color w:val="auto"/>
              </w:rPr>
              <w:t>75%</w:t>
            </w:r>
          </w:p>
        </w:tc>
        <w:tc>
          <w:tcPr>
            <w:tcW w:w="1320" w:type="dxa"/>
            <w:vAlign w:val="bottom"/>
            <w:shd w:val="clear" w:color="auto" w:fill="D9D9D9"/>
          </w:tcPr>
          <w:p>
            <w:pPr>
              <w:jc w:val="right"/>
              <w:ind w:right="54"/>
              <w:spacing w:after="0"/>
              <w:rPr>
                <w:sz w:val="20"/>
                <w:szCs w:val="20"/>
                <w:color w:val="auto"/>
              </w:rPr>
            </w:pPr>
            <w:r>
              <w:rPr>
                <w:rFonts w:ascii="Arial" w:cs="Arial" w:eastAsia="Arial" w:hAnsi="Arial"/>
                <w:sz w:val="15"/>
                <w:szCs w:val="15"/>
                <w:color w:val="auto"/>
              </w:rPr>
              <w:t>No Change</w:t>
            </w:r>
          </w:p>
        </w:tc>
        <w:tc>
          <w:tcPr>
            <w:tcW w:w="1440" w:type="dxa"/>
            <w:vAlign w:val="bottom"/>
            <w:shd w:val="clear" w:color="auto" w:fill="D9D9D9"/>
          </w:tcPr>
          <w:p>
            <w:pPr>
              <w:jc w:val="right"/>
              <w:ind w:right="94"/>
              <w:spacing w:after="0"/>
              <w:rPr>
                <w:sz w:val="20"/>
                <w:szCs w:val="20"/>
                <w:color w:val="auto"/>
              </w:rPr>
            </w:pPr>
            <w:r>
              <w:rPr>
                <w:rFonts w:ascii="Arial" w:cs="Arial" w:eastAsia="Arial" w:hAnsi="Arial"/>
                <w:sz w:val="15"/>
                <w:szCs w:val="15"/>
                <w:color w:val="auto"/>
              </w:rPr>
              <w:t>401,625</w:t>
            </w:r>
          </w:p>
        </w:tc>
        <w:tc>
          <w:tcPr>
            <w:tcW w:w="1480" w:type="dxa"/>
            <w:vAlign w:val="bottom"/>
            <w:shd w:val="clear" w:color="auto" w:fill="D9D9D9"/>
          </w:tcPr>
          <w:p>
            <w:pPr>
              <w:jc w:val="right"/>
              <w:ind w:right="154"/>
              <w:spacing w:after="0"/>
              <w:rPr>
                <w:sz w:val="20"/>
                <w:szCs w:val="20"/>
                <w:color w:val="auto"/>
              </w:rPr>
            </w:pPr>
            <w:r>
              <w:rPr>
                <w:rFonts w:ascii="Arial" w:cs="Arial" w:eastAsia="Arial" w:hAnsi="Arial"/>
                <w:sz w:val="15"/>
                <w:szCs w:val="15"/>
                <w:color w:val="auto"/>
              </w:rPr>
              <w:t>937,125</w:t>
            </w:r>
          </w:p>
        </w:tc>
        <w:tc>
          <w:tcPr>
            <w:tcW w:w="16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 above</w:t>
            </w:r>
          </w:p>
        </w:tc>
      </w:tr>
      <w:tr>
        <w:trPr>
          <w:trHeight w:val="184"/>
        </w:trPr>
        <w:tc>
          <w:tcPr>
            <w:tcW w:w="1780" w:type="dxa"/>
            <w:vAlign w:val="bottom"/>
          </w:tcPr>
          <w:p>
            <w:pPr>
              <w:spacing w:after="0"/>
              <w:rPr>
                <w:sz w:val="20"/>
                <w:szCs w:val="20"/>
                <w:color w:val="auto"/>
              </w:rPr>
            </w:pPr>
            <w:r>
              <w:rPr>
                <w:rFonts w:ascii="Arial" w:cs="Arial" w:eastAsia="Arial" w:hAnsi="Arial"/>
                <w:sz w:val="15"/>
                <w:szCs w:val="15"/>
                <w:color w:val="auto"/>
              </w:rPr>
              <w:t>Mr. Dordell</w:t>
            </w:r>
          </w:p>
        </w:tc>
        <w:tc>
          <w:tcPr>
            <w:tcW w:w="2240" w:type="dxa"/>
            <w:vAlign w:val="bottom"/>
          </w:tcPr>
          <w:p>
            <w:pPr>
              <w:jc w:val="right"/>
              <w:ind w:right="73"/>
              <w:spacing w:after="0"/>
              <w:rPr>
                <w:sz w:val="20"/>
                <w:szCs w:val="20"/>
                <w:color w:val="auto"/>
              </w:rPr>
            </w:pPr>
            <w:r>
              <w:rPr>
                <w:rFonts w:ascii="Arial" w:cs="Arial" w:eastAsia="Arial" w:hAnsi="Arial"/>
                <w:sz w:val="15"/>
                <w:szCs w:val="15"/>
                <w:color w:val="auto"/>
              </w:rPr>
              <w:t>451,000</w:t>
            </w:r>
          </w:p>
        </w:tc>
        <w:tc>
          <w:tcPr>
            <w:tcW w:w="1480" w:type="dxa"/>
            <w:vAlign w:val="bottom"/>
          </w:tcPr>
          <w:p>
            <w:pPr>
              <w:jc w:val="right"/>
              <w:ind w:right="133"/>
              <w:spacing w:after="0"/>
              <w:rPr>
                <w:sz w:val="20"/>
                <w:szCs w:val="20"/>
                <w:color w:val="auto"/>
              </w:rPr>
            </w:pPr>
            <w:r>
              <w:rPr>
                <w:rFonts w:ascii="Arial" w:cs="Arial" w:eastAsia="Arial" w:hAnsi="Arial"/>
                <w:sz w:val="15"/>
                <w:szCs w:val="15"/>
                <w:color w:val="auto"/>
              </w:rPr>
              <w:t>60%</w:t>
            </w:r>
          </w:p>
        </w:tc>
        <w:tc>
          <w:tcPr>
            <w:tcW w:w="1320" w:type="dxa"/>
            <w:vAlign w:val="bottom"/>
          </w:tcPr>
          <w:p>
            <w:pPr>
              <w:jc w:val="right"/>
              <w:ind w:right="54"/>
              <w:spacing w:after="0"/>
              <w:rPr>
                <w:sz w:val="20"/>
                <w:szCs w:val="20"/>
                <w:color w:val="auto"/>
              </w:rPr>
            </w:pPr>
            <w:r>
              <w:rPr>
                <w:rFonts w:ascii="Arial" w:cs="Arial" w:eastAsia="Arial" w:hAnsi="Arial"/>
                <w:sz w:val="15"/>
                <w:szCs w:val="15"/>
                <w:color w:val="auto"/>
              </w:rPr>
              <w:t>No Change</w:t>
            </w:r>
          </w:p>
        </w:tc>
        <w:tc>
          <w:tcPr>
            <w:tcW w:w="1440" w:type="dxa"/>
            <w:vAlign w:val="bottom"/>
          </w:tcPr>
          <w:p>
            <w:pPr>
              <w:jc w:val="right"/>
              <w:ind w:right="94"/>
              <w:spacing w:after="0"/>
              <w:rPr>
                <w:sz w:val="20"/>
                <w:szCs w:val="20"/>
                <w:color w:val="auto"/>
              </w:rPr>
            </w:pPr>
            <w:r>
              <w:rPr>
                <w:rFonts w:ascii="Arial" w:cs="Arial" w:eastAsia="Arial" w:hAnsi="Arial"/>
                <w:sz w:val="15"/>
                <w:szCs w:val="15"/>
                <w:color w:val="auto"/>
              </w:rPr>
              <w:t>270,600</w:t>
            </w:r>
          </w:p>
        </w:tc>
        <w:tc>
          <w:tcPr>
            <w:tcW w:w="1480" w:type="dxa"/>
            <w:vAlign w:val="bottom"/>
          </w:tcPr>
          <w:p>
            <w:pPr>
              <w:jc w:val="right"/>
              <w:ind w:right="154"/>
              <w:spacing w:after="0"/>
              <w:rPr>
                <w:sz w:val="20"/>
                <w:szCs w:val="20"/>
                <w:color w:val="auto"/>
              </w:rPr>
            </w:pPr>
            <w:r>
              <w:rPr>
                <w:rFonts w:ascii="Arial" w:cs="Arial" w:eastAsia="Arial" w:hAnsi="Arial"/>
                <w:sz w:val="15"/>
                <w:szCs w:val="15"/>
                <w:color w:val="auto"/>
              </w:rPr>
              <w:t>721,600</w:t>
            </w:r>
          </w:p>
        </w:tc>
        <w:tc>
          <w:tcPr>
            <w:tcW w:w="1680" w:type="dxa"/>
            <w:vAlign w:val="bottom"/>
          </w:tcPr>
          <w:p>
            <w:pPr>
              <w:jc w:val="right"/>
              <w:spacing w:after="0"/>
              <w:rPr>
                <w:sz w:val="20"/>
                <w:szCs w:val="20"/>
                <w:color w:val="auto"/>
              </w:rPr>
            </w:pPr>
            <w:r>
              <w:rPr>
                <w:rFonts w:ascii="Arial" w:cs="Arial" w:eastAsia="Arial" w:hAnsi="Arial"/>
                <w:sz w:val="15"/>
                <w:szCs w:val="15"/>
                <w:color w:val="auto"/>
              </w:rPr>
              <w:t>At market</w:t>
            </w:r>
          </w:p>
        </w:tc>
      </w:tr>
      <w:tr>
        <w:trPr>
          <w:trHeight w:val="184"/>
        </w:trPr>
        <w:tc>
          <w:tcPr>
            <w:tcW w:w="1780" w:type="dxa"/>
            <w:vAlign w:val="bottom"/>
            <w:shd w:val="clear" w:color="auto" w:fill="D9D9D9"/>
          </w:tcPr>
          <w:p>
            <w:pPr>
              <w:spacing w:after="0"/>
              <w:rPr>
                <w:sz w:val="20"/>
                <w:szCs w:val="20"/>
                <w:color w:val="auto"/>
              </w:rPr>
            </w:pPr>
            <w:r>
              <w:rPr>
                <w:rFonts w:ascii="Arial" w:cs="Arial" w:eastAsia="Arial" w:hAnsi="Arial"/>
                <w:sz w:val="15"/>
                <w:szCs w:val="15"/>
                <w:color w:val="auto"/>
              </w:rPr>
              <w:t>Mr. Hamilton</w:t>
            </w:r>
          </w:p>
        </w:tc>
        <w:tc>
          <w:tcPr>
            <w:tcW w:w="2240" w:type="dxa"/>
            <w:vAlign w:val="bottom"/>
            <w:shd w:val="clear" w:color="auto" w:fill="D9D9D9"/>
          </w:tcPr>
          <w:p>
            <w:pPr>
              <w:jc w:val="right"/>
              <w:ind w:right="73"/>
              <w:spacing w:after="0"/>
              <w:rPr>
                <w:sz w:val="20"/>
                <w:szCs w:val="20"/>
                <w:color w:val="auto"/>
              </w:rPr>
            </w:pPr>
            <w:r>
              <w:rPr>
                <w:rFonts w:ascii="Arial" w:cs="Arial" w:eastAsia="Arial" w:hAnsi="Arial"/>
                <w:sz w:val="15"/>
                <w:szCs w:val="15"/>
                <w:color w:val="auto"/>
              </w:rPr>
              <w:t>400,000</w:t>
            </w:r>
          </w:p>
        </w:tc>
        <w:tc>
          <w:tcPr>
            <w:tcW w:w="1480" w:type="dxa"/>
            <w:vAlign w:val="bottom"/>
            <w:shd w:val="clear" w:color="auto" w:fill="D9D9D9"/>
          </w:tcPr>
          <w:p>
            <w:pPr>
              <w:jc w:val="right"/>
              <w:ind w:right="133"/>
              <w:spacing w:after="0"/>
              <w:rPr>
                <w:sz w:val="20"/>
                <w:szCs w:val="20"/>
                <w:color w:val="auto"/>
              </w:rPr>
            </w:pPr>
            <w:r>
              <w:rPr>
                <w:rFonts w:ascii="Arial" w:cs="Arial" w:eastAsia="Arial" w:hAnsi="Arial"/>
                <w:sz w:val="15"/>
                <w:szCs w:val="15"/>
                <w:color w:val="auto"/>
              </w:rPr>
              <w:t>60%</w:t>
            </w:r>
          </w:p>
        </w:tc>
        <w:tc>
          <w:tcPr>
            <w:tcW w:w="1320" w:type="dxa"/>
            <w:vAlign w:val="bottom"/>
            <w:shd w:val="clear" w:color="auto" w:fill="D9D9D9"/>
          </w:tcPr>
          <w:p>
            <w:pPr>
              <w:jc w:val="right"/>
              <w:ind w:right="54"/>
              <w:spacing w:after="0"/>
              <w:rPr>
                <w:sz w:val="20"/>
                <w:szCs w:val="20"/>
                <w:color w:val="auto"/>
              </w:rPr>
            </w:pPr>
            <w:r>
              <w:rPr>
                <w:rFonts w:ascii="Arial" w:cs="Arial" w:eastAsia="Arial" w:hAnsi="Arial"/>
                <w:sz w:val="15"/>
                <w:szCs w:val="15"/>
                <w:color w:val="auto"/>
              </w:rPr>
              <w:t>+5%</w:t>
            </w:r>
          </w:p>
        </w:tc>
        <w:tc>
          <w:tcPr>
            <w:tcW w:w="1440" w:type="dxa"/>
            <w:vAlign w:val="bottom"/>
            <w:shd w:val="clear" w:color="auto" w:fill="D9D9D9"/>
          </w:tcPr>
          <w:p>
            <w:pPr>
              <w:jc w:val="right"/>
              <w:ind w:right="94"/>
              <w:spacing w:after="0"/>
              <w:rPr>
                <w:sz w:val="20"/>
                <w:szCs w:val="20"/>
                <w:color w:val="auto"/>
              </w:rPr>
            </w:pPr>
            <w:r>
              <w:rPr>
                <w:rFonts w:ascii="Arial" w:cs="Arial" w:eastAsia="Arial" w:hAnsi="Arial"/>
                <w:sz w:val="15"/>
                <w:szCs w:val="15"/>
                <w:color w:val="auto"/>
              </w:rPr>
              <w:t>240,000</w:t>
            </w:r>
          </w:p>
        </w:tc>
        <w:tc>
          <w:tcPr>
            <w:tcW w:w="1480" w:type="dxa"/>
            <w:vAlign w:val="bottom"/>
            <w:shd w:val="clear" w:color="auto" w:fill="D9D9D9"/>
          </w:tcPr>
          <w:p>
            <w:pPr>
              <w:jc w:val="right"/>
              <w:ind w:right="154"/>
              <w:spacing w:after="0"/>
              <w:rPr>
                <w:sz w:val="20"/>
                <w:szCs w:val="20"/>
                <w:color w:val="auto"/>
              </w:rPr>
            </w:pPr>
            <w:r>
              <w:rPr>
                <w:rFonts w:ascii="Arial" w:cs="Arial" w:eastAsia="Arial" w:hAnsi="Arial"/>
                <w:sz w:val="15"/>
                <w:szCs w:val="15"/>
                <w:color w:val="auto"/>
              </w:rPr>
              <w:t>640,000</w:t>
            </w:r>
          </w:p>
        </w:tc>
        <w:tc>
          <w:tcPr>
            <w:tcW w:w="16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19% below</w:t>
            </w:r>
          </w:p>
        </w:tc>
      </w:tr>
      <w:tr>
        <w:trPr>
          <w:trHeight w:val="328"/>
        </w:trPr>
        <w:tc>
          <w:tcPr>
            <w:tcW w:w="1780" w:type="dxa"/>
            <w:vAlign w:val="bottom"/>
          </w:tcPr>
          <w:p>
            <w:pPr>
              <w:spacing w:after="0"/>
              <w:rPr>
                <w:sz w:val="20"/>
                <w:szCs w:val="20"/>
                <w:color w:val="auto"/>
              </w:rPr>
            </w:pPr>
            <w:r>
              <w:rPr>
                <w:rFonts w:ascii="Arial" w:cs="Arial" w:eastAsia="Arial" w:hAnsi="Arial"/>
                <w:sz w:val="15"/>
                <w:szCs w:val="15"/>
                <w:color w:val="auto"/>
              </w:rPr>
              <w:t>Mr. Rodier</w:t>
            </w:r>
            <w:r>
              <w:rPr>
                <w:rFonts w:ascii="Arial" w:cs="Arial" w:eastAsia="Arial" w:hAnsi="Arial"/>
                <w:sz w:val="24"/>
                <w:szCs w:val="24"/>
                <w:color w:val="auto"/>
                <w:vertAlign w:val="superscript"/>
              </w:rPr>
              <w:t>(1)</w:t>
            </w:r>
          </w:p>
        </w:tc>
        <w:tc>
          <w:tcPr>
            <w:tcW w:w="2240" w:type="dxa"/>
            <w:vAlign w:val="bottom"/>
          </w:tcPr>
          <w:p>
            <w:pPr>
              <w:jc w:val="right"/>
              <w:ind w:right="73"/>
              <w:spacing w:after="0"/>
              <w:rPr>
                <w:sz w:val="20"/>
                <w:szCs w:val="20"/>
                <w:color w:val="auto"/>
              </w:rPr>
            </w:pPr>
            <w:r>
              <w:rPr>
                <w:rFonts w:ascii="Arial" w:cs="Arial" w:eastAsia="Arial" w:hAnsi="Arial"/>
                <w:sz w:val="15"/>
                <w:szCs w:val="15"/>
                <w:color w:val="auto"/>
              </w:rPr>
              <w:t>385,000</w:t>
            </w:r>
          </w:p>
        </w:tc>
        <w:tc>
          <w:tcPr>
            <w:tcW w:w="1480" w:type="dxa"/>
            <w:vAlign w:val="bottom"/>
          </w:tcPr>
          <w:p>
            <w:pPr>
              <w:jc w:val="right"/>
              <w:ind w:right="133"/>
              <w:spacing w:after="0"/>
              <w:rPr>
                <w:sz w:val="20"/>
                <w:szCs w:val="20"/>
                <w:color w:val="auto"/>
              </w:rPr>
            </w:pPr>
            <w:r>
              <w:rPr>
                <w:rFonts w:ascii="Arial" w:cs="Arial" w:eastAsia="Arial" w:hAnsi="Arial"/>
                <w:sz w:val="15"/>
                <w:szCs w:val="15"/>
                <w:color w:val="auto"/>
              </w:rPr>
              <w:t>60%</w:t>
            </w:r>
          </w:p>
        </w:tc>
        <w:tc>
          <w:tcPr>
            <w:tcW w:w="1320" w:type="dxa"/>
            <w:vAlign w:val="bottom"/>
          </w:tcPr>
          <w:p>
            <w:pPr>
              <w:jc w:val="right"/>
              <w:ind w:right="54"/>
              <w:spacing w:after="0"/>
              <w:rPr>
                <w:sz w:val="20"/>
                <w:szCs w:val="20"/>
                <w:color w:val="auto"/>
              </w:rPr>
            </w:pPr>
            <w:r>
              <w:rPr>
                <w:rFonts w:ascii="Arial" w:cs="Arial" w:eastAsia="Arial" w:hAnsi="Arial"/>
                <w:sz w:val="15"/>
                <w:szCs w:val="15"/>
                <w:color w:val="auto"/>
              </w:rPr>
              <w:t>+10%</w:t>
            </w:r>
          </w:p>
        </w:tc>
        <w:tc>
          <w:tcPr>
            <w:tcW w:w="1440" w:type="dxa"/>
            <w:vAlign w:val="bottom"/>
          </w:tcPr>
          <w:p>
            <w:pPr>
              <w:jc w:val="right"/>
              <w:ind w:right="94"/>
              <w:spacing w:after="0"/>
              <w:rPr>
                <w:sz w:val="20"/>
                <w:szCs w:val="20"/>
                <w:color w:val="auto"/>
              </w:rPr>
            </w:pPr>
            <w:r>
              <w:rPr>
                <w:rFonts w:ascii="Arial" w:cs="Arial" w:eastAsia="Arial" w:hAnsi="Arial"/>
                <w:sz w:val="15"/>
                <w:szCs w:val="15"/>
                <w:color w:val="auto"/>
              </w:rPr>
              <w:t>231,000</w:t>
            </w:r>
          </w:p>
        </w:tc>
        <w:tc>
          <w:tcPr>
            <w:tcW w:w="1480" w:type="dxa"/>
            <w:vAlign w:val="bottom"/>
          </w:tcPr>
          <w:p>
            <w:pPr>
              <w:jc w:val="right"/>
              <w:ind w:right="154"/>
              <w:spacing w:after="0"/>
              <w:rPr>
                <w:sz w:val="20"/>
                <w:szCs w:val="20"/>
                <w:color w:val="auto"/>
              </w:rPr>
            </w:pPr>
            <w:r>
              <w:rPr>
                <w:rFonts w:ascii="Arial" w:cs="Arial" w:eastAsia="Arial" w:hAnsi="Arial"/>
                <w:sz w:val="15"/>
                <w:szCs w:val="15"/>
                <w:color w:val="auto"/>
              </w:rPr>
              <w:t>616,000</w:t>
            </w:r>
          </w:p>
        </w:tc>
        <w:tc>
          <w:tcPr>
            <w:tcW w:w="1680" w:type="dxa"/>
            <w:vAlign w:val="bottom"/>
          </w:tcPr>
          <w:p>
            <w:pPr>
              <w:jc w:val="right"/>
              <w:spacing w:after="0"/>
              <w:rPr>
                <w:sz w:val="20"/>
                <w:szCs w:val="20"/>
                <w:color w:val="auto"/>
              </w:rPr>
            </w:pPr>
            <w:r>
              <w:rPr>
                <w:rFonts w:ascii="Arial" w:cs="Arial" w:eastAsia="Arial" w:hAnsi="Arial"/>
                <w:sz w:val="15"/>
                <w:szCs w:val="15"/>
                <w:color w:val="auto"/>
              </w:rPr>
              <w:t>14%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07772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ind w:left="402" w:hanging="402"/>
        <w:spacing w:after="0" w:line="243" w:lineRule="auto"/>
        <w:tabs>
          <w:tab w:leader="none" w:pos="4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Numbers for Mr. Rodier represent his annual base salary and target award percentage, each as increased on April 1, 2019, the corresponding target annual cash incentive award and target total cash compensation and the comparison of his target total fiscal 2019 cash compensation as of April 1, 2019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for a group vice president role. Mr. Rodier’s target annual cash incentive for the grants provided to him each at the beginning of fiscal 2019 and in connection with his promotion to Group Vice President on April 1, 2019 are disclosed in the “Estimated Future Payouts Under Non-Equity Incentive Plan Awards” column of the “Grants of Plan-Based Awards for Fiscal 2019” table beginning on page 46.</w:t>
      </w:r>
    </w:p>
    <w:p>
      <w:pPr>
        <w:spacing w:after="0" w:line="184" w:lineRule="exact"/>
        <w:rPr>
          <w:sz w:val="20"/>
          <w:szCs w:val="20"/>
          <w:color w:val="auto"/>
        </w:rPr>
      </w:pPr>
    </w:p>
    <w:p>
      <w:pPr>
        <w:ind w:left="2" w:right="120" w:firstLine="408"/>
        <w:spacing w:after="0" w:line="242" w:lineRule="auto"/>
        <w:rPr>
          <w:sz w:val="20"/>
          <w:szCs w:val="20"/>
          <w:color w:val="auto"/>
        </w:rPr>
      </w:pPr>
      <w:r>
        <w:rPr>
          <w:rFonts w:ascii="Arial" w:cs="Arial" w:eastAsia="Arial" w:hAnsi="Arial"/>
          <w:sz w:val="16"/>
          <w:szCs w:val="16"/>
          <w:color w:val="auto"/>
        </w:rPr>
        <w:t>We believe that the fiscal 2019 target annual cash incentive awards are within a reasonable range of market competitive annual cash incentive opportunities given all relevant factors described previously and that the differentiation of target awards among our named executive officers was appropriate given the scope and responsibility of their respective positions. The change in the target award for Messrs. Hamilton and Rodier, in combination with their base salary increases, were made to reflect the significant increase in their duties and responsibilities as Group Vice Presidents and to bring their target total cash compensation levels closer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The Committee determined it was appropriate to keep the target awards for fiscal 2019 consistent with those in fiscal 2018 for the other named executive officers.</w:t>
      </w:r>
    </w:p>
    <w:p>
      <w:pPr>
        <w:spacing w:after="0" w:line="88" w:lineRule="exact"/>
        <w:rPr>
          <w:sz w:val="20"/>
          <w:szCs w:val="20"/>
          <w:color w:val="auto"/>
        </w:rPr>
      </w:pPr>
    </w:p>
    <w:p>
      <w:pPr>
        <w:ind w:left="2" w:right="180" w:firstLine="408"/>
        <w:spacing w:after="0" w:line="255" w:lineRule="auto"/>
        <w:rPr>
          <w:sz w:val="20"/>
          <w:szCs w:val="20"/>
          <w:color w:val="auto"/>
        </w:rPr>
      </w:pPr>
      <w:r>
        <w:rPr>
          <w:rFonts w:ascii="Arial" w:cs="Arial" w:eastAsia="Arial" w:hAnsi="Arial"/>
          <w:sz w:val="16"/>
          <w:szCs w:val="16"/>
          <w:color w:val="auto"/>
        </w:rPr>
        <w:t>Details regarding actual total cash compensation for fiscal 2019 can be found under “Annual Cash Incentives—Actual Cash Compensation Discussion and Analysis” beginning on page 37.</w:t>
      </w:r>
    </w:p>
    <w:p>
      <w:pPr>
        <w:spacing w:after="0" w:line="59" w:lineRule="exact"/>
        <w:rPr>
          <w:sz w:val="20"/>
          <w:szCs w:val="20"/>
          <w:color w:val="auto"/>
        </w:rPr>
      </w:pPr>
    </w:p>
    <w:p>
      <w:pPr>
        <w:ind w:left="2" w:right="320" w:firstLine="408"/>
        <w:spacing w:after="0" w:line="257" w:lineRule="auto"/>
        <w:rPr>
          <w:sz w:val="20"/>
          <w:szCs w:val="20"/>
          <w:color w:val="auto"/>
        </w:rPr>
      </w:pPr>
      <w:r>
        <w:rPr>
          <w:rFonts w:ascii="Arial" w:cs="Arial" w:eastAsia="Arial" w:hAnsi="Arial"/>
          <w:sz w:val="16"/>
          <w:szCs w:val="16"/>
          <w:i w:val="1"/>
          <w:iCs w:val="1"/>
          <w:color w:val="auto"/>
        </w:rPr>
        <w:t xml:space="preserve">Performance Measures, Weightings and Goals. </w:t>
      </w:r>
      <w:r>
        <w:rPr>
          <w:rFonts w:ascii="Arial" w:cs="Arial" w:eastAsia="Arial" w:hAnsi="Arial"/>
          <w:sz w:val="16"/>
          <w:szCs w:val="16"/>
          <w:color w:val="auto"/>
        </w:rPr>
        <w:t>Each year, the Committee determines performance measures, weightings, goals and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events, if any, for the annual cash incentive awards. We believe that in order to motivate our executive officers to achieve annual financial business goals, it is important to select performance measures designed to motivate our executive officers to achieve our annual</w:t>
      </w:r>
    </w:p>
    <w:p>
      <w:pPr>
        <w:spacing w:after="0" w:line="17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46" w:name="page47"/>
    <w:bookmarkEnd w:id="46"/>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2" w:right="100"/>
        <w:spacing w:after="0" w:line="244" w:lineRule="auto"/>
        <w:rPr>
          <w:sz w:val="20"/>
          <w:szCs w:val="20"/>
          <w:color w:val="auto"/>
        </w:rPr>
      </w:pPr>
      <w:r>
        <w:rPr>
          <w:rFonts w:ascii="Arial" w:cs="Arial" w:eastAsia="Arial" w:hAnsi="Arial"/>
          <w:sz w:val="16"/>
          <w:szCs w:val="16"/>
          <w:color w:val="auto"/>
        </w:rPr>
        <w:t>financial plan, as well as drive shareholder value. Key drivers in our annual financial plan for fiscal 2019 included profitability, revenue growth, and asset efficiency and, accordingly, the corporate and division performance measures for fiscal 2019 and their weightings, which are set forth in the table below, were intended to support these key drivers. In addition, in connection with our CMW acquisition, performance measures, weightings and goals that had historically been used by the CMW organization were established for Mr. Rodier to ensure a focus on the integration and continued growth of the CMW businesses.</w:t>
      </w:r>
    </w:p>
    <w:p>
      <w:pPr>
        <w:spacing w:after="0" w:line="85" w:lineRule="exact"/>
        <w:rPr>
          <w:sz w:val="20"/>
          <w:szCs w:val="20"/>
          <w:color w:val="auto"/>
        </w:rPr>
      </w:pPr>
    </w:p>
    <w:p>
      <w:pPr>
        <w:ind w:left="402"/>
        <w:spacing w:after="0"/>
        <w:rPr>
          <w:sz w:val="20"/>
          <w:szCs w:val="20"/>
          <w:color w:val="auto"/>
        </w:rPr>
      </w:pPr>
      <w:r>
        <w:rPr>
          <w:rFonts w:ascii="Arial" w:cs="Arial" w:eastAsia="Arial" w:hAnsi="Arial"/>
          <w:sz w:val="16"/>
          <w:szCs w:val="16"/>
          <w:color w:val="auto"/>
        </w:rPr>
        <w:t>The corporate and division performance measures and weightings established at the beginning of fiscal 2019, were as follows:</w:t>
      </w:r>
    </w:p>
    <w:p>
      <w:pPr>
        <w:spacing w:after="0" w:line="99"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42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Corporate Performance Measures</w:t>
            </w:r>
          </w:p>
        </w:tc>
        <w:tc>
          <w:tcPr>
            <w:tcW w:w="7200" w:type="dxa"/>
            <w:vAlign w:val="bottom"/>
            <w:shd w:val="clear" w:color="auto" w:fill="C00000"/>
          </w:tcPr>
          <w:p>
            <w:pPr>
              <w:ind w:left="1600"/>
              <w:spacing w:after="0"/>
              <w:rPr>
                <w:sz w:val="20"/>
                <w:szCs w:val="20"/>
                <w:color w:val="auto"/>
              </w:rPr>
            </w:pPr>
            <w:r>
              <w:rPr>
                <w:rFonts w:ascii="Arial" w:cs="Arial" w:eastAsia="Arial" w:hAnsi="Arial"/>
                <w:sz w:val="13"/>
                <w:szCs w:val="13"/>
                <w:b w:val="1"/>
                <w:bCs w:val="1"/>
                <w:color w:val="FFFFFF"/>
              </w:rPr>
              <w:t>Division Performance Measures</w:t>
            </w:r>
          </w:p>
        </w:tc>
      </w:tr>
      <w:tr>
        <w:trPr>
          <w:trHeight w:val="184"/>
        </w:trPr>
        <w:tc>
          <w:tcPr>
            <w:tcW w:w="4220" w:type="dxa"/>
            <w:vAlign w:val="bottom"/>
          </w:tcPr>
          <w:p>
            <w:pPr>
              <w:spacing w:after="0"/>
              <w:rPr>
                <w:sz w:val="20"/>
                <w:szCs w:val="20"/>
                <w:color w:val="auto"/>
              </w:rPr>
            </w:pPr>
            <w:r>
              <w:rPr>
                <w:rFonts w:ascii="Arial" w:cs="Arial" w:eastAsia="Arial" w:hAnsi="Arial"/>
                <w:sz w:val="15"/>
                <w:szCs w:val="15"/>
                <w:color w:val="auto"/>
              </w:rPr>
              <w:t>50% diluted net EPS</w:t>
            </w:r>
          </w:p>
        </w:tc>
        <w:tc>
          <w:tcPr>
            <w:tcW w:w="7200" w:type="dxa"/>
            <w:vAlign w:val="bottom"/>
          </w:tcPr>
          <w:p>
            <w:pPr>
              <w:ind w:left="1600"/>
              <w:spacing w:after="0" w:line="184" w:lineRule="exact"/>
              <w:rPr>
                <w:sz w:val="20"/>
                <w:szCs w:val="20"/>
                <w:color w:val="auto"/>
              </w:rPr>
            </w:pPr>
            <w:r>
              <w:rPr>
                <w:rFonts w:ascii="Arial" w:cs="Arial" w:eastAsia="Arial" w:hAnsi="Arial"/>
                <w:sz w:val="13"/>
                <w:szCs w:val="13"/>
                <w:color w:val="auto"/>
              </w:rPr>
              <w:t>50% division CPC</w:t>
            </w:r>
            <w:r>
              <w:rPr>
                <w:rFonts w:ascii="Arial" w:cs="Arial" w:eastAsia="Arial" w:hAnsi="Arial"/>
                <w:sz w:val="21"/>
                <w:szCs w:val="21"/>
                <w:color w:val="auto"/>
                <w:vertAlign w:val="superscript"/>
              </w:rPr>
              <w:t>(1)</w:t>
            </w:r>
          </w:p>
        </w:tc>
      </w:tr>
      <w:tr>
        <w:trPr>
          <w:trHeight w:val="184"/>
        </w:trPr>
        <w:tc>
          <w:tcPr>
            <w:tcW w:w="4220" w:type="dxa"/>
            <w:vAlign w:val="bottom"/>
            <w:shd w:val="clear" w:color="auto" w:fill="D9D9D9"/>
          </w:tcPr>
          <w:p>
            <w:pPr>
              <w:spacing w:after="0"/>
              <w:rPr>
                <w:sz w:val="20"/>
                <w:szCs w:val="20"/>
                <w:color w:val="auto"/>
              </w:rPr>
            </w:pPr>
            <w:r>
              <w:rPr>
                <w:rFonts w:ascii="Arial" w:cs="Arial" w:eastAsia="Arial" w:hAnsi="Arial"/>
                <w:sz w:val="15"/>
                <w:szCs w:val="15"/>
                <w:color w:val="auto"/>
              </w:rPr>
              <w:t>30% corporate revenue growth</w:t>
            </w:r>
          </w:p>
        </w:tc>
        <w:tc>
          <w:tcPr>
            <w:tcW w:w="7200" w:type="dxa"/>
            <w:vAlign w:val="bottom"/>
            <w:shd w:val="clear" w:color="auto" w:fill="D9D9D9"/>
          </w:tcPr>
          <w:p>
            <w:pPr>
              <w:ind w:left="1600"/>
              <w:spacing w:after="0"/>
              <w:rPr>
                <w:sz w:val="20"/>
                <w:szCs w:val="20"/>
                <w:color w:val="auto"/>
              </w:rPr>
            </w:pPr>
            <w:r>
              <w:rPr>
                <w:rFonts w:ascii="Arial" w:cs="Arial" w:eastAsia="Arial" w:hAnsi="Arial"/>
                <w:sz w:val="15"/>
                <w:szCs w:val="15"/>
                <w:color w:val="auto"/>
              </w:rPr>
              <w:t>30% division revenue growth</w:t>
            </w:r>
          </w:p>
        </w:tc>
      </w:tr>
      <w:tr>
        <w:trPr>
          <w:trHeight w:val="328"/>
        </w:trPr>
        <w:tc>
          <w:tcPr>
            <w:tcW w:w="4220" w:type="dxa"/>
            <w:vAlign w:val="bottom"/>
          </w:tcPr>
          <w:p>
            <w:pPr>
              <w:spacing w:after="0"/>
              <w:rPr>
                <w:sz w:val="20"/>
                <w:szCs w:val="20"/>
                <w:color w:val="auto"/>
              </w:rPr>
            </w:pPr>
            <w:r>
              <w:rPr>
                <w:rFonts w:ascii="Arial" w:cs="Arial" w:eastAsia="Arial" w:hAnsi="Arial"/>
                <w:sz w:val="15"/>
                <w:szCs w:val="15"/>
                <w:color w:val="auto"/>
              </w:rPr>
              <w:t>20% corporate average net assets turns</w:t>
            </w:r>
          </w:p>
        </w:tc>
        <w:tc>
          <w:tcPr>
            <w:tcW w:w="7200" w:type="dxa"/>
            <w:vAlign w:val="bottom"/>
          </w:tcPr>
          <w:p>
            <w:pPr>
              <w:ind w:left="1600"/>
              <w:spacing w:after="0"/>
              <w:rPr>
                <w:sz w:val="20"/>
                <w:szCs w:val="20"/>
                <w:color w:val="auto"/>
              </w:rPr>
            </w:pPr>
            <w:r>
              <w:rPr>
                <w:rFonts w:ascii="Arial" w:cs="Arial" w:eastAsia="Arial" w:hAnsi="Arial"/>
                <w:sz w:val="15"/>
                <w:szCs w:val="15"/>
                <w:color w:val="auto"/>
              </w:rPr>
              <w:t>20% division working capital as a percent of sales</w:t>
            </w:r>
            <w:r>
              <w:rPr>
                <w:rFonts w:ascii="Arial" w:cs="Arial" w:eastAsia="Arial" w:hAnsi="Arial"/>
                <w:sz w:val="24"/>
                <w:szCs w:val="24"/>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07772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ind w:left="402" w:hanging="402"/>
        <w:spacing w:after="0"/>
        <w:tabs>
          <w:tab w:leader="none" w:pos="4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Division CPC is defined as divisional operating earnings plus divisional other income or less divisional other expense.</w:t>
      </w:r>
    </w:p>
    <w:p>
      <w:pPr>
        <w:spacing w:after="0" w:line="48" w:lineRule="exact"/>
        <w:rPr>
          <w:rFonts w:ascii="Arial" w:cs="Arial" w:eastAsia="Arial" w:hAnsi="Arial"/>
          <w:sz w:val="16"/>
          <w:szCs w:val="16"/>
          <w:color w:val="auto"/>
        </w:rPr>
      </w:pPr>
    </w:p>
    <w:p>
      <w:pPr>
        <w:ind w:left="402" w:hanging="402"/>
        <w:spacing w:after="0" w:line="249" w:lineRule="auto"/>
        <w:tabs>
          <w:tab w:leader="none" w:pos="4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Division working capital as a percent of sales is defined as the twelve month average divisional receivables divided by divisional net sales plus the twelve month average divisional inventories divided by divisional net sales minus the total Company accounts payables divided by the total Company net sales.</w:t>
      </w:r>
    </w:p>
    <w:p>
      <w:pPr>
        <w:spacing w:after="0" w:line="267" w:lineRule="exact"/>
        <w:rPr>
          <w:sz w:val="20"/>
          <w:szCs w:val="20"/>
          <w:color w:val="auto"/>
        </w:rPr>
      </w:pPr>
    </w:p>
    <w:p>
      <w:pPr>
        <w:ind w:left="402"/>
        <w:spacing w:after="0"/>
        <w:rPr>
          <w:sz w:val="20"/>
          <w:szCs w:val="20"/>
          <w:color w:val="auto"/>
        </w:rPr>
      </w:pPr>
      <w:r>
        <w:rPr>
          <w:rFonts w:ascii="Arial" w:cs="Arial" w:eastAsia="Arial" w:hAnsi="Arial"/>
          <w:sz w:val="16"/>
          <w:szCs w:val="16"/>
          <w:color w:val="auto"/>
        </w:rPr>
        <w:t>The CMW business performance measures and weightings established in connection with the CMW acquisition and effective April 1, 2019 for Mr.</w:t>
      </w:r>
    </w:p>
    <w:p>
      <w:pPr>
        <w:ind w:left="2"/>
        <w:spacing w:after="0"/>
        <w:rPr>
          <w:sz w:val="20"/>
          <w:szCs w:val="20"/>
          <w:color w:val="auto"/>
        </w:rPr>
      </w:pPr>
      <w:r>
        <w:rPr>
          <w:rFonts w:ascii="Arial" w:cs="Arial" w:eastAsia="Arial" w:hAnsi="Arial"/>
          <w:sz w:val="16"/>
          <w:szCs w:val="16"/>
          <w:color w:val="auto"/>
        </w:rPr>
        <w:t>Rodier,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3485515" cy="1244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85515" cy="124460"/>
                    </a:xfrm>
                    <a:prstGeom prst="rect">
                      <a:avLst/>
                    </a:prstGeom>
                    <a:noFill/>
                  </pic:spPr>
                </pic:pic>
              </a:graphicData>
            </a:graphic>
          </wp:anchor>
        </w:drawing>
      </w:r>
    </w:p>
    <w:p>
      <w:pPr>
        <w:spacing w:after="0" w:line="10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FFFF"/>
        </w:rPr>
        <w:t>CMW Businesses Performance Measures</w:t>
      </w:r>
    </w:p>
    <w:p>
      <w:pPr>
        <w:ind w:left="2"/>
        <w:spacing w:after="0" w:line="190" w:lineRule="auto"/>
        <w:rPr>
          <w:sz w:val="20"/>
          <w:szCs w:val="20"/>
          <w:color w:val="auto"/>
        </w:rPr>
      </w:pPr>
      <w:r>
        <w:rPr>
          <w:rFonts w:ascii="Arial" w:cs="Arial" w:eastAsia="Arial" w:hAnsi="Arial"/>
          <w:sz w:val="15"/>
          <w:szCs w:val="15"/>
          <w:color w:val="auto"/>
        </w:rPr>
        <w:t>70% CMW businesses return on revenue</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3485515" cy="1168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85515" cy="116840"/>
                    </a:xfrm>
                    <a:prstGeom prst="rect">
                      <a:avLst/>
                    </a:prstGeom>
                    <a:noFill/>
                  </pic:spPr>
                </pic:pic>
              </a:graphicData>
            </a:graphic>
          </wp:anchor>
        </w:drawing>
      </w:r>
    </w:p>
    <w:p>
      <w:pPr>
        <w:ind w:left="2"/>
        <w:spacing w:after="0"/>
        <w:rPr>
          <w:sz w:val="20"/>
          <w:szCs w:val="20"/>
          <w:color w:val="auto"/>
        </w:rPr>
      </w:pPr>
      <w:r>
        <w:rPr>
          <w:rFonts w:ascii="Arial" w:cs="Arial" w:eastAsia="Arial" w:hAnsi="Arial"/>
          <w:sz w:val="15"/>
          <w:szCs w:val="15"/>
          <w:color w:val="auto"/>
        </w:rPr>
        <w:t>30% CMW businesses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20777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48" w:lineRule="exact"/>
        <w:rPr>
          <w:sz w:val="20"/>
          <w:szCs w:val="20"/>
          <w:color w:val="auto"/>
        </w:rPr>
      </w:pPr>
    </w:p>
    <w:p>
      <w:pPr>
        <w:ind w:left="402" w:hanging="402"/>
        <w:spacing w:after="0"/>
        <w:tabs>
          <w:tab w:leader="none" w:pos="4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CMW businesses return on revenue is defined as CMW businesses CPC divided by the consolidated gross revenue of our CMW businesses.</w:t>
      </w:r>
    </w:p>
    <w:p>
      <w:pPr>
        <w:spacing w:after="0" w:line="98" w:lineRule="exact"/>
        <w:rPr>
          <w:sz w:val="20"/>
          <w:szCs w:val="20"/>
          <w:color w:val="auto"/>
        </w:rPr>
      </w:pPr>
    </w:p>
    <w:p>
      <w:pPr>
        <w:ind w:left="2" w:firstLine="408"/>
        <w:spacing w:after="0" w:line="241" w:lineRule="auto"/>
        <w:rPr>
          <w:sz w:val="20"/>
          <w:szCs w:val="20"/>
          <w:color w:val="auto"/>
        </w:rPr>
      </w:pPr>
      <w:r>
        <w:rPr>
          <w:rFonts w:ascii="Arial" w:cs="Arial" w:eastAsia="Arial" w:hAnsi="Arial"/>
          <w:sz w:val="16"/>
          <w:szCs w:val="16"/>
          <w:color w:val="auto"/>
        </w:rPr>
        <w:t>Our executive officers with all corporate responsibilities for the full fiscal year, which includes Messrs. Olson, Dordell and Hamilton and Ms. Peterson, had 100% of their annual cash incentive tied to corporate performance. Our executive officers with divisional responsibility for all or some portion of the fiscal year, which included Mr. Rodier, generally had 50% of their annual cash incentive tied to corporate performance and 50% tied to the division(s) and/or business(es) over which such officer had responsibility. At the beginning of fiscal 2019, Mr. Rodier had responsibility for the Commercial division. For the portion of the fiscal year in which he had responsibility for the Commercial division, Mr. Rodier had 50% of his annual cash incentive tied to corporate performance and 50% tied to Commercial division performance. Effective April 1, 2019, Mr. Rodier was promoted to Group Vice President, Construction Businesses. As a result and from April 1, 2019 through October 31, 2019, Mr. Rodier had 50% of his annual cash incentive tied to corporate performance and 50% tied to the performance of our CMW businesses. Generally, given the breadth and scope of the Group Vice President role at the enterprise level and the desire for enterprise focus and perspective while serving in such a role, our Group Vice Presidents have 100% of their annual cash incentive payout tied to corporate performance. Therefore, the Compensation &amp; Human Resources Committee determined that, for fiscal 2020, Mr. Rodier’s performance will be 100% tied to corporate performance.</w:t>
      </w:r>
    </w:p>
    <w:p>
      <w:pPr>
        <w:spacing w:after="0" w:line="272" w:lineRule="exact"/>
        <w:rPr>
          <w:sz w:val="20"/>
          <w:szCs w:val="20"/>
          <w:color w:val="auto"/>
        </w:rPr>
      </w:pPr>
    </w:p>
    <w:p>
      <w:pPr>
        <w:ind w:left="2" w:right="60" w:firstLine="408"/>
        <w:spacing w:after="0" w:line="244" w:lineRule="auto"/>
        <w:rPr>
          <w:sz w:val="20"/>
          <w:szCs w:val="20"/>
          <w:color w:val="auto"/>
        </w:rPr>
      </w:pPr>
      <w:r>
        <w:rPr>
          <w:rFonts w:ascii="Arial" w:cs="Arial" w:eastAsia="Arial" w:hAnsi="Arial"/>
          <w:sz w:val="16"/>
          <w:szCs w:val="16"/>
          <w:color w:val="auto"/>
        </w:rPr>
        <w:t>At its meeting in December 2018, the Committee’s first meeting of fiscal 2019, threshold, target and maximum goals were established by the Committee for each corporate and division performance measure. Target levels of performance were established based on our annual financial business plan, which takes into account our prior fiscal year financial business results, our competitive situation and the general outlook for our business during the current fiscal year. Additionally, the following thresholds affect whether or not a corporate and/or division payout is made:</w:t>
      </w:r>
    </w:p>
    <w:p>
      <w:pPr>
        <w:spacing w:after="0" w:line="85" w:lineRule="exact"/>
        <w:rPr>
          <w:sz w:val="20"/>
          <w:szCs w:val="20"/>
          <w:color w:val="auto"/>
        </w:rPr>
      </w:pPr>
    </w:p>
    <w:p>
      <w:pPr>
        <w:ind w:left="802" w:right="840" w:hanging="398"/>
        <w:spacing w:after="0" w:line="255" w:lineRule="auto"/>
        <w:tabs>
          <w:tab w:leader="none" w:pos="802" w:val="left"/>
        </w:tabs>
        <w:numPr>
          <w:ilvl w:val="0"/>
          <w:numId w:val="44"/>
        </w:numPr>
        <w:rPr>
          <w:rFonts w:ascii="Arial" w:cs="Arial" w:eastAsia="Arial" w:hAnsi="Arial"/>
          <w:sz w:val="15"/>
          <w:szCs w:val="15"/>
          <w:color w:val="auto"/>
        </w:rPr>
      </w:pPr>
      <w:r>
        <w:rPr>
          <w:rFonts w:ascii="Arial" w:cs="Arial" w:eastAsia="Arial" w:hAnsi="Arial"/>
          <w:sz w:val="16"/>
          <w:szCs w:val="16"/>
          <w:color w:val="auto"/>
        </w:rPr>
        <w:t>The diluted net EPS threshold goal, which was set at 80% of plan, must have been met in order for there to be any payout for corporate participants and any corporate portion of the payout for division participants; and</w:t>
      </w:r>
    </w:p>
    <w:p>
      <w:pPr>
        <w:spacing w:after="0" w:line="74" w:lineRule="exact"/>
        <w:rPr>
          <w:rFonts w:ascii="Arial" w:cs="Arial" w:eastAsia="Arial" w:hAnsi="Arial"/>
          <w:sz w:val="15"/>
          <w:szCs w:val="15"/>
          <w:color w:val="auto"/>
        </w:rPr>
      </w:pPr>
    </w:p>
    <w:p>
      <w:pPr>
        <w:ind w:left="802" w:hanging="398"/>
        <w:spacing w:after="0" w:line="255" w:lineRule="auto"/>
        <w:tabs>
          <w:tab w:leader="none" w:pos="802" w:val="left"/>
        </w:tabs>
        <w:numPr>
          <w:ilvl w:val="0"/>
          <w:numId w:val="44"/>
        </w:numPr>
        <w:rPr>
          <w:rFonts w:ascii="Arial" w:cs="Arial" w:eastAsia="Arial" w:hAnsi="Arial"/>
          <w:sz w:val="15"/>
          <w:szCs w:val="15"/>
          <w:color w:val="auto"/>
        </w:rPr>
      </w:pPr>
      <w:r>
        <w:rPr>
          <w:rFonts w:ascii="Arial" w:cs="Arial" w:eastAsia="Arial" w:hAnsi="Arial"/>
          <w:sz w:val="16"/>
          <w:szCs w:val="16"/>
          <w:color w:val="auto"/>
        </w:rPr>
        <w:t>For division participants to receive a division payout, CPC for the respective division must have been at least 80% of the plan, or the threshold level of performance established for that division.</w:t>
      </w:r>
    </w:p>
    <w:p>
      <w:pPr>
        <w:spacing w:after="0" w:line="1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80" w:firstLine="408"/>
        <w:spacing w:after="0" w:line="244" w:lineRule="auto"/>
        <w:rPr>
          <w:sz w:val="20"/>
          <w:szCs w:val="20"/>
          <w:color w:val="auto"/>
        </w:rPr>
      </w:pPr>
      <w:r>
        <w:rPr>
          <w:rFonts w:ascii="Arial" w:cs="Arial" w:eastAsia="Arial" w:hAnsi="Arial"/>
          <w:sz w:val="16"/>
          <w:szCs w:val="16"/>
          <w:color w:val="auto"/>
        </w:rPr>
        <w:t>As provided for and in accordance with our 2010 Plan, the Committee also established specific adjustment events for determining corporate performance payouts and division performance payouts under the fiscal 2019 annual cash incentive awards. With respect to corporate adjustment events, the impact of an acquisition on the fiscal 2019 annual cash incentive award payouts was determined by the size of the acquisition based on projected annual revenue for the first twelve months following the closing of an acquisition, as follows:</w:t>
      </w:r>
    </w:p>
    <w:p>
      <w:pPr>
        <w:spacing w:after="0" w:line="85" w:lineRule="exact"/>
        <w:rPr>
          <w:sz w:val="20"/>
          <w:szCs w:val="20"/>
          <w:color w:val="auto"/>
        </w:rPr>
      </w:pPr>
    </w:p>
    <w:p>
      <w:pPr>
        <w:ind w:left="800" w:right="140" w:hanging="398"/>
        <w:spacing w:after="0" w:line="255" w:lineRule="auto"/>
        <w:tabs>
          <w:tab w:leader="none" w:pos="800" w:val="left"/>
        </w:tabs>
        <w:numPr>
          <w:ilvl w:val="0"/>
          <w:numId w:val="45"/>
        </w:numPr>
        <w:rPr>
          <w:rFonts w:ascii="Arial" w:cs="Arial" w:eastAsia="Arial" w:hAnsi="Arial"/>
          <w:sz w:val="15"/>
          <w:szCs w:val="15"/>
          <w:color w:val="auto"/>
        </w:rPr>
      </w:pPr>
      <w:r>
        <w:rPr>
          <w:rFonts w:ascii="Arial" w:cs="Arial" w:eastAsia="Arial" w:hAnsi="Arial"/>
          <w:sz w:val="16"/>
          <w:szCs w:val="16"/>
          <w:color w:val="auto"/>
        </w:rPr>
        <w:t>The impact of any acquisition greater than $10 million was to be excluded from the payout calculation, unless such acquisition was included in the fiscal 2019 goals; and</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6"/>
          <w:szCs w:val="16"/>
          <w:color w:val="auto"/>
        </w:rPr>
        <w:t>The impact of any acquisition less than $10 million was to be included in the payout calculation.</w:t>
      </w:r>
    </w:p>
    <w:p>
      <w:pPr>
        <w:spacing w:after="0" w:line="98" w:lineRule="exact"/>
        <w:rPr>
          <w:sz w:val="20"/>
          <w:szCs w:val="20"/>
          <w:color w:val="auto"/>
        </w:rPr>
      </w:pPr>
    </w:p>
    <w:p>
      <w:pPr>
        <w:ind w:right="540"/>
        <w:spacing w:after="0" w:line="255" w:lineRule="auto"/>
        <w:rPr>
          <w:sz w:val="20"/>
          <w:szCs w:val="20"/>
          <w:color w:val="auto"/>
        </w:rPr>
      </w:pPr>
      <w:r>
        <w:rPr>
          <w:rFonts w:ascii="Arial" w:cs="Arial" w:eastAsia="Arial" w:hAnsi="Arial"/>
          <w:sz w:val="16"/>
          <w:szCs w:val="16"/>
          <w:color w:val="auto"/>
        </w:rPr>
        <w:t>In addition, any externally driven changes in accounting principles and standards were to be excluded if the cumulative net impact on the payout of all such accounting adjustments affected the award payout by more than 2%.</w:t>
      </w:r>
    </w:p>
    <w:p>
      <w:pPr>
        <w:spacing w:after="0" w:line="75" w:lineRule="exact"/>
        <w:rPr>
          <w:sz w:val="20"/>
          <w:szCs w:val="20"/>
          <w:color w:val="auto"/>
        </w:rPr>
      </w:pPr>
    </w:p>
    <w:p>
      <w:pPr>
        <w:ind w:right="540" w:firstLine="408"/>
        <w:spacing w:after="0" w:line="255" w:lineRule="auto"/>
        <w:rPr>
          <w:sz w:val="20"/>
          <w:szCs w:val="20"/>
          <w:color w:val="auto"/>
        </w:rPr>
      </w:pPr>
      <w:r>
        <w:rPr>
          <w:rFonts w:ascii="Arial" w:cs="Arial" w:eastAsia="Arial" w:hAnsi="Arial"/>
          <w:sz w:val="16"/>
          <w:szCs w:val="16"/>
          <w:color w:val="auto"/>
        </w:rPr>
        <w:t>With respect to division adjustment events, the impact of any acquisition was excluded from the payout calculation and the impact of any currency fluctuations from assumed foreign currency exchange rate plan levels was excluded from the payout calculation.</w:t>
      </w:r>
    </w:p>
    <w:p>
      <w:pPr>
        <w:spacing w:after="0" w:line="75" w:lineRule="exact"/>
        <w:rPr>
          <w:sz w:val="20"/>
          <w:szCs w:val="20"/>
          <w:color w:val="auto"/>
        </w:rPr>
      </w:pPr>
    </w:p>
    <w:p>
      <w:pPr>
        <w:ind w:right="60" w:firstLine="408"/>
        <w:spacing w:after="0" w:line="244" w:lineRule="auto"/>
        <w:rPr>
          <w:sz w:val="20"/>
          <w:szCs w:val="20"/>
          <w:color w:val="auto"/>
        </w:rPr>
      </w:pPr>
      <w:r>
        <w:rPr>
          <w:rFonts w:ascii="Arial" w:cs="Arial" w:eastAsia="Arial" w:hAnsi="Arial"/>
          <w:sz w:val="16"/>
          <w:szCs w:val="16"/>
          <w:color w:val="auto"/>
        </w:rPr>
        <w:t>In addition, in connection with our CMW acquisition, threshold, target and maximum goals were established for each performance measure for our CMW businesses. Such performance measures, and the target levels of performance that were established, reflect the performance measures and goals that had been set by the CMW organization prior to the acquisition as such performance measures and targets were determined to be appropriate for the remainder of our 2019 fiscal year to ensure a focus on the integration and continued growth of our CMW businesses.</w:t>
      </w:r>
    </w:p>
    <w:p>
      <w:pPr>
        <w:spacing w:after="0" w:line="69" w:lineRule="exact"/>
        <w:rPr>
          <w:sz w:val="20"/>
          <w:szCs w:val="20"/>
          <w:color w:val="auto"/>
        </w:rPr>
      </w:pPr>
    </w:p>
    <w:p>
      <w:pPr>
        <w:ind w:right="100" w:firstLine="408"/>
        <w:spacing w:after="0" w:line="257" w:lineRule="auto"/>
        <w:rPr>
          <w:sz w:val="20"/>
          <w:szCs w:val="20"/>
          <w:color w:val="auto"/>
        </w:rPr>
      </w:pPr>
      <w:r>
        <w:rPr>
          <w:rFonts w:ascii="Arial" w:cs="Arial" w:eastAsia="Arial" w:hAnsi="Arial"/>
          <w:sz w:val="16"/>
          <w:szCs w:val="16"/>
          <w:i w:val="1"/>
          <w:iCs w:val="1"/>
          <w:color w:val="auto"/>
        </w:rPr>
        <w:t xml:space="preserve">Corporate Performance Measures and Goals. </w:t>
      </w:r>
      <w:r>
        <w:rPr>
          <w:rFonts w:ascii="Arial" w:cs="Arial" w:eastAsia="Arial" w:hAnsi="Arial"/>
          <w:sz w:val="16"/>
          <w:szCs w:val="16"/>
          <w:color w:val="auto"/>
        </w:rPr>
        <w:t>The table below summarizes the fiscal 2019 corporate performance measures and goals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our executive officers. In fiscal 2019, pursuant to the defined adjustment events, all financial impacts related to the CMW acquisition, among other adjustment events, were excluded from the payout calculation.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Corporate:</w:t>
            </w:r>
          </w:p>
        </w:tc>
        <w:tc>
          <w:tcPr>
            <w:tcW w:w="2180" w:type="dxa"/>
            <w:vAlign w:val="bottom"/>
            <w:shd w:val="clear" w:color="auto" w:fill="BE0000"/>
          </w:tcPr>
          <w:p>
            <w:pPr>
              <w:jc w:val="center"/>
              <w:ind w:left="735"/>
              <w:spacing w:after="0"/>
              <w:rPr>
                <w:sz w:val="20"/>
                <w:szCs w:val="20"/>
                <w:color w:val="auto"/>
              </w:rPr>
            </w:pPr>
            <w:r>
              <w:rPr>
                <w:rFonts w:ascii="Arial" w:cs="Arial" w:eastAsia="Arial" w:hAnsi="Arial"/>
                <w:sz w:val="13"/>
                <w:szCs w:val="13"/>
                <w:b w:val="1"/>
                <w:bCs w:val="1"/>
                <w:color w:val="FFFFFF"/>
                <w:w w:val="98"/>
              </w:rPr>
              <w:t>Threshold</w:t>
            </w:r>
          </w:p>
        </w:tc>
        <w:tc>
          <w:tcPr>
            <w:tcW w:w="1420" w:type="dxa"/>
            <w:vAlign w:val="bottom"/>
            <w:shd w:val="clear" w:color="auto" w:fill="BE0000"/>
          </w:tcPr>
          <w:p>
            <w:pPr>
              <w:jc w:val="center"/>
              <w:spacing w:after="0"/>
              <w:rPr>
                <w:sz w:val="20"/>
                <w:szCs w:val="20"/>
                <w:color w:val="auto"/>
              </w:rPr>
            </w:pPr>
            <w:r>
              <w:rPr>
                <w:rFonts w:ascii="Arial" w:cs="Arial" w:eastAsia="Arial" w:hAnsi="Arial"/>
                <w:sz w:val="13"/>
                <w:szCs w:val="13"/>
                <w:b w:val="1"/>
                <w:bCs w:val="1"/>
                <w:color w:val="FFFFFF"/>
              </w:rPr>
              <w:t>Target</w:t>
            </w:r>
          </w:p>
        </w:tc>
        <w:tc>
          <w:tcPr>
            <w:tcW w:w="1620" w:type="dxa"/>
            <w:vAlign w:val="bottom"/>
            <w:shd w:val="clear" w:color="auto" w:fill="BE0000"/>
          </w:tcPr>
          <w:p>
            <w:pPr>
              <w:jc w:val="center"/>
              <w:ind w:right="115"/>
              <w:spacing w:after="0"/>
              <w:rPr>
                <w:sz w:val="20"/>
                <w:szCs w:val="20"/>
                <w:color w:val="auto"/>
              </w:rPr>
            </w:pPr>
            <w:r>
              <w:rPr>
                <w:rFonts w:ascii="Arial" w:cs="Arial" w:eastAsia="Arial" w:hAnsi="Arial"/>
                <w:sz w:val="13"/>
                <w:szCs w:val="13"/>
                <w:b w:val="1"/>
                <w:bCs w:val="1"/>
                <w:color w:val="FFFFFF"/>
                <w:w w:val="99"/>
              </w:rPr>
              <w:t>Maximum</w:t>
            </w:r>
          </w:p>
        </w:tc>
        <w:tc>
          <w:tcPr>
            <w:tcW w:w="2800" w:type="dxa"/>
            <w:vAlign w:val="bottom"/>
            <w:shd w:val="clear" w:color="auto" w:fill="BE0000"/>
          </w:tcPr>
          <w:p>
            <w:pPr>
              <w:spacing w:after="0"/>
              <w:rPr>
                <w:sz w:val="13"/>
                <w:szCs w:val="13"/>
                <w:color w:val="auto"/>
              </w:rPr>
            </w:pPr>
          </w:p>
        </w:tc>
      </w:tr>
      <w:tr>
        <w:trPr>
          <w:trHeight w:val="159"/>
        </w:trPr>
        <w:tc>
          <w:tcPr>
            <w:tcW w:w="340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Fiscal 2019 Performance Measures</w:t>
            </w:r>
          </w:p>
        </w:tc>
        <w:tc>
          <w:tcPr>
            <w:tcW w:w="2180" w:type="dxa"/>
            <w:vAlign w:val="bottom"/>
            <w:shd w:val="clear" w:color="auto" w:fill="BE0000"/>
          </w:tcPr>
          <w:p>
            <w:pPr>
              <w:jc w:val="center"/>
              <w:ind w:left="735"/>
              <w:spacing w:after="0"/>
              <w:rPr>
                <w:sz w:val="20"/>
                <w:szCs w:val="20"/>
                <w:color w:val="auto"/>
              </w:rPr>
            </w:pPr>
            <w:r>
              <w:rPr>
                <w:rFonts w:ascii="Arial" w:cs="Arial" w:eastAsia="Arial" w:hAnsi="Arial"/>
                <w:sz w:val="13"/>
                <w:szCs w:val="13"/>
                <w:b w:val="1"/>
                <w:bCs w:val="1"/>
                <w:color w:val="FFFFFF"/>
              </w:rPr>
              <w:t>(40% payout)</w:t>
            </w:r>
          </w:p>
        </w:tc>
        <w:tc>
          <w:tcPr>
            <w:tcW w:w="1420" w:type="dxa"/>
            <w:vAlign w:val="bottom"/>
            <w:shd w:val="clear" w:color="auto" w:fill="BE0000"/>
          </w:tcPr>
          <w:p>
            <w:pPr>
              <w:jc w:val="center"/>
              <w:spacing w:after="0"/>
              <w:rPr>
                <w:sz w:val="20"/>
                <w:szCs w:val="20"/>
                <w:color w:val="auto"/>
              </w:rPr>
            </w:pPr>
            <w:r>
              <w:rPr>
                <w:rFonts w:ascii="Arial" w:cs="Arial" w:eastAsia="Arial" w:hAnsi="Arial"/>
                <w:sz w:val="13"/>
                <w:szCs w:val="13"/>
                <w:b w:val="1"/>
                <w:bCs w:val="1"/>
                <w:color w:val="FFFFFF"/>
                <w:w w:val="99"/>
              </w:rPr>
              <w:t>(100% payout)</w:t>
            </w:r>
          </w:p>
        </w:tc>
        <w:tc>
          <w:tcPr>
            <w:tcW w:w="1620" w:type="dxa"/>
            <w:vAlign w:val="bottom"/>
            <w:shd w:val="clear" w:color="auto" w:fill="BE0000"/>
          </w:tcPr>
          <w:p>
            <w:pPr>
              <w:jc w:val="center"/>
              <w:ind w:right="115"/>
              <w:spacing w:after="0"/>
              <w:rPr>
                <w:sz w:val="20"/>
                <w:szCs w:val="20"/>
                <w:color w:val="auto"/>
              </w:rPr>
            </w:pPr>
            <w:r>
              <w:rPr>
                <w:rFonts w:ascii="Arial" w:cs="Arial" w:eastAsia="Arial" w:hAnsi="Arial"/>
                <w:sz w:val="13"/>
                <w:szCs w:val="13"/>
                <w:b w:val="1"/>
                <w:bCs w:val="1"/>
                <w:color w:val="FFFFFF"/>
                <w:w w:val="99"/>
              </w:rPr>
              <w:t>(200% payout)</w:t>
            </w:r>
          </w:p>
        </w:tc>
        <w:tc>
          <w:tcPr>
            <w:tcW w:w="2800" w:type="dxa"/>
            <w:vAlign w:val="bottom"/>
            <w:shd w:val="clear" w:color="auto" w:fill="BE0000"/>
          </w:tcPr>
          <w:p>
            <w:pPr>
              <w:jc w:val="center"/>
              <w:ind w:right="55"/>
              <w:spacing w:after="0"/>
              <w:rPr>
                <w:sz w:val="20"/>
                <w:szCs w:val="20"/>
                <w:color w:val="auto"/>
              </w:rPr>
            </w:pPr>
            <w:r>
              <w:rPr>
                <w:rFonts w:ascii="Arial" w:cs="Arial" w:eastAsia="Arial" w:hAnsi="Arial"/>
                <w:sz w:val="13"/>
                <w:szCs w:val="13"/>
                <w:b w:val="1"/>
                <w:bCs w:val="1"/>
                <w:color w:val="FFFFFF"/>
              </w:rPr>
              <w:t>Actual</w:t>
            </w:r>
          </w:p>
        </w:tc>
      </w:tr>
      <w:tr>
        <w:trPr>
          <w:trHeight w:val="164"/>
        </w:trPr>
        <w:tc>
          <w:tcPr>
            <w:tcW w:w="3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0" w:type="dxa"/>
            <w:vAlign w:val="bottom"/>
          </w:tcPr>
          <w:p>
            <w:pPr>
              <w:jc w:val="center"/>
              <w:ind w:right="55"/>
              <w:spacing w:after="0"/>
              <w:rPr>
                <w:sz w:val="20"/>
                <w:szCs w:val="20"/>
                <w:color w:val="auto"/>
              </w:rPr>
            </w:pPr>
            <w:r>
              <w:rPr>
                <w:rFonts w:ascii="Arial" w:cs="Arial" w:eastAsia="Arial" w:hAnsi="Arial"/>
                <w:sz w:val="13"/>
                <w:szCs w:val="13"/>
                <w:color w:val="auto"/>
                <w:w w:val="98"/>
              </w:rPr>
              <w:t>$2.78</w:t>
            </w:r>
          </w:p>
        </w:tc>
      </w:tr>
      <w:tr>
        <w:trPr>
          <w:trHeight w:val="143"/>
        </w:trPr>
        <w:tc>
          <w:tcPr>
            <w:tcW w:w="3400" w:type="dxa"/>
            <w:vAlign w:val="bottom"/>
          </w:tcPr>
          <w:p>
            <w:pPr>
              <w:spacing w:after="0" w:line="143" w:lineRule="exact"/>
              <w:rPr>
                <w:sz w:val="20"/>
                <w:szCs w:val="20"/>
                <w:color w:val="auto"/>
              </w:rPr>
            </w:pPr>
            <w:r>
              <w:rPr>
                <w:rFonts w:ascii="Arial" w:cs="Arial" w:eastAsia="Arial" w:hAnsi="Arial"/>
                <w:sz w:val="13"/>
                <w:szCs w:val="13"/>
                <w:color w:val="auto"/>
              </w:rPr>
              <w:t>50% diluted net EPS</w:t>
            </w:r>
          </w:p>
        </w:tc>
        <w:tc>
          <w:tcPr>
            <w:tcW w:w="2180" w:type="dxa"/>
            <w:vAlign w:val="bottom"/>
          </w:tcPr>
          <w:p>
            <w:pPr>
              <w:jc w:val="center"/>
              <w:ind w:left="735"/>
              <w:spacing w:after="0" w:line="143" w:lineRule="exact"/>
              <w:rPr>
                <w:sz w:val="20"/>
                <w:szCs w:val="20"/>
                <w:color w:val="auto"/>
              </w:rPr>
            </w:pPr>
            <w:r>
              <w:rPr>
                <w:rFonts w:ascii="Arial" w:cs="Arial" w:eastAsia="Arial" w:hAnsi="Arial"/>
                <w:sz w:val="13"/>
                <w:szCs w:val="13"/>
                <w:color w:val="auto"/>
              </w:rPr>
              <w:t>$2.35</w:t>
            </w:r>
          </w:p>
        </w:tc>
        <w:tc>
          <w:tcPr>
            <w:tcW w:w="1420" w:type="dxa"/>
            <w:vAlign w:val="bottom"/>
          </w:tcPr>
          <w:p>
            <w:pPr>
              <w:jc w:val="center"/>
              <w:spacing w:after="0" w:line="143" w:lineRule="exact"/>
              <w:rPr>
                <w:sz w:val="20"/>
                <w:szCs w:val="20"/>
                <w:color w:val="auto"/>
              </w:rPr>
            </w:pPr>
            <w:r>
              <w:rPr>
                <w:rFonts w:ascii="Arial" w:cs="Arial" w:eastAsia="Arial" w:hAnsi="Arial"/>
                <w:sz w:val="13"/>
                <w:szCs w:val="13"/>
                <w:color w:val="auto"/>
                <w:w w:val="98"/>
              </w:rPr>
              <w:t>$2.94</w:t>
            </w:r>
          </w:p>
        </w:tc>
        <w:tc>
          <w:tcPr>
            <w:tcW w:w="1620" w:type="dxa"/>
            <w:vAlign w:val="bottom"/>
          </w:tcPr>
          <w:p>
            <w:pPr>
              <w:jc w:val="center"/>
              <w:ind w:right="115"/>
              <w:spacing w:after="0" w:line="143" w:lineRule="exact"/>
              <w:rPr>
                <w:sz w:val="20"/>
                <w:szCs w:val="20"/>
                <w:color w:val="auto"/>
              </w:rPr>
            </w:pPr>
            <w:r>
              <w:rPr>
                <w:rFonts w:ascii="Arial" w:cs="Arial" w:eastAsia="Arial" w:hAnsi="Arial"/>
                <w:sz w:val="13"/>
                <w:szCs w:val="13"/>
                <w:color w:val="auto"/>
                <w:w w:val="98"/>
              </w:rPr>
              <w:t>$3.53</w:t>
            </w:r>
          </w:p>
        </w:tc>
        <w:tc>
          <w:tcPr>
            <w:tcW w:w="2800" w:type="dxa"/>
            <w:vAlign w:val="bottom"/>
          </w:tcPr>
          <w:p>
            <w:pPr>
              <w:jc w:val="center"/>
              <w:ind w:right="55"/>
              <w:spacing w:after="0" w:line="143" w:lineRule="exact"/>
              <w:rPr>
                <w:sz w:val="20"/>
                <w:szCs w:val="20"/>
                <w:color w:val="auto"/>
              </w:rPr>
            </w:pPr>
            <w:r>
              <w:rPr>
                <w:rFonts w:ascii="Arial" w:cs="Arial" w:eastAsia="Arial" w:hAnsi="Arial"/>
                <w:sz w:val="13"/>
                <w:szCs w:val="13"/>
                <w:color w:val="auto"/>
                <w:w w:val="99"/>
              </w:rPr>
              <w:t>(between threshold and target)</w:t>
            </w:r>
          </w:p>
        </w:tc>
      </w:tr>
      <w:tr>
        <w:trPr>
          <w:trHeight w:val="164"/>
        </w:trPr>
        <w:tc>
          <w:tcPr>
            <w:tcW w:w="3400" w:type="dxa"/>
            <w:vAlign w:val="bottom"/>
            <w:shd w:val="clear" w:color="auto" w:fill="D9D9D9"/>
          </w:tcPr>
          <w:p>
            <w:pPr>
              <w:spacing w:after="0"/>
              <w:rPr>
                <w:sz w:val="14"/>
                <w:szCs w:val="14"/>
                <w:color w:val="auto"/>
              </w:rPr>
            </w:pPr>
          </w:p>
        </w:tc>
        <w:tc>
          <w:tcPr>
            <w:tcW w:w="2180" w:type="dxa"/>
            <w:vAlign w:val="bottom"/>
            <w:shd w:val="clear" w:color="auto" w:fill="D9D9D9"/>
          </w:tcPr>
          <w:p>
            <w:pPr>
              <w:spacing w:after="0"/>
              <w:rPr>
                <w:sz w:val="14"/>
                <w:szCs w:val="14"/>
                <w:color w:val="auto"/>
              </w:rPr>
            </w:pPr>
          </w:p>
        </w:tc>
        <w:tc>
          <w:tcPr>
            <w:tcW w:w="1420" w:type="dxa"/>
            <w:vAlign w:val="bottom"/>
            <w:shd w:val="clear" w:color="auto" w:fill="D9D9D9"/>
          </w:tcPr>
          <w:p>
            <w:pPr>
              <w:spacing w:after="0"/>
              <w:rPr>
                <w:sz w:val="14"/>
                <w:szCs w:val="14"/>
                <w:color w:val="auto"/>
              </w:rPr>
            </w:pPr>
          </w:p>
        </w:tc>
        <w:tc>
          <w:tcPr>
            <w:tcW w:w="1620" w:type="dxa"/>
            <w:vAlign w:val="bottom"/>
            <w:shd w:val="clear" w:color="auto" w:fill="D9D9D9"/>
          </w:tcPr>
          <w:p>
            <w:pPr>
              <w:spacing w:after="0"/>
              <w:rPr>
                <w:sz w:val="14"/>
                <w:szCs w:val="14"/>
                <w:color w:val="auto"/>
              </w:rPr>
            </w:pPr>
          </w:p>
        </w:tc>
        <w:tc>
          <w:tcPr>
            <w:tcW w:w="2800" w:type="dxa"/>
            <w:vAlign w:val="bottom"/>
            <w:shd w:val="clear" w:color="auto" w:fill="D9D9D9"/>
          </w:tcPr>
          <w:p>
            <w:pPr>
              <w:jc w:val="center"/>
              <w:ind w:right="55"/>
              <w:spacing w:after="0"/>
              <w:rPr>
                <w:sz w:val="20"/>
                <w:szCs w:val="20"/>
                <w:color w:val="auto"/>
              </w:rPr>
            </w:pPr>
            <w:r>
              <w:rPr>
                <w:rFonts w:ascii="Arial" w:cs="Arial" w:eastAsia="Arial" w:hAnsi="Arial"/>
                <w:sz w:val="13"/>
                <w:szCs w:val="13"/>
                <w:color w:val="auto"/>
                <w:w w:val="94"/>
              </w:rPr>
              <w:t>1.5%</w:t>
            </w:r>
          </w:p>
        </w:tc>
      </w:tr>
      <w:tr>
        <w:trPr>
          <w:trHeight w:val="143"/>
        </w:trPr>
        <w:tc>
          <w:tcPr>
            <w:tcW w:w="3400" w:type="dxa"/>
            <w:vAlign w:val="bottom"/>
            <w:shd w:val="clear" w:color="auto" w:fill="D9D9D9"/>
          </w:tcPr>
          <w:p>
            <w:pPr>
              <w:spacing w:after="0" w:line="143" w:lineRule="exact"/>
              <w:rPr>
                <w:sz w:val="20"/>
                <w:szCs w:val="20"/>
                <w:color w:val="auto"/>
              </w:rPr>
            </w:pPr>
            <w:r>
              <w:rPr>
                <w:rFonts w:ascii="Arial" w:cs="Arial" w:eastAsia="Arial" w:hAnsi="Arial"/>
                <w:sz w:val="13"/>
                <w:szCs w:val="13"/>
                <w:color w:val="auto"/>
              </w:rPr>
              <w:t>30% corporate revenue growth</w:t>
            </w:r>
          </w:p>
        </w:tc>
        <w:tc>
          <w:tcPr>
            <w:tcW w:w="2180" w:type="dxa"/>
            <w:vAlign w:val="bottom"/>
            <w:shd w:val="clear" w:color="auto" w:fill="D9D9D9"/>
          </w:tcPr>
          <w:p>
            <w:pPr>
              <w:jc w:val="center"/>
              <w:ind w:left="735"/>
              <w:spacing w:after="0" w:line="143" w:lineRule="exact"/>
              <w:rPr>
                <w:sz w:val="20"/>
                <w:szCs w:val="20"/>
                <w:color w:val="auto"/>
              </w:rPr>
            </w:pPr>
            <w:r>
              <w:rPr>
                <w:rFonts w:ascii="Arial" w:cs="Arial" w:eastAsia="Arial" w:hAnsi="Arial"/>
                <w:sz w:val="13"/>
                <w:szCs w:val="13"/>
                <w:color w:val="auto"/>
              </w:rPr>
              <w:t>3.6%</w:t>
            </w:r>
          </w:p>
        </w:tc>
        <w:tc>
          <w:tcPr>
            <w:tcW w:w="1420" w:type="dxa"/>
            <w:vAlign w:val="bottom"/>
            <w:shd w:val="clear" w:color="auto" w:fill="D9D9D9"/>
          </w:tcPr>
          <w:p>
            <w:pPr>
              <w:jc w:val="center"/>
              <w:spacing w:after="0" w:line="143" w:lineRule="exact"/>
              <w:rPr>
                <w:sz w:val="20"/>
                <w:szCs w:val="20"/>
                <w:color w:val="auto"/>
              </w:rPr>
            </w:pPr>
            <w:r>
              <w:rPr>
                <w:rFonts w:ascii="Arial" w:cs="Arial" w:eastAsia="Arial" w:hAnsi="Arial"/>
                <w:sz w:val="13"/>
                <w:szCs w:val="13"/>
                <w:color w:val="auto"/>
              </w:rPr>
              <w:t>5.6%</w:t>
            </w:r>
          </w:p>
        </w:tc>
        <w:tc>
          <w:tcPr>
            <w:tcW w:w="1620" w:type="dxa"/>
            <w:vAlign w:val="bottom"/>
            <w:shd w:val="clear" w:color="auto" w:fill="D9D9D9"/>
          </w:tcPr>
          <w:p>
            <w:pPr>
              <w:jc w:val="center"/>
              <w:ind w:right="135"/>
              <w:spacing w:after="0" w:line="143" w:lineRule="exact"/>
              <w:rPr>
                <w:sz w:val="20"/>
                <w:szCs w:val="20"/>
                <w:color w:val="auto"/>
              </w:rPr>
            </w:pPr>
            <w:r>
              <w:rPr>
                <w:rFonts w:ascii="Arial" w:cs="Arial" w:eastAsia="Arial" w:hAnsi="Arial"/>
                <w:sz w:val="13"/>
                <w:szCs w:val="13"/>
                <w:color w:val="auto"/>
              </w:rPr>
              <w:t>7.6%</w:t>
            </w:r>
          </w:p>
        </w:tc>
        <w:tc>
          <w:tcPr>
            <w:tcW w:w="2800" w:type="dxa"/>
            <w:vAlign w:val="bottom"/>
            <w:shd w:val="clear" w:color="auto" w:fill="D9D9D9"/>
          </w:tcPr>
          <w:p>
            <w:pPr>
              <w:jc w:val="center"/>
              <w:ind w:right="55"/>
              <w:spacing w:after="0" w:line="143" w:lineRule="exact"/>
              <w:rPr>
                <w:sz w:val="20"/>
                <w:szCs w:val="20"/>
                <w:color w:val="auto"/>
              </w:rPr>
            </w:pPr>
            <w:r>
              <w:rPr>
                <w:rFonts w:ascii="Arial" w:cs="Arial" w:eastAsia="Arial" w:hAnsi="Arial"/>
                <w:sz w:val="13"/>
                <w:szCs w:val="13"/>
                <w:color w:val="auto"/>
              </w:rPr>
              <w:t>(below threshold)</w:t>
            </w:r>
          </w:p>
        </w:tc>
      </w:tr>
      <w:tr>
        <w:trPr>
          <w:trHeight w:val="164"/>
        </w:trPr>
        <w:tc>
          <w:tcPr>
            <w:tcW w:w="3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0" w:type="dxa"/>
            <w:vAlign w:val="bottom"/>
          </w:tcPr>
          <w:p>
            <w:pPr>
              <w:jc w:val="center"/>
              <w:ind w:right="55"/>
              <w:spacing w:after="0"/>
              <w:rPr>
                <w:sz w:val="20"/>
                <w:szCs w:val="20"/>
                <w:color w:val="auto"/>
              </w:rPr>
            </w:pPr>
            <w:r>
              <w:rPr>
                <w:rFonts w:ascii="Arial" w:cs="Arial" w:eastAsia="Arial" w:hAnsi="Arial"/>
                <w:sz w:val="13"/>
                <w:szCs w:val="13"/>
                <w:color w:val="auto"/>
              </w:rPr>
              <w:t>2.27160</w:t>
            </w:r>
          </w:p>
        </w:tc>
      </w:tr>
      <w:tr>
        <w:trPr>
          <w:trHeight w:val="143"/>
        </w:trPr>
        <w:tc>
          <w:tcPr>
            <w:tcW w:w="3400" w:type="dxa"/>
            <w:vAlign w:val="bottom"/>
          </w:tcPr>
          <w:p>
            <w:pPr>
              <w:spacing w:after="0" w:line="143" w:lineRule="exact"/>
              <w:rPr>
                <w:sz w:val="20"/>
                <w:szCs w:val="20"/>
                <w:color w:val="auto"/>
              </w:rPr>
            </w:pPr>
            <w:r>
              <w:rPr>
                <w:rFonts w:ascii="Arial" w:cs="Arial" w:eastAsia="Arial" w:hAnsi="Arial"/>
                <w:sz w:val="13"/>
                <w:szCs w:val="13"/>
                <w:color w:val="auto"/>
              </w:rPr>
              <w:t>20% corporate average net assets turns</w:t>
            </w:r>
          </w:p>
        </w:tc>
        <w:tc>
          <w:tcPr>
            <w:tcW w:w="2180" w:type="dxa"/>
            <w:vAlign w:val="bottom"/>
          </w:tcPr>
          <w:p>
            <w:pPr>
              <w:jc w:val="center"/>
              <w:ind w:left="735"/>
              <w:spacing w:after="0" w:line="143" w:lineRule="exact"/>
              <w:rPr>
                <w:sz w:val="20"/>
                <w:szCs w:val="20"/>
                <w:color w:val="auto"/>
              </w:rPr>
            </w:pPr>
            <w:r>
              <w:rPr>
                <w:rFonts w:ascii="Arial" w:cs="Arial" w:eastAsia="Arial" w:hAnsi="Arial"/>
                <w:sz w:val="13"/>
                <w:szCs w:val="13"/>
                <w:color w:val="auto"/>
                <w:w w:val="97"/>
              </w:rPr>
              <w:t>1.98127</w:t>
            </w:r>
          </w:p>
        </w:tc>
        <w:tc>
          <w:tcPr>
            <w:tcW w:w="1420" w:type="dxa"/>
            <w:vAlign w:val="bottom"/>
          </w:tcPr>
          <w:p>
            <w:pPr>
              <w:jc w:val="center"/>
              <w:spacing w:after="0" w:line="143" w:lineRule="exact"/>
              <w:rPr>
                <w:sz w:val="20"/>
                <w:szCs w:val="20"/>
                <w:color w:val="auto"/>
              </w:rPr>
            </w:pPr>
            <w:r>
              <w:rPr>
                <w:rFonts w:ascii="Arial" w:cs="Arial" w:eastAsia="Arial" w:hAnsi="Arial"/>
                <w:sz w:val="13"/>
                <w:szCs w:val="13"/>
                <w:color w:val="auto"/>
              </w:rPr>
              <w:t>2.33090</w:t>
            </w:r>
          </w:p>
        </w:tc>
        <w:tc>
          <w:tcPr>
            <w:tcW w:w="1620" w:type="dxa"/>
            <w:vAlign w:val="bottom"/>
          </w:tcPr>
          <w:p>
            <w:pPr>
              <w:jc w:val="center"/>
              <w:ind w:right="115"/>
              <w:spacing w:after="0" w:line="143" w:lineRule="exact"/>
              <w:rPr>
                <w:sz w:val="20"/>
                <w:szCs w:val="20"/>
                <w:color w:val="auto"/>
              </w:rPr>
            </w:pPr>
            <w:r>
              <w:rPr>
                <w:rFonts w:ascii="Arial" w:cs="Arial" w:eastAsia="Arial" w:hAnsi="Arial"/>
                <w:sz w:val="13"/>
                <w:szCs w:val="13"/>
                <w:color w:val="auto"/>
              </w:rPr>
              <w:t>2.68054</w:t>
            </w:r>
          </w:p>
        </w:tc>
        <w:tc>
          <w:tcPr>
            <w:tcW w:w="2800" w:type="dxa"/>
            <w:vAlign w:val="bottom"/>
          </w:tcPr>
          <w:p>
            <w:pPr>
              <w:jc w:val="center"/>
              <w:ind w:right="55"/>
              <w:spacing w:after="0" w:line="143" w:lineRule="exact"/>
              <w:rPr>
                <w:sz w:val="20"/>
                <w:szCs w:val="20"/>
                <w:color w:val="auto"/>
              </w:rPr>
            </w:pPr>
            <w:r>
              <w:rPr>
                <w:rFonts w:ascii="Arial" w:cs="Arial" w:eastAsia="Arial" w:hAnsi="Arial"/>
                <w:sz w:val="13"/>
                <w:szCs w:val="13"/>
                <w:color w:val="auto"/>
                <w:w w:val="99"/>
              </w:rPr>
              <w:t>(between threshold and target)</w:t>
            </w:r>
          </w:p>
        </w:tc>
      </w:tr>
      <w:tr>
        <w:trPr>
          <w:trHeight w:val="208"/>
        </w:trPr>
        <w:tc>
          <w:tcPr>
            <w:tcW w:w="340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Corporate performance payout</w:t>
            </w:r>
          </w:p>
        </w:tc>
        <w:tc>
          <w:tcPr>
            <w:tcW w:w="2180" w:type="dxa"/>
            <w:vAlign w:val="bottom"/>
            <w:shd w:val="clear" w:color="auto" w:fill="D9D9D9"/>
          </w:tcPr>
          <w:p>
            <w:pPr>
              <w:spacing w:after="0"/>
              <w:rPr>
                <w:sz w:val="18"/>
                <w:szCs w:val="18"/>
                <w:color w:val="auto"/>
              </w:rPr>
            </w:pPr>
          </w:p>
        </w:tc>
        <w:tc>
          <w:tcPr>
            <w:tcW w:w="1420" w:type="dxa"/>
            <w:vAlign w:val="bottom"/>
            <w:shd w:val="clear" w:color="auto" w:fill="D9D9D9"/>
          </w:tcPr>
          <w:p>
            <w:pPr>
              <w:spacing w:after="0"/>
              <w:rPr>
                <w:sz w:val="18"/>
                <w:szCs w:val="18"/>
                <w:color w:val="auto"/>
              </w:rPr>
            </w:pPr>
          </w:p>
        </w:tc>
        <w:tc>
          <w:tcPr>
            <w:tcW w:w="1620" w:type="dxa"/>
            <w:vAlign w:val="bottom"/>
            <w:shd w:val="clear" w:color="auto" w:fill="D9D9D9"/>
          </w:tcPr>
          <w:p>
            <w:pPr>
              <w:spacing w:after="0"/>
              <w:rPr>
                <w:sz w:val="18"/>
                <w:szCs w:val="18"/>
                <w:color w:val="auto"/>
              </w:rPr>
            </w:pPr>
          </w:p>
        </w:tc>
        <w:tc>
          <w:tcPr>
            <w:tcW w:w="2800" w:type="dxa"/>
            <w:vAlign w:val="bottom"/>
            <w:shd w:val="clear" w:color="auto" w:fill="D9D9D9"/>
          </w:tcPr>
          <w:p>
            <w:pPr>
              <w:jc w:val="center"/>
              <w:ind w:right="55"/>
              <w:spacing w:after="0"/>
              <w:rPr>
                <w:sz w:val="20"/>
                <w:szCs w:val="20"/>
                <w:color w:val="auto"/>
              </w:rPr>
            </w:pPr>
            <w:r>
              <w:rPr>
                <w:rFonts w:ascii="Arial" w:cs="Arial" w:eastAsia="Arial" w:hAnsi="Arial"/>
                <w:sz w:val="13"/>
                <w:szCs w:val="13"/>
                <w:b w:val="1"/>
                <w:bCs w:val="1"/>
                <w:color w:val="auto"/>
              </w:rPr>
              <w:t>59.65% of target</w:t>
            </w:r>
          </w:p>
        </w:tc>
      </w:tr>
    </w:tbl>
    <w:p>
      <w:pPr>
        <w:spacing w:after="0" w:line="81" w:lineRule="exact"/>
        <w:rPr>
          <w:sz w:val="20"/>
          <w:szCs w:val="20"/>
          <w:color w:val="auto"/>
        </w:rPr>
      </w:pPr>
    </w:p>
    <w:p>
      <w:pPr>
        <w:ind w:right="60" w:firstLine="408"/>
        <w:spacing w:after="0" w:line="248" w:lineRule="auto"/>
        <w:rPr>
          <w:sz w:val="20"/>
          <w:szCs w:val="20"/>
          <w:color w:val="auto"/>
        </w:rPr>
      </w:pPr>
      <w:r>
        <w:rPr>
          <w:rFonts w:ascii="Arial" w:cs="Arial" w:eastAsia="Arial" w:hAnsi="Arial"/>
          <w:sz w:val="16"/>
          <w:szCs w:val="16"/>
          <w:i w:val="1"/>
          <w:iCs w:val="1"/>
          <w:color w:val="auto"/>
        </w:rPr>
        <w:t>Corporate Performance Discussion and Analysis</w:t>
      </w:r>
      <w:r>
        <w:rPr>
          <w:rFonts w:ascii="Arial" w:cs="Arial" w:eastAsia="Arial" w:hAnsi="Arial"/>
          <w:sz w:val="16"/>
          <w:szCs w:val="16"/>
          <w:color w:val="auto"/>
        </w:rPr>
        <w:t>. When applying the weightings of the performance measures to actual results, the resulting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payout for fiscal 2019 was 59.65% of target. All of our named executive officers, except for Mr. Rodier, had 100% of their annual cash incentive awards tied to corporate performance for all of fiscal 2019 and therefore, their annual cash incentive award payouts were at 59.65% of target. Applying their individual target awards as a percent of base salary, this translated to payouts of fiscal year base salaries of approximately 66% for Mr. Olson, 45% for Ms. Peterson, and 36% for Messrs. Dordell and Hamilton.</w:t>
      </w:r>
    </w:p>
    <w:p>
      <w:pPr>
        <w:spacing w:after="0" w:line="66" w:lineRule="exact"/>
        <w:rPr>
          <w:sz w:val="20"/>
          <w:szCs w:val="20"/>
          <w:color w:val="auto"/>
        </w:rPr>
      </w:pPr>
    </w:p>
    <w:p>
      <w:pPr>
        <w:ind w:right="100" w:firstLine="408"/>
        <w:spacing w:after="0" w:line="247" w:lineRule="auto"/>
        <w:rPr>
          <w:sz w:val="20"/>
          <w:szCs w:val="20"/>
          <w:color w:val="auto"/>
        </w:rPr>
      </w:pPr>
      <w:r>
        <w:rPr>
          <w:rFonts w:ascii="Arial" w:cs="Arial" w:eastAsia="Arial" w:hAnsi="Arial"/>
          <w:sz w:val="16"/>
          <w:szCs w:val="16"/>
          <w:i w:val="1"/>
          <w:iCs w:val="1"/>
          <w:color w:val="auto"/>
        </w:rPr>
        <w:t xml:space="preserve">Division Performance Measures and Goals. </w:t>
      </w:r>
      <w:r>
        <w:rPr>
          <w:rFonts w:ascii="Arial" w:cs="Arial" w:eastAsia="Arial" w:hAnsi="Arial"/>
          <w:sz w:val="16"/>
          <w:szCs w:val="16"/>
          <w:color w:val="auto"/>
        </w:rPr>
        <w:t>In addition to corporate performance, our executives with division responsibility had 50% of their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cash incentive award based on actual division and/or business performance against division and/or business performance goals established for the individual divisions and/or businesses over which they have responsibility. The specific performances for each of the revenue growth, return on revenue, CPC and working capital as a percent of sales for each division and/or business are maintained as proprietary and confidential. The Committee believes that disclosure of these specific performance goals would represent competitive harm to us as division and business goals and results are not publicly disclosed and are competitively sensitive.</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Reflected below are the payout percentages associated with various levels of performance.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spacing w:after="0"/>
              <w:rPr>
                <w:sz w:val="15"/>
                <w:szCs w:val="15"/>
                <w:color w:val="auto"/>
              </w:rPr>
            </w:pPr>
          </w:p>
        </w:tc>
        <w:tc>
          <w:tcPr>
            <w:tcW w:w="2760" w:type="dxa"/>
            <w:vAlign w:val="bottom"/>
            <w:shd w:val="clear" w:color="auto" w:fill="C00000"/>
          </w:tcPr>
          <w:p>
            <w:pPr>
              <w:ind w:left="20"/>
              <w:spacing w:after="0"/>
              <w:rPr>
                <w:sz w:val="20"/>
                <w:szCs w:val="20"/>
                <w:color w:val="auto"/>
              </w:rPr>
            </w:pPr>
            <w:r>
              <w:rPr>
                <w:rFonts w:ascii="Arial" w:cs="Arial" w:eastAsia="Arial" w:hAnsi="Arial"/>
                <w:sz w:val="13"/>
                <w:szCs w:val="13"/>
                <w:b w:val="1"/>
                <w:bCs w:val="1"/>
                <w:color w:val="auto"/>
              </w:rPr>
              <w:t>Level of Performance</w:t>
            </w:r>
          </w:p>
        </w:tc>
        <w:tc>
          <w:tcPr>
            <w:tcW w:w="5800" w:type="dxa"/>
            <w:vAlign w:val="bottom"/>
            <w:shd w:val="clear" w:color="auto" w:fill="C00000"/>
          </w:tcPr>
          <w:p>
            <w:pPr>
              <w:ind w:left="1500"/>
              <w:spacing w:after="0"/>
              <w:rPr>
                <w:sz w:val="20"/>
                <w:szCs w:val="20"/>
                <w:color w:val="auto"/>
              </w:rPr>
            </w:pPr>
            <w:r>
              <w:rPr>
                <w:rFonts w:ascii="Arial" w:cs="Arial" w:eastAsia="Arial" w:hAnsi="Arial"/>
                <w:sz w:val="13"/>
                <w:szCs w:val="13"/>
                <w:b w:val="1"/>
                <w:bCs w:val="1"/>
                <w:color w:val="auto"/>
              </w:rPr>
              <w:t>Payout %</w:t>
            </w:r>
          </w:p>
        </w:tc>
        <w:tc>
          <w:tcPr>
            <w:tcW w:w="1460" w:type="dxa"/>
            <w:vAlign w:val="bottom"/>
          </w:tcPr>
          <w:p>
            <w:pPr>
              <w:spacing w:after="0"/>
              <w:rPr>
                <w:sz w:val="15"/>
                <w:szCs w:val="15"/>
                <w:color w:val="auto"/>
              </w:rPr>
            </w:pPr>
          </w:p>
        </w:tc>
      </w:tr>
      <w:tr>
        <w:trPr>
          <w:trHeight w:val="184"/>
        </w:trPr>
        <w:tc>
          <w:tcPr>
            <w:tcW w:w="144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Arial" w:cs="Arial" w:eastAsia="Arial" w:hAnsi="Arial"/>
                <w:sz w:val="16"/>
                <w:szCs w:val="16"/>
                <w:color w:val="auto"/>
              </w:rPr>
              <w:t>Threshold</w:t>
            </w:r>
          </w:p>
        </w:tc>
        <w:tc>
          <w:tcPr>
            <w:tcW w:w="5800" w:type="dxa"/>
            <w:vAlign w:val="bottom"/>
          </w:tcPr>
          <w:p>
            <w:pPr>
              <w:ind w:left="1500"/>
              <w:spacing w:after="0"/>
              <w:rPr>
                <w:sz w:val="20"/>
                <w:szCs w:val="20"/>
                <w:color w:val="auto"/>
              </w:rPr>
            </w:pPr>
            <w:r>
              <w:rPr>
                <w:rFonts w:ascii="Arial" w:cs="Arial" w:eastAsia="Arial" w:hAnsi="Arial"/>
                <w:sz w:val="16"/>
                <w:szCs w:val="16"/>
                <w:color w:val="auto"/>
              </w:rPr>
              <w:t>40% of target</w:t>
            </w:r>
          </w:p>
        </w:tc>
        <w:tc>
          <w:tcPr>
            <w:tcW w:w="1460" w:type="dxa"/>
            <w:vAlign w:val="bottom"/>
          </w:tcPr>
          <w:p>
            <w:pPr>
              <w:spacing w:after="0"/>
              <w:rPr>
                <w:sz w:val="15"/>
                <w:szCs w:val="15"/>
                <w:color w:val="auto"/>
              </w:rPr>
            </w:pPr>
          </w:p>
        </w:tc>
      </w:tr>
      <w:tr>
        <w:trPr>
          <w:trHeight w:val="184"/>
        </w:trPr>
        <w:tc>
          <w:tcPr>
            <w:tcW w:w="1440" w:type="dxa"/>
            <w:vAlign w:val="bottom"/>
          </w:tcPr>
          <w:p>
            <w:pPr>
              <w:spacing w:after="0"/>
              <w:rPr>
                <w:sz w:val="15"/>
                <w:szCs w:val="15"/>
                <w:color w:val="auto"/>
              </w:rPr>
            </w:pPr>
          </w:p>
        </w:tc>
        <w:tc>
          <w:tcPr>
            <w:tcW w:w="2760" w:type="dxa"/>
            <w:vAlign w:val="bottom"/>
            <w:shd w:val="clear" w:color="auto" w:fill="D9D9D9"/>
          </w:tcPr>
          <w:p>
            <w:pPr>
              <w:ind w:left="40"/>
              <w:spacing w:after="0"/>
              <w:rPr>
                <w:sz w:val="20"/>
                <w:szCs w:val="20"/>
                <w:color w:val="auto"/>
              </w:rPr>
            </w:pPr>
            <w:r>
              <w:rPr>
                <w:rFonts w:ascii="Arial" w:cs="Arial" w:eastAsia="Arial" w:hAnsi="Arial"/>
                <w:sz w:val="16"/>
                <w:szCs w:val="16"/>
                <w:color w:val="auto"/>
              </w:rPr>
              <w:t>Target</w:t>
            </w:r>
          </w:p>
        </w:tc>
        <w:tc>
          <w:tcPr>
            <w:tcW w:w="5800" w:type="dxa"/>
            <w:vAlign w:val="bottom"/>
            <w:shd w:val="clear" w:color="auto" w:fill="D9D9D9"/>
          </w:tcPr>
          <w:p>
            <w:pPr>
              <w:ind w:left="1500"/>
              <w:spacing w:after="0"/>
              <w:rPr>
                <w:sz w:val="20"/>
                <w:szCs w:val="20"/>
                <w:color w:val="auto"/>
              </w:rPr>
            </w:pPr>
            <w:r>
              <w:rPr>
                <w:rFonts w:ascii="Arial" w:cs="Arial" w:eastAsia="Arial" w:hAnsi="Arial"/>
                <w:sz w:val="16"/>
                <w:szCs w:val="16"/>
                <w:color w:val="auto"/>
              </w:rPr>
              <w:t>100%</w:t>
            </w:r>
          </w:p>
        </w:tc>
        <w:tc>
          <w:tcPr>
            <w:tcW w:w="146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6"/>
                <w:szCs w:val="16"/>
                <w:color w:val="auto"/>
              </w:rPr>
              <w:t>Maximum</w:t>
            </w:r>
          </w:p>
        </w:tc>
        <w:tc>
          <w:tcPr>
            <w:tcW w:w="5800" w:type="dxa"/>
            <w:vAlign w:val="bottom"/>
          </w:tcPr>
          <w:p>
            <w:pPr>
              <w:ind w:left="1500"/>
              <w:spacing w:after="0"/>
              <w:rPr>
                <w:sz w:val="20"/>
                <w:szCs w:val="20"/>
                <w:color w:val="auto"/>
              </w:rPr>
            </w:pPr>
            <w:r>
              <w:rPr>
                <w:rFonts w:ascii="Arial" w:cs="Arial" w:eastAsia="Arial" w:hAnsi="Arial"/>
                <w:sz w:val="16"/>
                <w:szCs w:val="16"/>
                <w:color w:val="auto"/>
              </w:rPr>
              <w:t>200% of target</w:t>
            </w:r>
          </w:p>
        </w:tc>
        <w:tc>
          <w:tcPr>
            <w:tcW w:w="1460" w:type="dxa"/>
            <w:vAlign w:val="bottom"/>
          </w:tcPr>
          <w:p>
            <w:pPr>
              <w:spacing w:after="0"/>
              <w:rPr>
                <w:sz w:val="17"/>
                <w:szCs w:val="17"/>
                <w:color w:val="auto"/>
              </w:rPr>
            </w:pPr>
          </w:p>
        </w:tc>
      </w:tr>
      <w:tr>
        <w:trPr>
          <w:trHeight w:val="379"/>
        </w:trPr>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0" w:type="dxa"/>
            <w:vAlign w:val="bottom"/>
          </w:tcPr>
          <w:p>
            <w:pPr>
              <w:ind w:left="1420"/>
              <w:spacing w:after="0"/>
              <w:rPr>
                <w:sz w:val="20"/>
                <w:szCs w:val="20"/>
                <w:color w:val="auto"/>
              </w:rPr>
            </w:pPr>
            <w:r>
              <w:rPr>
                <w:rFonts w:ascii="Arial" w:cs="Arial" w:eastAsia="Arial" w:hAnsi="Arial"/>
                <w:sz w:val="16"/>
                <w:szCs w:val="16"/>
                <w:color w:val="auto"/>
              </w:rPr>
              <w:t>36</w:t>
            </w:r>
          </w:p>
        </w:tc>
        <w:tc>
          <w:tcPr>
            <w:tcW w:w="1460" w:type="dxa"/>
            <w:vAlign w:val="bottom"/>
          </w:tcPr>
          <w:p>
            <w:pPr>
              <w:spacing w:after="0"/>
              <w:rPr>
                <w:sz w:val="24"/>
                <w:szCs w:val="24"/>
                <w:color w:val="auto"/>
              </w:rPr>
            </w:pPr>
          </w:p>
        </w:tc>
      </w:tr>
      <w:tr>
        <w:trPr>
          <w:trHeight w:val="91"/>
        </w:trPr>
        <w:tc>
          <w:tcPr>
            <w:tcW w:w="144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58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85" w:lineRule="exact"/>
        <w:rPr>
          <w:sz w:val="20"/>
          <w:szCs w:val="20"/>
          <w:color w:val="auto"/>
        </w:rPr>
      </w:pPr>
    </w:p>
    <w:p>
      <w:pPr>
        <w:ind w:firstLine="408"/>
        <w:spacing w:after="0" w:line="226" w:lineRule="auto"/>
        <w:rPr>
          <w:sz w:val="20"/>
          <w:szCs w:val="20"/>
          <w:color w:val="auto"/>
        </w:rPr>
      </w:pPr>
      <w:r>
        <w:rPr>
          <w:rFonts w:ascii="Arial" w:cs="Arial" w:eastAsia="Arial" w:hAnsi="Arial"/>
          <w:sz w:val="16"/>
          <w:szCs w:val="16"/>
          <w:color w:val="auto"/>
        </w:rPr>
        <w:t>For each division performance measure, the target goal reflects the annual financial plan goal set for each respective division. For each performance goal related to our CMW businesses, the target goal reflects goals set by the CMW organization prior to the acquisition and such goals were determined appropriate for the remainder of our 2019 fiscal year to ensure a focus on integration and continued growth of the CMW businesses. Based on historical performance, the Committee believes the attainment of the target performance level, while uncertain, could be reasonably anticipated. Threshold goals represent the minimum level of performance necessary for there to be a payout for that performance measure and the Committee believes the threshold goals are likely to be achieved. The threshold goal for CPC represented 80% of the plan set for each respective division. Threshold goals for revenue growth, return on revenue, and working capital as a percent of sales represented the minimum level of performance that the Committee determined would be appropriate in order to receive a payout. Maximum goals represented the level of performance at which payouts are 200% of the target award. Even if actual results exceed the maximum goals, the payouts are capped at 200% of the target award. The maximum goal for CPC represents 120% of the plan set for each respective division. Maximum goals for revenue growth, return on revenue, and working capital as a percent of sales represent levels of performance at which the Committee determines a payout of 200% of target would be appropriate. The Committee believes that the maximum goals established for each division performance measure are more aggressive goals.</w:t>
      </w:r>
    </w:p>
    <w:p>
      <w:pPr>
        <w:spacing w:after="0" w:line="74" w:lineRule="exact"/>
        <w:rPr>
          <w:sz w:val="20"/>
          <w:szCs w:val="20"/>
          <w:color w:val="auto"/>
        </w:rPr>
      </w:pPr>
    </w:p>
    <w:p>
      <w:pPr>
        <w:ind w:right="300" w:firstLine="408"/>
        <w:spacing w:after="0" w:line="257" w:lineRule="auto"/>
        <w:rPr>
          <w:sz w:val="20"/>
          <w:szCs w:val="20"/>
          <w:color w:val="auto"/>
        </w:rPr>
      </w:pPr>
      <w:r>
        <w:rPr>
          <w:rFonts w:ascii="Arial" w:cs="Arial" w:eastAsia="Arial" w:hAnsi="Arial"/>
          <w:sz w:val="16"/>
          <w:szCs w:val="16"/>
          <w:i w:val="1"/>
          <w:iCs w:val="1"/>
          <w:color w:val="auto"/>
        </w:rPr>
        <w:t>Division Performance Applicable to Mr. Rodier</w:t>
      </w:r>
      <w:r>
        <w:rPr>
          <w:rFonts w:ascii="Arial" w:cs="Arial" w:eastAsia="Arial" w:hAnsi="Arial"/>
          <w:sz w:val="16"/>
          <w:szCs w:val="16"/>
          <w:color w:val="auto"/>
        </w:rPr>
        <w:t>. From November 1, 2018 through March 31, 2019, Mr. Rodier had responsibility for our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 For that portion of the 2019 fiscal year, the annual cash incentive award for Mr. Rodier was based 50% on corporate performance and 50% on Commercial division performance. The table below reflects how the Commercial division performed against the performance measures for fiscal 2019.</w:t>
      </w:r>
    </w:p>
    <w:p>
      <w:pPr>
        <w:spacing w:after="0" w:line="75" w:lineRule="exact"/>
        <w:rPr>
          <w:sz w:val="20"/>
          <w:szCs w:val="20"/>
          <w:color w:val="auto"/>
        </w:rPr>
      </w:pPr>
    </w:p>
    <w:tbl>
      <w:tblPr>
        <w:tblLayout w:type="fixed"/>
        <w:tblInd w:w="2160" w:type="dxa"/>
        <w:tblCellMar>
          <w:top w:w="0" w:type="dxa"/>
          <w:left w:w="0" w:type="dxa"/>
          <w:bottom w:w="0" w:type="dxa"/>
          <w:right w:w="0" w:type="dxa"/>
        </w:tblCellMar>
      </w:tblPr>
      <w:tr>
        <w:trPr>
          <w:trHeight w:val="184"/>
        </w:trPr>
        <w:tc>
          <w:tcPr>
            <w:tcW w:w="38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Performance Measure</w:t>
            </w:r>
          </w:p>
        </w:tc>
        <w:tc>
          <w:tcPr>
            <w:tcW w:w="3300" w:type="dxa"/>
            <w:vAlign w:val="bottom"/>
            <w:shd w:val="clear" w:color="auto" w:fill="C00000"/>
          </w:tcPr>
          <w:p>
            <w:pPr>
              <w:jc w:val="center"/>
              <w:ind w:left="369"/>
              <w:spacing w:after="0"/>
              <w:rPr>
                <w:sz w:val="20"/>
                <w:szCs w:val="20"/>
                <w:color w:val="auto"/>
              </w:rPr>
            </w:pPr>
            <w:r>
              <w:rPr>
                <w:rFonts w:ascii="Arial" w:cs="Arial" w:eastAsia="Arial" w:hAnsi="Arial"/>
                <w:sz w:val="13"/>
                <w:szCs w:val="13"/>
                <w:b w:val="1"/>
                <w:bCs w:val="1"/>
                <w:color w:val="FFFFFF"/>
                <w:w w:val="99"/>
              </w:rPr>
              <w:t>Commercial</w:t>
            </w:r>
          </w:p>
        </w:tc>
      </w:tr>
      <w:tr>
        <w:trPr>
          <w:trHeight w:val="200"/>
        </w:trPr>
        <w:tc>
          <w:tcPr>
            <w:tcW w:w="3820" w:type="dxa"/>
            <w:vAlign w:val="bottom"/>
          </w:tcPr>
          <w:p>
            <w:pPr>
              <w:spacing w:after="0"/>
              <w:rPr>
                <w:sz w:val="20"/>
                <w:szCs w:val="20"/>
                <w:color w:val="auto"/>
              </w:rPr>
            </w:pPr>
            <w:r>
              <w:rPr>
                <w:rFonts w:ascii="Arial" w:cs="Arial" w:eastAsia="Arial" w:hAnsi="Arial"/>
                <w:sz w:val="15"/>
                <w:szCs w:val="15"/>
                <w:color w:val="auto"/>
              </w:rPr>
              <w:t>Division CPC</w:t>
            </w:r>
          </w:p>
        </w:tc>
        <w:tc>
          <w:tcPr>
            <w:tcW w:w="3300" w:type="dxa"/>
            <w:vAlign w:val="bottom"/>
          </w:tcPr>
          <w:p>
            <w:pPr>
              <w:jc w:val="center"/>
              <w:ind w:left="349"/>
              <w:spacing w:after="0"/>
              <w:rPr>
                <w:sz w:val="20"/>
                <w:szCs w:val="20"/>
                <w:color w:val="auto"/>
              </w:rPr>
            </w:pPr>
            <w:r>
              <w:rPr>
                <w:rFonts w:ascii="Arial" w:cs="Arial" w:eastAsia="Arial" w:hAnsi="Arial"/>
                <w:sz w:val="15"/>
                <w:szCs w:val="15"/>
                <w:color w:val="auto"/>
                <w:w w:val="97"/>
              </w:rPr>
              <w:t>Between threshold and target</w:t>
            </w:r>
          </w:p>
        </w:tc>
      </w:tr>
      <w:tr>
        <w:trPr>
          <w:trHeight w:val="217"/>
        </w:trPr>
        <w:tc>
          <w:tcPr>
            <w:tcW w:w="3820" w:type="dxa"/>
            <w:vAlign w:val="bottom"/>
            <w:shd w:val="clear" w:color="auto" w:fill="D9D9D9"/>
          </w:tcPr>
          <w:p>
            <w:pPr>
              <w:spacing w:after="0"/>
              <w:rPr>
                <w:sz w:val="20"/>
                <w:szCs w:val="20"/>
                <w:color w:val="auto"/>
              </w:rPr>
            </w:pPr>
            <w:r>
              <w:rPr>
                <w:rFonts w:ascii="Arial" w:cs="Arial" w:eastAsia="Arial" w:hAnsi="Arial"/>
                <w:sz w:val="15"/>
                <w:szCs w:val="15"/>
                <w:color w:val="auto"/>
              </w:rPr>
              <w:t>Division revenue growth</w:t>
            </w:r>
          </w:p>
        </w:tc>
        <w:tc>
          <w:tcPr>
            <w:tcW w:w="3300" w:type="dxa"/>
            <w:vAlign w:val="bottom"/>
            <w:shd w:val="clear" w:color="auto" w:fill="D9D9D9"/>
          </w:tcPr>
          <w:p>
            <w:pPr>
              <w:jc w:val="center"/>
              <w:ind w:left="369"/>
              <w:spacing w:after="0"/>
              <w:rPr>
                <w:sz w:val="20"/>
                <w:szCs w:val="20"/>
                <w:color w:val="auto"/>
              </w:rPr>
            </w:pPr>
            <w:r>
              <w:rPr>
                <w:rFonts w:ascii="Arial" w:cs="Arial" w:eastAsia="Arial" w:hAnsi="Arial"/>
                <w:sz w:val="15"/>
                <w:szCs w:val="15"/>
                <w:color w:val="auto"/>
                <w:w w:val="99"/>
              </w:rPr>
              <w:t>Below threshold</w:t>
            </w:r>
          </w:p>
        </w:tc>
      </w:tr>
      <w:tr>
        <w:trPr>
          <w:trHeight w:val="191"/>
        </w:trPr>
        <w:tc>
          <w:tcPr>
            <w:tcW w:w="3820" w:type="dxa"/>
            <w:vAlign w:val="bottom"/>
          </w:tcPr>
          <w:p>
            <w:pPr>
              <w:spacing w:after="0"/>
              <w:rPr>
                <w:sz w:val="20"/>
                <w:szCs w:val="20"/>
                <w:color w:val="auto"/>
              </w:rPr>
            </w:pPr>
            <w:r>
              <w:rPr>
                <w:rFonts w:ascii="Arial" w:cs="Arial" w:eastAsia="Arial" w:hAnsi="Arial"/>
                <w:sz w:val="15"/>
                <w:szCs w:val="15"/>
                <w:color w:val="auto"/>
              </w:rPr>
              <w:t>Division working capital as a percent of sales</w:t>
            </w:r>
          </w:p>
        </w:tc>
        <w:tc>
          <w:tcPr>
            <w:tcW w:w="3300" w:type="dxa"/>
            <w:vAlign w:val="bottom"/>
          </w:tcPr>
          <w:p>
            <w:pPr>
              <w:jc w:val="center"/>
              <w:ind w:left="369"/>
              <w:spacing w:after="0"/>
              <w:rPr>
                <w:sz w:val="20"/>
                <w:szCs w:val="20"/>
                <w:color w:val="auto"/>
              </w:rPr>
            </w:pPr>
            <w:r>
              <w:rPr>
                <w:rFonts w:ascii="Arial" w:cs="Arial" w:eastAsia="Arial" w:hAnsi="Arial"/>
                <w:sz w:val="15"/>
                <w:szCs w:val="15"/>
                <w:color w:val="auto"/>
                <w:w w:val="99"/>
              </w:rPr>
              <w:t>Below threshold</w:t>
            </w:r>
          </w:p>
        </w:tc>
      </w:tr>
    </w:tbl>
    <w:p>
      <w:pPr>
        <w:spacing w:after="0" w:line="115" w:lineRule="exact"/>
        <w:rPr>
          <w:sz w:val="20"/>
          <w:szCs w:val="20"/>
          <w:color w:val="auto"/>
        </w:rPr>
      </w:pPr>
    </w:p>
    <w:p>
      <w:pPr>
        <w:ind w:right="120" w:firstLine="408"/>
        <w:spacing w:after="0" w:line="255" w:lineRule="auto"/>
        <w:rPr>
          <w:sz w:val="20"/>
          <w:szCs w:val="20"/>
          <w:color w:val="auto"/>
        </w:rPr>
      </w:pPr>
      <w:r>
        <w:rPr>
          <w:rFonts w:ascii="Arial" w:cs="Arial" w:eastAsia="Arial" w:hAnsi="Arial"/>
          <w:sz w:val="16"/>
          <w:szCs w:val="16"/>
          <w:color w:val="auto"/>
        </w:rPr>
        <w:t>When applying the corporate and Commercial division weightings, the resulting payout percent for Mr. Rodier for November 1, 2018 through March 31, 2019 was 45.5%, or 22.7% of fiscal year base salary earnings for that time period.</w:t>
      </w:r>
    </w:p>
    <w:p>
      <w:pPr>
        <w:spacing w:after="0" w:line="75" w:lineRule="exact"/>
        <w:rPr>
          <w:sz w:val="20"/>
          <w:szCs w:val="20"/>
          <w:color w:val="auto"/>
        </w:rPr>
      </w:pPr>
    </w:p>
    <w:p>
      <w:pPr>
        <w:ind w:firstLine="408"/>
        <w:spacing w:after="0" w:line="244" w:lineRule="auto"/>
        <w:rPr>
          <w:sz w:val="20"/>
          <w:szCs w:val="20"/>
          <w:color w:val="auto"/>
        </w:rPr>
      </w:pPr>
      <w:r>
        <w:rPr>
          <w:rFonts w:ascii="Arial" w:cs="Arial" w:eastAsia="Arial" w:hAnsi="Arial"/>
          <w:sz w:val="16"/>
          <w:szCs w:val="16"/>
          <w:color w:val="auto"/>
        </w:rPr>
        <w:t>Effective April 1, 2019, Mr. Rodier was promoted to Group Vice President, Construction Businesses. As part of his new role, Mr. Rodier has oversight for the integration of our new CMW businesses as part of our Construction portfolio. As a result, from April 1, 2019 through October 31, 2019, Mr. Rodier’s annual cash incentive was based 50% on corporate performance and 50% on the performance of our CMW businesses. The table below reflects how the CMW businesses performed against the performance measures for fiscal 2019.</w:t>
      </w:r>
    </w:p>
    <w:p>
      <w:pPr>
        <w:spacing w:after="0" w:line="86" w:lineRule="exact"/>
        <w:rPr>
          <w:sz w:val="20"/>
          <w:szCs w:val="20"/>
          <w:color w:val="auto"/>
        </w:rPr>
      </w:pPr>
    </w:p>
    <w:tbl>
      <w:tblPr>
        <w:tblLayout w:type="fixed"/>
        <w:tblInd w:w="2160" w:type="dxa"/>
        <w:tblCellMar>
          <w:top w:w="0" w:type="dxa"/>
          <w:left w:w="0" w:type="dxa"/>
          <w:bottom w:w="0" w:type="dxa"/>
          <w:right w:w="0" w:type="dxa"/>
        </w:tblCellMar>
      </w:tblPr>
      <w:tr>
        <w:trPr>
          <w:trHeight w:val="184"/>
        </w:trPr>
        <w:tc>
          <w:tcPr>
            <w:tcW w:w="304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Performance Measure</w:t>
            </w:r>
          </w:p>
        </w:tc>
        <w:tc>
          <w:tcPr>
            <w:tcW w:w="4080" w:type="dxa"/>
            <w:vAlign w:val="bottom"/>
            <w:shd w:val="clear" w:color="auto" w:fill="C00000"/>
          </w:tcPr>
          <w:p>
            <w:pPr>
              <w:jc w:val="center"/>
              <w:ind w:left="1129"/>
              <w:spacing w:after="0"/>
              <w:rPr>
                <w:sz w:val="20"/>
                <w:szCs w:val="20"/>
                <w:color w:val="auto"/>
              </w:rPr>
            </w:pPr>
            <w:r>
              <w:rPr>
                <w:rFonts w:ascii="Arial" w:cs="Arial" w:eastAsia="Arial" w:hAnsi="Arial"/>
                <w:sz w:val="13"/>
                <w:szCs w:val="13"/>
                <w:b w:val="1"/>
                <w:bCs w:val="1"/>
                <w:color w:val="FFFFFF"/>
                <w:w w:val="99"/>
              </w:rPr>
              <w:t>CMW Businesses</w:t>
            </w:r>
          </w:p>
        </w:tc>
      </w:tr>
      <w:tr>
        <w:trPr>
          <w:trHeight w:val="200"/>
        </w:trPr>
        <w:tc>
          <w:tcPr>
            <w:tcW w:w="3040" w:type="dxa"/>
            <w:vAlign w:val="bottom"/>
          </w:tcPr>
          <w:p>
            <w:pPr>
              <w:spacing w:after="0"/>
              <w:rPr>
                <w:sz w:val="20"/>
                <w:szCs w:val="20"/>
                <w:color w:val="auto"/>
              </w:rPr>
            </w:pPr>
            <w:r>
              <w:rPr>
                <w:rFonts w:ascii="Arial" w:cs="Arial" w:eastAsia="Arial" w:hAnsi="Arial"/>
                <w:sz w:val="15"/>
                <w:szCs w:val="15"/>
                <w:color w:val="auto"/>
              </w:rPr>
              <w:t>Return on revenue</w:t>
            </w:r>
          </w:p>
        </w:tc>
        <w:tc>
          <w:tcPr>
            <w:tcW w:w="4080" w:type="dxa"/>
            <w:vAlign w:val="bottom"/>
          </w:tcPr>
          <w:p>
            <w:pPr>
              <w:jc w:val="center"/>
              <w:ind w:left="1129"/>
              <w:spacing w:after="0"/>
              <w:rPr>
                <w:sz w:val="20"/>
                <w:szCs w:val="20"/>
                <w:color w:val="auto"/>
              </w:rPr>
            </w:pPr>
            <w:r>
              <w:rPr>
                <w:rFonts w:ascii="Arial" w:cs="Arial" w:eastAsia="Arial" w:hAnsi="Arial"/>
                <w:sz w:val="15"/>
                <w:szCs w:val="15"/>
                <w:color w:val="auto"/>
                <w:w w:val="97"/>
              </w:rPr>
              <w:t>Between threshold and target</w:t>
            </w:r>
          </w:p>
        </w:tc>
      </w:tr>
      <w:tr>
        <w:trPr>
          <w:trHeight w:val="217"/>
        </w:trPr>
        <w:tc>
          <w:tcPr>
            <w:tcW w:w="3040" w:type="dxa"/>
            <w:vAlign w:val="bottom"/>
            <w:shd w:val="clear" w:color="auto" w:fill="D9D9D9"/>
          </w:tcPr>
          <w:p>
            <w:pPr>
              <w:spacing w:after="0"/>
              <w:rPr>
                <w:sz w:val="20"/>
                <w:szCs w:val="20"/>
                <w:color w:val="auto"/>
              </w:rPr>
            </w:pPr>
            <w:r>
              <w:rPr>
                <w:rFonts w:ascii="Arial" w:cs="Arial" w:eastAsia="Arial" w:hAnsi="Arial"/>
                <w:sz w:val="15"/>
                <w:szCs w:val="15"/>
                <w:color w:val="auto"/>
              </w:rPr>
              <w:t>Revenue growth</w:t>
            </w:r>
          </w:p>
        </w:tc>
        <w:tc>
          <w:tcPr>
            <w:tcW w:w="4080" w:type="dxa"/>
            <w:vAlign w:val="bottom"/>
            <w:shd w:val="clear" w:color="auto" w:fill="D9D9D9"/>
          </w:tcPr>
          <w:p>
            <w:pPr>
              <w:jc w:val="center"/>
              <w:ind w:left="1129"/>
              <w:spacing w:after="0"/>
              <w:rPr>
                <w:sz w:val="20"/>
                <w:szCs w:val="20"/>
                <w:color w:val="auto"/>
              </w:rPr>
            </w:pPr>
            <w:r>
              <w:rPr>
                <w:rFonts w:ascii="Arial" w:cs="Arial" w:eastAsia="Arial" w:hAnsi="Arial"/>
                <w:sz w:val="15"/>
                <w:szCs w:val="15"/>
                <w:color w:val="auto"/>
                <w:w w:val="97"/>
              </w:rPr>
              <w:t>Between threshold and target</w:t>
            </w:r>
          </w:p>
        </w:tc>
      </w:tr>
    </w:tbl>
    <w:p>
      <w:pPr>
        <w:spacing w:after="0" w:line="97" w:lineRule="exact"/>
        <w:rPr>
          <w:sz w:val="20"/>
          <w:szCs w:val="20"/>
          <w:color w:val="auto"/>
        </w:rPr>
      </w:pPr>
    </w:p>
    <w:p>
      <w:pPr>
        <w:ind w:right="240" w:firstLine="408"/>
        <w:spacing w:after="0" w:line="255" w:lineRule="auto"/>
        <w:rPr>
          <w:sz w:val="20"/>
          <w:szCs w:val="20"/>
          <w:color w:val="auto"/>
        </w:rPr>
      </w:pPr>
      <w:r>
        <w:rPr>
          <w:rFonts w:ascii="Arial" w:cs="Arial" w:eastAsia="Arial" w:hAnsi="Arial"/>
          <w:sz w:val="16"/>
          <w:szCs w:val="16"/>
          <w:color w:val="auto"/>
        </w:rPr>
        <w:t>When applying the corporate and CMW business weightings, the resulting payout percent for Mr. Rodier from April 1, 2019 through October 31, 2019 was 75.5%, or 45.73% of fiscal year base salary earnings for that time period.</w:t>
      </w:r>
    </w:p>
    <w:p>
      <w:pPr>
        <w:spacing w:after="0" w:line="75" w:lineRule="exact"/>
        <w:rPr>
          <w:sz w:val="20"/>
          <w:szCs w:val="20"/>
          <w:color w:val="auto"/>
        </w:rPr>
      </w:pPr>
    </w:p>
    <w:p>
      <w:pPr>
        <w:ind w:right="140" w:firstLine="408"/>
        <w:spacing w:after="0" w:line="255" w:lineRule="auto"/>
        <w:rPr>
          <w:sz w:val="20"/>
          <w:szCs w:val="20"/>
          <w:color w:val="auto"/>
        </w:rPr>
      </w:pPr>
      <w:r>
        <w:rPr>
          <w:rFonts w:ascii="Arial" w:cs="Arial" w:eastAsia="Arial" w:hAnsi="Arial"/>
          <w:sz w:val="16"/>
          <w:szCs w:val="16"/>
          <w:color w:val="auto"/>
        </w:rPr>
        <w:t>Overall, as a result of the performance achieved by corporate, Commercial and the CMW businesses for fiscal 2019, as applicable, Mr. Rodier’s actual cash incentive payout represented 37.1% of fiscal 2019 base salary earnings.</w:t>
      </w:r>
    </w:p>
    <w:p>
      <w:pPr>
        <w:spacing w:after="0" w:line="59" w:lineRule="exact"/>
        <w:rPr>
          <w:sz w:val="20"/>
          <w:szCs w:val="20"/>
          <w:color w:val="auto"/>
        </w:rPr>
      </w:pPr>
    </w:p>
    <w:p>
      <w:pPr>
        <w:ind w:right="20" w:firstLine="408"/>
        <w:spacing w:after="0" w:line="257" w:lineRule="auto"/>
        <w:rPr>
          <w:sz w:val="20"/>
          <w:szCs w:val="20"/>
          <w:color w:val="auto"/>
        </w:rPr>
      </w:pPr>
      <w:r>
        <w:rPr>
          <w:rFonts w:ascii="Arial" w:cs="Arial" w:eastAsia="Arial" w:hAnsi="Arial"/>
          <w:sz w:val="16"/>
          <w:szCs w:val="16"/>
          <w:i w:val="1"/>
          <w:iCs w:val="1"/>
          <w:color w:val="auto"/>
        </w:rPr>
        <w:t xml:space="preserve">Actual Cash Compensation Discussion and Analysis. </w:t>
      </w:r>
      <w:r>
        <w:rPr>
          <w:rFonts w:ascii="Arial" w:cs="Arial" w:eastAsia="Arial" w:hAnsi="Arial"/>
          <w:sz w:val="16"/>
          <w:szCs w:val="16"/>
          <w:color w:val="auto"/>
        </w:rPr>
        <w:t>Fiscal 2019 actual total cash compensation (which represents the sum of actual fiscal 2019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salary earned and fiscal 2019 actual total annual cash incentive award payout) and its position relative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is reflected in the table below.</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49" w:name="page50"/>
    <w:bookmarkEnd w:id="49"/>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660" w:type="dxa"/>
            <w:vAlign w:val="bottom"/>
            <w:shd w:val="clear" w:color="auto" w:fill="BE0000"/>
          </w:tcPr>
          <w:p>
            <w:pPr>
              <w:spacing w:after="0"/>
              <w:rPr>
                <w:sz w:val="13"/>
                <w:szCs w:val="13"/>
                <w:color w:val="auto"/>
              </w:rPr>
            </w:pPr>
          </w:p>
        </w:tc>
        <w:tc>
          <w:tcPr>
            <w:tcW w:w="2000" w:type="dxa"/>
            <w:vAlign w:val="bottom"/>
            <w:shd w:val="clear" w:color="auto" w:fill="BE0000"/>
          </w:tcPr>
          <w:p>
            <w:pPr>
              <w:jc w:val="center"/>
              <w:ind w:left="290"/>
              <w:spacing w:after="0"/>
              <w:rPr>
                <w:sz w:val="20"/>
                <w:szCs w:val="20"/>
                <w:color w:val="auto"/>
              </w:rPr>
            </w:pPr>
            <w:r>
              <w:rPr>
                <w:rFonts w:ascii="Arial" w:cs="Arial" w:eastAsia="Arial" w:hAnsi="Arial"/>
                <w:sz w:val="13"/>
                <w:szCs w:val="13"/>
                <w:b w:val="1"/>
                <w:bCs w:val="1"/>
                <w:color w:val="FFFFFF"/>
                <w:w w:val="97"/>
              </w:rPr>
              <w:t>Fiscal 2019</w:t>
            </w:r>
          </w:p>
        </w:tc>
        <w:tc>
          <w:tcPr>
            <w:tcW w:w="3000" w:type="dxa"/>
            <w:vAlign w:val="bottom"/>
            <w:shd w:val="clear" w:color="auto" w:fill="BE0000"/>
          </w:tcPr>
          <w:p>
            <w:pPr>
              <w:jc w:val="center"/>
              <w:ind w:right="210"/>
              <w:spacing w:after="0"/>
              <w:rPr>
                <w:sz w:val="20"/>
                <w:szCs w:val="20"/>
                <w:color w:val="auto"/>
              </w:rPr>
            </w:pPr>
            <w:r>
              <w:rPr>
                <w:rFonts w:ascii="Arial" w:cs="Arial" w:eastAsia="Arial" w:hAnsi="Arial"/>
                <w:sz w:val="13"/>
                <w:szCs w:val="13"/>
                <w:b w:val="1"/>
                <w:bCs w:val="1"/>
                <w:color w:val="FFFFFF"/>
              </w:rPr>
              <w:t>Fiscal 2019 Actual Total Annual Cash</w:t>
            </w:r>
          </w:p>
        </w:tc>
        <w:tc>
          <w:tcPr>
            <w:tcW w:w="2320" w:type="dxa"/>
            <w:vAlign w:val="bottom"/>
            <w:shd w:val="clear" w:color="auto" w:fill="BE0000"/>
          </w:tcPr>
          <w:p>
            <w:pPr>
              <w:jc w:val="center"/>
              <w:ind w:right="230"/>
              <w:spacing w:after="0"/>
              <w:rPr>
                <w:sz w:val="20"/>
                <w:szCs w:val="20"/>
                <w:color w:val="auto"/>
              </w:rPr>
            </w:pPr>
            <w:r>
              <w:rPr>
                <w:rFonts w:ascii="Arial" w:cs="Arial" w:eastAsia="Arial" w:hAnsi="Arial"/>
                <w:sz w:val="13"/>
                <w:szCs w:val="13"/>
                <w:b w:val="1"/>
                <w:bCs w:val="1"/>
                <w:color w:val="FFFFFF"/>
                <w:w w:val="99"/>
              </w:rPr>
              <w:t>Fiscal 2019 Actual Total</w:t>
            </w:r>
          </w:p>
        </w:tc>
        <w:tc>
          <w:tcPr>
            <w:tcW w:w="2440" w:type="dxa"/>
            <w:vAlign w:val="bottom"/>
            <w:shd w:val="clear" w:color="auto" w:fill="BE0000"/>
          </w:tcPr>
          <w:p>
            <w:pPr>
              <w:jc w:val="center"/>
              <w:ind w:right="71"/>
              <w:spacing w:after="0"/>
              <w:rPr>
                <w:sz w:val="20"/>
                <w:szCs w:val="20"/>
                <w:color w:val="auto"/>
              </w:rPr>
            </w:pPr>
            <w:r>
              <w:rPr>
                <w:rFonts w:ascii="Arial" w:cs="Arial" w:eastAsia="Arial" w:hAnsi="Arial"/>
                <w:sz w:val="13"/>
                <w:szCs w:val="13"/>
                <w:b w:val="1"/>
                <w:bCs w:val="1"/>
                <w:color w:val="FFFFFF"/>
                <w:w w:val="99"/>
              </w:rPr>
              <w:t>Fiscal 2019 Actual Total Cash</w:t>
            </w:r>
          </w:p>
        </w:tc>
      </w:tr>
      <w:tr>
        <w:trPr>
          <w:trHeight w:val="142"/>
        </w:trPr>
        <w:tc>
          <w:tcPr>
            <w:tcW w:w="1660" w:type="dxa"/>
            <w:vAlign w:val="bottom"/>
            <w:shd w:val="clear" w:color="auto" w:fill="BE0000"/>
          </w:tcPr>
          <w:p>
            <w:pPr>
              <w:spacing w:after="0"/>
              <w:rPr>
                <w:sz w:val="12"/>
                <w:szCs w:val="12"/>
                <w:color w:val="auto"/>
              </w:rPr>
            </w:pPr>
          </w:p>
        </w:tc>
        <w:tc>
          <w:tcPr>
            <w:tcW w:w="2000" w:type="dxa"/>
            <w:vAlign w:val="bottom"/>
            <w:shd w:val="clear" w:color="auto" w:fill="BE0000"/>
          </w:tcPr>
          <w:p>
            <w:pPr>
              <w:jc w:val="center"/>
              <w:ind w:left="310"/>
              <w:spacing w:after="0" w:line="143" w:lineRule="exact"/>
              <w:rPr>
                <w:sz w:val="20"/>
                <w:szCs w:val="20"/>
                <w:color w:val="auto"/>
              </w:rPr>
            </w:pPr>
            <w:r>
              <w:rPr>
                <w:rFonts w:ascii="Arial" w:cs="Arial" w:eastAsia="Arial" w:hAnsi="Arial"/>
                <w:sz w:val="13"/>
                <w:szCs w:val="13"/>
                <w:b w:val="1"/>
                <w:bCs w:val="1"/>
                <w:color w:val="FFFFFF"/>
              </w:rPr>
              <w:t>Base Salary</w:t>
            </w:r>
          </w:p>
        </w:tc>
        <w:tc>
          <w:tcPr>
            <w:tcW w:w="3000" w:type="dxa"/>
            <w:vAlign w:val="bottom"/>
            <w:shd w:val="clear" w:color="auto" w:fill="BE0000"/>
          </w:tcPr>
          <w:p>
            <w:pPr>
              <w:jc w:val="center"/>
              <w:ind w:right="210"/>
              <w:spacing w:after="0" w:line="143" w:lineRule="exact"/>
              <w:rPr>
                <w:sz w:val="20"/>
                <w:szCs w:val="20"/>
                <w:color w:val="auto"/>
              </w:rPr>
            </w:pPr>
            <w:r>
              <w:rPr>
                <w:rFonts w:ascii="Arial" w:cs="Arial" w:eastAsia="Arial" w:hAnsi="Arial"/>
                <w:sz w:val="13"/>
                <w:szCs w:val="13"/>
                <w:b w:val="1"/>
                <w:bCs w:val="1"/>
                <w:color w:val="FFFFFF"/>
              </w:rPr>
              <w:t>Incentive Award Payout</w:t>
            </w:r>
          </w:p>
        </w:tc>
        <w:tc>
          <w:tcPr>
            <w:tcW w:w="2320" w:type="dxa"/>
            <w:vAlign w:val="bottom"/>
            <w:shd w:val="clear" w:color="auto" w:fill="BE0000"/>
          </w:tcPr>
          <w:p>
            <w:pPr>
              <w:jc w:val="center"/>
              <w:ind w:right="230"/>
              <w:spacing w:after="0" w:line="143" w:lineRule="exact"/>
              <w:rPr>
                <w:sz w:val="20"/>
                <w:szCs w:val="20"/>
                <w:color w:val="auto"/>
              </w:rPr>
            </w:pPr>
            <w:r>
              <w:rPr>
                <w:rFonts w:ascii="Arial" w:cs="Arial" w:eastAsia="Arial" w:hAnsi="Arial"/>
                <w:sz w:val="13"/>
                <w:szCs w:val="13"/>
                <w:b w:val="1"/>
                <w:bCs w:val="1"/>
                <w:color w:val="FFFFFF"/>
              </w:rPr>
              <w:t>Cash Compensation</w:t>
            </w:r>
          </w:p>
        </w:tc>
        <w:tc>
          <w:tcPr>
            <w:tcW w:w="2440" w:type="dxa"/>
            <w:vAlign w:val="bottom"/>
            <w:shd w:val="clear" w:color="auto" w:fill="BE0000"/>
          </w:tcPr>
          <w:p>
            <w:pPr>
              <w:jc w:val="center"/>
              <w:ind w:right="71"/>
              <w:spacing w:after="0" w:line="143" w:lineRule="exact"/>
              <w:rPr>
                <w:sz w:val="20"/>
                <w:szCs w:val="20"/>
                <w:color w:val="auto"/>
              </w:rPr>
            </w:pPr>
            <w:r>
              <w:rPr>
                <w:rFonts w:ascii="Arial" w:cs="Arial" w:eastAsia="Arial" w:hAnsi="Arial"/>
                <w:sz w:val="13"/>
                <w:szCs w:val="13"/>
                <w:b w:val="1"/>
                <w:bCs w:val="1"/>
                <w:color w:val="FFFFFF"/>
                <w:w w:val="99"/>
              </w:rPr>
              <w:t>Compensation Compared to</w:t>
            </w:r>
          </w:p>
        </w:tc>
      </w:tr>
      <w:tr>
        <w:trPr>
          <w:trHeight w:val="163"/>
        </w:trPr>
        <w:tc>
          <w:tcPr>
            <w:tcW w:w="166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Name</w:t>
            </w:r>
          </w:p>
        </w:tc>
        <w:tc>
          <w:tcPr>
            <w:tcW w:w="2000" w:type="dxa"/>
            <w:vAlign w:val="bottom"/>
            <w:shd w:val="clear" w:color="auto" w:fill="BE0000"/>
          </w:tcPr>
          <w:p>
            <w:pPr>
              <w:jc w:val="center"/>
              <w:ind w:left="290"/>
              <w:spacing w:after="0"/>
              <w:rPr>
                <w:sz w:val="20"/>
                <w:szCs w:val="20"/>
                <w:color w:val="auto"/>
              </w:rPr>
            </w:pPr>
            <w:r>
              <w:rPr>
                <w:rFonts w:ascii="Arial" w:cs="Arial" w:eastAsia="Arial" w:hAnsi="Arial"/>
                <w:sz w:val="13"/>
                <w:szCs w:val="13"/>
                <w:b w:val="1"/>
                <w:bCs w:val="1"/>
                <w:color w:val="FFFFFF"/>
              </w:rPr>
              <w:t>($)</w:t>
            </w:r>
          </w:p>
        </w:tc>
        <w:tc>
          <w:tcPr>
            <w:tcW w:w="3000" w:type="dxa"/>
            <w:vAlign w:val="bottom"/>
            <w:shd w:val="clear" w:color="auto" w:fill="BE0000"/>
          </w:tcPr>
          <w:p>
            <w:pPr>
              <w:jc w:val="center"/>
              <w:ind w:right="210"/>
              <w:spacing w:after="0"/>
              <w:rPr>
                <w:sz w:val="20"/>
                <w:szCs w:val="20"/>
                <w:color w:val="auto"/>
              </w:rPr>
            </w:pPr>
            <w:r>
              <w:rPr>
                <w:rFonts w:ascii="Arial" w:cs="Arial" w:eastAsia="Arial" w:hAnsi="Arial"/>
                <w:sz w:val="13"/>
                <w:szCs w:val="13"/>
                <w:b w:val="1"/>
                <w:bCs w:val="1"/>
                <w:color w:val="FFFFFF"/>
              </w:rPr>
              <w:t>($)</w:t>
            </w:r>
          </w:p>
        </w:tc>
        <w:tc>
          <w:tcPr>
            <w:tcW w:w="2320" w:type="dxa"/>
            <w:vAlign w:val="bottom"/>
            <w:shd w:val="clear" w:color="auto" w:fill="BE0000"/>
          </w:tcPr>
          <w:p>
            <w:pPr>
              <w:jc w:val="center"/>
              <w:ind w:right="210"/>
              <w:spacing w:after="0"/>
              <w:rPr>
                <w:sz w:val="20"/>
                <w:szCs w:val="20"/>
                <w:color w:val="auto"/>
              </w:rPr>
            </w:pPr>
            <w:r>
              <w:rPr>
                <w:rFonts w:ascii="Arial" w:cs="Arial" w:eastAsia="Arial" w:hAnsi="Arial"/>
                <w:sz w:val="13"/>
                <w:szCs w:val="13"/>
                <w:b w:val="1"/>
                <w:bCs w:val="1"/>
                <w:color w:val="FFFFFF"/>
              </w:rPr>
              <w:t>($)</w:t>
            </w:r>
          </w:p>
        </w:tc>
        <w:tc>
          <w:tcPr>
            <w:tcW w:w="2440" w:type="dxa"/>
            <w:vAlign w:val="bottom"/>
            <w:shd w:val="clear" w:color="auto" w:fill="BE0000"/>
          </w:tcPr>
          <w:p>
            <w:pPr>
              <w:jc w:val="center"/>
              <w:ind w:right="91"/>
              <w:spacing w:after="0" w:line="164" w:lineRule="exact"/>
              <w:rPr>
                <w:sz w:val="20"/>
                <w:szCs w:val="20"/>
                <w:color w:val="auto"/>
              </w:rPr>
            </w:pPr>
            <w:r>
              <w:rPr>
                <w:rFonts w:ascii="Arial" w:cs="Arial" w:eastAsia="Arial" w:hAnsi="Arial"/>
                <w:sz w:val="11"/>
                <w:szCs w:val="11"/>
                <w:b w:val="1"/>
                <w:bCs w:val="1"/>
                <w:color w:val="FFFFFF"/>
              </w:rPr>
              <w:t>Market 50</w:t>
            </w:r>
            <w:r>
              <w:rPr>
                <w:rFonts w:ascii="Arial" w:cs="Arial" w:eastAsia="Arial" w:hAnsi="Arial"/>
                <w:sz w:val="18"/>
                <w:szCs w:val="18"/>
                <w:b w:val="1"/>
                <w:bCs w:val="1"/>
                <w:color w:val="FFFFFF"/>
                <w:vertAlign w:val="superscript"/>
              </w:rPr>
              <w:t>th</w:t>
            </w:r>
            <w:r>
              <w:rPr>
                <w:rFonts w:ascii="Arial" w:cs="Arial" w:eastAsia="Arial" w:hAnsi="Arial"/>
                <w:sz w:val="11"/>
                <w:szCs w:val="11"/>
                <w:b w:val="1"/>
                <w:bCs w:val="1"/>
                <w:color w:val="FFFFFF"/>
              </w:rPr>
              <w:t xml:space="preserve"> Percentile</w:t>
            </w: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Mr. Olson</w:t>
            </w:r>
          </w:p>
        </w:tc>
        <w:tc>
          <w:tcPr>
            <w:tcW w:w="2000" w:type="dxa"/>
            <w:vAlign w:val="bottom"/>
          </w:tcPr>
          <w:p>
            <w:pPr>
              <w:jc w:val="right"/>
              <w:ind w:right="150"/>
              <w:spacing w:after="0"/>
              <w:rPr>
                <w:sz w:val="20"/>
                <w:szCs w:val="20"/>
                <w:color w:val="auto"/>
              </w:rPr>
            </w:pPr>
            <w:r>
              <w:rPr>
                <w:rFonts w:ascii="Arial" w:cs="Arial" w:eastAsia="Arial" w:hAnsi="Arial"/>
                <w:sz w:val="15"/>
                <w:szCs w:val="15"/>
                <w:color w:val="auto"/>
              </w:rPr>
              <w:t>925,000</w:t>
            </w:r>
          </w:p>
        </w:tc>
        <w:tc>
          <w:tcPr>
            <w:tcW w:w="3000" w:type="dxa"/>
            <w:vAlign w:val="bottom"/>
          </w:tcPr>
          <w:p>
            <w:pPr>
              <w:jc w:val="right"/>
              <w:ind w:right="190"/>
              <w:spacing w:after="0"/>
              <w:rPr>
                <w:sz w:val="20"/>
                <w:szCs w:val="20"/>
                <w:color w:val="auto"/>
              </w:rPr>
            </w:pPr>
            <w:r>
              <w:rPr>
                <w:rFonts w:ascii="Arial" w:cs="Arial" w:eastAsia="Arial" w:hAnsi="Arial"/>
                <w:sz w:val="15"/>
                <w:szCs w:val="15"/>
                <w:color w:val="auto"/>
              </w:rPr>
              <w:t>606,939</w:t>
            </w:r>
          </w:p>
        </w:tc>
        <w:tc>
          <w:tcPr>
            <w:tcW w:w="2320" w:type="dxa"/>
            <w:vAlign w:val="bottom"/>
          </w:tcPr>
          <w:p>
            <w:pPr>
              <w:jc w:val="right"/>
              <w:ind w:right="170"/>
              <w:spacing w:after="0"/>
              <w:rPr>
                <w:sz w:val="20"/>
                <w:szCs w:val="20"/>
                <w:color w:val="auto"/>
              </w:rPr>
            </w:pPr>
            <w:r>
              <w:rPr>
                <w:rFonts w:ascii="Arial" w:cs="Arial" w:eastAsia="Arial" w:hAnsi="Arial"/>
                <w:sz w:val="15"/>
                <w:szCs w:val="15"/>
                <w:color w:val="auto"/>
              </w:rPr>
              <w:t>1,531,939</w:t>
            </w:r>
          </w:p>
        </w:tc>
        <w:tc>
          <w:tcPr>
            <w:tcW w:w="2440" w:type="dxa"/>
            <w:vAlign w:val="bottom"/>
          </w:tcPr>
          <w:p>
            <w:pPr>
              <w:ind w:left="1720"/>
              <w:spacing w:after="0"/>
              <w:rPr>
                <w:sz w:val="20"/>
                <w:szCs w:val="20"/>
                <w:color w:val="auto"/>
              </w:rPr>
            </w:pPr>
            <w:r>
              <w:rPr>
                <w:rFonts w:ascii="Arial" w:cs="Arial" w:eastAsia="Arial" w:hAnsi="Arial"/>
                <w:sz w:val="15"/>
                <w:szCs w:val="15"/>
                <w:color w:val="auto"/>
                <w:w w:val="95"/>
              </w:rPr>
              <w:t>28% below</w:t>
            </w: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2000" w:type="dxa"/>
            <w:vAlign w:val="bottom"/>
            <w:shd w:val="clear" w:color="auto" w:fill="D9D9D9"/>
          </w:tcPr>
          <w:p>
            <w:pPr>
              <w:jc w:val="right"/>
              <w:ind w:right="150"/>
              <w:spacing w:after="0"/>
              <w:rPr>
                <w:sz w:val="20"/>
                <w:szCs w:val="20"/>
                <w:color w:val="auto"/>
              </w:rPr>
            </w:pPr>
            <w:r>
              <w:rPr>
                <w:rFonts w:ascii="Arial" w:cs="Arial" w:eastAsia="Arial" w:hAnsi="Arial"/>
                <w:sz w:val="15"/>
                <w:szCs w:val="15"/>
                <w:color w:val="auto"/>
              </w:rPr>
              <w:t>535,500</w:t>
            </w:r>
          </w:p>
        </w:tc>
        <w:tc>
          <w:tcPr>
            <w:tcW w:w="3000" w:type="dxa"/>
            <w:vAlign w:val="bottom"/>
            <w:shd w:val="clear" w:color="auto" w:fill="D9D9D9"/>
          </w:tcPr>
          <w:p>
            <w:pPr>
              <w:jc w:val="right"/>
              <w:ind w:right="190"/>
              <w:spacing w:after="0"/>
              <w:rPr>
                <w:sz w:val="20"/>
                <w:szCs w:val="20"/>
                <w:color w:val="auto"/>
              </w:rPr>
            </w:pPr>
            <w:r>
              <w:rPr>
                <w:rFonts w:ascii="Arial" w:cs="Arial" w:eastAsia="Arial" w:hAnsi="Arial"/>
                <w:sz w:val="15"/>
                <w:szCs w:val="15"/>
                <w:color w:val="auto"/>
              </w:rPr>
              <w:t>239,569</w:t>
            </w:r>
          </w:p>
        </w:tc>
        <w:tc>
          <w:tcPr>
            <w:tcW w:w="2320" w:type="dxa"/>
            <w:vAlign w:val="bottom"/>
            <w:shd w:val="clear" w:color="auto" w:fill="D9D9D9"/>
          </w:tcPr>
          <w:p>
            <w:pPr>
              <w:jc w:val="right"/>
              <w:ind w:right="170"/>
              <w:spacing w:after="0"/>
              <w:rPr>
                <w:sz w:val="20"/>
                <w:szCs w:val="20"/>
                <w:color w:val="auto"/>
              </w:rPr>
            </w:pPr>
            <w:r>
              <w:rPr>
                <w:rFonts w:ascii="Arial" w:cs="Arial" w:eastAsia="Arial" w:hAnsi="Arial"/>
                <w:sz w:val="15"/>
                <w:szCs w:val="15"/>
                <w:color w:val="auto"/>
              </w:rPr>
              <w:t>775,069</w:t>
            </w:r>
          </w:p>
        </w:tc>
        <w:tc>
          <w:tcPr>
            <w:tcW w:w="2440" w:type="dxa"/>
            <w:vAlign w:val="bottom"/>
            <w:shd w:val="clear" w:color="auto" w:fill="D9D9D9"/>
          </w:tcPr>
          <w:p>
            <w:pPr>
              <w:ind w:left="1720"/>
              <w:spacing w:after="0"/>
              <w:rPr>
                <w:sz w:val="20"/>
                <w:szCs w:val="20"/>
                <w:color w:val="auto"/>
              </w:rPr>
            </w:pPr>
            <w:r>
              <w:rPr>
                <w:rFonts w:ascii="Arial" w:cs="Arial" w:eastAsia="Arial" w:hAnsi="Arial"/>
                <w:sz w:val="15"/>
                <w:szCs w:val="15"/>
                <w:color w:val="auto"/>
                <w:w w:val="95"/>
              </w:rPr>
              <w:t>17% below</w:t>
            </w: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Mr. Dordell</w:t>
            </w:r>
          </w:p>
        </w:tc>
        <w:tc>
          <w:tcPr>
            <w:tcW w:w="2000" w:type="dxa"/>
            <w:vAlign w:val="bottom"/>
          </w:tcPr>
          <w:p>
            <w:pPr>
              <w:jc w:val="right"/>
              <w:ind w:right="150"/>
              <w:spacing w:after="0"/>
              <w:rPr>
                <w:sz w:val="20"/>
                <w:szCs w:val="20"/>
                <w:color w:val="auto"/>
              </w:rPr>
            </w:pPr>
            <w:r>
              <w:rPr>
                <w:rFonts w:ascii="Arial" w:cs="Arial" w:eastAsia="Arial" w:hAnsi="Arial"/>
                <w:sz w:val="15"/>
                <w:szCs w:val="15"/>
                <w:color w:val="auto"/>
              </w:rPr>
              <w:t>451,000</w:t>
            </w:r>
          </w:p>
        </w:tc>
        <w:tc>
          <w:tcPr>
            <w:tcW w:w="3000" w:type="dxa"/>
            <w:vAlign w:val="bottom"/>
          </w:tcPr>
          <w:p>
            <w:pPr>
              <w:jc w:val="right"/>
              <w:ind w:right="190"/>
              <w:spacing w:after="0"/>
              <w:rPr>
                <w:sz w:val="20"/>
                <w:szCs w:val="20"/>
                <w:color w:val="auto"/>
              </w:rPr>
            </w:pPr>
            <w:r>
              <w:rPr>
                <w:rFonts w:ascii="Arial" w:cs="Arial" w:eastAsia="Arial" w:hAnsi="Arial"/>
                <w:sz w:val="15"/>
                <w:szCs w:val="15"/>
                <w:color w:val="auto"/>
              </w:rPr>
              <w:t>161,413</w:t>
            </w:r>
          </w:p>
        </w:tc>
        <w:tc>
          <w:tcPr>
            <w:tcW w:w="2320" w:type="dxa"/>
            <w:vAlign w:val="bottom"/>
          </w:tcPr>
          <w:p>
            <w:pPr>
              <w:jc w:val="right"/>
              <w:ind w:right="170"/>
              <w:spacing w:after="0"/>
              <w:rPr>
                <w:sz w:val="20"/>
                <w:szCs w:val="20"/>
                <w:color w:val="auto"/>
              </w:rPr>
            </w:pPr>
            <w:r>
              <w:rPr>
                <w:rFonts w:ascii="Arial" w:cs="Arial" w:eastAsia="Arial" w:hAnsi="Arial"/>
                <w:sz w:val="15"/>
                <w:szCs w:val="15"/>
                <w:color w:val="auto"/>
              </w:rPr>
              <w:t>612,413</w:t>
            </w:r>
          </w:p>
        </w:tc>
        <w:tc>
          <w:tcPr>
            <w:tcW w:w="2440" w:type="dxa"/>
            <w:vAlign w:val="bottom"/>
          </w:tcPr>
          <w:p>
            <w:pPr>
              <w:ind w:left="1720"/>
              <w:spacing w:after="0"/>
              <w:rPr>
                <w:sz w:val="20"/>
                <w:szCs w:val="20"/>
                <w:color w:val="auto"/>
              </w:rPr>
            </w:pPr>
            <w:r>
              <w:rPr>
                <w:rFonts w:ascii="Arial" w:cs="Arial" w:eastAsia="Arial" w:hAnsi="Arial"/>
                <w:sz w:val="15"/>
                <w:szCs w:val="15"/>
                <w:color w:val="auto"/>
                <w:w w:val="95"/>
              </w:rPr>
              <w:t>16% below</w:t>
            </w: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Mr. Hamilton</w:t>
            </w:r>
          </w:p>
        </w:tc>
        <w:tc>
          <w:tcPr>
            <w:tcW w:w="2000" w:type="dxa"/>
            <w:vAlign w:val="bottom"/>
            <w:shd w:val="clear" w:color="auto" w:fill="D9D9D9"/>
          </w:tcPr>
          <w:p>
            <w:pPr>
              <w:jc w:val="right"/>
              <w:ind w:right="150"/>
              <w:spacing w:after="0"/>
              <w:rPr>
                <w:sz w:val="20"/>
                <w:szCs w:val="20"/>
                <w:color w:val="auto"/>
              </w:rPr>
            </w:pPr>
            <w:r>
              <w:rPr>
                <w:rFonts w:ascii="Arial" w:cs="Arial" w:eastAsia="Arial" w:hAnsi="Arial"/>
                <w:sz w:val="15"/>
                <w:szCs w:val="15"/>
                <w:color w:val="auto"/>
              </w:rPr>
              <w:t>400,000</w:t>
            </w:r>
          </w:p>
        </w:tc>
        <w:tc>
          <w:tcPr>
            <w:tcW w:w="3000" w:type="dxa"/>
            <w:vAlign w:val="bottom"/>
            <w:shd w:val="clear" w:color="auto" w:fill="D9D9D9"/>
          </w:tcPr>
          <w:p>
            <w:pPr>
              <w:jc w:val="right"/>
              <w:ind w:right="190"/>
              <w:spacing w:after="0"/>
              <w:rPr>
                <w:sz w:val="20"/>
                <w:szCs w:val="20"/>
                <w:color w:val="auto"/>
              </w:rPr>
            </w:pPr>
            <w:r>
              <w:rPr>
                <w:rFonts w:ascii="Arial" w:cs="Arial" w:eastAsia="Arial" w:hAnsi="Arial"/>
                <w:sz w:val="15"/>
                <w:szCs w:val="15"/>
                <w:color w:val="auto"/>
              </w:rPr>
              <w:t>143,160</w:t>
            </w:r>
          </w:p>
        </w:tc>
        <w:tc>
          <w:tcPr>
            <w:tcW w:w="2320" w:type="dxa"/>
            <w:vAlign w:val="bottom"/>
            <w:shd w:val="clear" w:color="auto" w:fill="D9D9D9"/>
          </w:tcPr>
          <w:p>
            <w:pPr>
              <w:jc w:val="right"/>
              <w:ind w:right="170"/>
              <w:spacing w:after="0"/>
              <w:rPr>
                <w:sz w:val="20"/>
                <w:szCs w:val="20"/>
                <w:color w:val="auto"/>
              </w:rPr>
            </w:pPr>
            <w:r>
              <w:rPr>
                <w:rFonts w:ascii="Arial" w:cs="Arial" w:eastAsia="Arial" w:hAnsi="Arial"/>
                <w:sz w:val="15"/>
                <w:szCs w:val="15"/>
                <w:color w:val="auto"/>
              </w:rPr>
              <w:t>543,160</w:t>
            </w:r>
          </w:p>
        </w:tc>
        <w:tc>
          <w:tcPr>
            <w:tcW w:w="2440" w:type="dxa"/>
            <w:vAlign w:val="bottom"/>
            <w:shd w:val="clear" w:color="auto" w:fill="D9D9D9"/>
          </w:tcPr>
          <w:p>
            <w:pPr>
              <w:ind w:left="1720"/>
              <w:spacing w:after="0"/>
              <w:rPr>
                <w:sz w:val="20"/>
                <w:szCs w:val="20"/>
                <w:color w:val="auto"/>
              </w:rPr>
            </w:pPr>
            <w:r>
              <w:rPr>
                <w:rFonts w:ascii="Arial" w:cs="Arial" w:eastAsia="Arial" w:hAnsi="Arial"/>
                <w:sz w:val="15"/>
                <w:szCs w:val="15"/>
                <w:color w:val="auto"/>
                <w:w w:val="95"/>
              </w:rPr>
              <w:t>32% below</w:t>
            </w:r>
          </w:p>
        </w:tc>
      </w:tr>
      <w:tr>
        <w:trPr>
          <w:trHeight w:val="328"/>
        </w:trPr>
        <w:tc>
          <w:tcPr>
            <w:tcW w:w="1660" w:type="dxa"/>
            <w:vAlign w:val="bottom"/>
          </w:tcPr>
          <w:p>
            <w:pPr>
              <w:spacing w:after="0"/>
              <w:rPr>
                <w:sz w:val="20"/>
                <w:szCs w:val="20"/>
                <w:color w:val="auto"/>
              </w:rPr>
            </w:pPr>
            <w:r>
              <w:rPr>
                <w:rFonts w:ascii="Arial" w:cs="Arial" w:eastAsia="Arial" w:hAnsi="Arial"/>
                <w:sz w:val="15"/>
                <w:szCs w:val="15"/>
                <w:color w:val="auto"/>
              </w:rPr>
              <w:t>Mr. Rodier</w:t>
            </w:r>
            <w:r>
              <w:rPr>
                <w:rFonts w:ascii="Arial" w:cs="Arial" w:eastAsia="Arial" w:hAnsi="Arial"/>
                <w:sz w:val="24"/>
                <w:szCs w:val="24"/>
                <w:color w:val="auto"/>
                <w:vertAlign w:val="superscript"/>
              </w:rPr>
              <w:t>(1)</w:t>
            </w:r>
          </w:p>
        </w:tc>
        <w:tc>
          <w:tcPr>
            <w:tcW w:w="2000" w:type="dxa"/>
            <w:vAlign w:val="bottom"/>
          </w:tcPr>
          <w:p>
            <w:pPr>
              <w:jc w:val="right"/>
              <w:ind w:right="150"/>
              <w:spacing w:after="0"/>
              <w:rPr>
                <w:sz w:val="20"/>
                <w:szCs w:val="20"/>
                <w:color w:val="auto"/>
              </w:rPr>
            </w:pPr>
            <w:r>
              <w:rPr>
                <w:rFonts w:ascii="Arial" w:cs="Arial" w:eastAsia="Arial" w:hAnsi="Arial"/>
                <w:sz w:val="15"/>
                <w:szCs w:val="15"/>
                <w:color w:val="auto"/>
              </w:rPr>
              <w:t>351,667</w:t>
            </w:r>
          </w:p>
        </w:tc>
        <w:tc>
          <w:tcPr>
            <w:tcW w:w="3000" w:type="dxa"/>
            <w:vAlign w:val="bottom"/>
          </w:tcPr>
          <w:p>
            <w:pPr>
              <w:jc w:val="right"/>
              <w:ind w:right="190"/>
              <w:spacing w:after="0"/>
              <w:rPr>
                <w:sz w:val="20"/>
                <w:szCs w:val="20"/>
                <w:color w:val="auto"/>
              </w:rPr>
            </w:pPr>
            <w:r>
              <w:rPr>
                <w:rFonts w:ascii="Arial" w:cs="Arial" w:eastAsia="Arial" w:hAnsi="Arial"/>
                <w:sz w:val="15"/>
                <w:szCs w:val="15"/>
                <w:color w:val="auto"/>
              </w:rPr>
              <w:t>130,608</w:t>
            </w:r>
          </w:p>
        </w:tc>
        <w:tc>
          <w:tcPr>
            <w:tcW w:w="2320" w:type="dxa"/>
            <w:vAlign w:val="bottom"/>
          </w:tcPr>
          <w:p>
            <w:pPr>
              <w:jc w:val="right"/>
              <w:ind w:right="170"/>
              <w:spacing w:after="0"/>
              <w:rPr>
                <w:sz w:val="20"/>
                <w:szCs w:val="20"/>
                <w:color w:val="auto"/>
              </w:rPr>
            </w:pPr>
            <w:r>
              <w:rPr>
                <w:rFonts w:ascii="Arial" w:cs="Arial" w:eastAsia="Arial" w:hAnsi="Arial"/>
                <w:sz w:val="15"/>
                <w:szCs w:val="15"/>
                <w:color w:val="auto"/>
              </w:rPr>
              <w:t>482,275</w:t>
            </w:r>
          </w:p>
        </w:tc>
        <w:tc>
          <w:tcPr>
            <w:tcW w:w="2440" w:type="dxa"/>
            <w:vAlign w:val="bottom"/>
          </w:tcPr>
          <w:p>
            <w:pPr>
              <w:ind w:left="1720"/>
              <w:spacing w:after="0"/>
              <w:rPr>
                <w:sz w:val="20"/>
                <w:szCs w:val="20"/>
                <w:color w:val="auto"/>
              </w:rPr>
            </w:pPr>
            <w:r>
              <w:rPr>
                <w:rFonts w:ascii="Arial" w:cs="Arial" w:eastAsia="Arial" w:hAnsi="Arial"/>
                <w:sz w:val="15"/>
                <w:szCs w:val="15"/>
                <w:color w:val="auto"/>
                <w:w w:val="95"/>
              </w:rPr>
              <w:t>33%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07772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jc w:val="both"/>
        <w:ind w:left="402" w:right="100" w:hanging="402"/>
        <w:spacing w:after="0" w:line="247" w:lineRule="auto"/>
        <w:tabs>
          <w:tab w:leader="none" w:pos="402" w:val="left"/>
        </w:tabs>
        <w:numPr>
          <w:ilvl w:val="0"/>
          <w:numId w:val="46"/>
        </w:numPr>
        <w:rPr>
          <w:rFonts w:ascii="Arial" w:cs="Arial" w:eastAsia="Arial" w:hAnsi="Arial"/>
          <w:sz w:val="16"/>
          <w:szCs w:val="16"/>
          <w:color w:val="auto"/>
        </w:rPr>
      </w:pPr>
      <w:r>
        <w:rPr>
          <w:rFonts w:ascii="Arial" w:cs="Arial" w:eastAsia="Arial" w:hAnsi="Arial"/>
          <w:sz w:val="16"/>
          <w:szCs w:val="16"/>
          <w:color w:val="2E2E2E"/>
        </w:rPr>
        <w:t xml:space="preserve">The base salary amount for Mr. Rodier reflects 5/12 of $305,000, which was his base salary for November 1, 2018 through March 31, 2019 and 7/12 of $385,000, which was his base salary for April 1, 2019 through October 31, 2019. </w:t>
      </w:r>
      <w:r>
        <w:rPr>
          <w:rFonts w:ascii="Arial" w:cs="Arial" w:eastAsia="Arial" w:hAnsi="Arial"/>
          <w:sz w:val="16"/>
          <w:szCs w:val="16"/>
          <w:color w:val="000000"/>
        </w:rPr>
        <w:t>The fiscal 2019 total cash compensation for Mr. Rodier is compared to</w:t>
      </w:r>
      <w:r>
        <w:rPr>
          <w:rFonts w:ascii="Arial" w:cs="Arial" w:eastAsia="Arial" w:hAnsi="Arial"/>
          <w:sz w:val="16"/>
          <w:szCs w:val="16"/>
          <w:color w:val="2E2E2E"/>
        </w:rPr>
        <w:t xml:space="preserve"> </w:t>
      </w:r>
      <w:r>
        <w:rPr>
          <w:rFonts w:ascii="Arial" w:cs="Arial" w:eastAsia="Arial" w:hAnsi="Arial"/>
          <w:sz w:val="16"/>
          <w:szCs w:val="16"/>
          <w:color w:val="000000"/>
        </w:rPr>
        <w:t>the market 50</w:t>
      </w:r>
      <w:r>
        <w:rPr>
          <w:rFonts w:ascii="Arial" w:cs="Arial" w:eastAsia="Arial" w:hAnsi="Arial"/>
          <w:sz w:val="13"/>
          <w:szCs w:val="13"/>
          <w:color w:val="000000"/>
        </w:rPr>
        <w:t>th</w:t>
      </w:r>
      <w:r>
        <w:rPr>
          <w:rFonts w:ascii="Arial" w:cs="Arial" w:eastAsia="Arial" w:hAnsi="Arial"/>
          <w:sz w:val="16"/>
          <w:szCs w:val="16"/>
          <w:color w:val="000000"/>
        </w:rPr>
        <w:t xml:space="preserve"> percentile for a group vice president role.</w:t>
      </w:r>
    </w:p>
    <w:p>
      <w:pPr>
        <w:spacing w:after="0" w:line="61" w:lineRule="exact"/>
        <w:rPr>
          <w:rFonts w:ascii="Arial" w:cs="Arial" w:eastAsia="Arial" w:hAnsi="Arial"/>
          <w:sz w:val="16"/>
          <w:szCs w:val="16"/>
          <w:color w:val="auto"/>
        </w:rPr>
      </w:pPr>
    </w:p>
    <w:p>
      <w:pPr>
        <w:ind w:left="402"/>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p>
    <w:p>
      <w:pPr>
        <w:spacing w:after="0" w:line="102" w:lineRule="exact"/>
        <w:rPr>
          <w:sz w:val="20"/>
          <w:szCs w:val="20"/>
          <w:color w:val="auto"/>
        </w:rPr>
      </w:pPr>
    </w:p>
    <w:p>
      <w:pPr>
        <w:ind w:left="2" w:firstLine="408"/>
        <w:spacing w:after="0" w:line="24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believe that our use of long-term incentives tied to our common stock, along with our stock ownership guidelines, help align the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executive officers with the interest of our shareholders. Therefore, we provide the opportunity for our executive officers to earn market competitive long-term incentives in the form of both stock options and performance share awards that are granted annually. With respect to annual grants of long-term incentive awards, in addition to considering market data, we also consider for each executive officer the scope and complexity of the position, experience, tenure, internal pay comparisons, function, division, and individual performance and historical targeted grant levels.</w:t>
      </w:r>
    </w:p>
    <w:p>
      <w:pPr>
        <w:spacing w:after="0" w:line="82" w:lineRule="exact"/>
        <w:rPr>
          <w:sz w:val="20"/>
          <w:szCs w:val="20"/>
          <w:color w:val="auto"/>
        </w:rPr>
      </w:pPr>
    </w:p>
    <w:p>
      <w:pPr>
        <w:ind w:left="2" w:right="20" w:firstLine="408"/>
        <w:spacing w:after="0" w:line="242" w:lineRule="auto"/>
        <w:rPr>
          <w:sz w:val="20"/>
          <w:szCs w:val="20"/>
          <w:color w:val="auto"/>
        </w:rPr>
      </w:pPr>
      <w:r>
        <w:rPr>
          <w:rFonts w:ascii="Arial" w:cs="Arial" w:eastAsia="Arial" w:hAnsi="Arial"/>
          <w:sz w:val="16"/>
          <w:szCs w:val="16"/>
          <w:color w:val="auto"/>
        </w:rPr>
        <w:t>Generally, one-half of the long-term incentive value is delivered in the form of stock options and one-half is delivered in the form of performance share awards. We believe this mix of equity strikes the appropriate balance between rewarding increases in the market value of our common stock and achievement of company specific performance measures. Actual value realized from our long-term incentive awards may vary from the market 50</w:t>
      </w:r>
      <w:r>
        <w:rPr>
          <w:rFonts w:ascii="Arial" w:cs="Arial" w:eastAsia="Arial" w:hAnsi="Arial"/>
          <w:sz w:val="13"/>
          <w:szCs w:val="13"/>
          <w:color w:val="auto"/>
        </w:rPr>
        <w:t>th</w:t>
      </w:r>
      <w:r>
        <w:rPr>
          <w:rFonts w:ascii="Arial" w:cs="Arial" w:eastAsia="Arial" w:hAnsi="Arial"/>
          <w:sz w:val="16"/>
          <w:szCs w:val="16"/>
          <w:color w:val="auto"/>
        </w:rPr>
        <w:t xml:space="preserve"> percentile based on the price of our common stock for stock options and performance against our three-year cumulative financial business plan in the year of the grant for performance share awards. In addition to stock options and performance share awards, we occasionally use awards of restricted stock units in connection with the hiring of new executive officers, mid-year promotions of existing executive officers, leadership transition or retention purposes.</w:t>
      </w:r>
    </w:p>
    <w:p>
      <w:pPr>
        <w:spacing w:after="0" w:line="72" w:lineRule="exact"/>
        <w:rPr>
          <w:sz w:val="20"/>
          <w:szCs w:val="20"/>
          <w:color w:val="auto"/>
        </w:rPr>
      </w:pPr>
    </w:p>
    <w:p>
      <w:pPr>
        <w:ind w:left="2" w:right="40" w:firstLine="408"/>
        <w:spacing w:after="0" w:line="245"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Each year at its regular meeting held in November or December, the Compensation &amp; Human Resources Committee approves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grant of stock options to our executive officers. If we deliver strong shareholder returns, our stock price presumably will increase, thereby increasing the value of the stock options and executives’ resulting total compensation. If shareholder value is not delivered and our stock price does not increase, the options will have no value. Annual stock options are generally granted on the date of the Committee’s meeting or, if such meeting is held before the issuance of our press release announcing our financial results for the recently completed fiscal year, on the second business day following the issuance of the press release, with the day of such press release being the first day, and have a per share exercise price equal to the closing price of our common stock on the date of grant.</w:t>
      </w:r>
    </w:p>
    <w:p>
      <w:pPr>
        <w:spacing w:after="0" w:line="274" w:lineRule="exact"/>
        <w:rPr>
          <w:sz w:val="20"/>
          <w:szCs w:val="20"/>
          <w:color w:val="auto"/>
        </w:rPr>
      </w:pPr>
    </w:p>
    <w:p>
      <w:pPr>
        <w:ind w:left="2" w:right="120" w:firstLine="408"/>
        <w:spacing w:after="0" w:line="244" w:lineRule="auto"/>
        <w:rPr>
          <w:sz w:val="20"/>
          <w:szCs w:val="20"/>
          <w:color w:val="auto"/>
        </w:rPr>
      </w:pPr>
      <w:r>
        <w:rPr>
          <w:rFonts w:ascii="Arial" w:cs="Arial" w:eastAsia="Arial" w:hAnsi="Arial"/>
          <w:sz w:val="16"/>
          <w:szCs w:val="16"/>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over the last three months of the prior fiscal year. The three-month average allows for smoothing of any volatility that may be associated with a particular date’s stock price.</w:t>
      </w:r>
    </w:p>
    <w:p>
      <w:pPr>
        <w:spacing w:after="0" w:line="85" w:lineRule="exact"/>
        <w:rPr>
          <w:sz w:val="20"/>
          <w:szCs w:val="20"/>
          <w:color w:val="auto"/>
        </w:rPr>
      </w:pPr>
    </w:p>
    <w:p>
      <w:pPr>
        <w:ind w:left="2" w:right="80" w:firstLine="408"/>
        <w:spacing w:after="0" w:line="243" w:lineRule="auto"/>
        <w:rPr>
          <w:sz w:val="20"/>
          <w:szCs w:val="20"/>
          <w:color w:val="auto"/>
        </w:rPr>
      </w:pPr>
      <w:r>
        <w:rPr>
          <w:rFonts w:ascii="Arial" w:cs="Arial" w:eastAsia="Arial" w:hAnsi="Arial"/>
          <w:sz w:val="16"/>
          <w:szCs w:val="16"/>
          <w:color w:val="auto"/>
        </w:rPr>
        <w:t>Stock options granted to our executive officers on an annual basis vest in three equal installments on each of the first, second and third year anniversaries of the date of grant and are exercisable for a period of ten years following the date of grant. The three-year vesting schedule is consistent with the three-year performance period for our performance share awards. We believe the three-year period for both stock options and performance share awards provides retention value and focuses our executive officers on attainment of long-term performance. The Compensation &amp; Human Resources Committee periodically reviews option vesting schedules and terms.</w:t>
      </w:r>
    </w:p>
    <w:p>
      <w:pPr>
        <w:spacing w:after="0" w:line="70" w:lineRule="exact"/>
        <w:rPr>
          <w:sz w:val="20"/>
          <w:szCs w:val="20"/>
          <w:color w:val="auto"/>
        </w:rPr>
      </w:pPr>
    </w:p>
    <w:p>
      <w:pPr>
        <w:jc w:val="both"/>
        <w:ind w:left="2" w:right="360" w:firstLine="408"/>
        <w:spacing w:after="0" w:line="257" w:lineRule="auto"/>
        <w:rPr>
          <w:sz w:val="20"/>
          <w:szCs w:val="20"/>
          <w:color w:val="auto"/>
        </w:rPr>
      </w:pPr>
      <w:r>
        <w:rPr>
          <w:rFonts w:ascii="Arial" w:cs="Arial" w:eastAsia="Arial" w:hAnsi="Arial"/>
          <w:sz w:val="16"/>
          <w:szCs w:val="16"/>
          <w:i w:val="1"/>
          <w:iCs w:val="1"/>
          <w:color w:val="auto"/>
        </w:rPr>
        <w:t xml:space="preserve">Performance Share Awards. </w:t>
      </w:r>
      <w:r>
        <w:rPr>
          <w:rFonts w:ascii="Arial" w:cs="Arial" w:eastAsia="Arial" w:hAnsi="Arial"/>
          <w:sz w:val="16"/>
          <w:szCs w:val="16"/>
          <w:color w:val="auto"/>
        </w:rPr>
        <w:t>Each year at its regular meeting held in November or December, the Compensation &amp; Human Resources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approves the annual grant of performance share awards to our executive officers. Performance share awards are paid out in shares of our common stock following completion of</w:t>
      </w:r>
    </w:p>
    <w:p>
      <w:pPr>
        <w:spacing w:after="0" w:line="17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 three-year performance period if certain performance goals are achieved. Performance goals are derived from performance measures included in our 2010 Plan.</w:t>
      </w:r>
    </w:p>
    <w:p>
      <w:pPr>
        <w:spacing w:after="0" w:line="75" w:lineRule="exact"/>
        <w:rPr>
          <w:sz w:val="20"/>
          <w:szCs w:val="20"/>
          <w:color w:val="auto"/>
        </w:rPr>
      </w:pPr>
    </w:p>
    <w:p>
      <w:pPr>
        <w:ind w:right="80" w:firstLine="408"/>
        <w:spacing w:after="0" w:line="247" w:lineRule="auto"/>
        <w:rPr>
          <w:sz w:val="20"/>
          <w:szCs w:val="20"/>
          <w:color w:val="auto"/>
        </w:rPr>
      </w:pPr>
      <w:r>
        <w:rPr>
          <w:rFonts w:ascii="Arial" w:cs="Arial" w:eastAsia="Arial" w:hAnsi="Arial"/>
          <w:sz w:val="16"/>
          <w:szCs w:val="16"/>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 share awards to grant at target. The expected value per share is equal to the average closing price of our common stock over the last three months of the prior fiscal year.</w:t>
      </w:r>
    </w:p>
    <w:p>
      <w:pPr>
        <w:spacing w:after="0" w:line="81"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At the beginning of the first fiscal year in the three-year period, the Compensation &amp; Human Resources Committee establishes performance measures, weightings, goals and performance adjustment events, if any, for the entire three-year performance period, as well as thresholds and maximums. Factors we consider when establishing the performance goals for the three-year period include our prior fiscal year financial business results and long-term strategic plan outlook, our competitive situation and anticipated state of our business, and any anticipated business opportunities.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certifies, performance against the performance goals, including the applicability of any performance adjustment events, and a corresponding payout, which is expressed as a percent of target. Shares of our common stock are paid out to the executive officers in December and are contingent on the issuance of our press release announcing our financial results for the recently completed fiscal year. Actual payouts for performance share awards can range from 0% (if the threshold levels of performance are not met) to 200% of the target award (if maximum levels of performance are met).</w:t>
      </w:r>
    </w:p>
    <w:p>
      <w:pPr>
        <w:spacing w:after="0" w:line="72" w:lineRule="exact"/>
        <w:rPr>
          <w:sz w:val="20"/>
          <w:szCs w:val="20"/>
          <w:color w:val="auto"/>
        </w:rPr>
      </w:pPr>
    </w:p>
    <w:p>
      <w:pPr>
        <w:ind w:firstLine="408"/>
        <w:spacing w:after="0" w:line="251"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Occasionally, the Committee will approve awards of restricted stock units for use in certain situations, including hiring of</w:t>
      </w:r>
      <w:r>
        <w:rPr>
          <w:rFonts w:ascii="Arial" w:cs="Arial" w:eastAsia="Arial" w:hAnsi="Arial"/>
          <w:sz w:val="16"/>
          <w:szCs w:val="16"/>
          <w:i w:val="1"/>
          <w:iCs w:val="1"/>
          <w:color w:val="auto"/>
        </w:rPr>
        <w:t xml:space="preserve"> </w:t>
      </w:r>
      <w:r>
        <w:rPr>
          <w:rFonts w:ascii="Arial" w:cs="Arial" w:eastAsia="Arial" w:hAnsi="Arial"/>
          <w:sz w:val="16"/>
          <w:szCs w:val="16"/>
          <w:color w:val="auto"/>
        </w:rPr>
        <w:t>new executive officers, mid-year promotions of existing executive officers, leadership transition or retention purposes. Vesting may be either performance-based or time-based. Performance-based awards are derived from one or more of the performance measures included in our 2010 Plan. Under our 2010 Plan, restricted stock units with time-based vesting can vest no more rapidly than ratably over three years.</w:t>
      </w:r>
    </w:p>
    <w:p>
      <w:pPr>
        <w:spacing w:after="0" w:line="64" w:lineRule="exact"/>
        <w:rPr>
          <w:sz w:val="20"/>
          <w:szCs w:val="20"/>
          <w:color w:val="auto"/>
        </w:rPr>
      </w:pPr>
    </w:p>
    <w:p>
      <w:pPr>
        <w:ind w:firstLine="408"/>
        <w:spacing w:after="0" w:line="248" w:lineRule="auto"/>
        <w:rPr>
          <w:sz w:val="20"/>
          <w:szCs w:val="20"/>
          <w:color w:val="auto"/>
        </w:rPr>
      </w:pPr>
      <w:r>
        <w:rPr>
          <w:rFonts w:ascii="Arial" w:cs="Arial" w:eastAsia="Arial" w:hAnsi="Arial"/>
          <w:sz w:val="16"/>
          <w:szCs w:val="16"/>
          <w:i w:val="1"/>
          <w:iCs w:val="1"/>
          <w:color w:val="auto"/>
        </w:rPr>
        <w:t>Fiscal 2019 Grants</w:t>
      </w:r>
      <w:r>
        <w:rPr>
          <w:rFonts w:ascii="Arial" w:cs="Arial" w:eastAsia="Arial" w:hAnsi="Arial"/>
          <w:sz w:val="16"/>
          <w:szCs w:val="16"/>
          <w:color w:val="auto"/>
        </w:rPr>
        <w:t>. The number of stock options granted to our named executive officers for fiscal 2019 can be found in the “Grants of Plan-Based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Awards for Fiscal 2019” table beginning on page 46. The per share exercise price of the options is $ 58.53, which is equal to the closing price of our common stock on the date of grant, which for fiscal 2019 was December 7, 2018. The grant date fair value of those awards can be found in the “Summary Compensation Table” beginning on page 44 in the “Option Awards” column and in the “Grants of Plan-Based Awards for Fiscal 2019” table beginning on page 46 in the “Grant Date Fair Value of Stock and Option Awards” column.</w:t>
      </w:r>
    </w:p>
    <w:p>
      <w:pPr>
        <w:spacing w:after="0" w:line="82" w:lineRule="exact"/>
        <w:rPr>
          <w:sz w:val="20"/>
          <w:szCs w:val="20"/>
          <w:color w:val="auto"/>
        </w:rPr>
      </w:pPr>
    </w:p>
    <w:p>
      <w:pPr>
        <w:jc w:val="both"/>
        <w:ind w:right="100" w:firstLine="408"/>
        <w:spacing w:after="0" w:line="263" w:lineRule="auto"/>
        <w:rPr>
          <w:sz w:val="20"/>
          <w:szCs w:val="20"/>
          <w:color w:val="auto"/>
        </w:rPr>
      </w:pPr>
      <w:r>
        <w:rPr>
          <w:rFonts w:ascii="Arial" w:cs="Arial" w:eastAsia="Arial" w:hAnsi="Arial"/>
          <w:sz w:val="15"/>
          <w:szCs w:val="15"/>
          <w:color w:val="auto"/>
        </w:rPr>
        <w:t>On December 4, 2018, the Committee granted performance share awards for the fiscal 2019 through fiscal 2021 performance period. The number of performance shares at threshold, target and maximum levels of performance for the fiscal 2019 through fiscal 2021 performance period can be found in the “Grants of Plan-Based Awards for Fiscal 2019” table beginning on page 46 in the “Estimated Future Payouts Under Equity Incentive Plan Awards” columns. The grant date fair value of those awards at target can be found in the “Summary Compensation Table” beginning on page 44 in the “Stock Awards” column“ and in the “Grants of Plan-Based Awards for Fiscal 2019” table beginning on page 46 in the “Grant Date Fair Value of Stock and Option Awards” column.</w:t>
      </w:r>
    </w:p>
    <w:p>
      <w:pPr>
        <w:spacing w:after="0" w:line="72" w:lineRule="exact"/>
        <w:rPr>
          <w:sz w:val="20"/>
          <w:szCs w:val="20"/>
          <w:color w:val="auto"/>
        </w:rPr>
      </w:pPr>
    </w:p>
    <w:p>
      <w:pPr>
        <w:ind w:right="40" w:firstLine="408"/>
        <w:spacing w:after="0" w:line="244" w:lineRule="auto"/>
        <w:rPr>
          <w:sz w:val="20"/>
          <w:szCs w:val="20"/>
          <w:color w:val="auto"/>
        </w:rPr>
      </w:pPr>
      <w:r>
        <w:rPr>
          <w:rFonts w:ascii="Arial" w:cs="Arial" w:eastAsia="Arial" w:hAnsi="Arial"/>
          <w:sz w:val="16"/>
          <w:szCs w:val="16"/>
          <w:color w:val="auto"/>
        </w:rPr>
        <w:t>On April 1, 2019, in connection with his promotion to Group Vice President, Construction Businesses, Mr. Rodier was granted 3,850 restricted stock units. These restricted stock units have three-year cliff vesting and therefore, vest in full on the third anniversary of the date of grant. The grant date fair value of those awards can be found in the “Summary Compensation Table” beginning on page 44 in the “Stock Awards” column“ and in the “Grants of Plan-Based Awards for Fiscal 2019” table beginning on page 46 in the “Grant Date Fair Value of Stock and Option Awards” column.</w:t>
      </w:r>
    </w:p>
    <w:p>
      <w:pPr>
        <w:spacing w:after="0" w:line="69" w:lineRule="exact"/>
        <w:rPr>
          <w:sz w:val="20"/>
          <w:szCs w:val="20"/>
          <w:color w:val="auto"/>
        </w:rPr>
      </w:pPr>
    </w:p>
    <w:p>
      <w:pPr>
        <w:ind w:right="540" w:firstLine="408"/>
        <w:spacing w:after="0" w:line="276" w:lineRule="auto"/>
        <w:rPr>
          <w:sz w:val="20"/>
          <w:szCs w:val="20"/>
          <w:color w:val="auto"/>
        </w:rPr>
      </w:pPr>
      <w:r>
        <w:rPr>
          <w:rFonts w:ascii="Arial" w:cs="Arial" w:eastAsia="Arial" w:hAnsi="Arial"/>
          <w:sz w:val="16"/>
          <w:szCs w:val="16"/>
          <w:i w:val="1"/>
          <w:iCs w:val="1"/>
          <w:color w:val="auto"/>
        </w:rPr>
        <w:t xml:space="preserve">Performance Measures for the Performance Period Beginning in Fiscal 2019. </w:t>
      </w:r>
      <w:r>
        <w:rPr>
          <w:rFonts w:ascii="Arial" w:cs="Arial" w:eastAsia="Arial" w:hAnsi="Arial"/>
          <w:sz w:val="16"/>
          <w:szCs w:val="16"/>
          <w:color w:val="auto"/>
        </w:rPr>
        <w:t>For the fiscal 2019 to fiscal 2021 performance share awards,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corporate performance measures and weightings were established for all of our executive officers:</w:t>
      </w:r>
    </w:p>
    <w:p>
      <w:pPr>
        <w:spacing w:after="0" w:line="58" w:lineRule="exact"/>
        <w:rPr>
          <w:sz w:val="20"/>
          <w:szCs w:val="20"/>
          <w:color w:val="auto"/>
        </w:rPr>
      </w:pPr>
    </w:p>
    <w:p>
      <w:pPr>
        <w:ind w:left="800" w:hanging="398"/>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6"/>
          <w:szCs w:val="16"/>
          <w:color w:val="auto"/>
        </w:rPr>
        <w:t>50% cumulative corporate net income plus after-tax interest;</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6"/>
          <w:szCs w:val="16"/>
          <w:color w:val="auto"/>
        </w:rPr>
        <w:t>30% cumulative corporate revenue; and</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800" w:hanging="398"/>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6"/>
          <w:szCs w:val="16"/>
          <w:color w:val="auto"/>
        </w:rPr>
        <w:t>20% cumulative corporate average net assets turns.</w:t>
      </w:r>
    </w:p>
    <w:p>
      <w:pPr>
        <w:spacing w:after="0" w:line="98" w:lineRule="exact"/>
        <w:rPr>
          <w:sz w:val="20"/>
          <w:szCs w:val="20"/>
          <w:color w:val="auto"/>
        </w:rPr>
      </w:pPr>
    </w:p>
    <w:p>
      <w:pPr>
        <w:ind w:firstLine="408"/>
        <w:spacing w:after="0" w:line="241" w:lineRule="auto"/>
        <w:rPr>
          <w:sz w:val="20"/>
          <w:szCs w:val="20"/>
          <w:color w:val="auto"/>
        </w:rPr>
      </w:pPr>
      <w:r>
        <w:rPr>
          <w:rFonts w:ascii="Arial" w:cs="Arial" w:eastAsia="Arial" w:hAnsi="Arial"/>
          <w:sz w:val="16"/>
          <w:szCs w:val="16"/>
          <w:color w:val="auto"/>
        </w:rPr>
        <w:t>At its meeting in December 2018, threshold, target and maximum goals were established for the fiscal 2019 to fiscal 2021 performance share awards. The specific performance goals for the three-year award period are maintained by us as proprietary and confidential. The Committee believes that disclosure of these specific performance goals would represent competitive harm to us as such cumulative corporate goals and results are not publicly disclosed and are competitively sensitive. For each performance measure, the target goal reflects the cumulative three-year financial plan set at the corporate level. Based on historical performance, the Committee believes the attainment of target performance levels, while uncertain, could be reasonably anticipated. Threshold goals represent the minimum level of performance necessary for there to be a payout for that performance measure and the Committee believes the threshold goals are likely to be achieved. Maximum goals represent the performances at which payouts are 200% of the target award. Even if actual results exceed the maximum goals, the payouts are capped at 200% of the target award. Maximum goals represent levels of performance at which the Committee determined a payout of 200% of target would be appropriate. The Committee believes that the maximum goals established are more aggressive goals.</w:t>
      </w:r>
    </w:p>
    <w:p>
      <w:pPr>
        <w:spacing w:after="0" w:line="89" w:lineRule="exact"/>
        <w:rPr>
          <w:sz w:val="20"/>
          <w:szCs w:val="20"/>
          <w:color w:val="auto"/>
        </w:rPr>
      </w:pPr>
    </w:p>
    <w:p>
      <w:pPr>
        <w:ind w:right="100" w:firstLine="408"/>
        <w:spacing w:after="0" w:line="244" w:lineRule="auto"/>
        <w:rPr>
          <w:sz w:val="20"/>
          <w:szCs w:val="20"/>
          <w:color w:val="auto"/>
        </w:rPr>
      </w:pPr>
      <w:r>
        <w:rPr>
          <w:rFonts w:ascii="Arial" w:cs="Arial" w:eastAsia="Arial" w:hAnsi="Arial"/>
          <w:sz w:val="16"/>
          <w:szCs w:val="16"/>
          <w:color w:val="auto"/>
        </w:rPr>
        <w:t>In addition to approving performance measures, goals and weightings, the Committee also established, in accordance with our 2010 Plan, specific corporate adjustment events for determining payouts under the fiscal 2019 to fiscal 2021 performance share awards. The impact of acquisitions on the evaluation of performance will be determined based on the size of the acquisition as determined by projected annual revenue for the first twelve months after the closing of an acquisition as follows:</w:t>
      </w:r>
    </w:p>
    <w:p>
      <w:pPr>
        <w:spacing w:after="0" w:line="85" w:lineRule="exact"/>
        <w:rPr>
          <w:sz w:val="20"/>
          <w:szCs w:val="20"/>
          <w:color w:val="auto"/>
        </w:rPr>
      </w:pPr>
    </w:p>
    <w:p>
      <w:pPr>
        <w:ind w:left="800" w:right="140" w:hanging="398"/>
        <w:spacing w:after="0" w:line="255" w:lineRule="auto"/>
        <w:tabs>
          <w:tab w:leader="none" w:pos="800" w:val="left"/>
        </w:tabs>
        <w:numPr>
          <w:ilvl w:val="0"/>
          <w:numId w:val="49"/>
        </w:numPr>
        <w:rPr>
          <w:rFonts w:ascii="Arial" w:cs="Arial" w:eastAsia="Arial" w:hAnsi="Arial"/>
          <w:sz w:val="15"/>
          <w:szCs w:val="15"/>
          <w:color w:val="auto"/>
        </w:rPr>
      </w:pPr>
      <w:r>
        <w:rPr>
          <w:rFonts w:ascii="Arial" w:cs="Arial" w:eastAsia="Arial" w:hAnsi="Arial"/>
          <w:sz w:val="16"/>
          <w:szCs w:val="16"/>
          <w:color w:val="auto"/>
        </w:rPr>
        <w:t>The entire impact of any acquisition greater than $50 million will be excluded from the payout calculation for the entire performance period unless the acquisition was included in the annual financial plan and cumulative goals;</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6"/>
          <w:szCs w:val="16"/>
          <w:color w:val="auto"/>
        </w:rPr>
        <w:t>All impacts for acquisitions less than $10 million will be included in the payout calculation for the entire performance period;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6"/>
          <w:szCs w:val="16"/>
          <w:color w:val="auto"/>
        </w:rPr>
        <w:t>For acquisitions between $10 million and $50 million:</w:t>
      </w:r>
    </w:p>
    <w:p>
      <w:pPr>
        <w:spacing w:after="0" w:line="97" w:lineRule="exact"/>
        <w:rPr>
          <w:rFonts w:ascii="Arial" w:cs="Arial" w:eastAsia="Arial" w:hAnsi="Arial"/>
          <w:sz w:val="15"/>
          <w:szCs w:val="15"/>
          <w:color w:val="auto"/>
        </w:rPr>
      </w:pPr>
    </w:p>
    <w:p>
      <w:pPr>
        <w:ind w:left="1220" w:hanging="413"/>
        <w:spacing w:after="0"/>
        <w:tabs>
          <w:tab w:leader="none" w:pos="12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impact will be excluded from the payout calculation if the transaction closes during the third year of the three-year term; and</w:t>
      </w:r>
    </w:p>
    <w:p>
      <w:pPr>
        <w:spacing w:after="0" w:line="97" w:lineRule="exact"/>
        <w:rPr>
          <w:rFonts w:ascii="Arial" w:cs="Arial" w:eastAsia="Arial" w:hAnsi="Arial"/>
          <w:sz w:val="16"/>
          <w:szCs w:val="16"/>
          <w:color w:val="auto"/>
        </w:rPr>
      </w:pPr>
    </w:p>
    <w:p>
      <w:pPr>
        <w:ind w:left="1220" w:right="280" w:hanging="413"/>
        <w:spacing w:after="0" w:line="255" w:lineRule="auto"/>
        <w:tabs>
          <w:tab w:leader="none" w:pos="12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if the transaction closes in the first or second year of the performance period, the impact will be included in the payout calculation with the exception of any transaction costs incurred.</w:t>
      </w:r>
    </w:p>
    <w:p>
      <w:pPr>
        <w:spacing w:after="0" w:line="75"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Any externally driven changes in accounting principles and standards will be excluded from the evaluation of performance if the cumulative net impact on the payout of all such accounting adjustments affects the award payout by more than 2%, unless such accounting change was included in the annual plan and cumulative goals.</w:t>
      </w:r>
    </w:p>
    <w:p>
      <w:pPr>
        <w:spacing w:after="0" w:line="81" w:lineRule="exact"/>
        <w:rPr>
          <w:sz w:val="20"/>
          <w:szCs w:val="20"/>
          <w:color w:val="auto"/>
        </w:rPr>
      </w:pPr>
    </w:p>
    <w:p>
      <w:pPr>
        <w:ind w:right="100" w:firstLine="408"/>
        <w:spacing w:after="0" w:line="242" w:lineRule="auto"/>
        <w:rPr>
          <w:sz w:val="20"/>
          <w:szCs w:val="20"/>
          <w:color w:val="auto"/>
        </w:rPr>
      </w:pPr>
      <w:r>
        <w:rPr>
          <w:rFonts w:ascii="Arial" w:cs="Arial" w:eastAsia="Arial" w:hAnsi="Arial"/>
          <w:sz w:val="16"/>
          <w:szCs w:val="16"/>
          <w:color w:val="auto"/>
        </w:rPr>
        <w:t>In addition, in connection with the acquisition of CMW, Management, the Compensation &amp; Human Resources Committee and Willis Towers Watson discussed the previously established performance goals for the fiscal 2019 to fiscal 2021 performance share awards. Specifically discussed was the fact that the CMW acquisition occurred early in the 36-month award term and the desire to link the payout of the fiscal 2019 to fiscal 2021 performance share awards to the actual performance of the Company for such period. As a result of these discussions, Management and the Compensation &amp; Human Resources Committee determined that it was appropriate to establish revised performance goals to reflect the financial impact of CMW for the entirety of the three-year performance period. Such revised performance goals for the fiscal 2019 to fiscal 2021 performance share awards were approved by the Compensation &amp; Human Resources Committee in May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52" w:name="page53"/>
    <w:bookmarkEnd w:id="52"/>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81" w:lineRule="exact"/>
        <w:rPr>
          <w:sz w:val="20"/>
          <w:szCs w:val="20"/>
          <w:color w:val="auto"/>
        </w:rPr>
      </w:pPr>
    </w:p>
    <w:p>
      <w:pPr>
        <w:ind w:left="2" w:right="20" w:firstLine="408"/>
        <w:spacing w:after="0" w:line="245" w:lineRule="auto"/>
        <w:rPr>
          <w:sz w:val="20"/>
          <w:szCs w:val="20"/>
          <w:color w:val="auto"/>
        </w:rPr>
      </w:pPr>
      <w:r>
        <w:rPr>
          <w:rFonts w:ascii="Arial" w:cs="Arial" w:eastAsia="Arial" w:hAnsi="Arial"/>
          <w:sz w:val="16"/>
          <w:szCs w:val="16"/>
          <w:i w:val="1"/>
          <w:iCs w:val="1"/>
          <w:color w:val="auto"/>
        </w:rPr>
        <w:t xml:space="preserve">Performance Measures for the Performance Period Ending in Fiscal 2019. </w:t>
      </w:r>
      <w:r>
        <w:rPr>
          <w:rFonts w:ascii="Arial" w:cs="Arial" w:eastAsia="Arial" w:hAnsi="Arial"/>
          <w:sz w:val="16"/>
          <w:szCs w:val="16"/>
          <w:color w:val="auto"/>
        </w:rPr>
        <w:t>The performance share awards that were granted in fiscal 2017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2017 to fiscal 2019 performance period were approved for payout upon the Committee’s certification of performance against the goals and impact of any adjustment events at its meeting on December 3, 2019. Pursuant to the defined adjustment events, all financial impacts related to our acquisition of CMW were excluded from the payout calculation, as were certain other previously defined adjustment events. The performance share awards were paid out after our fiscal 2019 financial results were released on December 18, 2019. A summary of the performance shares paid out to our named executive officers for the fiscal 2017 to fiscal 2019 performance period, and the value realized on vesting for those awards, can be found in the “Option Exercises and Stock Vested for Fiscal 2019” table beginning on page 49 in the “Number of Shares Acquired on Vesting” and “Value Realized on Vesting” columns, respectively.</w:t>
      </w:r>
    </w:p>
    <w:p>
      <w:pPr>
        <w:spacing w:after="0" w:line="86" w:lineRule="exact"/>
        <w:rPr>
          <w:sz w:val="20"/>
          <w:szCs w:val="20"/>
          <w:color w:val="auto"/>
        </w:rPr>
      </w:pPr>
    </w:p>
    <w:p>
      <w:pPr>
        <w:ind w:left="2" w:right="40" w:firstLine="408"/>
        <w:spacing w:after="0" w:line="255" w:lineRule="auto"/>
        <w:rPr>
          <w:sz w:val="20"/>
          <w:szCs w:val="20"/>
          <w:color w:val="auto"/>
        </w:rPr>
      </w:pPr>
      <w:r>
        <w:rPr>
          <w:rFonts w:ascii="Arial" w:cs="Arial" w:eastAsia="Arial" w:hAnsi="Arial"/>
          <w:sz w:val="16"/>
          <w:szCs w:val="16"/>
          <w:color w:val="auto"/>
        </w:rPr>
        <w:t>The table below outlines the corporate performance measures and weightings, as well as threshold, target and maximum goals that were established by the Committee at the beginning of fiscal 2017, along with actual levels of performance, for the fiscal 2017 to fiscal 2019 performance share awards.</w:t>
      </w:r>
    </w:p>
    <w:p>
      <w:pPr>
        <w:spacing w:after="0" w:line="74"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96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Fiscal 2017 to Fiscal 2019</w:t>
            </w:r>
          </w:p>
        </w:tc>
        <w:tc>
          <w:tcPr>
            <w:tcW w:w="1600" w:type="dxa"/>
            <w:vAlign w:val="bottom"/>
            <w:shd w:val="clear" w:color="auto" w:fill="BE0000"/>
          </w:tcPr>
          <w:p>
            <w:pPr>
              <w:jc w:val="right"/>
              <w:ind w:right="450"/>
              <w:spacing w:after="0"/>
              <w:rPr>
                <w:sz w:val="20"/>
                <w:szCs w:val="20"/>
                <w:color w:val="auto"/>
              </w:rPr>
            </w:pPr>
            <w:r>
              <w:rPr>
                <w:rFonts w:ascii="Arial" w:cs="Arial" w:eastAsia="Arial" w:hAnsi="Arial"/>
                <w:sz w:val="13"/>
                <w:szCs w:val="13"/>
                <w:b w:val="1"/>
                <w:bCs w:val="1"/>
                <w:color w:val="FFFFFF"/>
              </w:rPr>
              <w:t>Threshold</w:t>
            </w:r>
          </w:p>
        </w:tc>
        <w:tc>
          <w:tcPr>
            <w:tcW w:w="1420" w:type="dxa"/>
            <w:vAlign w:val="bottom"/>
            <w:shd w:val="clear" w:color="auto" w:fill="BE0000"/>
          </w:tcPr>
          <w:p>
            <w:pPr>
              <w:jc w:val="right"/>
              <w:ind w:right="570"/>
              <w:spacing w:after="0"/>
              <w:rPr>
                <w:sz w:val="20"/>
                <w:szCs w:val="20"/>
                <w:color w:val="auto"/>
              </w:rPr>
            </w:pPr>
            <w:r>
              <w:rPr>
                <w:rFonts w:ascii="Arial" w:cs="Arial" w:eastAsia="Arial" w:hAnsi="Arial"/>
                <w:sz w:val="13"/>
                <w:szCs w:val="13"/>
                <w:b w:val="1"/>
                <w:bCs w:val="1"/>
                <w:color w:val="FFFFFF"/>
              </w:rPr>
              <w:t>Target</w:t>
            </w:r>
          </w:p>
        </w:tc>
        <w:tc>
          <w:tcPr>
            <w:tcW w:w="1560" w:type="dxa"/>
            <w:vAlign w:val="bottom"/>
            <w:shd w:val="clear" w:color="auto" w:fill="BE0000"/>
          </w:tcPr>
          <w:p>
            <w:pPr>
              <w:jc w:val="right"/>
              <w:ind w:right="590"/>
              <w:spacing w:after="0"/>
              <w:rPr>
                <w:sz w:val="20"/>
                <w:szCs w:val="20"/>
                <w:color w:val="auto"/>
              </w:rPr>
            </w:pPr>
            <w:r>
              <w:rPr>
                <w:rFonts w:ascii="Arial" w:cs="Arial" w:eastAsia="Arial" w:hAnsi="Arial"/>
                <w:sz w:val="13"/>
                <w:szCs w:val="13"/>
                <w:b w:val="1"/>
                <w:bCs w:val="1"/>
                <w:color w:val="FFFFFF"/>
              </w:rPr>
              <w:t>Maximum</w:t>
            </w:r>
          </w:p>
        </w:tc>
        <w:tc>
          <w:tcPr>
            <w:tcW w:w="2880" w:type="dxa"/>
            <w:vAlign w:val="bottom"/>
            <w:shd w:val="clear" w:color="auto" w:fill="BE0000"/>
          </w:tcPr>
          <w:p>
            <w:pPr>
              <w:spacing w:after="0"/>
              <w:rPr>
                <w:sz w:val="13"/>
                <w:szCs w:val="13"/>
                <w:color w:val="auto"/>
              </w:rPr>
            </w:pPr>
          </w:p>
        </w:tc>
      </w:tr>
      <w:tr>
        <w:trPr>
          <w:trHeight w:val="159"/>
        </w:trPr>
        <w:tc>
          <w:tcPr>
            <w:tcW w:w="396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Performance Measures</w:t>
            </w:r>
          </w:p>
        </w:tc>
        <w:tc>
          <w:tcPr>
            <w:tcW w:w="1600" w:type="dxa"/>
            <w:vAlign w:val="bottom"/>
            <w:shd w:val="clear" w:color="auto" w:fill="BE0000"/>
          </w:tcPr>
          <w:p>
            <w:pPr>
              <w:jc w:val="right"/>
              <w:ind w:right="350"/>
              <w:spacing w:after="0"/>
              <w:rPr>
                <w:sz w:val="20"/>
                <w:szCs w:val="20"/>
                <w:color w:val="auto"/>
              </w:rPr>
            </w:pPr>
            <w:r>
              <w:rPr>
                <w:rFonts w:ascii="Arial" w:cs="Arial" w:eastAsia="Arial" w:hAnsi="Arial"/>
                <w:sz w:val="13"/>
                <w:szCs w:val="13"/>
                <w:b w:val="1"/>
                <w:bCs w:val="1"/>
                <w:color w:val="FFFFFF"/>
              </w:rPr>
              <w:t>(40% payout)</w:t>
            </w:r>
          </w:p>
        </w:tc>
        <w:tc>
          <w:tcPr>
            <w:tcW w:w="1420" w:type="dxa"/>
            <w:vAlign w:val="bottom"/>
            <w:shd w:val="clear" w:color="auto" w:fill="BE0000"/>
          </w:tcPr>
          <w:p>
            <w:pPr>
              <w:jc w:val="right"/>
              <w:ind w:right="310"/>
              <w:spacing w:after="0"/>
              <w:rPr>
                <w:sz w:val="20"/>
                <w:szCs w:val="20"/>
                <w:color w:val="auto"/>
              </w:rPr>
            </w:pPr>
            <w:r>
              <w:rPr>
                <w:rFonts w:ascii="Arial" w:cs="Arial" w:eastAsia="Arial" w:hAnsi="Arial"/>
                <w:sz w:val="13"/>
                <w:szCs w:val="13"/>
                <w:b w:val="1"/>
                <w:bCs w:val="1"/>
                <w:color w:val="FFFFFF"/>
              </w:rPr>
              <w:t>(100% payout)</w:t>
            </w:r>
          </w:p>
        </w:tc>
        <w:tc>
          <w:tcPr>
            <w:tcW w:w="1560" w:type="dxa"/>
            <w:vAlign w:val="bottom"/>
            <w:shd w:val="clear" w:color="auto" w:fill="BE0000"/>
          </w:tcPr>
          <w:p>
            <w:pPr>
              <w:jc w:val="right"/>
              <w:ind w:right="450"/>
              <w:spacing w:after="0"/>
              <w:rPr>
                <w:sz w:val="20"/>
                <w:szCs w:val="20"/>
                <w:color w:val="auto"/>
              </w:rPr>
            </w:pPr>
            <w:r>
              <w:rPr>
                <w:rFonts w:ascii="Arial" w:cs="Arial" w:eastAsia="Arial" w:hAnsi="Arial"/>
                <w:sz w:val="13"/>
                <w:szCs w:val="13"/>
                <w:b w:val="1"/>
                <w:bCs w:val="1"/>
                <w:color w:val="FFFFFF"/>
              </w:rPr>
              <w:t>(200% payout)</w:t>
            </w:r>
          </w:p>
        </w:tc>
        <w:tc>
          <w:tcPr>
            <w:tcW w:w="2880" w:type="dxa"/>
            <w:vAlign w:val="bottom"/>
            <w:shd w:val="clear" w:color="auto" w:fill="BE0000"/>
          </w:tcPr>
          <w:p>
            <w:pPr>
              <w:jc w:val="center"/>
              <w:ind w:right="128"/>
              <w:spacing w:after="0"/>
              <w:rPr>
                <w:sz w:val="20"/>
                <w:szCs w:val="20"/>
                <w:color w:val="auto"/>
              </w:rPr>
            </w:pPr>
            <w:r>
              <w:rPr>
                <w:rFonts w:ascii="Arial" w:cs="Arial" w:eastAsia="Arial" w:hAnsi="Arial"/>
                <w:sz w:val="13"/>
                <w:szCs w:val="13"/>
                <w:b w:val="1"/>
                <w:bCs w:val="1"/>
                <w:color w:val="FFFFFF"/>
              </w:rPr>
              <w:t>Actual</w:t>
            </w:r>
          </w:p>
        </w:tc>
      </w:tr>
      <w:tr>
        <w:trPr>
          <w:trHeight w:val="186"/>
        </w:trPr>
        <w:tc>
          <w:tcPr>
            <w:tcW w:w="3960" w:type="dxa"/>
            <w:vAlign w:val="bottom"/>
          </w:tcPr>
          <w:p>
            <w:pPr>
              <w:spacing w:after="0"/>
              <w:rPr>
                <w:sz w:val="20"/>
                <w:szCs w:val="20"/>
                <w:color w:val="auto"/>
              </w:rPr>
            </w:pPr>
            <w:r>
              <w:rPr>
                <w:rFonts w:ascii="Arial" w:cs="Arial" w:eastAsia="Arial" w:hAnsi="Arial"/>
                <w:sz w:val="15"/>
                <w:szCs w:val="15"/>
                <w:color w:val="auto"/>
              </w:rPr>
              <w:t>40% cumulative corporate net income plus</w:t>
            </w: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80" w:type="dxa"/>
            <w:vAlign w:val="bottom"/>
          </w:tcPr>
          <w:p>
            <w:pPr>
              <w:jc w:val="center"/>
              <w:ind w:right="128"/>
              <w:spacing w:after="0"/>
              <w:rPr>
                <w:sz w:val="20"/>
                <w:szCs w:val="20"/>
                <w:color w:val="auto"/>
              </w:rPr>
            </w:pPr>
            <w:r>
              <w:rPr>
                <w:rFonts w:ascii="Arial" w:cs="Arial" w:eastAsia="Arial" w:hAnsi="Arial"/>
                <w:sz w:val="15"/>
                <w:szCs w:val="15"/>
                <w:color w:val="auto"/>
                <w:w w:val="95"/>
              </w:rPr>
              <w:t>$899,352</w:t>
            </w:r>
          </w:p>
        </w:tc>
      </w:tr>
      <w:tr>
        <w:trPr>
          <w:trHeight w:val="170"/>
        </w:trPr>
        <w:tc>
          <w:tcPr>
            <w:tcW w:w="3960" w:type="dxa"/>
            <w:vAlign w:val="bottom"/>
          </w:tcPr>
          <w:p>
            <w:pPr>
              <w:ind w:left="120"/>
              <w:spacing w:after="0" w:line="170" w:lineRule="exact"/>
              <w:rPr>
                <w:sz w:val="20"/>
                <w:szCs w:val="20"/>
                <w:color w:val="auto"/>
              </w:rPr>
            </w:pPr>
            <w:r>
              <w:rPr>
                <w:rFonts w:ascii="Arial" w:cs="Arial" w:eastAsia="Arial" w:hAnsi="Arial"/>
                <w:sz w:val="15"/>
                <w:szCs w:val="15"/>
                <w:color w:val="auto"/>
              </w:rPr>
              <w:t>after-tax interest (in thousands)</w:t>
            </w:r>
          </w:p>
        </w:tc>
        <w:tc>
          <w:tcPr>
            <w:tcW w:w="1600" w:type="dxa"/>
            <w:vAlign w:val="bottom"/>
          </w:tcPr>
          <w:p>
            <w:pPr>
              <w:jc w:val="right"/>
              <w:ind w:right="110"/>
              <w:spacing w:after="0" w:line="170" w:lineRule="exact"/>
              <w:rPr>
                <w:sz w:val="20"/>
                <w:szCs w:val="20"/>
                <w:color w:val="auto"/>
              </w:rPr>
            </w:pPr>
            <w:r>
              <w:rPr>
                <w:rFonts w:ascii="Arial" w:cs="Arial" w:eastAsia="Arial" w:hAnsi="Arial"/>
                <w:sz w:val="15"/>
                <w:szCs w:val="15"/>
                <w:color w:val="auto"/>
              </w:rPr>
              <w:t>$672,901</w:t>
            </w:r>
          </w:p>
        </w:tc>
        <w:tc>
          <w:tcPr>
            <w:tcW w:w="1420" w:type="dxa"/>
            <w:vAlign w:val="bottom"/>
          </w:tcPr>
          <w:p>
            <w:pPr>
              <w:jc w:val="right"/>
              <w:ind w:right="90"/>
              <w:spacing w:after="0" w:line="170" w:lineRule="exact"/>
              <w:rPr>
                <w:sz w:val="20"/>
                <w:szCs w:val="20"/>
                <w:color w:val="auto"/>
              </w:rPr>
            </w:pPr>
            <w:r>
              <w:rPr>
                <w:rFonts w:ascii="Arial" w:cs="Arial" w:eastAsia="Arial" w:hAnsi="Arial"/>
                <w:sz w:val="15"/>
                <w:szCs w:val="15"/>
                <w:color w:val="auto"/>
              </w:rPr>
              <w:t>$841,126</w:t>
            </w:r>
          </w:p>
        </w:tc>
        <w:tc>
          <w:tcPr>
            <w:tcW w:w="1560" w:type="dxa"/>
            <w:vAlign w:val="bottom"/>
          </w:tcPr>
          <w:p>
            <w:pPr>
              <w:jc w:val="right"/>
              <w:ind w:right="230"/>
              <w:spacing w:after="0" w:line="170" w:lineRule="exact"/>
              <w:rPr>
                <w:sz w:val="20"/>
                <w:szCs w:val="20"/>
                <w:color w:val="auto"/>
              </w:rPr>
            </w:pPr>
            <w:r>
              <w:rPr>
                <w:rFonts w:ascii="Arial" w:cs="Arial" w:eastAsia="Arial" w:hAnsi="Arial"/>
                <w:sz w:val="15"/>
                <w:szCs w:val="15"/>
                <w:color w:val="auto"/>
              </w:rPr>
              <w:t>$953,273</w:t>
            </w:r>
          </w:p>
        </w:tc>
        <w:tc>
          <w:tcPr>
            <w:tcW w:w="2880" w:type="dxa"/>
            <w:vAlign w:val="bottom"/>
          </w:tcPr>
          <w:p>
            <w:pPr>
              <w:jc w:val="center"/>
              <w:ind w:right="128"/>
              <w:spacing w:after="0" w:line="170" w:lineRule="exact"/>
              <w:rPr>
                <w:sz w:val="20"/>
                <w:szCs w:val="20"/>
                <w:color w:val="auto"/>
              </w:rPr>
            </w:pPr>
            <w:r>
              <w:rPr>
                <w:rFonts w:ascii="Arial" w:cs="Arial" w:eastAsia="Arial" w:hAnsi="Arial"/>
                <w:sz w:val="15"/>
                <w:szCs w:val="15"/>
                <w:color w:val="auto"/>
                <w:w w:val="98"/>
              </w:rPr>
              <w:t>(between target and maximum)</w:t>
            </w:r>
          </w:p>
        </w:tc>
      </w:tr>
      <w:tr>
        <w:trPr>
          <w:trHeight w:val="186"/>
        </w:trPr>
        <w:tc>
          <w:tcPr>
            <w:tcW w:w="3960" w:type="dxa"/>
            <w:vAlign w:val="bottom"/>
            <w:shd w:val="clear" w:color="auto" w:fill="D9D9D9"/>
          </w:tcPr>
          <w:p>
            <w:pPr>
              <w:spacing w:after="0"/>
              <w:rPr>
                <w:sz w:val="20"/>
                <w:szCs w:val="20"/>
                <w:color w:val="auto"/>
              </w:rPr>
            </w:pPr>
            <w:r>
              <w:rPr>
                <w:rFonts w:ascii="Arial" w:cs="Arial" w:eastAsia="Arial" w:hAnsi="Arial"/>
                <w:sz w:val="15"/>
                <w:szCs w:val="15"/>
                <w:color w:val="auto"/>
              </w:rPr>
              <w:t>30% cumulative corporate revenue</w:t>
            </w:r>
          </w:p>
        </w:tc>
        <w:tc>
          <w:tcPr>
            <w:tcW w:w="160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1560" w:type="dxa"/>
            <w:vAlign w:val="bottom"/>
            <w:shd w:val="clear" w:color="auto" w:fill="D9D9D9"/>
          </w:tcPr>
          <w:p>
            <w:pPr>
              <w:spacing w:after="0"/>
              <w:rPr>
                <w:sz w:val="16"/>
                <w:szCs w:val="16"/>
                <w:color w:val="auto"/>
              </w:rPr>
            </w:pPr>
          </w:p>
        </w:tc>
        <w:tc>
          <w:tcPr>
            <w:tcW w:w="2880" w:type="dxa"/>
            <w:vAlign w:val="bottom"/>
            <w:shd w:val="clear" w:color="auto" w:fill="D9D9D9"/>
          </w:tcPr>
          <w:p>
            <w:pPr>
              <w:jc w:val="center"/>
              <w:ind w:right="128"/>
              <w:spacing w:after="0"/>
              <w:rPr>
                <w:sz w:val="20"/>
                <w:szCs w:val="20"/>
                <w:color w:val="auto"/>
              </w:rPr>
            </w:pPr>
            <w:r>
              <w:rPr>
                <w:rFonts w:ascii="Arial" w:cs="Arial" w:eastAsia="Arial" w:hAnsi="Arial"/>
                <w:sz w:val="15"/>
                <w:szCs w:val="15"/>
                <w:color w:val="auto"/>
                <w:w w:val="95"/>
              </w:rPr>
              <w:t>$7,783,380</w:t>
            </w:r>
          </w:p>
        </w:tc>
      </w:tr>
      <w:tr>
        <w:trPr>
          <w:trHeight w:val="170"/>
        </w:trPr>
        <w:tc>
          <w:tcPr>
            <w:tcW w:w="3960" w:type="dxa"/>
            <w:vAlign w:val="bottom"/>
            <w:shd w:val="clear" w:color="auto" w:fill="D9D9D9"/>
          </w:tcPr>
          <w:p>
            <w:pPr>
              <w:ind w:left="120"/>
              <w:spacing w:after="0" w:line="170" w:lineRule="exact"/>
              <w:rPr>
                <w:sz w:val="20"/>
                <w:szCs w:val="20"/>
                <w:color w:val="auto"/>
              </w:rPr>
            </w:pPr>
            <w:r>
              <w:rPr>
                <w:rFonts w:ascii="Arial" w:cs="Arial" w:eastAsia="Arial" w:hAnsi="Arial"/>
                <w:sz w:val="15"/>
                <w:szCs w:val="15"/>
                <w:color w:val="auto"/>
              </w:rPr>
              <w:t>(in thousands)</w:t>
            </w:r>
          </w:p>
        </w:tc>
        <w:tc>
          <w:tcPr>
            <w:tcW w:w="1600" w:type="dxa"/>
            <w:vAlign w:val="bottom"/>
            <w:shd w:val="clear" w:color="auto" w:fill="D9D9D9"/>
          </w:tcPr>
          <w:p>
            <w:pPr>
              <w:jc w:val="right"/>
              <w:ind w:right="110"/>
              <w:spacing w:after="0" w:line="170" w:lineRule="exact"/>
              <w:rPr>
                <w:sz w:val="20"/>
                <w:szCs w:val="20"/>
                <w:color w:val="auto"/>
              </w:rPr>
            </w:pPr>
            <w:r>
              <w:rPr>
                <w:rFonts w:ascii="Arial" w:cs="Arial" w:eastAsia="Arial" w:hAnsi="Arial"/>
                <w:sz w:val="15"/>
                <w:szCs w:val="15"/>
                <w:color w:val="auto"/>
              </w:rPr>
              <w:t>$7,496,834</w:t>
            </w:r>
          </w:p>
        </w:tc>
        <w:tc>
          <w:tcPr>
            <w:tcW w:w="1420" w:type="dxa"/>
            <w:vAlign w:val="bottom"/>
            <w:shd w:val="clear" w:color="auto" w:fill="D9D9D9"/>
          </w:tcPr>
          <w:p>
            <w:pPr>
              <w:jc w:val="right"/>
              <w:ind w:right="90"/>
              <w:spacing w:after="0" w:line="170" w:lineRule="exact"/>
              <w:rPr>
                <w:sz w:val="20"/>
                <w:szCs w:val="20"/>
                <w:color w:val="auto"/>
              </w:rPr>
            </w:pPr>
            <w:r>
              <w:rPr>
                <w:rFonts w:ascii="Arial" w:cs="Arial" w:eastAsia="Arial" w:hAnsi="Arial"/>
                <w:sz w:val="15"/>
                <w:szCs w:val="15"/>
                <w:color w:val="auto"/>
              </w:rPr>
              <w:t>$7,963,555</w:t>
            </w:r>
          </w:p>
        </w:tc>
        <w:tc>
          <w:tcPr>
            <w:tcW w:w="1560" w:type="dxa"/>
            <w:vAlign w:val="bottom"/>
            <w:shd w:val="clear" w:color="auto" w:fill="D9D9D9"/>
          </w:tcPr>
          <w:p>
            <w:pPr>
              <w:jc w:val="right"/>
              <w:ind w:right="230"/>
              <w:spacing w:after="0" w:line="170" w:lineRule="exact"/>
              <w:rPr>
                <w:sz w:val="20"/>
                <w:szCs w:val="20"/>
                <w:color w:val="auto"/>
              </w:rPr>
            </w:pPr>
            <w:r>
              <w:rPr>
                <w:rFonts w:ascii="Arial" w:cs="Arial" w:eastAsia="Arial" w:hAnsi="Arial"/>
                <w:sz w:val="15"/>
                <w:szCs w:val="15"/>
                <w:color w:val="auto"/>
              </w:rPr>
              <w:t>$8,419,010</w:t>
            </w:r>
          </w:p>
        </w:tc>
        <w:tc>
          <w:tcPr>
            <w:tcW w:w="2880" w:type="dxa"/>
            <w:vAlign w:val="bottom"/>
            <w:shd w:val="clear" w:color="auto" w:fill="D9D9D9"/>
          </w:tcPr>
          <w:p>
            <w:pPr>
              <w:jc w:val="center"/>
              <w:ind w:right="128"/>
              <w:spacing w:after="0" w:line="170" w:lineRule="exact"/>
              <w:rPr>
                <w:sz w:val="20"/>
                <w:szCs w:val="20"/>
                <w:color w:val="auto"/>
              </w:rPr>
            </w:pPr>
            <w:r>
              <w:rPr>
                <w:rFonts w:ascii="Arial" w:cs="Arial" w:eastAsia="Arial" w:hAnsi="Arial"/>
                <w:sz w:val="15"/>
                <w:szCs w:val="15"/>
                <w:color w:val="auto"/>
                <w:w w:val="97"/>
              </w:rPr>
              <w:t>(between threshold and target)</w:t>
            </w:r>
          </w:p>
        </w:tc>
      </w:tr>
      <w:tr>
        <w:trPr>
          <w:trHeight w:val="186"/>
        </w:trPr>
        <w:tc>
          <w:tcPr>
            <w:tcW w:w="3960" w:type="dxa"/>
            <w:vAlign w:val="bottom"/>
          </w:tcPr>
          <w:p>
            <w:pPr>
              <w:spacing w:after="0"/>
              <w:rPr>
                <w:sz w:val="20"/>
                <w:szCs w:val="20"/>
                <w:color w:val="auto"/>
              </w:rPr>
            </w:pPr>
            <w:r>
              <w:rPr>
                <w:rFonts w:ascii="Arial" w:cs="Arial" w:eastAsia="Arial" w:hAnsi="Arial"/>
                <w:sz w:val="15"/>
                <w:szCs w:val="15"/>
                <w:color w:val="auto"/>
              </w:rPr>
              <w:t>30% cumulative corporate average</w:t>
            </w: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80" w:type="dxa"/>
            <w:vAlign w:val="bottom"/>
          </w:tcPr>
          <w:p>
            <w:pPr>
              <w:jc w:val="center"/>
              <w:ind w:right="128"/>
              <w:spacing w:after="0"/>
              <w:rPr>
                <w:sz w:val="20"/>
                <w:szCs w:val="20"/>
                <w:color w:val="auto"/>
              </w:rPr>
            </w:pPr>
            <w:r>
              <w:rPr>
                <w:rFonts w:ascii="Arial" w:cs="Arial" w:eastAsia="Arial" w:hAnsi="Arial"/>
                <w:sz w:val="15"/>
                <w:szCs w:val="15"/>
                <w:color w:val="auto"/>
                <w:w w:val="95"/>
              </w:rPr>
              <w:t>7.11110</w:t>
            </w:r>
          </w:p>
        </w:tc>
      </w:tr>
      <w:tr>
        <w:trPr>
          <w:trHeight w:val="170"/>
        </w:trPr>
        <w:tc>
          <w:tcPr>
            <w:tcW w:w="3960" w:type="dxa"/>
            <w:vAlign w:val="bottom"/>
          </w:tcPr>
          <w:p>
            <w:pPr>
              <w:ind w:left="120"/>
              <w:spacing w:after="0" w:line="170" w:lineRule="exact"/>
              <w:rPr>
                <w:sz w:val="20"/>
                <w:szCs w:val="20"/>
                <w:color w:val="auto"/>
              </w:rPr>
            </w:pPr>
            <w:r>
              <w:rPr>
                <w:rFonts w:ascii="Arial" w:cs="Arial" w:eastAsia="Arial" w:hAnsi="Arial"/>
                <w:sz w:val="15"/>
                <w:szCs w:val="15"/>
                <w:color w:val="auto"/>
              </w:rPr>
              <w:t>net assets turns</w:t>
            </w:r>
          </w:p>
        </w:tc>
        <w:tc>
          <w:tcPr>
            <w:tcW w:w="1600" w:type="dxa"/>
            <w:vAlign w:val="bottom"/>
          </w:tcPr>
          <w:p>
            <w:pPr>
              <w:jc w:val="right"/>
              <w:ind w:right="110"/>
              <w:spacing w:after="0" w:line="170" w:lineRule="exact"/>
              <w:rPr>
                <w:sz w:val="20"/>
                <w:szCs w:val="20"/>
                <w:color w:val="auto"/>
              </w:rPr>
            </w:pPr>
            <w:r>
              <w:rPr>
                <w:rFonts w:ascii="Arial" w:cs="Arial" w:eastAsia="Arial" w:hAnsi="Arial"/>
                <w:sz w:val="15"/>
                <w:szCs w:val="15"/>
                <w:color w:val="auto"/>
              </w:rPr>
              <w:t>5.80531</w:t>
            </w:r>
          </w:p>
        </w:tc>
        <w:tc>
          <w:tcPr>
            <w:tcW w:w="1420" w:type="dxa"/>
            <w:vAlign w:val="bottom"/>
          </w:tcPr>
          <w:p>
            <w:pPr>
              <w:jc w:val="right"/>
              <w:ind w:right="90"/>
              <w:spacing w:after="0" w:line="170" w:lineRule="exact"/>
              <w:rPr>
                <w:sz w:val="20"/>
                <w:szCs w:val="20"/>
                <w:color w:val="auto"/>
              </w:rPr>
            </w:pPr>
            <w:r>
              <w:rPr>
                <w:rFonts w:ascii="Arial" w:cs="Arial" w:eastAsia="Arial" w:hAnsi="Arial"/>
                <w:sz w:val="15"/>
                <w:szCs w:val="15"/>
                <w:color w:val="auto"/>
              </w:rPr>
              <w:t>6.82977</w:t>
            </w:r>
          </w:p>
        </w:tc>
        <w:tc>
          <w:tcPr>
            <w:tcW w:w="1560" w:type="dxa"/>
            <w:vAlign w:val="bottom"/>
          </w:tcPr>
          <w:p>
            <w:pPr>
              <w:jc w:val="right"/>
              <w:ind w:right="230"/>
              <w:spacing w:after="0" w:line="170" w:lineRule="exact"/>
              <w:rPr>
                <w:sz w:val="20"/>
                <w:szCs w:val="20"/>
                <w:color w:val="auto"/>
              </w:rPr>
            </w:pPr>
            <w:r>
              <w:rPr>
                <w:rFonts w:ascii="Arial" w:cs="Arial" w:eastAsia="Arial" w:hAnsi="Arial"/>
                <w:sz w:val="15"/>
                <w:szCs w:val="15"/>
                <w:color w:val="auto"/>
              </w:rPr>
              <w:t>7.85424</w:t>
            </w:r>
          </w:p>
        </w:tc>
        <w:tc>
          <w:tcPr>
            <w:tcW w:w="2880" w:type="dxa"/>
            <w:vAlign w:val="bottom"/>
          </w:tcPr>
          <w:p>
            <w:pPr>
              <w:jc w:val="center"/>
              <w:ind w:right="128"/>
              <w:spacing w:after="0" w:line="170" w:lineRule="exact"/>
              <w:rPr>
                <w:sz w:val="20"/>
                <w:szCs w:val="20"/>
                <w:color w:val="auto"/>
              </w:rPr>
            </w:pPr>
            <w:r>
              <w:rPr>
                <w:rFonts w:ascii="Arial" w:cs="Arial" w:eastAsia="Arial" w:hAnsi="Arial"/>
                <w:sz w:val="15"/>
                <w:szCs w:val="15"/>
                <w:color w:val="auto"/>
                <w:w w:val="98"/>
              </w:rPr>
              <w:t>(between target and maximum)</w:t>
            </w:r>
          </w:p>
        </w:tc>
      </w:tr>
      <w:tr>
        <w:trPr>
          <w:trHeight w:val="168"/>
        </w:trPr>
        <w:tc>
          <w:tcPr>
            <w:tcW w:w="3960" w:type="dxa"/>
            <w:vAlign w:val="bottom"/>
            <w:shd w:val="clear" w:color="auto" w:fill="D9D9D9"/>
          </w:tcPr>
          <w:p>
            <w:pPr>
              <w:spacing w:after="0" w:line="168" w:lineRule="exact"/>
              <w:rPr>
                <w:sz w:val="20"/>
                <w:szCs w:val="20"/>
                <w:color w:val="auto"/>
              </w:rPr>
            </w:pPr>
            <w:r>
              <w:rPr>
                <w:rFonts w:ascii="Arial" w:cs="Arial" w:eastAsia="Arial" w:hAnsi="Arial"/>
                <w:sz w:val="15"/>
                <w:szCs w:val="15"/>
                <w:b w:val="1"/>
                <w:bCs w:val="1"/>
                <w:color w:val="auto"/>
              </w:rPr>
              <w:t>Fiscal 2017 to fiscal 2019 performance share award</w:t>
            </w:r>
          </w:p>
        </w:tc>
        <w:tc>
          <w:tcPr>
            <w:tcW w:w="1600" w:type="dxa"/>
            <w:vAlign w:val="bottom"/>
            <w:shd w:val="clear" w:color="auto" w:fill="D9D9D9"/>
          </w:tcPr>
          <w:p>
            <w:pPr>
              <w:spacing w:after="0"/>
              <w:rPr>
                <w:sz w:val="14"/>
                <w:szCs w:val="14"/>
                <w:color w:val="auto"/>
              </w:rPr>
            </w:pPr>
          </w:p>
        </w:tc>
        <w:tc>
          <w:tcPr>
            <w:tcW w:w="1420" w:type="dxa"/>
            <w:vAlign w:val="bottom"/>
            <w:shd w:val="clear" w:color="auto" w:fill="D9D9D9"/>
          </w:tcPr>
          <w:p>
            <w:pPr>
              <w:spacing w:after="0"/>
              <w:rPr>
                <w:sz w:val="14"/>
                <w:szCs w:val="14"/>
                <w:color w:val="auto"/>
              </w:rPr>
            </w:pPr>
          </w:p>
        </w:tc>
        <w:tc>
          <w:tcPr>
            <w:tcW w:w="1560" w:type="dxa"/>
            <w:vAlign w:val="bottom"/>
            <w:shd w:val="clear" w:color="auto" w:fill="D9D9D9"/>
          </w:tcPr>
          <w:p>
            <w:pPr>
              <w:spacing w:after="0"/>
              <w:rPr>
                <w:sz w:val="14"/>
                <w:szCs w:val="14"/>
                <w:color w:val="auto"/>
              </w:rPr>
            </w:pPr>
          </w:p>
        </w:tc>
        <w:tc>
          <w:tcPr>
            <w:tcW w:w="2880" w:type="dxa"/>
            <w:vAlign w:val="bottom"/>
            <w:shd w:val="clear" w:color="auto" w:fill="D9D9D9"/>
          </w:tcPr>
          <w:p>
            <w:pPr>
              <w:spacing w:after="0"/>
              <w:rPr>
                <w:sz w:val="14"/>
                <w:szCs w:val="14"/>
                <w:color w:val="auto"/>
              </w:rPr>
            </w:pPr>
          </w:p>
        </w:tc>
      </w:tr>
      <w:tr>
        <w:trPr>
          <w:trHeight w:val="188"/>
        </w:trPr>
        <w:tc>
          <w:tcPr>
            <w:tcW w:w="3960" w:type="dxa"/>
            <w:vAlign w:val="bottom"/>
            <w:shd w:val="clear" w:color="auto" w:fill="D9D9D9"/>
          </w:tcPr>
          <w:p>
            <w:pPr>
              <w:spacing w:after="0"/>
              <w:rPr>
                <w:sz w:val="20"/>
                <w:szCs w:val="20"/>
                <w:color w:val="auto"/>
              </w:rPr>
            </w:pPr>
            <w:r>
              <w:rPr>
                <w:rFonts w:ascii="Arial" w:cs="Arial" w:eastAsia="Arial" w:hAnsi="Arial"/>
                <w:sz w:val="15"/>
                <w:szCs w:val="15"/>
                <w:b w:val="1"/>
                <w:bCs w:val="1"/>
                <w:color w:val="auto"/>
              </w:rPr>
              <w:t>payout</w:t>
            </w:r>
          </w:p>
        </w:tc>
        <w:tc>
          <w:tcPr>
            <w:tcW w:w="160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1560" w:type="dxa"/>
            <w:vAlign w:val="bottom"/>
            <w:shd w:val="clear" w:color="auto" w:fill="D9D9D9"/>
          </w:tcPr>
          <w:p>
            <w:pPr>
              <w:spacing w:after="0"/>
              <w:rPr>
                <w:sz w:val="16"/>
                <w:szCs w:val="16"/>
                <w:color w:val="auto"/>
              </w:rPr>
            </w:pPr>
          </w:p>
        </w:tc>
        <w:tc>
          <w:tcPr>
            <w:tcW w:w="2880" w:type="dxa"/>
            <w:vAlign w:val="bottom"/>
            <w:shd w:val="clear" w:color="auto" w:fill="D9D9D9"/>
          </w:tcPr>
          <w:p>
            <w:pPr>
              <w:jc w:val="center"/>
              <w:ind w:right="128"/>
              <w:spacing w:after="0"/>
              <w:rPr>
                <w:sz w:val="20"/>
                <w:szCs w:val="20"/>
                <w:color w:val="auto"/>
              </w:rPr>
            </w:pPr>
            <w:r>
              <w:rPr>
                <w:rFonts w:ascii="Arial" w:cs="Arial" w:eastAsia="Arial" w:hAnsi="Arial"/>
                <w:sz w:val="15"/>
                <w:szCs w:val="15"/>
                <w:b w:val="1"/>
                <w:bCs w:val="1"/>
                <w:color w:val="auto"/>
                <w:w w:val="97"/>
              </w:rPr>
              <w:t>122.06% of target</w:t>
            </w:r>
          </w:p>
        </w:tc>
      </w:tr>
    </w:tbl>
    <w:p>
      <w:pPr>
        <w:spacing w:after="0" w:line="81" w:lineRule="exact"/>
        <w:rPr>
          <w:sz w:val="20"/>
          <w:szCs w:val="20"/>
          <w:color w:val="auto"/>
        </w:rPr>
      </w:pPr>
    </w:p>
    <w:p>
      <w:pPr>
        <w:ind w:left="2" w:right="320" w:firstLine="408"/>
        <w:spacing w:after="0" w:line="257" w:lineRule="auto"/>
        <w:rPr>
          <w:sz w:val="20"/>
          <w:szCs w:val="20"/>
          <w:color w:val="auto"/>
        </w:rPr>
      </w:pPr>
      <w:r>
        <w:rPr>
          <w:rFonts w:ascii="Arial" w:cs="Arial" w:eastAsia="Arial" w:hAnsi="Arial"/>
          <w:sz w:val="16"/>
          <w:szCs w:val="16"/>
          <w:i w:val="1"/>
          <w:iCs w:val="1"/>
          <w:color w:val="auto"/>
        </w:rPr>
        <w:t xml:space="preserve">Corporate Performance Discussion and Analysis. </w:t>
      </w:r>
      <w:r>
        <w:rPr>
          <w:rFonts w:ascii="Arial" w:cs="Arial" w:eastAsia="Arial" w:hAnsi="Arial"/>
          <w:sz w:val="16"/>
          <w:szCs w:val="16"/>
          <w:color w:val="auto"/>
        </w:rPr>
        <w:t>When applying the actual performance against the weightings of the performance measures,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2017 to fiscal 2019 payout was 122.06% of target. As a result, all of our named executive officers received a performance share payout that was 122.06% of target.</w:t>
      </w:r>
    </w:p>
    <w:p>
      <w:pPr>
        <w:spacing w:after="0" w:line="58" w:lineRule="exact"/>
        <w:rPr>
          <w:sz w:val="20"/>
          <w:szCs w:val="20"/>
          <w:color w:val="auto"/>
        </w:rPr>
      </w:pPr>
    </w:p>
    <w:p>
      <w:pPr>
        <w:ind w:left="2" w:right="60" w:firstLine="408"/>
        <w:spacing w:after="0" w:line="244" w:lineRule="auto"/>
        <w:rPr>
          <w:sz w:val="20"/>
          <w:szCs w:val="20"/>
          <w:color w:val="auto"/>
        </w:rPr>
      </w:pPr>
      <w:r>
        <w:rPr>
          <w:rFonts w:ascii="Arial" w:cs="Arial" w:eastAsia="Arial" w:hAnsi="Arial"/>
          <w:sz w:val="16"/>
          <w:szCs w:val="16"/>
          <w:i w:val="1"/>
          <w:iCs w:val="1"/>
          <w:color w:val="auto"/>
        </w:rPr>
        <w:t xml:space="preserve">Target Total Direct Compensation. </w:t>
      </w:r>
      <w:r>
        <w:rPr>
          <w:rFonts w:ascii="Arial" w:cs="Arial" w:eastAsia="Arial" w:hAnsi="Arial"/>
          <w:sz w:val="16"/>
          <w:szCs w:val="16"/>
          <w:color w:val="auto"/>
        </w:rPr>
        <w:t>As described previously, when analyzing compensation, we look at base salary, target total cash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target total direct compensation in comparison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when establishing new base salary levels, target annual cash incentive awards and long-term incentive awards. Actual value realized from long-term incentives is dependent on the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2019 target total direct compensation (sum of actual base salary, target annual cash incentive and target value of equity awards), for each named executive officer is compared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in the table below.</w:t>
      </w:r>
    </w:p>
    <w:p>
      <w:pPr>
        <w:spacing w:after="0" w:line="87"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600" w:type="dxa"/>
            <w:vAlign w:val="bottom"/>
            <w:shd w:val="clear" w:color="auto" w:fill="BE0000"/>
          </w:tcPr>
          <w:p>
            <w:pPr>
              <w:spacing w:after="0"/>
              <w:rPr>
                <w:sz w:val="13"/>
                <w:szCs w:val="13"/>
                <w:color w:val="auto"/>
              </w:rPr>
            </w:pPr>
          </w:p>
        </w:tc>
        <w:tc>
          <w:tcPr>
            <w:tcW w:w="5280" w:type="dxa"/>
            <w:vAlign w:val="bottom"/>
            <w:shd w:val="clear" w:color="auto" w:fill="BE0000"/>
          </w:tcPr>
          <w:p>
            <w:pPr>
              <w:jc w:val="center"/>
              <w:ind w:left="1550"/>
              <w:spacing w:after="0"/>
              <w:rPr>
                <w:sz w:val="20"/>
                <w:szCs w:val="20"/>
                <w:color w:val="auto"/>
              </w:rPr>
            </w:pPr>
            <w:r>
              <w:rPr>
                <w:rFonts w:ascii="Arial" w:cs="Arial" w:eastAsia="Arial" w:hAnsi="Arial"/>
                <w:sz w:val="13"/>
                <w:szCs w:val="13"/>
                <w:b w:val="1"/>
                <w:bCs w:val="1"/>
                <w:color w:val="FFFFFF"/>
                <w:w w:val="99"/>
              </w:rPr>
              <w:t>Fiscal 2019 Target Total</w:t>
            </w:r>
          </w:p>
        </w:tc>
        <w:tc>
          <w:tcPr>
            <w:tcW w:w="2540" w:type="dxa"/>
            <w:vAlign w:val="bottom"/>
            <w:shd w:val="clear" w:color="auto" w:fill="BE0000"/>
          </w:tcPr>
          <w:p>
            <w:pPr>
              <w:spacing w:after="0"/>
              <w:rPr>
                <w:sz w:val="13"/>
                <w:szCs w:val="13"/>
                <w:color w:val="auto"/>
              </w:rPr>
            </w:pPr>
          </w:p>
        </w:tc>
      </w:tr>
      <w:tr>
        <w:trPr>
          <w:trHeight w:val="142"/>
        </w:trPr>
        <w:tc>
          <w:tcPr>
            <w:tcW w:w="3600" w:type="dxa"/>
            <w:vAlign w:val="bottom"/>
            <w:shd w:val="clear" w:color="auto" w:fill="BE0000"/>
          </w:tcPr>
          <w:p>
            <w:pPr>
              <w:spacing w:after="0"/>
              <w:rPr>
                <w:sz w:val="12"/>
                <w:szCs w:val="12"/>
                <w:color w:val="auto"/>
              </w:rPr>
            </w:pPr>
          </w:p>
        </w:tc>
        <w:tc>
          <w:tcPr>
            <w:tcW w:w="5280" w:type="dxa"/>
            <w:vAlign w:val="bottom"/>
            <w:shd w:val="clear" w:color="auto" w:fill="BE0000"/>
          </w:tcPr>
          <w:p>
            <w:pPr>
              <w:jc w:val="center"/>
              <w:ind w:left="1550"/>
              <w:spacing w:after="0" w:line="143" w:lineRule="exact"/>
              <w:rPr>
                <w:sz w:val="20"/>
                <w:szCs w:val="20"/>
                <w:color w:val="auto"/>
              </w:rPr>
            </w:pPr>
            <w:r>
              <w:rPr>
                <w:rFonts w:ascii="Arial" w:cs="Arial" w:eastAsia="Arial" w:hAnsi="Arial"/>
                <w:sz w:val="13"/>
                <w:szCs w:val="13"/>
                <w:b w:val="1"/>
                <w:bCs w:val="1"/>
                <w:color w:val="FFFFFF"/>
                <w:w w:val="99"/>
              </w:rPr>
              <w:t>Direct Compensation</w:t>
            </w:r>
          </w:p>
        </w:tc>
        <w:tc>
          <w:tcPr>
            <w:tcW w:w="2540" w:type="dxa"/>
            <w:vAlign w:val="bottom"/>
            <w:shd w:val="clear" w:color="auto" w:fill="BE0000"/>
          </w:tcPr>
          <w:p>
            <w:pPr>
              <w:jc w:val="right"/>
              <w:ind w:right="870"/>
              <w:spacing w:after="0" w:line="143" w:lineRule="exact"/>
              <w:rPr>
                <w:sz w:val="20"/>
                <w:szCs w:val="20"/>
                <w:color w:val="auto"/>
              </w:rPr>
            </w:pPr>
            <w:r>
              <w:rPr>
                <w:rFonts w:ascii="Arial" w:cs="Arial" w:eastAsia="Arial" w:hAnsi="Arial"/>
                <w:sz w:val="13"/>
                <w:szCs w:val="13"/>
                <w:b w:val="1"/>
                <w:bCs w:val="1"/>
                <w:color w:val="FFFFFF"/>
              </w:rPr>
              <w:t>Comparison to</w:t>
            </w:r>
          </w:p>
        </w:tc>
      </w:tr>
      <w:tr>
        <w:trPr>
          <w:trHeight w:val="163"/>
        </w:trPr>
        <w:tc>
          <w:tcPr>
            <w:tcW w:w="360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Name</w:t>
            </w:r>
          </w:p>
        </w:tc>
        <w:tc>
          <w:tcPr>
            <w:tcW w:w="5280" w:type="dxa"/>
            <w:vAlign w:val="bottom"/>
            <w:shd w:val="clear" w:color="auto" w:fill="BE0000"/>
          </w:tcPr>
          <w:p>
            <w:pPr>
              <w:jc w:val="center"/>
              <w:ind w:left="1530"/>
              <w:spacing w:after="0"/>
              <w:rPr>
                <w:sz w:val="20"/>
                <w:szCs w:val="20"/>
                <w:color w:val="auto"/>
              </w:rPr>
            </w:pPr>
            <w:r>
              <w:rPr>
                <w:rFonts w:ascii="Arial" w:cs="Arial" w:eastAsia="Arial" w:hAnsi="Arial"/>
                <w:sz w:val="13"/>
                <w:szCs w:val="13"/>
                <w:b w:val="1"/>
                <w:bCs w:val="1"/>
                <w:color w:val="FFFFFF"/>
              </w:rPr>
              <w:t>($)</w:t>
            </w:r>
          </w:p>
        </w:tc>
        <w:tc>
          <w:tcPr>
            <w:tcW w:w="2540" w:type="dxa"/>
            <w:vAlign w:val="bottom"/>
            <w:shd w:val="clear" w:color="auto" w:fill="BE0000"/>
          </w:tcPr>
          <w:p>
            <w:pPr>
              <w:jc w:val="right"/>
              <w:ind w:right="630"/>
              <w:spacing w:after="0" w:line="163" w:lineRule="exact"/>
              <w:rPr>
                <w:sz w:val="20"/>
                <w:szCs w:val="20"/>
                <w:color w:val="auto"/>
              </w:rPr>
            </w:pPr>
            <w:r>
              <w:rPr>
                <w:rFonts w:ascii="Arial" w:cs="Arial" w:eastAsia="Arial" w:hAnsi="Arial"/>
                <w:sz w:val="11"/>
                <w:szCs w:val="11"/>
                <w:b w:val="1"/>
                <w:bCs w:val="1"/>
                <w:color w:val="FFFFFF"/>
              </w:rPr>
              <w:t>Market 50</w:t>
            </w:r>
            <w:r>
              <w:rPr>
                <w:rFonts w:ascii="Arial" w:cs="Arial" w:eastAsia="Arial" w:hAnsi="Arial"/>
                <w:sz w:val="18"/>
                <w:szCs w:val="18"/>
                <w:b w:val="1"/>
                <w:bCs w:val="1"/>
                <w:color w:val="FFFFFF"/>
                <w:vertAlign w:val="superscript"/>
              </w:rPr>
              <w:t>th</w:t>
            </w:r>
            <w:r>
              <w:rPr>
                <w:rFonts w:ascii="Arial" w:cs="Arial" w:eastAsia="Arial" w:hAnsi="Arial"/>
                <w:sz w:val="11"/>
                <w:szCs w:val="11"/>
                <w:b w:val="1"/>
                <w:bCs w:val="1"/>
                <w:color w:val="FFFFFF"/>
              </w:rPr>
              <w:t xml:space="preserve"> Percentile</w:t>
            </w:r>
          </w:p>
        </w:tc>
      </w:tr>
      <w:tr>
        <w:trPr>
          <w:trHeight w:val="184"/>
        </w:trPr>
        <w:tc>
          <w:tcPr>
            <w:tcW w:w="3600" w:type="dxa"/>
            <w:vAlign w:val="bottom"/>
          </w:tcPr>
          <w:p>
            <w:pPr>
              <w:spacing w:after="0"/>
              <w:rPr>
                <w:sz w:val="20"/>
                <w:szCs w:val="20"/>
                <w:color w:val="auto"/>
              </w:rPr>
            </w:pPr>
            <w:r>
              <w:rPr>
                <w:rFonts w:ascii="Arial" w:cs="Arial" w:eastAsia="Arial" w:hAnsi="Arial"/>
                <w:sz w:val="15"/>
                <w:szCs w:val="15"/>
                <w:color w:val="auto"/>
              </w:rPr>
              <w:t>Mr. Olson</w:t>
            </w:r>
          </w:p>
        </w:tc>
        <w:tc>
          <w:tcPr>
            <w:tcW w:w="5280" w:type="dxa"/>
            <w:vAlign w:val="bottom"/>
          </w:tcPr>
          <w:p>
            <w:pPr>
              <w:jc w:val="right"/>
              <w:ind w:right="390"/>
              <w:spacing w:after="0"/>
              <w:rPr>
                <w:sz w:val="20"/>
                <w:szCs w:val="20"/>
                <w:color w:val="auto"/>
              </w:rPr>
            </w:pPr>
            <w:r>
              <w:rPr>
                <w:rFonts w:ascii="Arial" w:cs="Arial" w:eastAsia="Arial" w:hAnsi="Arial"/>
                <w:sz w:val="15"/>
                <w:szCs w:val="15"/>
                <w:color w:val="auto"/>
              </w:rPr>
              <w:t>5,742,500</w:t>
            </w:r>
          </w:p>
        </w:tc>
        <w:tc>
          <w:tcPr>
            <w:tcW w:w="2540" w:type="dxa"/>
            <w:vAlign w:val="bottom"/>
          </w:tcPr>
          <w:p>
            <w:pPr>
              <w:jc w:val="right"/>
              <w:spacing w:after="0"/>
              <w:rPr>
                <w:sz w:val="20"/>
                <w:szCs w:val="20"/>
                <w:color w:val="auto"/>
              </w:rPr>
            </w:pPr>
            <w:r>
              <w:rPr>
                <w:rFonts w:ascii="Arial" w:cs="Arial" w:eastAsia="Arial" w:hAnsi="Arial"/>
                <w:sz w:val="15"/>
                <w:szCs w:val="15"/>
                <w:color w:val="auto"/>
              </w:rPr>
              <w:t>3% below</w:t>
            </w:r>
          </w:p>
        </w:tc>
      </w:tr>
      <w:tr>
        <w:trPr>
          <w:trHeight w:val="184"/>
        </w:trPr>
        <w:tc>
          <w:tcPr>
            <w:tcW w:w="360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5280" w:type="dxa"/>
            <w:vAlign w:val="bottom"/>
            <w:shd w:val="clear" w:color="auto" w:fill="D9D9D9"/>
          </w:tcPr>
          <w:p>
            <w:pPr>
              <w:jc w:val="right"/>
              <w:ind w:right="390"/>
              <w:spacing w:after="0"/>
              <w:rPr>
                <w:sz w:val="20"/>
                <w:szCs w:val="20"/>
                <w:color w:val="auto"/>
              </w:rPr>
            </w:pPr>
            <w:r>
              <w:rPr>
                <w:rFonts w:ascii="Arial" w:cs="Arial" w:eastAsia="Arial" w:hAnsi="Arial"/>
                <w:sz w:val="15"/>
                <w:szCs w:val="15"/>
                <w:color w:val="auto"/>
              </w:rPr>
              <w:t>1,862,125</w:t>
            </w:r>
          </w:p>
        </w:tc>
        <w:tc>
          <w:tcPr>
            <w:tcW w:w="25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 below</w:t>
            </w:r>
          </w:p>
        </w:tc>
      </w:tr>
      <w:tr>
        <w:trPr>
          <w:trHeight w:val="184"/>
        </w:trPr>
        <w:tc>
          <w:tcPr>
            <w:tcW w:w="3600" w:type="dxa"/>
            <w:vAlign w:val="bottom"/>
          </w:tcPr>
          <w:p>
            <w:pPr>
              <w:spacing w:after="0"/>
              <w:rPr>
                <w:sz w:val="20"/>
                <w:szCs w:val="20"/>
                <w:color w:val="auto"/>
              </w:rPr>
            </w:pPr>
            <w:r>
              <w:rPr>
                <w:rFonts w:ascii="Arial" w:cs="Arial" w:eastAsia="Arial" w:hAnsi="Arial"/>
                <w:sz w:val="15"/>
                <w:szCs w:val="15"/>
                <w:color w:val="auto"/>
              </w:rPr>
              <w:t>Mr. Dordell</w:t>
            </w:r>
          </w:p>
        </w:tc>
        <w:tc>
          <w:tcPr>
            <w:tcW w:w="5280" w:type="dxa"/>
            <w:vAlign w:val="bottom"/>
          </w:tcPr>
          <w:p>
            <w:pPr>
              <w:jc w:val="right"/>
              <w:ind w:right="390"/>
              <w:spacing w:after="0"/>
              <w:rPr>
                <w:sz w:val="20"/>
                <w:szCs w:val="20"/>
                <w:color w:val="auto"/>
              </w:rPr>
            </w:pPr>
            <w:r>
              <w:rPr>
                <w:rFonts w:ascii="Arial" w:cs="Arial" w:eastAsia="Arial" w:hAnsi="Arial"/>
                <w:sz w:val="15"/>
                <w:szCs w:val="15"/>
                <w:color w:val="auto"/>
              </w:rPr>
              <w:t>1,321,600</w:t>
            </w:r>
          </w:p>
        </w:tc>
        <w:tc>
          <w:tcPr>
            <w:tcW w:w="2540" w:type="dxa"/>
            <w:vAlign w:val="bottom"/>
          </w:tcPr>
          <w:p>
            <w:pPr>
              <w:jc w:val="right"/>
              <w:spacing w:after="0"/>
              <w:rPr>
                <w:sz w:val="20"/>
                <w:szCs w:val="20"/>
                <w:color w:val="auto"/>
              </w:rPr>
            </w:pPr>
            <w:r>
              <w:rPr>
                <w:rFonts w:ascii="Arial" w:cs="Arial" w:eastAsia="Arial" w:hAnsi="Arial"/>
                <w:sz w:val="15"/>
                <w:szCs w:val="15"/>
                <w:color w:val="auto"/>
              </w:rPr>
              <w:t>2% below</w:t>
            </w:r>
          </w:p>
        </w:tc>
      </w:tr>
      <w:tr>
        <w:trPr>
          <w:trHeight w:val="184"/>
        </w:trPr>
        <w:tc>
          <w:tcPr>
            <w:tcW w:w="3600" w:type="dxa"/>
            <w:vAlign w:val="bottom"/>
            <w:shd w:val="clear" w:color="auto" w:fill="D9D9D9"/>
          </w:tcPr>
          <w:p>
            <w:pPr>
              <w:spacing w:after="0"/>
              <w:rPr>
                <w:sz w:val="20"/>
                <w:szCs w:val="20"/>
                <w:color w:val="auto"/>
              </w:rPr>
            </w:pPr>
            <w:r>
              <w:rPr>
                <w:rFonts w:ascii="Arial" w:cs="Arial" w:eastAsia="Arial" w:hAnsi="Arial"/>
                <w:sz w:val="15"/>
                <w:szCs w:val="15"/>
                <w:color w:val="auto"/>
              </w:rPr>
              <w:t>Mr. Hamilton</w:t>
            </w:r>
          </w:p>
        </w:tc>
        <w:tc>
          <w:tcPr>
            <w:tcW w:w="5280" w:type="dxa"/>
            <w:vAlign w:val="bottom"/>
            <w:shd w:val="clear" w:color="auto" w:fill="D9D9D9"/>
          </w:tcPr>
          <w:p>
            <w:pPr>
              <w:jc w:val="right"/>
              <w:ind w:right="390"/>
              <w:spacing w:after="0"/>
              <w:rPr>
                <w:sz w:val="20"/>
                <w:szCs w:val="20"/>
                <w:color w:val="auto"/>
              </w:rPr>
            </w:pPr>
            <w:r>
              <w:rPr>
                <w:rFonts w:ascii="Arial" w:cs="Arial" w:eastAsia="Arial" w:hAnsi="Arial"/>
                <w:sz w:val="15"/>
                <w:szCs w:val="15"/>
                <w:color w:val="auto"/>
              </w:rPr>
              <w:t>1,240,000</w:t>
            </w:r>
          </w:p>
        </w:tc>
        <w:tc>
          <w:tcPr>
            <w:tcW w:w="25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18% below</w:t>
            </w:r>
          </w:p>
        </w:tc>
      </w:tr>
      <w:tr>
        <w:trPr>
          <w:trHeight w:val="328"/>
        </w:trPr>
        <w:tc>
          <w:tcPr>
            <w:tcW w:w="3600" w:type="dxa"/>
            <w:vAlign w:val="bottom"/>
          </w:tcPr>
          <w:p>
            <w:pPr>
              <w:spacing w:after="0"/>
              <w:rPr>
                <w:sz w:val="20"/>
                <w:szCs w:val="20"/>
                <w:color w:val="auto"/>
              </w:rPr>
            </w:pPr>
            <w:r>
              <w:rPr>
                <w:rFonts w:ascii="Arial" w:cs="Arial" w:eastAsia="Arial" w:hAnsi="Arial"/>
                <w:sz w:val="15"/>
                <w:szCs w:val="15"/>
                <w:color w:val="auto"/>
              </w:rPr>
              <w:t>Mr. Rodier</w:t>
            </w:r>
            <w:r>
              <w:rPr>
                <w:rFonts w:ascii="Arial" w:cs="Arial" w:eastAsia="Arial" w:hAnsi="Arial"/>
                <w:sz w:val="24"/>
                <w:szCs w:val="24"/>
                <w:color w:val="auto"/>
                <w:vertAlign w:val="superscript"/>
              </w:rPr>
              <w:t>(1)</w:t>
            </w:r>
          </w:p>
        </w:tc>
        <w:tc>
          <w:tcPr>
            <w:tcW w:w="5280" w:type="dxa"/>
            <w:vAlign w:val="bottom"/>
          </w:tcPr>
          <w:p>
            <w:pPr>
              <w:jc w:val="right"/>
              <w:ind w:right="390"/>
              <w:spacing w:after="0"/>
              <w:rPr>
                <w:sz w:val="20"/>
                <w:szCs w:val="20"/>
                <w:color w:val="auto"/>
              </w:rPr>
            </w:pPr>
            <w:r>
              <w:rPr>
                <w:rFonts w:ascii="Arial" w:cs="Arial" w:eastAsia="Arial" w:hAnsi="Arial"/>
                <w:sz w:val="15"/>
                <w:szCs w:val="15"/>
                <w:color w:val="auto"/>
              </w:rPr>
              <w:t>1,116,000</w:t>
            </w:r>
          </w:p>
        </w:tc>
        <w:tc>
          <w:tcPr>
            <w:tcW w:w="2540" w:type="dxa"/>
            <w:vAlign w:val="bottom"/>
          </w:tcPr>
          <w:p>
            <w:pPr>
              <w:jc w:val="right"/>
              <w:spacing w:after="0"/>
              <w:rPr>
                <w:sz w:val="20"/>
                <w:szCs w:val="20"/>
                <w:color w:val="auto"/>
              </w:rPr>
            </w:pPr>
            <w:r>
              <w:rPr>
                <w:rFonts w:ascii="Arial" w:cs="Arial" w:eastAsia="Arial" w:hAnsi="Arial"/>
                <w:sz w:val="15"/>
                <w:szCs w:val="15"/>
                <w:color w:val="auto"/>
              </w:rPr>
              <w:t>19%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07772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ind w:left="402" w:hanging="402"/>
        <w:spacing w:after="0"/>
        <w:tabs>
          <w:tab w:leader="none" w:pos="4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fiscal 2019 target total direct compensation for Mr. Rodier is compared to the market 50</w:t>
      </w:r>
      <w:r>
        <w:rPr>
          <w:rFonts w:ascii="Arial" w:cs="Arial" w:eastAsia="Arial" w:hAnsi="Arial"/>
          <w:sz w:val="13"/>
          <w:szCs w:val="13"/>
          <w:color w:val="auto"/>
        </w:rPr>
        <w:t>th</w:t>
      </w:r>
      <w:r>
        <w:rPr>
          <w:rFonts w:ascii="Arial" w:cs="Arial" w:eastAsia="Arial" w:hAnsi="Arial"/>
          <w:sz w:val="16"/>
          <w:szCs w:val="16"/>
          <w:color w:val="auto"/>
        </w:rPr>
        <w:t xml:space="preserve"> percentile for a group vice president role.</w:t>
      </w:r>
    </w:p>
    <w:p>
      <w:pPr>
        <w:spacing w:after="0" w:line="80" w:lineRule="exact"/>
        <w:rPr>
          <w:rFonts w:ascii="Arial" w:cs="Arial" w:eastAsia="Arial" w:hAnsi="Arial"/>
          <w:sz w:val="16"/>
          <w:szCs w:val="16"/>
          <w:color w:val="auto"/>
        </w:rPr>
      </w:pPr>
    </w:p>
    <w:p>
      <w:pPr>
        <w:ind w:left="402"/>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Health, Welfare and Retirement Benefits and All Other Compensation</w:t>
      </w:r>
      <w:r>
        <w:rPr>
          <w:rFonts w:ascii="Arial" w:cs="Arial" w:eastAsia="Arial" w:hAnsi="Arial"/>
          <w:sz w:val="16"/>
          <w:szCs w:val="16"/>
          <w:b w:val="1"/>
          <w:bCs w:val="1"/>
          <w:color w:val="auto"/>
        </w:rPr>
        <w:t>.</w:t>
      </w:r>
    </w:p>
    <w:p>
      <w:pPr>
        <w:spacing w:after="0" w:line="102" w:lineRule="exact"/>
        <w:rPr>
          <w:sz w:val="20"/>
          <w:szCs w:val="20"/>
          <w:color w:val="auto"/>
        </w:rPr>
      </w:pPr>
    </w:p>
    <w:p>
      <w:pPr>
        <w:ind w:left="2" w:right="120" w:firstLine="408"/>
        <w:spacing w:after="0" w:line="257" w:lineRule="auto"/>
        <w:rPr>
          <w:sz w:val="20"/>
          <w:szCs w:val="20"/>
          <w:color w:val="auto"/>
        </w:rPr>
      </w:pPr>
      <w:r>
        <w:rPr>
          <w:rFonts w:ascii="Arial" w:cs="Arial" w:eastAsia="Arial" w:hAnsi="Arial"/>
          <w:sz w:val="16"/>
          <w:szCs w:val="16"/>
          <w:i w:val="1"/>
          <w:iCs w:val="1"/>
          <w:color w:val="auto"/>
        </w:rPr>
        <w:t xml:space="preserve">Health and Welfare Benefits. </w:t>
      </w:r>
      <w:r>
        <w:rPr>
          <w:rFonts w:ascii="Arial" w:cs="Arial" w:eastAsia="Arial" w:hAnsi="Arial"/>
          <w:sz w:val="16"/>
          <w:szCs w:val="16"/>
          <w:color w:val="auto"/>
        </w:rPr>
        <w:t>We believe that providing competitive health and welfare benefits at a reasonable cost is an important part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compensation package and promotes employee health. Our executive officers participate in the same health and welfare benefits as our full-time office salaried employees. These health and welfare benefits for fiscal 2019 included medical and dental insurance; life,</w:t>
      </w:r>
    </w:p>
    <w:p>
      <w:pPr>
        <w:spacing w:after="0" w:line="17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accidental death and dismemberment insurance; and disability insurance. These benefits, including plan design and cost, are analyzed annually.</w:t>
      </w:r>
    </w:p>
    <w:p>
      <w:pPr>
        <w:spacing w:after="0" w:line="82" w:lineRule="exact"/>
        <w:rPr>
          <w:sz w:val="20"/>
          <w:szCs w:val="20"/>
          <w:color w:val="auto"/>
        </w:rPr>
      </w:pPr>
    </w:p>
    <w:p>
      <w:pPr>
        <w:ind w:right="80" w:firstLine="408"/>
        <w:spacing w:after="0" w:line="247" w:lineRule="auto"/>
        <w:rPr>
          <w:sz w:val="20"/>
          <w:szCs w:val="20"/>
          <w:color w:val="auto"/>
        </w:rPr>
      </w:pPr>
      <w:r>
        <w:rPr>
          <w:rFonts w:ascii="Arial" w:cs="Arial" w:eastAsia="Arial" w:hAnsi="Arial"/>
          <w:sz w:val="16"/>
          <w:szCs w:val="16"/>
          <w:i w:val="1"/>
          <w:iCs w:val="1"/>
          <w:color w:val="auto"/>
        </w:rPr>
        <w:t xml:space="preserve">Retirement Benefits. </w:t>
      </w:r>
      <w:r>
        <w:rPr>
          <w:rFonts w:ascii="Arial" w:cs="Arial" w:eastAsia="Arial" w:hAnsi="Arial"/>
          <w:sz w:val="16"/>
          <w:szCs w:val="16"/>
          <w:color w:val="auto"/>
        </w:rPr>
        <w:t>We believe that it is important to allow our employees, including our executive officers, the opportunity to save for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Retirement Plan, which is our defined contribution plan. The majority of our U.S.-based employees participate in the Retirement Plan and certain other employees that are members of a collectively bargained agreement or employees of certain of our subsidiaries participate in different retirement plans. For 2019, the Retirement Plan included a 401(k) plan with a Company match and a discretionary investment savings contribution. Company contributions for fiscal 2019 to our Retirement Plan on behalf of our named executive officers can be found under “All Other Compensation for Fiscal 2019” beginning on page 45.</w:t>
      </w:r>
    </w:p>
    <w:p>
      <w:pPr>
        <w:spacing w:after="0" w:line="250" w:lineRule="exact"/>
        <w:rPr>
          <w:sz w:val="20"/>
          <w:szCs w:val="20"/>
          <w:color w:val="auto"/>
        </w:rPr>
      </w:pPr>
    </w:p>
    <w:p>
      <w:pPr>
        <w:ind w:right="320" w:firstLine="408"/>
        <w:spacing w:after="0" w:line="253" w:lineRule="auto"/>
        <w:rPr>
          <w:sz w:val="20"/>
          <w:szCs w:val="20"/>
          <w:color w:val="auto"/>
        </w:rPr>
      </w:pPr>
      <w:r>
        <w:rPr>
          <w:rFonts w:ascii="Arial" w:cs="Arial" w:eastAsia="Arial" w:hAnsi="Arial"/>
          <w:sz w:val="16"/>
          <w:szCs w:val="16"/>
          <w:i w:val="1"/>
          <w:iCs w:val="1"/>
          <w:color w:val="auto"/>
        </w:rPr>
        <w:t>Nonqualified Deferred Compensation Plans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To help ensure our executive officers’ ability to provide financial security and save for retirement, we</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three nonqualified deferred compensation plans, which include: The Toro Company Deferred Compensation Plan, or Deferred Plan, The Toro Company Deferred Compensation Plan for Officers, or the Deferred Plan for Officers and The Toro Company Supplemental Benefit Plan, or Supplemental Benefit Plan. These plans, which are unsecured and unfunded, are described under “Nonqualified Deferred Compensation for Fiscal 2019” on page 50.</w:t>
      </w:r>
    </w:p>
    <w:p>
      <w:pPr>
        <w:spacing w:after="0" w:line="61" w:lineRule="exact"/>
        <w:rPr>
          <w:sz w:val="20"/>
          <w:szCs w:val="20"/>
          <w:color w:val="auto"/>
        </w:rPr>
      </w:pPr>
    </w:p>
    <w:p>
      <w:pPr>
        <w:ind w:right="120" w:firstLine="408"/>
        <w:spacing w:after="0" w:line="251" w:lineRule="auto"/>
        <w:rPr>
          <w:sz w:val="20"/>
          <w:szCs w:val="20"/>
          <w:color w:val="auto"/>
        </w:rPr>
      </w:pPr>
      <w:r>
        <w:rPr>
          <w:rFonts w:ascii="Arial" w:cs="Arial" w:eastAsia="Arial" w:hAnsi="Arial"/>
          <w:sz w:val="16"/>
          <w:szCs w:val="16"/>
          <w:i w:val="1"/>
          <w:iCs w:val="1"/>
          <w:color w:val="auto"/>
        </w:rPr>
        <w:t>Perquisites</w:t>
      </w:r>
      <w:r>
        <w:rPr>
          <w:rFonts w:ascii="Arial" w:cs="Arial" w:eastAsia="Arial" w:hAnsi="Arial"/>
          <w:sz w:val="16"/>
          <w:szCs w:val="16"/>
          <w:color w:val="auto"/>
        </w:rPr>
        <w:t>. The perquisites provided during fiscal 2019 to our executive officers are described in “All Other Compensation for Fiscal 2019”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on page 45. We believe these perquisites are an important part of our overall compensation package and help us attract, retain and reward top executive talent. Specifically, we believe that these perquisites assist in promoting the financial security and health of our executive officers and encourage the use and promotion of our products.</w:t>
      </w:r>
    </w:p>
    <w:p>
      <w:pPr>
        <w:spacing w:after="0" w:line="60" w:lineRule="exact"/>
        <w:rPr>
          <w:sz w:val="20"/>
          <w:szCs w:val="20"/>
          <w:color w:val="auto"/>
        </w:rPr>
      </w:pPr>
    </w:p>
    <w:p>
      <w:pPr>
        <w:ind w:right="220" w:firstLine="408"/>
        <w:spacing w:after="0" w:line="260" w:lineRule="auto"/>
        <w:rPr>
          <w:sz w:val="20"/>
          <w:szCs w:val="20"/>
          <w:color w:val="auto"/>
        </w:rPr>
      </w:pPr>
      <w:r>
        <w:rPr>
          <w:rFonts w:ascii="Arial" w:cs="Arial" w:eastAsia="Arial" w:hAnsi="Arial"/>
          <w:sz w:val="16"/>
          <w:szCs w:val="16"/>
          <w:i w:val="1"/>
          <w:iCs w:val="1"/>
          <w:color w:val="auto"/>
        </w:rPr>
        <w:t>Charitable Giving</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support charitable organizations for our employees through our matching gift program. The program for our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that a gift or gifts by an executive officer and his/her spouse to one or more tax exempt 501(c)(3) charitable organizations located in the United States will be matched by us in an aggregate amount of up to $3,000 per year.</w:t>
      </w:r>
    </w:p>
    <w:p>
      <w:pPr>
        <w:spacing w:after="0" w:line="51" w:lineRule="exact"/>
        <w:rPr>
          <w:sz w:val="20"/>
          <w:szCs w:val="20"/>
          <w:color w:val="auto"/>
        </w:rPr>
      </w:pPr>
    </w:p>
    <w:p>
      <w:pPr>
        <w:ind w:right="60" w:firstLine="408"/>
        <w:spacing w:after="0" w:line="250" w:lineRule="auto"/>
        <w:rPr>
          <w:sz w:val="20"/>
          <w:szCs w:val="20"/>
          <w:color w:val="auto"/>
        </w:rPr>
      </w:pPr>
      <w:r>
        <w:rPr>
          <w:rFonts w:ascii="Arial" w:cs="Arial" w:eastAsia="Arial" w:hAnsi="Arial"/>
          <w:sz w:val="16"/>
          <w:szCs w:val="16"/>
          <w:b w:val="1"/>
          <w:bCs w:val="1"/>
          <w:color w:val="auto"/>
        </w:rPr>
        <w:t xml:space="preserve">Employment, Severance and Change in Control Arrangements. </w:t>
      </w:r>
      <w:r>
        <w:rPr>
          <w:rFonts w:ascii="Arial" w:cs="Arial" w:eastAsia="Arial" w:hAnsi="Arial"/>
          <w:sz w:val="16"/>
          <w:szCs w:val="16"/>
          <w:color w:val="auto"/>
        </w:rPr>
        <w:t>None of our executive officers have any employment or severance agreements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other than as provided for in our CIC policy and other than certain change in control provisions in our equity plans. Accordingly, our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55. Each executive officer is a party to our standard confidentiality, invention and non-compete agreement.</w:t>
      </w:r>
    </w:p>
    <w:p>
      <w:pPr>
        <w:spacing w:after="0" w:line="79" w:lineRule="exact"/>
        <w:rPr>
          <w:sz w:val="20"/>
          <w:szCs w:val="20"/>
          <w:color w:val="auto"/>
        </w:rPr>
      </w:pPr>
    </w:p>
    <w:p>
      <w:pPr>
        <w:ind w:firstLine="408"/>
        <w:spacing w:after="0" w:line="243" w:lineRule="auto"/>
        <w:rPr>
          <w:sz w:val="20"/>
          <w:szCs w:val="20"/>
          <w:color w:val="auto"/>
        </w:rPr>
      </w:pPr>
      <w:r>
        <w:rPr>
          <w:rFonts w:ascii="Arial" w:cs="Arial" w:eastAsia="Arial" w:hAnsi="Arial"/>
          <w:sz w:val="16"/>
          <w:szCs w:val="16"/>
          <w:color w:val="auto"/>
        </w:rPr>
        <w:t>We believe our CIC policy and other change in control arrangements are important because they provide retention incentives and additional monetary motivation to complete a transaction that the Board believes is in the best interests of our Company and shareholders. We believe it is in the best interests of our Company and our shareholders to assure that we will have the continued dedication of our executives, notwithstanding the possibility, threat or occurrence of a change in control. We also believe it is imperative to diminish any distraction of our executives by virtue of the personal uncertainties and risks, including personal financial risks, created by a pending or threatened change in control of the Company.</w:t>
      </w:r>
    </w:p>
    <w:p>
      <w:pPr>
        <w:spacing w:after="0" w:line="86" w:lineRule="exact"/>
        <w:rPr>
          <w:sz w:val="20"/>
          <w:szCs w:val="20"/>
          <w:color w:val="auto"/>
        </w:rPr>
      </w:pPr>
    </w:p>
    <w:p>
      <w:pPr>
        <w:ind w:right="120" w:firstLine="408"/>
        <w:spacing w:after="0" w:line="243" w:lineRule="auto"/>
        <w:rPr>
          <w:sz w:val="20"/>
          <w:szCs w:val="20"/>
          <w:color w:val="auto"/>
        </w:rPr>
      </w:pPr>
      <w:r>
        <w:rPr>
          <w:rFonts w:ascii="Arial" w:cs="Arial" w:eastAsia="Arial" w:hAnsi="Arial"/>
          <w:sz w:val="16"/>
          <w:szCs w:val="16"/>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Our CIC policy does not provide a “gross-up” for 280G excise taxes and, as a condition to the payment of any severance payment, the executive officer must execute a release of claims against us.</w:t>
      </w:r>
    </w:p>
    <w:p>
      <w:pPr>
        <w:spacing w:after="0" w:line="86" w:lineRule="exact"/>
        <w:rPr>
          <w:sz w:val="20"/>
          <w:szCs w:val="20"/>
          <w:color w:val="auto"/>
        </w:rPr>
      </w:pPr>
    </w:p>
    <w:p>
      <w:pPr>
        <w:ind w:right="120" w:firstLine="408"/>
        <w:spacing w:after="0" w:line="242" w:lineRule="auto"/>
        <w:rPr>
          <w:sz w:val="20"/>
          <w:szCs w:val="20"/>
          <w:color w:val="auto"/>
        </w:rPr>
      </w:pPr>
      <w:r>
        <w:rPr>
          <w:rFonts w:ascii="Arial" w:cs="Arial" w:eastAsia="Arial" w:hAnsi="Arial"/>
          <w:sz w:val="16"/>
          <w:szCs w:val="16"/>
          <w:color w:val="auto"/>
        </w:rPr>
        <w:t>In addition to our CIC policy, we also have change in control provisions in our 2010 Plan and prior equity plans and individual award agreements that apply to our executives, as well as other employees, that provide for immediate vesting acceleration upon a change in control. More information regarding these provisions is also provided under “Potential Payments Upon Termination or Change in Control—Change in Control” beginning on page 55. Because the immediate vesting of stock options, restricted stock units and certain other awards is triggered by the change in control itself, and is not dependent upon a termination of employment within a certain protection period, these acceleration provisions are known as a “single trigger” change in control arrangements. We believe these “single trigger” change in control arrangements for equity awards granted provide important retention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220"/>
        <w:spacing w:after="0" w:line="247" w:lineRule="auto"/>
        <w:rPr>
          <w:sz w:val="20"/>
          <w:szCs w:val="20"/>
          <w:color w:val="auto"/>
        </w:rPr>
      </w:pPr>
      <w:r>
        <w:rPr>
          <w:rFonts w:ascii="Arial" w:cs="Arial" w:eastAsia="Arial" w:hAnsi="Arial"/>
          <w:sz w:val="16"/>
          <w:szCs w:val="16"/>
          <w:color w:val="auto"/>
        </w:rPr>
        <w:t>incentives during what can often be an uncertain time for employees and provide executives with additional monetary motivation to focus on and complete a transaction that our Board believes is in the best interests of our shareholders rather than seeking new employment opportunities. If an executive were to leave prior to the completion of the change in control, non-vested options or other awards held by the executive would terminate.</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Compensation &amp; Human Resources Committee reviews our change of control arrangements periodically to ensure that they remain appropriate.</w:t>
      </w:r>
    </w:p>
    <w:p>
      <w:pPr>
        <w:spacing w:after="0" w:line="78" w:lineRule="exact"/>
        <w:rPr>
          <w:sz w:val="20"/>
          <w:szCs w:val="20"/>
          <w:color w:val="auto"/>
        </w:rPr>
      </w:pPr>
    </w:p>
    <w:p>
      <w:pPr>
        <w:ind w:right="60" w:firstLine="408"/>
        <w:spacing w:after="0" w:line="260" w:lineRule="auto"/>
        <w:rPr>
          <w:sz w:val="20"/>
          <w:szCs w:val="20"/>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We maintain stock ownership guidelines that enable us to meet our compensation objective of aligning the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 officers with those of our shareholders. Our stock ownership guidelines are described in more detail in “Stock Ownership Guidelines” on page 63. As of October 31, 2019, each of our executive officers required to meet the stock ownership guidelines had met such guideline.</w:t>
      </w:r>
    </w:p>
    <w:p>
      <w:pPr>
        <w:spacing w:after="0" w:line="51" w:lineRule="exact"/>
        <w:rPr>
          <w:sz w:val="20"/>
          <w:szCs w:val="20"/>
          <w:color w:val="auto"/>
        </w:rPr>
      </w:pPr>
    </w:p>
    <w:p>
      <w:pPr>
        <w:ind w:right="380" w:firstLine="408"/>
        <w:spacing w:after="0" w:line="281" w:lineRule="auto"/>
        <w:rPr>
          <w:sz w:val="20"/>
          <w:szCs w:val="20"/>
          <w:color w:val="auto"/>
        </w:rPr>
      </w:pPr>
      <w:r>
        <w:rPr>
          <w:rFonts w:ascii="Arial" w:cs="Arial" w:eastAsia="Arial" w:hAnsi="Arial"/>
          <w:sz w:val="16"/>
          <w:szCs w:val="16"/>
          <w:b w:val="1"/>
          <w:bCs w:val="1"/>
          <w:color w:val="auto"/>
        </w:rPr>
        <w:t xml:space="preserve">Hedging and Pledging. </w:t>
      </w:r>
      <w:r>
        <w:rPr>
          <w:rFonts w:ascii="Arial" w:cs="Arial" w:eastAsia="Arial" w:hAnsi="Arial"/>
          <w:sz w:val="16"/>
          <w:szCs w:val="16"/>
          <w:color w:val="auto"/>
        </w:rPr>
        <w:t>Our insider trading policy prohibits officers and directors from engaging in hedging or pledging of our securities. Our anti-hedging and pledging policy is described in more detail in “Anti-Hedging and Anti-Pledging Policies” on page 63.</w:t>
      </w:r>
    </w:p>
    <w:p>
      <w:pPr>
        <w:spacing w:after="0" w:line="35" w:lineRule="exact"/>
        <w:rPr>
          <w:sz w:val="20"/>
          <w:szCs w:val="20"/>
          <w:color w:val="auto"/>
        </w:rPr>
      </w:pPr>
    </w:p>
    <w:p>
      <w:pPr>
        <w:ind w:right="20" w:firstLine="408"/>
        <w:spacing w:after="0" w:line="244" w:lineRule="auto"/>
        <w:rPr>
          <w:sz w:val="20"/>
          <w:szCs w:val="20"/>
          <w:color w:val="auto"/>
        </w:rPr>
      </w:pPr>
      <w:r>
        <w:rPr>
          <w:rFonts w:ascii="Arial" w:cs="Arial" w:eastAsia="Arial" w:hAnsi="Arial"/>
          <w:sz w:val="16"/>
          <w:szCs w:val="16"/>
          <w:b w:val="1"/>
          <w:bCs w:val="1"/>
          <w:color w:val="auto"/>
        </w:rPr>
        <w:t xml:space="preserve">Tax Deductibility of Compensation. </w:t>
      </w:r>
      <w:r>
        <w:rPr>
          <w:rFonts w:ascii="Arial" w:cs="Arial" w:eastAsia="Arial" w:hAnsi="Arial"/>
          <w:sz w:val="16"/>
          <w:szCs w:val="16"/>
          <w:color w:val="auto"/>
        </w:rPr>
        <w:t>Prior to the enactment of the Tax Act, in designing our executive compensation program, we considered the</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deductibility of executive compensation under Code Section 162(m). The Tax Act, among other things, repealed the exemption from Code Section 162(m)’s deduction limit for “performance-based” compensation for taxable years beginning after December 31, 2017. Our compensation plans were designed with the intention of satisfying the requirements for “performance-based” compensation as defined in Code Section 162(m) prior to the effective date of the Tax Act so that such awards would be exempt from the Code Section 162(m) deduction limitation. While we designed these plans to operate in this manner, the Committee may administer the plans in a manner that does not satisfy such requirements in order to achieve a result that the Committee determines to be appropriate, including by revising performance goals and/or adjustment events as needed to ensure our pay practices continue to align with performance. While the Committee desires to structure performance-based compensation in a manner intended to be exempt from the Code Section 162(m) deduction limit, no assurance can be given that compensation intended to satisfy the requirements for exemption from Code Section 162(m) in fact will.</w:t>
      </w:r>
    </w:p>
    <w:p>
      <w:pPr>
        <w:spacing w:after="0" w:line="89" w:lineRule="exact"/>
        <w:rPr>
          <w:sz w:val="20"/>
          <w:szCs w:val="20"/>
          <w:color w:val="auto"/>
        </w:rPr>
      </w:pPr>
    </w:p>
    <w:p>
      <w:pPr>
        <w:jc w:val="both"/>
        <w:ind w:right="100" w:firstLine="408"/>
        <w:spacing w:after="0" w:line="247" w:lineRule="auto"/>
        <w:rPr>
          <w:sz w:val="20"/>
          <w:szCs w:val="20"/>
          <w:color w:val="auto"/>
        </w:rPr>
      </w:pPr>
      <w:r>
        <w:rPr>
          <w:rFonts w:ascii="Arial" w:cs="Arial" w:eastAsia="Arial" w:hAnsi="Arial"/>
          <w:sz w:val="16"/>
          <w:szCs w:val="16"/>
          <w:color w:val="auto"/>
        </w:rPr>
        <w:t>Despite the changes to Section 162(m) as a result of the Tax Act, consistent with our executive compensation philosophy of linking pay to performance and aligning executive interests with those of our shareholders, we currently expect that we will continue to structure our executive compensation program so that a significant portion of total executive compensation is linked to the performance of our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Assessment of Risk Related to Compensation Programs</w:t>
      </w:r>
    </w:p>
    <w:p>
      <w:pPr>
        <w:spacing w:after="0" w:line="118"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We determined that our compensation policies, practices and programs and related compensation governance structure work together to minimize exposure to excessive risk while appropriately pursuing growth, profitability and asset efficiency strategies that emphasize shareholder value creation. In reaching such determination, we noted that (i) base salaries for all employees are targeted within a competitive range of the market 50</w:t>
      </w:r>
      <w:r>
        <w:rPr>
          <w:rFonts w:ascii="Arial" w:cs="Arial" w:eastAsia="Arial" w:hAnsi="Arial"/>
          <w:sz w:val="13"/>
          <w:szCs w:val="13"/>
          <w:color w:val="auto"/>
        </w:rPr>
        <w:t>th</w:t>
      </w:r>
      <w:r>
        <w:rPr>
          <w:rFonts w:ascii="Arial" w:cs="Arial" w:eastAsia="Arial" w:hAnsi="Arial"/>
          <w:sz w:val="16"/>
          <w:szCs w:val="16"/>
          <w:color w:val="auto"/>
        </w:rPr>
        <w:t xml:space="preserve"> percentile, are not subject to performance risk and, for non-executive employees, constitute the largest part of their total compensation;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 and (iii) caps on performance-based awards are used.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5" w:name="page56"/>
    <w:bookmarkEnd w:id="55"/>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Summary Compensation Table</w:t>
      </w:r>
    </w:p>
    <w:p>
      <w:pPr>
        <w:spacing w:after="0" w:line="112" w:lineRule="exact"/>
        <w:rPr>
          <w:sz w:val="20"/>
          <w:szCs w:val="20"/>
          <w:color w:val="auto"/>
        </w:rPr>
      </w:pPr>
    </w:p>
    <w:p>
      <w:pPr>
        <w:ind w:left="2" w:right="20" w:firstLine="408"/>
        <w:spacing w:after="0" w:line="242" w:lineRule="auto"/>
        <w:rPr>
          <w:sz w:val="20"/>
          <w:szCs w:val="20"/>
          <w:color w:val="auto"/>
        </w:rPr>
      </w:pPr>
      <w:r>
        <w:rPr>
          <w:rFonts w:ascii="Arial" w:cs="Arial" w:eastAsia="Arial" w:hAnsi="Arial"/>
          <w:sz w:val="16"/>
          <w:szCs w:val="16"/>
          <w:color w:val="auto"/>
        </w:rPr>
        <w:t>The following table summarizes compensation for each of the last three fiscal years awarded to, earned by or paid to individuals who served as our principal executive officer and principal financial officer and each of the other three most highly compensated executive officers during fiscal 2019. We collectively refer to these executive officers as our “named executive officers” for fiscal 2019. The “Compensation Discussion and Analysis” beginning on page 28,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 forms of compensation are described in more detail under “Nonqualified Deferred Compensation for Fiscal 2019” beginning on page 50. Earnings on nonqualified deferred compensation are not on a basis that is considered to be above-market or preferential.</w:t>
      </w:r>
    </w:p>
    <w:p>
      <w:pPr>
        <w:spacing w:after="0" w:line="85"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280" w:type="dxa"/>
            <w:vAlign w:val="bottom"/>
            <w:shd w:val="clear" w:color="auto" w:fill="C00000"/>
          </w:tcPr>
          <w:p>
            <w:pPr>
              <w:spacing w:after="0"/>
              <w:rPr>
                <w:sz w:val="13"/>
                <w:szCs w:val="13"/>
                <w:color w:val="auto"/>
              </w:rPr>
            </w:pPr>
          </w:p>
        </w:tc>
        <w:tc>
          <w:tcPr>
            <w:tcW w:w="160" w:type="dxa"/>
            <w:vAlign w:val="bottom"/>
            <w:shd w:val="clear" w:color="auto" w:fill="C00000"/>
          </w:tcPr>
          <w:p>
            <w:pPr>
              <w:spacing w:after="0"/>
              <w:rPr>
                <w:sz w:val="13"/>
                <w:szCs w:val="13"/>
                <w:color w:val="auto"/>
              </w:rPr>
            </w:pPr>
          </w:p>
        </w:tc>
        <w:tc>
          <w:tcPr>
            <w:tcW w:w="620" w:type="dxa"/>
            <w:vAlign w:val="bottom"/>
            <w:shd w:val="clear" w:color="auto" w:fill="C00000"/>
          </w:tcPr>
          <w:p>
            <w:pPr>
              <w:spacing w:after="0"/>
              <w:rPr>
                <w:sz w:val="13"/>
                <w:szCs w:val="13"/>
                <w:color w:val="auto"/>
              </w:rPr>
            </w:pPr>
          </w:p>
        </w:tc>
        <w:tc>
          <w:tcPr>
            <w:tcW w:w="1040" w:type="dxa"/>
            <w:vAlign w:val="bottom"/>
            <w:shd w:val="clear" w:color="auto" w:fill="C00000"/>
          </w:tcPr>
          <w:p>
            <w:pPr>
              <w:spacing w:after="0"/>
              <w:rPr>
                <w:sz w:val="13"/>
                <w:szCs w:val="13"/>
                <w:color w:val="auto"/>
              </w:rPr>
            </w:pPr>
          </w:p>
        </w:tc>
        <w:tc>
          <w:tcPr>
            <w:tcW w:w="940" w:type="dxa"/>
            <w:vAlign w:val="bottom"/>
            <w:shd w:val="clear" w:color="auto" w:fill="C00000"/>
          </w:tcPr>
          <w:p>
            <w:pPr>
              <w:spacing w:after="0"/>
              <w:rPr>
                <w:sz w:val="13"/>
                <w:szCs w:val="13"/>
                <w:color w:val="auto"/>
              </w:rPr>
            </w:pPr>
          </w:p>
        </w:tc>
        <w:tc>
          <w:tcPr>
            <w:tcW w:w="1140" w:type="dxa"/>
            <w:vAlign w:val="bottom"/>
            <w:shd w:val="clear" w:color="auto" w:fill="C00000"/>
          </w:tcPr>
          <w:p>
            <w:pPr>
              <w:spacing w:after="0"/>
              <w:rPr>
                <w:sz w:val="13"/>
                <w:szCs w:val="13"/>
                <w:color w:val="auto"/>
              </w:rPr>
            </w:pPr>
          </w:p>
        </w:tc>
        <w:tc>
          <w:tcPr>
            <w:tcW w:w="1120" w:type="dxa"/>
            <w:vAlign w:val="bottom"/>
            <w:shd w:val="clear" w:color="auto" w:fill="C00000"/>
          </w:tcPr>
          <w:p>
            <w:pPr>
              <w:spacing w:after="0"/>
              <w:rPr>
                <w:sz w:val="13"/>
                <w:szCs w:val="13"/>
                <w:color w:val="auto"/>
              </w:rPr>
            </w:pPr>
          </w:p>
        </w:tc>
        <w:tc>
          <w:tcPr>
            <w:tcW w:w="1660" w:type="dxa"/>
            <w:vAlign w:val="bottom"/>
            <w:shd w:val="clear" w:color="auto" w:fill="C00000"/>
          </w:tcPr>
          <w:p>
            <w:pPr>
              <w:jc w:val="center"/>
              <w:ind w:right="178"/>
              <w:spacing w:after="0"/>
              <w:rPr>
                <w:sz w:val="20"/>
                <w:szCs w:val="20"/>
                <w:color w:val="auto"/>
              </w:rPr>
            </w:pPr>
            <w:r>
              <w:rPr>
                <w:rFonts w:ascii="Arial" w:cs="Arial" w:eastAsia="Arial" w:hAnsi="Arial"/>
                <w:sz w:val="13"/>
                <w:szCs w:val="13"/>
                <w:b w:val="1"/>
                <w:bCs w:val="1"/>
                <w:color w:val="FFFFFF"/>
              </w:rPr>
              <w:t>Non-Equity</w:t>
            </w:r>
          </w:p>
        </w:tc>
        <w:tc>
          <w:tcPr>
            <w:tcW w:w="1680" w:type="dxa"/>
            <w:vAlign w:val="bottom"/>
            <w:shd w:val="clear" w:color="auto" w:fill="C00000"/>
          </w:tcPr>
          <w:p>
            <w:pPr>
              <w:spacing w:after="0"/>
              <w:rPr>
                <w:sz w:val="13"/>
                <w:szCs w:val="13"/>
                <w:color w:val="auto"/>
              </w:rPr>
            </w:pPr>
          </w:p>
        </w:tc>
        <w:tc>
          <w:tcPr>
            <w:tcW w:w="780" w:type="dxa"/>
            <w:vAlign w:val="bottom"/>
            <w:shd w:val="clear" w:color="auto" w:fill="C00000"/>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00000"/>
          </w:tcPr>
          <w:p>
            <w:pPr>
              <w:spacing w:after="0"/>
              <w:rPr>
                <w:sz w:val="12"/>
                <w:szCs w:val="12"/>
                <w:color w:val="auto"/>
              </w:rPr>
            </w:pPr>
          </w:p>
        </w:tc>
        <w:tc>
          <w:tcPr>
            <w:tcW w:w="160" w:type="dxa"/>
            <w:vAlign w:val="bottom"/>
            <w:shd w:val="clear" w:color="auto" w:fill="C00000"/>
          </w:tcPr>
          <w:p>
            <w:pPr>
              <w:spacing w:after="0"/>
              <w:rPr>
                <w:sz w:val="12"/>
                <w:szCs w:val="12"/>
                <w:color w:val="auto"/>
              </w:rPr>
            </w:pPr>
          </w:p>
        </w:tc>
        <w:tc>
          <w:tcPr>
            <w:tcW w:w="620" w:type="dxa"/>
            <w:vAlign w:val="bottom"/>
            <w:shd w:val="clear" w:color="auto" w:fill="C00000"/>
          </w:tcPr>
          <w:p>
            <w:pPr>
              <w:spacing w:after="0"/>
              <w:rPr>
                <w:sz w:val="12"/>
                <w:szCs w:val="12"/>
                <w:color w:val="auto"/>
              </w:rPr>
            </w:pPr>
          </w:p>
        </w:tc>
        <w:tc>
          <w:tcPr>
            <w:tcW w:w="1040" w:type="dxa"/>
            <w:vAlign w:val="bottom"/>
            <w:shd w:val="clear" w:color="auto" w:fill="C00000"/>
          </w:tcPr>
          <w:p>
            <w:pPr>
              <w:spacing w:after="0"/>
              <w:rPr>
                <w:sz w:val="12"/>
                <w:szCs w:val="12"/>
                <w:color w:val="auto"/>
              </w:rPr>
            </w:pPr>
          </w:p>
        </w:tc>
        <w:tc>
          <w:tcPr>
            <w:tcW w:w="940" w:type="dxa"/>
            <w:vAlign w:val="bottom"/>
            <w:shd w:val="clear" w:color="auto" w:fill="C00000"/>
          </w:tcPr>
          <w:p>
            <w:pPr>
              <w:spacing w:after="0"/>
              <w:rPr>
                <w:sz w:val="12"/>
                <w:szCs w:val="12"/>
                <w:color w:val="auto"/>
              </w:rPr>
            </w:pPr>
          </w:p>
        </w:tc>
        <w:tc>
          <w:tcPr>
            <w:tcW w:w="1140" w:type="dxa"/>
            <w:vAlign w:val="bottom"/>
            <w:shd w:val="clear" w:color="auto" w:fill="C00000"/>
          </w:tcPr>
          <w:p>
            <w:pPr>
              <w:jc w:val="center"/>
              <w:ind w:right="39"/>
              <w:spacing w:after="0" w:line="143" w:lineRule="exact"/>
              <w:rPr>
                <w:sz w:val="20"/>
                <w:szCs w:val="20"/>
                <w:color w:val="auto"/>
              </w:rPr>
            </w:pPr>
            <w:r>
              <w:rPr>
                <w:rFonts w:ascii="Arial" w:cs="Arial" w:eastAsia="Arial" w:hAnsi="Arial"/>
                <w:sz w:val="13"/>
                <w:szCs w:val="13"/>
                <w:b w:val="1"/>
                <w:bCs w:val="1"/>
                <w:color w:val="FFFFFF"/>
              </w:rPr>
              <w:t>Stock</w:t>
            </w:r>
          </w:p>
        </w:tc>
        <w:tc>
          <w:tcPr>
            <w:tcW w:w="1120" w:type="dxa"/>
            <w:vAlign w:val="bottom"/>
            <w:shd w:val="clear" w:color="auto" w:fill="C00000"/>
          </w:tcPr>
          <w:p>
            <w:pPr>
              <w:jc w:val="center"/>
              <w:ind w:right="119"/>
              <w:spacing w:after="0" w:line="143" w:lineRule="exact"/>
              <w:rPr>
                <w:sz w:val="20"/>
                <w:szCs w:val="20"/>
                <w:color w:val="auto"/>
              </w:rPr>
            </w:pPr>
            <w:r>
              <w:rPr>
                <w:rFonts w:ascii="Arial" w:cs="Arial" w:eastAsia="Arial" w:hAnsi="Arial"/>
                <w:sz w:val="13"/>
                <w:szCs w:val="13"/>
                <w:b w:val="1"/>
                <w:bCs w:val="1"/>
                <w:color w:val="FFFFFF"/>
              </w:rPr>
              <w:t>Option</w:t>
            </w:r>
          </w:p>
        </w:tc>
        <w:tc>
          <w:tcPr>
            <w:tcW w:w="1660" w:type="dxa"/>
            <w:vAlign w:val="bottom"/>
            <w:shd w:val="clear" w:color="auto" w:fill="C00000"/>
          </w:tcPr>
          <w:p>
            <w:pPr>
              <w:jc w:val="center"/>
              <w:ind w:right="158"/>
              <w:spacing w:after="0" w:line="143" w:lineRule="exact"/>
              <w:rPr>
                <w:sz w:val="20"/>
                <w:szCs w:val="20"/>
                <w:color w:val="auto"/>
              </w:rPr>
            </w:pPr>
            <w:r>
              <w:rPr>
                <w:rFonts w:ascii="Arial" w:cs="Arial" w:eastAsia="Arial" w:hAnsi="Arial"/>
                <w:sz w:val="13"/>
                <w:szCs w:val="13"/>
                <w:b w:val="1"/>
                <w:bCs w:val="1"/>
                <w:color w:val="FFFFFF"/>
              </w:rPr>
              <w:t>Incentive Plan</w:t>
            </w:r>
          </w:p>
        </w:tc>
        <w:tc>
          <w:tcPr>
            <w:tcW w:w="1680" w:type="dxa"/>
            <w:vAlign w:val="bottom"/>
            <w:shd w:val="clear" w:color="auto" w:fill="C00000"/>
          </w:tcPr>
          <w:p>
            <w:pPr>
              <w:jc w:val="center"/>
              <w:ind w:right="199"/>
              <w:spacing w:after="0" w:line="143" w:lineRule="exact"/>
              <w:rPr>
                <w:sz w:val="20"/>
                <w:szCs w:val="20"/>
                <w:color w:val="auto"/>
              </w:rPr>
            </w:pPr>
            <w:r>
              <w:rPr>
                <w:rFonts w:ascii="Arial" w:cs="Arial" w:eastAsia="Arial" w:hAnsi="Arial"/>
                <w:sz w:val="13"/>
                <w:szCs w:val="13"/>
                <w:b w:val="1"/>
                <w:bCs w:val="1"/>
                <w:color w:val="FFFFFF"/>
                <w:w w:val="98"/>
              </w:rPr>
              <w:t>All Other</w:t>
            </w:r>
          </w:p>
        </w:tc>
        <w:tc>
          <w:tcPr>
            <w:tcW w:w="780" w:type="dxa"/>
            <w:vAlign w:val="bottom"/>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8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 and</w:t>
            </w:r>
          </w:p>
        </w:tc>
        <w:tc>
          <w:tcPr>
            <w:tcW w:w="160" w:type="dxa"/>
            <w:vAlign w:val="bottom"/>
            <w:shd w:val="clear" w:color="auto" w:fill="C00000"/>
          </w:tcPr>
          <w:p>
            <w:pPr>
              <w:spacing w:after="0"/>
              <w:rPr>
                <w:sz w:val="13"/>
                <w:szCs w:val="13"/>
                <w:color w:val="auto"/>
              </w:rPr>
            </w:pPr>
          </w:p>
        </w:tc>
        <w:tc>
          <w:tcPr>
            <w:tcW w:w="6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Fiscal</w:t>
            </w:r>
          </w:p>
        </w:tc>
        <w:tc>
          <w:tcPr>
            <w:tcW w:w="1040" w:type="dxa"/>
            <w:vAlign w:val="bottom"/>
            <w:shd w:val="clear" w:color="auto" w:fill="C00000"/>
          </w:tcPr>
          <w:p>
            <w:pPr>
              <w:ind w:left="340"/>
              <w:spacing w:after="0"/>
              <w:rPr>
                <w:sz w:val="20"/>
                <w:szCs w:val="20"/>
                <w:color w:val="auto"/>
              </w:rPr>
            </w:pPr>
            <w:r>
              <w:rPr>
                <w:rFonts w:ascii="Arial" w:cs="Arial" w:eastAsia="Arial" w:hAnsi="Arial"/>
                <w:sz w:val="13"/>
                <w:szCs w:val="13"/>
                <w:b w:val="1"/>
                <w:bCs w:val="1"/>
                <w:color w:val="FFFFFF"/>
              </w:rPr>
              <w:t>Salary</w:t>
            </w:r>
          </w:p>
        </w:tc>
        <w:tc>
          <w:tcPr>
            <w:tcW w:w="940" w:type="dxa"/>
            <w:vAlign w:val="bottom"/>
            <w:shd w:val="clear" w:color="auto" w:fill="C00000"/>
          </w:tcPr>
          <w:p>
            <w:pPr>
              <w:ind w:left="160"/>
              <w:spacing w:after="0" w:line="152" w:lineRule="exact"/>
              <w:rPr>
                <w:sz w:val="20"/>
                <w:szCs w:val="20"/>
                <w:color w:val="auto"/>
              </w:rPr>
            </w:pPr>
            <w:r>
              <w:rPr>
                <w:rFonts w:ascii="Arial" w:cs="Arial" w:eastAsia="Arial" w:hAnsi="Arial"/>
                <w:sz w:val="11"/>
                <w:szCs w:val="11"/>
                <w:b w:val="1"/>
                <w:bCs w:val="1"/>
                <w:color w:val="FFFFFF"/>
              </w:rPr>
              <w:t>Bonus</w:t>
            </w:r>
            <w:r>
              <w:rPr>
                <w:rFonts w:ascii="Arial" w:cs="Arial" w:eastAsia="Arial" w:hAnsi="Arial"/>
                <w:sz w:val="17"/>
                <w:szCs w:val="17"/>
                <w:b w:val="1"/>
                <w:bCs w:val="1"/>
                <w:color w:val="FFFFFF"/>
                <w:vertAlign w:val="superscript"/>
              </w:rPr>
              <w:t>(1)</w:t>
            </w:r>
          </w:p>
        </w:tc>
        <w:tc>
          <w:tcPr>
            <w:tcW w:w="1140" w:type="dxa"/>
            <w:vAlign w:val="bottom"/>
            <w:shd w:val="clear" w:color="auto" w:fill="C00000"/>
          </w:tcPr>
          <w:p>
            <w:pPr>
              <w:jc w:val="center"/>
              <w:ind w:right="39"/>
              <w:spacing w:after="0" w:line="152"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(2)</w:t>
            </w:r>
          </w:p>
        </w:tc>
        <w:tc>
          <w:tcPr>
            <w:tcW w:w="1120" w:type="dxa"/>
            <w:vAlign w:val="bottom"/>
            <w:shd w:val="clear" w:color="auto" w:fill="C00000"/>
          </w:tcPr>
          <w:p>
            <w:pPr>
              <w:jc w:val="center"/>
              <w:ind w:right="119"/>
              <w:spacing w:after="0" w:line="152"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(3)</w:t>
            </w:r>
          </w:p>
        </w:tc>
        <w:tc>
          <w:tcPr>
            <w:tcW w:w="1660" w:type="dxa"/>
            <w:vAlign w:val="bottom"/>
            <w:shd w:val="clear" w:color="auto" w:fill="C00000"/>
          </w:tcPr>
          <w:p>
            <w:pPr>
              <w:jc w:val="center"/>
              <w:ind w:right="158"/>
              <w:spacing w:after="0" w:line="152" w:lineRule="exact"/>
              <w:rPr>
                <w:sz w:val="20"/>
                <w:szCs w:val="20"/>
                <w:color w:val="auto"/>
              </w:rPr>
            </w:pPr>
            <w:r>
              <w:rPr>
                <w:rFonts w:ascii="Arial" w:cs="Arial" w:eastAsia="Arial" w:hAnsi="Arial"/>
                <w:sz w:val="11"/>
                <w:szCs w:val="11"/>
                <w:b w:val="1"/>
                <w:bCs w:val="1"/>
                <w:color w:val="FFFFFF"/>
              </w:rPr>
              <w:t>Compensation</w:t>
            </w:r>
            <w:r>
              <w:rPr>
                <w:rFonts w:ascii="Arial" w:cs="Arial" w:eastAsia="Arial" w:hAnsi="Arial"/>
                <w:sz w:val="17"/>
                <w:szCs w:val="17"/>
                <w:b w:val="1"/>
                <w:bCs w:val="1"/>
                <w:color w:val="FFFFFF"/>
                <w:vertAlign w:val="superscript"/>
              </w:rPr>
              <w:t>(4)</w:t>
            </w:r>
          </w:p>
        </w:tc>
        <w:tc>
          <w:tcPr>
            <w:tcW w:w="1680" w:type="dxa"/>
            <w:vAlign w:val="bottom"/>
            <w:shd w:val="clear" w:color="auto" w:fill="C00000"/>
          </w:tcPr>
          <w:p>
            <w:pPr>
              <w:jc w:val="center"/>
              <w:ind w:right="179"/>
              <w:spacing w:after="0" w:line="152" w:lineRule="exact"/>
              <w:rPr>
                <w:sz w:val="20"/>
                <w:szCs w:val="20"/>
                <w:color w:val="auto"/>
              </w:rPr>
            </w:pPr>
            <w:r>
              <w:rPr>
                <w:rFonts w:ascii="Arial" w:cs="Arial" w:eastAsia="Arial" w:hAnsi="Arial"/>
                <w:sz w:val="11"/>
                <w:szCs w:val="11"/>
                <w:b w:val="1"/>
                <w:bCs w:val="1"/>
                <w:color w:val="FFFFFF"/>
              </w:rPr>
              <w:t>Compensation</w:t>
            </w:r>
            <w:r>
              <w:rPr>
                <w:rFonts w:ascii="Arial" w:cs="Arial" w:eastAsia="Arial" w:hAnsi="Arial"/>
                <w:sz w:val="17"/>
                <w:szCs w:val="17"/>
                <w:b w:val="1"/>
                <w:bCs w:val="1"/>
                <w:color w:val="FFFFFF"/>
                <w:vertAlign w:val="superscript"/>
              </w:rPr>
              <w:t>(5)</w:t>
            </w:r>
          </w:p>
        </w:tc>
        <w:tc>
          <w:tcPr>
            <w:tcW w:w="780" w:type="dxa"/>
            <w:vAlign w:val="bottom"/>
            <w:shd w:val="clear" w:color="auto" w:fill="C00000"/>
          </w:tcPr>
          <w:p>
            <w:pPr>
              <w:jc w:val="right"/>
              <w:ind w:right="198"/>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59"/>
        </w:trPr>
        <w:tc>
          <w:tcPr>
            <w:tcW w:w="228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Principal Position</w:t>
            </w:r>
          </w:p>
        </w:tc>
        <w:tc>
          <w:tcPr>
            <w:tcW w:w="160" w:type="dxa"/>
            <w:vAlign w:val="bottom"/>
            <w:shd w:val="clear" w:color="auto" w:fill="C00000"/>
          </w:tcPr>
          <w:p>
            <w:pPr>
              <w:spacing w:after="0"/>
              <w:rPr>
                <w:sz w:val="13"/>
                <w:szCs w:val="13"/>
                <w:color w:val="auto"/>
              </w:rPr>
            </w:pPr>
          </w:p>
        </w:tc>
        <w:tc>
          <w:tcPr>
            <w:tcW w:w="6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2"/>
              </w:rPr>
              <w:t>Year</w:t>
            </w:r>
          </w:p>
        </w:tc>
        <w:tc>
          <w:tcPr>
            <w:tcW w:w="1040" w:type="dxa"/>
            <w:vAlign w:val="bottom"/>
            <w:shd w:val="clear" w:color="auto" w:fill="C00000"/>
          </w:tcPr>
          <w:p>
            <w:pPr>
              <w:ind w:left="460"/>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C00000"/>
          </w:tcPr>
          <w:p>
            <w:pPr>
              <w:jc w:val="center"/>
              <w:ind w:right="39"/>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C00000"/>
          </w:tcPr>
          <w:p>
            <w:pPr>
              <w:jc w:val="center"/>
              <w:ind w:right="99"/>
              <w:spacing w:after="0"/>
              <w:rPr>
                <w:sz w:val="20"/>
                <w:szCs w:val="20"/>
                <w:color w:val="auto"/>
              </w:rPr>
            </w:pPr>
            <w:r>
              <w:rPr>
                <w:rFonts w:ascii="Arial" w:cs="Arial" w:eastAsia="Arial" w:hAnsi="Arial"/>
                <w:sz w:val="13"/>
                <w:szCs w:val="13"/>
                <w:b w:val="1"/>
                <w:bCs w:val="1"/>
                <w:color w:val="FFFFFF"/>
              </w:rPr>
              <w:t>($)</w:t>
            </w:r>
          </w:p>
        </w:tc>
        <w:tc>
          <w:tcPr>
            <w:tcW w:w="1660" w:type="dxa"/>
            <w:vAlign w:val="bottom"/>
            <w:shd w:val="clear" w:color="auto" w:fill="C00000"/>
          </w:tcPr>
          <w:p>
            <w:pPr>
              <w:jc w:val="center"/>
              <w:ind w:right="158"/>
              <w:spacing w:after="0"/>
              <w:rPr>
                <w:sz w:val="20"/>
                <w:szCs w:val="20"/>
                <w:color w:val="auto"/>
              </w:rPr>
            </w:pPr>
            <w:r>
              <w:rPr>
                <w:rFonts w:ascii="Arial" w:cs="Arial" w:eastAsia="Arial" w:hAnsi="Arial"/>
                <w:sz w:val="13"/>
                <w:szCs w:val="13"/>
                <w:b w:val="1"/>
                <w:bCs w:val="1"/>
                <w:color w:val="FFFFFF"/>
              </w:rPr>
              <w:t>($)</w:t>
            </w:r>
          </w:p>
        </w:tc>
        <w:tc>
          <w:tcPr>
            <w:tcW w:w="1680" w:type="dxa"/>
            <w:vAlign w:val="bottom"/>
            <w:shd w:val="clear" w:color="auto" w:fill="C00000"/>
          </w:tcPr>
          <w:p>
            <w:pPr>
              <w:jc w:val="center"/>
              <w:ind w:right="179"/>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C00000"/>
          </w:tcPr>
          <w:p>
            <w:pPr>
              <w:jc w:val="right"/>
              <w:ind w:right="278"/>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46"/>
        </w:trPr>
        <w:tc>
          <w:tcPr>
            <w:tcW w:w="2280" w:type="dxa"/>
            <w:vAlign w:val="bottom"/>
          </w:tcPr>
          <w:p>
            <w:pPr>
              <w:spacing w:after="0"/>
              <w:rPr>
                <w:sz w:val="20"/>
                <w:szCs w:val="20"/>
                <w:color w:val="auto"/>
              </w:rPr>
            </w:pPr>
            <w:r>
              <w:rPr>
                <w:rFonts w:ascii="Arial" w:cs="Arial" w:eastAsia="Arial" w:hAnsi="Arial"/>
                <w:sz w:val="12"/>
                <w:szCs w:val="12"/>
                <w:color w:val="auto"/>
              </w:rPr>
              <w:t>Richard M. Olson,</w:t>
            </w:r>
          </w:p>
        </w:tc>
        <w:tc>
          <w:tcPr>
            <w:tcW w:w="780" w:type="dxa"/>
            <w:vAlign w:val="bottom"/>
            <w:gridSpan w:val="2"/>
            <w:vMerge w:val="restart"/>
          </w:tcPr>
          <w:p>
            <w:pPr>
              <w:jc w:val="center"/>
              <w:ind w:left="99"/>
              <w:spacing w:after="0"/>
              <w:rPr>
                <w:sz w:val="20"/>
                <w:szCs w:val="20"/>
                <w:color w:val="auto"/>
              </w:rPr>
            </w:pPr>
            <w:r>
              <w:rPr>
                <w:rFonts w:ascii="Arial" w:cs="Arial" w:eastAsia="Arial" w:hAnsi="Arial"/>
                <w:sz w:val="12"/>
                <w:szCs w:val="12"/>
                <w:color w:val="auto"/>
                <w:w w:val="97"/>
              </w:rPr>
              <w:t>2019</w:t>
            </w:r>
          </w:p>
        </w:tc>
        <w:tc>
          <w:tcPr>
            <w:tcW w:w="1040" w:type="dxa"/>
            <w:vAlign w:val="bottom"/>
            <w:vMerge w:val="restart"/>
          </w:tcPr>
          <w:p>
            <w:pPr>
              <w:ind w:left="460"/>
              <w:spacing w:after="0"/>
              <w:rPr>
                <w:sz w:val="20"/>
                <w:szCs w:val="20"/>
                <w:color w:val="auto"/>
              </w:rPr>
            </w:pPr>
            <w:r>
              <w:rPr>
                <w:rFonts w:ascii="Arial" w:cs="Arial" w:eastAsia="Arial" w:hAnsi="Arial"/>
                <w:sz w:val="12"/>
                <w:szCs w:val="12"/>
                <w:color w:val="auto"/>
              </w:rPr>
              <w:t>925,000</w:t>
            </w:r>
          </w:p>
        </w:tc>
        <w:tc>
          <w:tcPr>
            <w:tcW w:w="94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tcPr>
          <w:p>
            <w:pPr>
              <w:jc w:val="right"/>
              <w:ind w:right="99"/>
              <w:spacing w:after="0"/>
              <w:rPr>
                <w:sz w:val="20"/>
                <w:szCs w:val="20"/>
                <w:color w:val="auto"/>
              </w:rPr>
            </w:pPr>
            <w:r>
              <w:rPr>
                <w:rFonts w:ascii="Arial" w:cs="Arial" w:eastAsia="Arial" w:hAnsi="Arial"/>
                <w:sz w:val="12"/>
                <w:szCs w:val="12"/>
                <w:color w:val="auto"/>
              </w:rPr>
              <w:t>1,906,560</w:t>
            </w:r>
          </w:p>
        </w:tc>
        <w:tc>
          <w:tcPr>
            <w:tcW w:w="1120" w:type="dxa"/>
            <w:vAlign w:val="bottom"/>
            <w:vMerge w:val="restart"/>
          </w:tcPr>
          <w:p>
            <w:pPr>
              <w:jc w:val="right"/>
              <w:ind w:right="139"/>
              <w:spacing w:after="0"/>
              <w:rPr>
                <w:sz w:val="20"/>
                <w:szCs w:val="20"/>
                <w:color w:val="auto"/>
              </w:rPr>
            </w:pPr>
            <w:r>
              <w:rPr>
                <w:rFonts w:ascii="Arial" w:cs="Arial" w:eastAsia="Arial" w:hAnsi="Arial"/>
                <w:sz w:val="12"/>
                <w:szCs w:val="12"/>
                <w:color w:val="auto"/>
              </w:rPr>
              <w:t>1,646,571</w:t>
            </w:r>
          </w:p>
        </w:tc>
        <w:tc>
          <w:tcPr>
            <w:tcW w:w="1660" w:type="dxa"/>
            <w:vAlign w:val="bottom"/>
            <w:vMerge w:val="restart"/>
          </w:tcPr>
          <w:p>
            <w:pPr>
              <w:jc w:val="right"/>
              <w:ind w:right="138"/>
              <w:spacing w:after="0"/>
              <w:rPr>
                <w:sz w:val="20"/>
                <w:szCs w:val="20"/>
                <w:color w:val="auto"/>
              </w:rPr>
            </w:pPr>
            <w:r>
              <w:rPr>
                <w:rFonts w:ascii="Arial" w:cs="Arial" w:eastAsia="Arial" w:hAnsi="Arial"/>
                <w:sz w:val="12"/>
                <w:szCs w:val="12"/>
                <w:color w:val="auto"/>
              </w:rPr>
              <w:t>606,939</w:t>
            </w:r>
          </w:p>
        </w:tc>
        <w:tc>
          <w:tcPr>
            <w:tcW w:w="1680" w:type="dxa"/>
            <w:vAlign w:val="bottom"/>
            <w:vMerge w:val="restart"/>
          </w:tcPr>
          <w:p>
            <w:pPr>
              <w:jc w:val="right"/>
              <w:ind w:right="159"/>
              <w:spacing w:after="0"/>
              <w:rPr>
                <w:sz w:val="20"/>
                <w:szCs w:val="20"/>
                <w:color w:val="auto"/>
              </w:rPr>
            </w:pPr>
            <w:r>
              <w:rPr>
                <w:rFonts w:ascii="Arial" w:cs="Arial" w:eastAsia="Arial" w:hAnsi="Arial"/>
                <w:sz w:val="12"/>
                <w:szCs w:val="12"/>
                <w:color w:val="auto"/>
              </w:rPr>
              <w:t>182,363</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5,267,433</w:t>
            </w:r>
          </w:p>
        </w:tc>
        <w:tc>
          <w:tcPr>
            <w:tcW w:w="0" w:type="dxa"/>
            <w:vAlign w:val="bottom"/>
          </w:tcPr>
          <w:p>
            <w:pPr>
              <w:spacing w:after="0"/>
              <w:rPr>
                <w:sz w:val="1"/>
                <w:szCs w:val="1"/>
                <w:color w:val="auto"/>
              </w:rPr>
            </w:pPr>
          </w:p>
        </w:tc>
      </w:tr>
      <w:tr>
        <w:trPr>
          <w:trHeight w:val="49"/>
        </w:trPr>
        <w:tc>
          <w:tcPr>
            <w:tcW w:w="2280" w:type="dxa"/>
            <w:vAlign w:val="bottom"/>
            <w:vMerge w:val="restart"/>
          </w:tcPr>
          <w:p>
            <w:pPr>
              <w:ind w:left="160"/>
              <w:spacing w:after="0" w:line="135" w:lineRule="exact"/>
              <w:rPr>
                <w:sz w:val="20"/>
                <w:szCs w:val="20"/>
                <w:color w:val="auto"/>
              </w:rPr>
            </w:pPr>
            <w:r>
              <w:rPr>
                <w:rFonts w:ascii="Arial" w:cs="Arial" w:eastAsia="Arial" w:hAnsi="Arial"/>
                <w:sz w:val="12"/>
                <w:szCs w:val="12"/>
                <w:color w:val="auto"/>
              </w:rPr>
              <w:t>Chairman of the Board,</w:t>
            </w:r>
          </w:p>
        </w:tc>
        <w:tc>
          <w:tcPr>
            <w:tcW w:w="78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280" w:type="dxa"/>
            <w:vAlign w:val="bottom"/>
            <w:vMerge w:val="continue"/>
          </w:tcPr>
          <w:p>
            <w:pPr>
              <w:spacing w:after="0"/>
              <w:rPr>
                <w:sz w:val="7"/>
                <w:szCs w:val="7"/>
                <w:color w:val="auto"/>
              </w:rPr>
            </w:pPr>
          </w:p>
        </w:tc>
        <w:tc>
          <w:tcPr>
            <w:tcW w:w="780" w:type="dxa"/>
            <w:vAlign w:val="bottom"/>
            <w:gridSpan w:val="2"/>
            <w:vMerge w:val="restart"/>
          </w:tcPr>
          <w:p>
            <w:pPr>
              <w:jc w:val="center"/>
              <w:ind w:left="99"/>
              <w:spacing w:after="0"/>
              <w:rPr>
                <w:sz w:val="20"/>
                <w:szCs w:val="20"/>
                <w:color w:val="auto"/>
              </w:rPr>
            </w:pPr>
            <w:r>
              <w:rPr>
                <w:rFonts w:ascii="Arial" w:cs="Arial" w:eastAsia="Arial" w:hAnsi="Arial"/>
                <w:sz w:val="12"/>
                <w:szCs w:val="12"/>
                <w:color w:val="auto"/>
                <w:w w:val="97"/>
              </w:rPr>
              <w:t>2018</w:t>
            </w:r>
          </w:p>
        </w:tc>
        <w:tc>
          <w:tcPr>
            <w:tcW w:w="1040" w:type="dxa"/>
            <w:vAlign w:val="bottom"/>
            <w:vMerge w:val="restart"/>
          </w:tcPr>
          <w:p>
            <w:pPr>
              <w:ind w:left="460"/>
              <w:spacing w:after="0"/>
              <w:rPr>
                <w:sz w:val="20"/>
                <w:szCs w:val="20"/>
                <w:color w:val="auto"/>
              </w:rPr>
            </w:pPr>
            <w:r>
              <w:rPr>
                <w:rFonts w:ascii="Arial" w:cs="Arial" w:eastAsia="Arial" w:hAnsi="Arial"/>
                <w:sz w:val="12"/>
                <w:szCs w:val="12"/>
                <w:color w:val="auto"/>
              </w:rPr>
              <w:t>875,000</w:t>
            </w:r>
          </w:p>
        </w:tc>
        <w:tc>
          <w:tcPr>
            <w:tcW w:w="94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tcPr>
          <w:p>
            <w:pPr>
              <w:jc w:val="right"/>
              <w:ind w:right="99"/>
              <w:spacing w:after="0"/>
              <w:rPr>
                <w:sz w:val="20"/>
                <w:szCs w:val="20"/>
                <w:color w:val="auto"/>
              </w:rPr>
            </w:pPr>
            <w:r>
              <w:rPr>
                <w:rFonts w:ascii="Arial" w:cs="Arial" w:eastAsia="Arial" w:hAnsi="Arial"/>
                <w:sz w:val="12"/>
                <w:szCs w:val="12"/>
                <w:color w:val="auto"/>
              </w:rPr>
              <w:t>1,576,140</w:t>
            </w:r>
          </w:p>
        </w:tc>
        <w:tc>
          <w:tcPr>
            <w:tcW w:w="1120" w:type="dxa"/>
            <w:vAlign w:val="bottom"/>
            <w:vMerge w:val="restart"/>
          </w:tcPr>
          <w:p>
            <w:pPr>
              <w:jc w:val="right"/>
              <w:ind w:right="139"/>
              <w:spacing w:after="0"/>
              <w:rPr>
                <w:sz w:val="20"/>
                <w:szCs w:val="20"/>
                <w:color w:val="auto"/>
              </w:rPr>
            </w:pPr>
            <w:r>
              <w:rPr>
                <w:rFonts w:ascii="Arial" w:cs="Arial" w:eastAsia="Arial" w:hAnsi="Arial"/>
                <w:sz w:val="12"/>
                <w:szCs w:val="12"/>
                <w:color w:val="auto"/>
              </w:rPr>
              <w:t>1,531,904</w:t>
            </w:r>
          </w:p>
        </w:tc>
        <w:tc>
          <w:tcPr>
            <w:tcW w:w="1660" w:type="dxa"/>
            <w:vAlign w:val="bottom"/>
            <w:vMerge w:val="restart"/>
          </w:tcPr>
          <w:p>
            <w:pPr>
              <w:jc w:val="right"/>
              <w:ind w:right="138"/>
              <w:spacing w:after="0"/>
              <w:rPr>
                <w:sz w:val="20"/>
                <w:szCs w:val="20"/>
                <w:color w:val="auto"/>
              </w:rPr>
            </w:pPr>
            <w:r>
              <w:rPr>
                <w:rFonts w:ascii="Arial" w:cs="Arial" w:eastAsia="Arial" w:hAnsi="Arial"/>
                <w:sz w:val="12"/>
                <w:szCs w:val="12"/>
                <w:color w:val="auto"/>
              </w:rPr>
              <w:t>918,803</w:t>
            </w:r>
          </w:p>
        </w:tc>
        <w:tc>
          <w:tcPr>
            <w:tcW w:w="1680" w:type="dxa"/>
            <w:vAlign w:val="bottom"/>
            <w:vMerge w:val="restart"/>
          </w:tcPr>
          <w:p>
            <w:pPr>
              <w:jc w:val="right"/>
              <w:ind w:right="159"/>
              <w:spacing w:after="0"/>
              <w:rPr>
                <w:sz w:val="20"/>
                <w:szCs w:val="20"/>
                <w:color w:val="auto"/>
              </w:rPr>
            </w:pPr>
            <w:r>
              <w:rPr>
                <w:rFonts w:ascii="Arial" w:cs="Arial" w:eastAsia="Arial" w:hAnsi="Arial"/>
                <w:sz w:val="12"/>
                <w:szCs w:val="12"/>
                <w:color w:val="auto"/>
              </w:rPr>
              <w:t>171,279</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5,073,126</w:t>
            </w:r>
          </w:p>
        </w:tc>
        <w:tc>
          <w:tcPr>
            <w:tcW w:w="0" w:type="dxa"/>
            <w:vAlign w:val="bottom"/>
          </w:tcPr>
          <w:p>
            <w:pPr>
              <w:spacing w:after="0"/>
              <w:rPr>
                <w:sz w:val="1"/>
                <w:szCs w:val="1"/>
                <w:color w:val="auto"/>
              </w:rPr>
            </w:pPr>
          </w:p>
        </w:tc>
      </w:tr>
      <w:tr>
        <w:trPr>
          <w:trHeight w:val="98"/>
        </w:trPr>
        <w:tc>
          <w:tcPr>
            <w:tcW w:w="2280" w:type="dxa"/>
            <w:vAlign w:val="bottom"/>
            <w:vMerge w:val="restart"/>
          </w:tcPr>
          <w:p>
            <w:pPr>
              <w:ind w:left="160"/>
              <w:spacing w:after="0"/>
              <w:rPr>
                <w:sz w:val="20"/>
                <w:szCs w:val="20"/>
                <w:color w:val="auto"/>
              </w:rPr>
            </w:pPr>
            <w:r>
              <w:rPr>
                <w:rFonts w:ascii="Arial" w:cs="Arial" w:eastAsia="Arial" w:hAnsi="Arial"/>
                <w:sz w:val="12"/>
                <w:szCs w:val="12"/>
                <w:color w:val="auto"/>
              </w:rPr>
              <w:t>President and CEO</w:t>
            </w:r>
          </w:p>
        </w:tc>
        <w:tc>
          <w:tcPr>
            <w:tcW w:w="7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280" w:type="dxa"/>
            <w:vAlign w:val="bottom"/>
            <w:vMerge w:val="continue"/>
          </w:tcPr>
          <w:p>
            <w:pPr>
              <w:spacing w:after="0"/>
              <w:rPr>
                <w:sz w:val="4"/>
                <w:szCs w:val="4"/>
                <w:color w:val="auto"/>
              </w:rPr>
            </w:pPr>
          </w:p>
        </w:tc>
        <w:tc>
          <w:tcPr>
            <w:tcW w:w="780" w:type="dxa"/>
            <w:vAlign w:val="bottom"/>
            <w:gridSpan w:val="2"/>
            <w:vMerge w:val="restart"/>
          </w:tcPr>
          <w:p>
            <w:pPr>
              <w:jc w:val="center"/>
              <w:ind w:left="99"/>
              <w:spacing w:after="0"/>
              <w:rPr>
                <w:sz w:val="20"/>
                <w:szCs w:val="20"/>
                <w:color w:val="auto"/>
              </w:rPr>
            </w:pPr>
            <w:r>
              <w:rPr>
                <w:rFonts w:ascii="Arial" w:cs="Arial" w:eastAsia="Arial" w:hAnsi="Arial"/>
                <w:sz w:val="12"/>
                <w:szCs w:val="12"/>
                <w:color w:val="auto"/>
                <w:w w:val="97"/>
              </w:rPr>
              <w:t>2017</w:t>
            </w:r>
          </w:p>
        </w:tc>
        <w:tc>
          <w:tcPr>
            <w:tcW w:w="1040" w:type="dxa"/>
            <w:vAlign w:val="bottom"/>
            <w:vMerge w:val="restart"/>
          </w:tcPr>
          <w:p>
            <w:pPr>
              <w:ind w:left="460"/>
              <w:spacing w:after="0"/>
              <w:rPr>
                <w:sz w:val="20"/>
                <w:szCs w:val="20"/>
                <w:color w:val="auto"/>
              </w:rPr>
            </w:pPr>
            <w:r>
              <w:rPr>
                <w:rFonts w:ascii="Arial" w:cs="Arial" w:eastAsia="Arial" w:hAnsi="Arial"/>
                <w:sz w:val="12"/>
                <w:szCs w:val="12"/>
                <w:color w:val="auto"/>
              </w:rPr>
              <w:t>775,000</w:t>
            </w:r>
          </w:p>
        </w:tc>
        <w:tc>
          <w:tcPr>
            <w:tcW w:w="94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tcPr>
          <w:p>
            <w:pPr>
              <w:jc w:val="right"/>
              <w:ind w:right="99"/>
              <w:spacing w:after="0"/>
              <w:rPr>
                <w:sz w:val="20"/>
                <w:szCs w:val="20"/>
                <w:color w:val="auto"/>
              </w:rPr>
            </w:pPr>
            <w:r>
              <w:rPr>
                <w:rFonts w:ascii="Arial" w:cs="Arial" w:eastAsia="Arial" w:hAnsi="Arial"/>
                <w:sz w:val="12"/>
                <w:szCs w:val="12"/>
                <w:color w:val="auto"/>
              </w:rPr>
              <w:t>1,553,820</w:t>
            </w:r>
          </w:p>
        </w:tc>
        <w:tc>
          <w:tcPr>
            <w:tcW w:w="1120" w:type="dxa"/>
            <w:vAlign w:val="bottom"/>
            <w:vMerge w:val="restart"/>
          </w:tcPr>
          <w:p>
            <w:pPr>
              <w:jc w:val="right"/>
              <w:ind w:right="139"/>
              <w:spacing w:after="0"/>
              <w:rPr>
                <w:sz w:val="20"/>
                <w:szCs w:val="20"/>
                <w:color w:val="auto"/>
              </w:rPr>
            </w:pPr>
            <w:r>
              <w:rPr>
                <w:rFonts w:ascii="Arial" w:cs="Arial" w:eastAsia="Arial" w:hAnsi="Arial"/>
                <w:sz w:val="12"/>
                <w:szCs w:val="12"/>
                <w:color w:val="auto"/>
              </w:rPr>
              <w:t>1,586,826</w:t>
            </w:r>
          </w:p>
        </w:tc>
        <w:tc>
          <w:tcPr>
            <w:tcW w:w="1660" w:type="dxa"/>
            <w:vAlign w:val="bottom"/>
            <w:vMerge w:val="restart"/>
          </w:tcPr>
          <w:p>
            <w:pPr>
              <w:jc w:val="right"/>
              <w:ind w:right="138"/>
              <w:spacing w:after="0"/>
              <w:rPr>
                <w:sz w:val="20"/>
                <w:szCs w:val="20"/>
                <w:color w:val="auto"/>
              </w:rPr>
            </w:pPr>
            <w:r>
              <w:rPr>
                <w:rFonts w:ascii="Arial" w:cs="Arial" w:eastAsia="Arial" w:hAnsi="Arial"/>
                <w:sz w:val="12"/>
                <w:szCs w:val="12"/>
                <w:color w:val="auto"/>
              </w:rPr>
              <w:t>991,535</w:t>
            </w:r>
          </w:p>
        </w:tc>
        <w:tc>
          <w:tcPr>
            <w:tcW w:w="1680" w:type="dxa"/>
            <w:vAlign w:val="bottom"/>
            <w:vMerge w:val="restart"/>
          </w:tcPr>
          <w:p>
            <w:pPr>
              <w:jc w:val="right"/>
              <w:ind w:right="159"/>
              <w:spacing w:after="0"/>
              <w:rPr>
                <w:sz w:val="20"/>
                <w:szCs w:val="20"/>
                <w:color w:val="auto"/>
              </w:rPr>
            </w:pPr>
            <w:r>
              <w:rPr>
                <w:rFonts w:ascii="Arial" w:cs="Arial" w:eastAsia="Arial" w:hAnsi="Arial"/>
                <w:sz w:val="12"/>
                <w:szCs w:val="12"/>
                <w:color w:val="auto"/>
              </w:rPr>
              <w:t>159,528</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5,066,709</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D9D9D9"/>
          </w:tcPr>
          <w:p>
            <w:pPr>
              <w:spacing w:after="0"/>
              <w:rPr>
                <w:sz w:val="20"/>
                <w:szCs w:val="20"/>
                <w:color w:val="auto"/>
              </w:rPr>
            </w:pPr>
            <w:r>
              <w:rPr>
                <w:rFonts w:ascii="Arial" w:cs="Arial" w:eastAsia="Arial" w:hAnsi="Arial"/>
                <w:sz w:val="12"/>
                <w:szCs w:val="12"/>
                <w:color w:val="auto"/>
              </w:rPr>
              <w:t>Renee J. Peterson,</w:t>
            </w:r>
          </w:p>
        </w:tc>
        <w:tc>
          <w:tcPr>
            <w:tcW w:w="160" w:type="dxa"/>
            <w:vAlign w:val="bottom"/>
            <w:shd w:val="clear" w:color="auto" w:fill="D9D9D9"/>
          </w:tcPr>
          <w:p>
            <w:pPr>
              <w:spacing w:after="0"/>
              <w:rPr>
                <w:sz w:val="12"/>
                <w:szCs w:val="12"/>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w w:val="97"/>
              </w:rPr>
              <w:t>2019</w:t>
            </w:r>
          </w:p>
        </w:tc>
        <w:tc>
          <w:tcPr>
            <w:tcW w:w="1040" w:type="dxa"/>
            <w:vAlign w:val="bottom"/>
            <w:vMerge w:val="restart"/>
            <w:shd w:val="clear" w:color="auto" w:fill="D9D9D9"/>
          </w:tcPr>
          <w:p>
            <w:pPr>
              <w:ind w:left="460"/>
              <w:spacing w:after="0"/>
              <w:rPr>
                <w:sz w:val="20"/>
                <w:szCs w:val="20"/>
                <w:color w:val="auto"/>
              </w:rPr>
            </w:pPr>
            <w:r>
              <w:rPr>
                <w:rFonts w:ascii="Arial" w:cs="Arial" w:eastAsia="Arial" w:hAnsi="Arial"/>
                <w:sz w:val="12"/>
                <w:szCs w:val="12"/>
                <w:color w:val="auto"/>
              </w:rPr>
              <w:t>535,500</w:t>
            </w:r>
          </w:p>
        </w:tc>
        <w:tc>
          <w:tcPr>
            <w:tcW w:w="940" w:type="dxa"/>
            <w:vAlign w:val="bottom"/>
            <w:vMerge w:val="restart"/>
            <w:shd w:val="clear" w:color="auto" w:fill="D9D9D9"/>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shd w:val="clear" w:color="auto" w:fill="D9D9D9"/>
          </w:tcPr>
          <w:p>
            <w:pPr>
              <w:jc w:val="right"/>
              <w:ind w:right="99"/>
              <w:spacing w:after="0"/>
              <w:rPr>
                <w:sz w:val="20"/>
                <w:szCs w:val="20"/>
                <w:color w:val="auto"/>
              </w:rPr>
            </w:pPr>
            <w:r>
              <w:rPr>
                <w:rFonts w:ascii="Arial" w:cs="Arial" w:eastAsia="Arial" w:hAnsi="Arial"/>
                <w:sz w:val="12"/>
                <w:szCs w:val="12"/>
                <w:color w:val="auto"/>
              </w:rPr>
              <w:t>464,724</w:t>
            </w:r>
          </w:p>
        </w:tc>
        <w:tc>
          <w:tcPr>
            <w:tcW w:w="1120" w:type="dxa"/>
            <w:vAlign w:val="bottom"/>
            <w:vMerge w:val="restart"/>
            <w:shd w:val="clear" w:color="auto" w:fill="D9D9D9"/>
          </w:tcPr>
          <w:p>
            <w:pPr>
              <w:jc w:val="right"/>
              <w:ind w:right="139"/>
              <w:spacing w:after="0"/>
              <w:rPr>
                <w:sz w:val="20"/>
                <w:szCs w:val="20"/>
                <w:color w:val="auto"/>
              </w:rPr>
            </w:pPr>
            <w:r>
              <w:rPr>
                <w:rFonts w:ascii="Arial" w:cs="Arial" w:eastAsia="Arial" w:hAnsi="Arial"/>
                <w:sz w:val="12"/>
                <w:szCs w:val="12"/>
                <w:color w:val="auto"/>
              </w:rPr>
              <w:t>401,134</w:t>
            </w:r>
          </w:p>
        </w:tc>
        <w:tc>
          <w:tcPr>
            <w:tcW w:w="1660" w:type="dxa"/>
            <w:vAlign w:val="bottom"/>
            <w:vMerge w:val="restart"/>
            <w:shd w:val="clear" w:color="auto" w:fill="D9D9D9"/>
          </w:tcPr>
          <w:p>
            <w:pPr>
              <w:jc w:val="right"/>
              <w:ind w:right="138"/>
              <w:spacing w:after="0"/>
              <w:rPr>
                <w:sz w:val="20"/>
                <w:szCs w:val="20"/>
                <w:color w:val="auto"/>
              </w:rPr>
            </w:pPr>
            <w:r>
              <w:rPr>
                <w:rFonts w:ascii="Arial" w:cs="Arial" w:eastAsia="Arial" w:hAnsi="Arial"/>
                <w:sz w:val="12"/>
                <w:szCs w:val="12"/>
                <w:color w:val="auto"/>
              </w:rPr>
              <w:t>239,569</w:t>
            </w:r>
          </w:p>
        </w:tc>
        <w:tc>
          <w:tcPr>
            <w:tcW w:w="1680" w:type="dxa"/>
            <w:vAlign w:val="bottom"/>
            <w:vMerge w:val="restart"/>
            <w:shd w:val="clear" w:color="auto" w:fill="D9D9D9"/>
          </w:tcPr>
          <w:p>
            <w:pPr>
              <w:jc w:val="right"/>
              <w:ind w:right="159"/>
              <w:spacing w:after="0"/>
              <w:rPr>
                <w:sz w:val="20"/>
                <w:szCs w:val="20"/>
                <w:color w:val="auto"/>
              </w:rPr>
            </w:pPr>
            <w:r>
              <w:rPr>
                <w:rFonts w:ascii="Arial" w:cs="Arial" w:eastAsia="Arial" w:hAnsi="Arial"/>
                <w:sz w:val="12"/>
                <w:szCs w:val="12"/>
                <w:color w:val="auto"/>
              </w:rPr>
              <w:t>114,944</w:t>
            </w:r>
          </w:p>
        </w:tc>
        <w:tc>
          <w:tcPr>
            <w:tcW w:w="7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1,755,871</w:t>
            </w:r>
          </w:p>
        </w:tc>
        <w:tc>
          <w:tcPr>
            <w:tcW w:w="0" w:type="dxa"/>
            <w:vAlign w:val="bottom"/>
          </w:tcPr>
          <w:p>
            <w:pPr>
              <w:spacing w:after="0"/>
              <w:rPr>
                <w:sz w:val="1"/>
                <w:szCs w:val="1"/>
                <w:color w:val="auto"/>
              </w:rPr>
            </w:pPr>
          </w:p>
        </w:tc>
      </w:tr>
      <w:tr>
        <w:trPr>
          <w:trHeight w:val="37"/>
        </w:trPr>
        <w:tc>
          <w:tcPr>
            <w:tcW w:w="2280" w:type="dxa"/>
            <w:vAlign w:val="bottom"/>
            <w:vMerge w:val="restart"/>
            <w:shd w:val="clear" w:color="auto" w:fill="D9D9D9"/>
          </w:tcPr>
          <w:p>
            <w:pPr>
              <w:ind w:left="160"/>
              <w:spacing w:after="0"/>
              <w:rPr>
                <w:sz w:val="20"/>
                <w:szCs w:val="20"/>
                <w:color w:val="auto"/>
              </w:rPr>
            </w:pPr>
            <w:r>
              <w:rPr>
                <w:rFonts w:ascii="Arial" w:cs="Arial" w:eastAsia="Arial" w:hAnsi="Arial"/>
                <w:sz w:val="12"/>
                <w:szCs w:val="12"/>
                <w:color w:val="auto"/>
              </w:rPr>
              <w:t>VP, Treasurer and CFO</w:t>
            </w:r>
          </w:p>
        </w:tc>
        <w:tc>
          <w:tcPr>
            <w:tcW w:w="160" w:type="dxa"/>
            <w:vAlign w:val="bottom"/>
            <w:shd w:val="clear" w:color="auto" w:fill="D9D9D9"/>
          </w:tcPr>
          <w:p>
            <w:pPr>
              <w:spacing w:after="0"/>
              <w:rPr>
                <w:sz w:val="3"/>
                <w:szCs w:val="3"/>
                <w:color w:val="auto"/>
              </w:rPr>
            </w:pPr>
          </w:p>
        </w:tc>
        <w:tc>
          <w:tcPr>
            <w:tcW w:w="620" w:type="dxa"/>
            <w:vAlign w:val="bottom"/>
            <w:vMerge w:val="continue"/>
            <w:shd w:val="clear" w:color="auto" w:fill="D9D9D9"/>
          </w:tcPr>
          <w:p>
            <w:pPr>
              <w:spacing w:after="0"/>
              <w:rPr>
                <w:sz w:val="3"/>
                <w:szCs w:val="3"/>
                <w:color w:val="auto"/>
              </w:rPr>
            </w:pPr>
          </w:p>
        </w:tc>
        <w:tc>
          <w:tcPr>
            <w:tcW w:w="1040" w:type="dxa"/>
            <w:vAlign w:val="bottom"/>
            <w:vMerge w:val="continue"/>
            <w:shd w:val="clear" w:color="auto" w:fill="D9D9D9"/>
          </w:tcPr>
          <w:p>
            <w:pPr>
              <w:spacing w:after="0"/>
              <w:rPr>
                <w:sz w:val="3"/>
                <w:szCs w:val="3"/>
                <w:color w:val="auto"/>
              </w:rPr>
            </w:pPr>
          </w:p>
        </w:tc>
        <w:tc>
          <w:tcPr>
            <w:tcW w:w="940" w:type="dxa"/>
            <w:vAlign w:val="bottom"/>
            <w:vMerge w:val="continue"/>
            <w:shd w:val="clear" w:color="auto" w:fill="D9D9D9"/>
          </w:tcPr>
          <w:p>
            <w:pPr>
              <w:spacing w:after="0"/>
              <w:rPr>
                <w:sz w:val="3"/>
                <w:szCs w:val="3"/>
                <w:color w:val="auto"/>
              </w:rPr>
            </w:pPr>
          </w:p>
        </w:tc>
        <w:tc>
          <w:tcPr>
            <w:tcW w:w="1140" w:type="dxa"/>
            <w:vAlign w:val="bottom"/>
            <w:vMerge w:val="continue"/>
            <w:shd w:val="clear" w:color="auto" w:fill="D9D9D9"/>
          </w:tcPr>
          <w:p>
            <w:pPr>
              <w:spacing w:after="0"/>
              <w:rPr>
                <w:sz w:val="3"/>
                <w:szCs w:val="3"/>
                <w:color w:val="auto"/>
              </w:rPr>
            </w:pPr>
          </w:p>
        </w:tc>
        <w:tc>
          <w:tcPr>
            <w:tcW w:w="1120" w:type="dxa"/>
            <w:vAlign w:val="bottom"/>
            <w:vMerge w:val="continue"/>
            <w:shd w:val="clear" w:color="auto" w:fill="D9D9D9"/>
          </w:tcPr>
          <w:p>
            <w:pPr>
              <w:spacing w:after="0"/>
              <w:rPr>
                <w:sz w:val="3"/>
                <w:szCs w:val="3"/>
                <w:color w:val="auto"/>
              </w:rPr>
            </w:pPr>
          </w:p>
        </w:tc>
        <w:tc>
          <w:tcPr>
            <w:tcW w:w="1660" w:type="dxa"/>
            <w:vAlign w:val="bottom"/>
            <w:vMerge w:val="continue"/>
            <w:shd w:val="clear" w:color="auto" w:fill="D9D9D9"/>
          </w:tcPr>
          <w:p>
            <w:pPr>
              <w:spacing w:after="0"/>
              <w:rPr>
                <w:sz w:val="3"/>
                <w:szCs w:val="3"/>
                <w:color w:val="auto"/>
              </w:rPr>
            </w:pPr>
          </w:p>
        </w:tc>
        <w:tc>
          <w:tcPr>
            <w:tcW w:w="1680" w:type="dxa"/>
            <w:vAlign w:val="bottom"/>
            <w:vMerge w:val="continue"/>
            <w:shd w:val="clear" w:color="auto" w:fill="D9D9D9"/>
          </w:tcPr>
          <w:p>
            <w:pPr>
              <w:spacing w:after="0"/>
              <w:rPr>
                <w:sz w:val="3"/>
                <w:szCs w:val="3"/>
                <w:color w:val="auto"/>
              </w:rPr>
            </w:pPr>
          </w:p>
        </w:tc>
        <w:tc>
          <w:tcPr>
            <w:tcW w:w="780" w:type="dxa"/>
            <w:vAlign w:val="bottom"/>
            <w:vMerge w:val="continue"/>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0"/>
        </w:trPr>
        <w:tc>
          <w:tcPr>
            <w:tcW w:w="2280" w:type="dxa"/>
            <w:vAlign w:val="bottom"/>
            <w:vMerge w:val="continue"/>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w w:val="97"/>
              </w:rPr>
              <w:t>2018</w:t>
            </w:r>
          </w:p>
        </w:tc>
        <w:tc>
          <w:tcPr>
            <w:tcW w:w="1040" w:type="dxa"/>
            <w:vAlign w:val="bottom"/>
            <w:vMerge w:val="restart"/>
            <w:shd w:val="clear" w:color="auto" w:fill="D9D9D9"/>
          </w:tcPr>
          <w:p>
            <w:pPr>
              <w:ind w:left="460"/>
              <w:spacing w:after="0"/>
              <w:rPr>
                <w:sz w:val="20"/>
                <w:szCs w:val="20"/>
                <w:color w:val="auto"/>
              </w:rPr>
            </w:pPr>
            <w:r>
              <w:rPr>
                <w:rFonts w:ascii="Arial" w:cs="Arial" w:eastAsia="Arial" w:hAnsi="Arial"/>
                <w:sz w:val="12"/>
                <w:szCs w:val="12"/>
                <w:color w:val="auto"/>
              </w:rPr>
              <w:t>520,000</w:t>
            </w:r>
          </w:p>
        </w:tc>
        <w:tc>
          <w:tcPr>
            <w:tcW w:w="940" w:type="dxa"/>
            <w:vAlign w:val="bottom"/>
            <w:vMerge w:val="restart"/>
            <w:shd w:val="clear" w:color="auto" w:fill="D9D9D9"/>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shd w:val="clear" w:color="auto" w:fill="D9D9D9"/>
          </w:tcPr>
          <w:p>
            <w:pPr>
              <w:jc w:val="right"/>
              <w:ind w:right="99"/>
              <w:spacing w:after="0"/>
              <w:rPr>
                <w:sz w:val="20"/>
                <w:szCs w:val="20"/>
                <w:color w:val="auto"/>
              </w:rPr>
            </w:pPr>
            <w:r>
              <w:rPr>
                <w:rFonts w:ascii="Arial" w:cs="Arial" w:eastAsia="Arial" w:hAnsi="Arial"/>
                <w:sz w:val="12"/>
                <w:szCs w:val="12"/>
                <w:color w:val="auto"/>
              </w:rPr>
              <w:t>438,180</w:t>
            </w:r>
          </w:p>
        </w:tc>
        <w:tc>
          <w:tcPr>
            <w:tcW w:w="1120" w:type="dxa"/>
            <w:vAlign w:val="bottom"/>
            <w:vMerge w:val="restart"/>
            <w:shd w:val="clear" w:color="auto" w:fill="D9D9D9"/>
          </w:tcPr>
          <w:p>
            <w:pPr>
              <w:jc w:val="right"/>
              <w:ind w:right="139"/>
              <w:spacing w:after="0"/>
              <w:rPr>
                <w:sz w:val="20"/>
                <w:szCs w:val="20"/>
                <w:color w:val="auto"/>
              </w:rPr>
            </w:pPr>
            <w:r>
              <w:rPr>
                <w:rFonts w:ascii="Arial" w:cs="Arial" w:eastAsia="Arial" w:hAnsi="Arial"/>
                <w:sz w:val="12"/>
                <w:szCs w:val="12"/>
                <w:color w:val="auto"/>
              </w:rPr>
              <w:t>424,864</w:t>
            </w:r>
          </w:p>
        </w:tc>
        <w:tc>
          <w:tcPr>
            <w:tcW w:w="1660" w:type="dxa"/>
            <w:vAlign w:val="bottom"/>
            <w:vMerge w:val="restart"/>
            <w:shd w:val="clear" w:color="auto" w:fill="D9D9D9"/>
          </w:tcPr>
          <w:p>
            <w:pPr>
              <w:jc w:val="right"/>
              <w:ind w:right="138"/>
              <w:spacing w:after="0"/>
              <w:rPr>
                <w:sz w:val="20"/>
                <w:szCs w:val="20"/>
                <w:color w:val="auto"/>
              </w:rPr>
            </w:pPr>
            <w:r>
              <w:rPr>
                <w:rFonts w:ascii="Arial" w:cs="Arial" w:eastAsia="Arial" w:hAnsi="Arial"/>
                <w:sz w:val="12"/>
                <w:szCs w:val="12"/>
                <w:color w:val="auto"/>
              </w:rPr>
              <w:t>372,294</w:t>
            </w:r>
          </w:p>
        </w:tc>
        <w:tc>
          <w:tcPr>
            <w:tcW w:w="1680" w:type="dxa"/>
            <w:vAlign w:val="bottom"/>
            <w:vMerge w:val="restart"/>
            <w:shd w:val="clear" w:color="auto" w:fill="D9D9D9"/>
          </w:tcPr>
          <w:p>
            <w:pPr>
              <w:jc w:val="right"/>
              <w:ind w:right="159"/>
              <w:spacing w:after="0"/>
              <w:rPr>
                <w:sz w:val="20"/>
                <w:szCs w:val="20"/>
                <w:color w:val="auto"/>
              </w:rPr>
            </w:pPr>
            <w:r>
              <w:rPr>
                <w:rFonts w:ascii="Arial" w:cs="Arial" w:eastAsia="Arial" w:hAnsi="Arial"/>
                <w:sz w:val="12"/>
                <w:szCs w:val="12"/>
                <w:color w:val="auto"/>
              </w:rPr>
              <w:t>113,540</w:t>
            </w:r>
          </w:p>
        </w:tc>
        <w:tc>
          <w:tcPr>
            <w:tcW w:w="7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1,868,878</w:t>
            </w:r>
          </w:p>
        </w:tc>
        <w:tc>
          <w:tcPr>
            <w:tcW w:w="0" w:type="dxa"/>
            <w:vAlign w:val="bottom"/>
          </w:tcPr>
          <w:p>
            <w:pPr>
              <w:spacing w:after="0"/>
              <w:rPr>
                <w:sz w:val="1"/>
                <w:szCs w:val="1"/>
                <w:color w:val="auto"/>
              </w:rPr>
            </w:pPr>
          </w:p>
        </w:tc>
      </w:tr>
      <w:tr>
        <w:trPr>
          <w:trHeight w:val="74"/>
        </w:trPr>
        <w:tc>
          <w:tcPr>
            <w:tcW w:w="2280" w:type="dxa"/>
            <w:vAlign w:val="bottom"/>
            <w:shd w:val="clear" w:color="auto" w:fill="D9D9D9"/>
          </w:tcPr>
          <w:p>
            <w:pPr>
              <w:spacing w:after="0"/>
              <w:rPr>
                <w:sz w:val="6"/>
                <w:szCs w:val="6"/>
                <w:color w:val="auto"/>
              </w:rPr>
            </w:pPr>
          </w:p>
        </w:tc>
        <w:tc>
          <w:tcPr>
            <w:tcW w:w="160" w:type="dxa"/>
            <w:vAlign w:val="bottom"/>
            <w:shd w:val="clear" w:color="auto" w:fill="D9D9D9"/>
          </w:tcPr>
          <w:p>
            <w:pPr>
              <w:spacing w:after="0"/>
              <w:rPr>
                <w:sz w:val="6"/>
                <w:szCs w:val="6"/>
                <w:color w:val="auto"/>
              </w:rPr>
            </w:pPr>
          </w:p>
        </w:tc>
        <w:tc>
          <w:tcPr>
            <w:tcW w:w="620" w:type="dxa"/>
            <w:vAlign w:val="bottom"/>
            <w:vMerge w:val="continue"/>
            <w:shd w:val="clear" w:color="auto" w:fill="D9D9D9"/>
          </w:tcPr>
          <w:p>
            <w:pPr>
              <w:spacing w:after="0"/>
              <w:rPr>
                <w:sz w:val="6"/>
                <w:szCs w:val="6"/>
                <w:color w:val="auto"/>
              </w:rPr>
            </w:pPr>
          </w:p>
        </w:tc>
        <w:tc>
          <w:tcPr>
            <w:tcW w:w="1040" w:type="dxa"/>
            <w:vAlign w:val="bottom"/>
            <w:vMerge w:val="continue"/>
            <w:shd w:val="clear" w:color="auto" w:fill="D9D9D9"/>
          </w:tcPr>
          <w:p>
            <w:pPr>
              <w:spacing w:after="0"/>
              <w:rPr>
                <w:sz w:val="6"/>
                <w:szCs w:val="6"/>
                <w:color w:val="auto"/>
              </w:rPr>
            </w:pPr>
          </w:p>
        </w:tc>
        <w:tc>
          <w:tcPr>
            <w:tcW w:w="940" w:type="dxa"/>
            <w:vAlign w:val="bottom"/>
            <w:vMerge w:val="continue"/>
            <w:shd w:val="clear" w:color="auto" w:fill="D9D9D9"/>
          </w:tcPr>
          <w:p>
            <w:pPr>
              <w:spacing w:after="0"/>
              <w:rPr>
                <w:sz w:val="6"/>
                <w:szCs w:val="6"/>
                <w:color w:val="auto"/>
              </w:rPr>
            </w:pPr>
          </w:p>
        </w:tc>
        <w:tc>
          <w:tcPr>
            <w:tcW w:w="1140" w:type="dxa"/>
            <w:vAlign w:val="bottom"/>
            <w:vMerge w:val="continue"/>
            <w:shd w:val="clear" w:color="auto" w:fill="D9D9D9"/>
          </w:tcPr>
          <w:p>
            <w:pPr>
              <w:spacing w:after="0"/>
              <w:rPr>
                <w:sz w:val="6"/>
                <w:szCs w:val="6"/>
                <w:color w:val="auto"/>
              </w:rPr>
            </w:pPr>
          </w:p>
        </w:tc>
        <w:tc>
          <w:tcPr>
            <w:tcW w:w="1120" w:type="dxa"/>
            <w:vAlign w:val="bottom"/>
            <w:vMerge w:val="continue"/>
            <w:shd w:val="clear" w:color="auto" w:fill="D9D9D9"/>
          </w:tcPr>
          <w:p>
            <w:pPr>
              <w:spacing w:after="0"/>
              <w:rPr>
                <w:sz w:val="6"/>
                <w:szCs w:val="6"/>
                <w:color w:val="auto"/>
              </w:rPr>
            </w:pPr>
          </w:p>
        </w:tc>
        <w:tc>
          <w:tcPr>
            <w:tcW w:w="1660" w:type="dxa"/>
            <w:vAlign w:val="bottom"/>
            <w:vMerge w:val="continue"/>
            <w:shd w:val="clear" w:color="auto" w:fill="D9D9D9"/>
          </w:tcPr>
          <w:p>
            <w:pPr>
              <w:spacing w:after="0"/>
              <w:rPr>
                <w:sz w:val="6"/>
                <w:szCs w:val="6"/>
                <w:color w:val="auto"/>
              </w:rPr>
            </w:pPr>
          </w:p>
        </w:tc>
        <w:tc>
          <w:tcPr>
            <w:tcW w:w="1680" w:type="dxa"/>
            <w:vAlign w:val="bottom"/>
            <w:vMerge w:val="continue"/>
            <w:shd w:val="clear" w:color="auto" w:fill="D9D9D9"/>
          </w:tcPr>
          <w:p>
            <w:pPr>
              <w:spacing w:after="0"/>
              <w:rPr>
                <w:sz w:val="6"/>
                <w:szCs w:val="6"/>
                <w:color w:val="auto"/>
              </w:rPr>
            </w:pPr>
          </w:p>
        </w:tc>
        <w:tc>
          <w:tcPr>
            <w:tcW w:w="78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6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7"/>
              </w:rPr>
              <w:t>2017</w:t>
            </w:r>
          </w:p>
        </w:tc>
        <w:tc>
          <w:tcPr>
            <w:tcW w:w="1040" w:type="dxa"/>
            <w:vAlign w:val="bottom"/>
            <w:shd w:val="clear" w:color="auto" w:fill="D9D9D9"/>
          </w:tcPr>
          <w:p>
            <w:pPr>
              <w:ind w:left="460"/>
              <w:spacing w:after="0"/>
              <w:rPr>
                <w:sz w:val="20"/>
                <w:szCs w:val="20"/>
                <w:color w:val="auto"/>
              </w:rPr>
            </w:pPr>
            <w:r>
              <w:rPr>
                <w:rFonts w:ascii="Arial" w:cs="Arial" w:eastAsia="Arial" w:hAnsi="Arial"/>
                <w:sz w:val="12"/>
                <w:szCs w:val="12"/>
                <w:color w:val="auto"/>
              </w:rPr>
              <w:t>505,000</w:t>
            </w:r>
          </w:p>
        </w:tc>
        <w:tc>
          <w:tcPr>
            <w:tcW w:w="940" w:type="dxa"/>
            <w:vAlign w:val="bottom"/>
            <w:shd w:val="clear" w:color="auto" w:fill="D9D9D9"/>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shd w:val="clear" w:color="auto" w:fill="D9D9D9"/>
          </w:tcPr>
          <w:p>
            <w:pPr>
              <w:jc w:val="right"/>
              <w:ind w:right="99"/>
              <w:spacing w:after="0"/>
              <w:rPr>
                <w:sz w:val="20"/>
                <w:szCs w:val="20"/>
                <w:color w:val="auto"/>
              </w:rPr>
            </w:pPr>
            <w:r>
              <w:rPr>
                <w:rFonts w:ascii="Arial" w:cs="Arial" w:eastAsia="Arial" w:hAnsi="Arial"/>
                <w:sz w:val="12"/>
                <w:szCs w:val="12"/>
                <w:color w:val="auto"/>
              </w:rPr>
              <w:t>474,324</w:t>
            </w:r>
          </w:p>
        </w:tc>
        <w:tc>
          <w:tcPr>
            <w:tcW w:w="1120" w:type="dxa"/>
            <w:vAlign w:val="bottom"/>
            <w:shd w:val="clear" w:color="auto" w:fill="D9D9D9"/>
          </w:tcPr>
          <w:p>
            <w:pPr>
              <w:jc w:val="right"/>
              <w:ind w:right="139"/>
              <w:spacing w:after="0"/>
              <w:rPr>
                <w:sz w:val="20"/>
                <w:szCs w:val="20"/>
                <w:color w:val="auto"/>
              </w:rPr>
            </w:pPr>
            <w:r>
              <w:rPr>
                <w:rFonts w:ascii="Arial" w:cs="Arial" w:eastAsia="Arial" w:hAnsi="Arial"/>
                <w:sz w:val="12"/>
                <w:szCs w:val="12"/>
                <w:color w:val="auto"/>
              </w:rPr>
              <w:t>482,427</w:t>
            </w:r>
          </w:p>
        </w:tc>
        <w:tc>
          <w:tcPr>
            <w:tcW w:w="1660" w:type="dxa"/>
            <w:vAlign w:val="bottom"/>
            <w:shd w:val="clear" w:color="auto" w:fill="D9D9D9"/>
          </w:tcPr>
          <w:p>
            <w:pPr>
              <w:jc w:val="right"/>
              <w:ind w:right="138"/>
              <w:spacing w:after="0"/>
              <w:rPr>
                <w:sz w:val="20"/>
                <w:szCs w:val="20"/>
                <w:color w:val="auto"/>
              </w:rPr>
            </w:pPr>
            <w:r>
              <w:rPr>
                <w:rFonts w:ascii="Arial" w:cs="Arial" w:eastAsia="Arial" w:hAnsi="Arial"/>
                <w:sz w:val="12"/>
                <w:szCs w:val="12"/>
                <w:color w:val="auto"/>
              </w:rPr>
              <w:t>484,573</w:t>
            </w:r>
          </w:p>
        </w:tc>
        <w:tc>
          <w:tcPr>
            <w:tcW w:w="1680" w:type="dxa"/>
            <w:vAlign w:val="bottom"/>
            <w:shd w:val="clear" w:color="auto" w:fill="D9D9D9"/>
          </w:tcPr>
          <w:p>
            <w:pPr>
              <w:jc w:val="right"/>
              <w:ind w:right="159"/>
              <w:spacing w:after="0"/>
              <w:rPr>
                <w:sz w:val="20"/>
                <w:szCs w:val="20"/>
                <w:color w:val="auto"/>
              </w:rPr>
            </w:pPr>
            <w:r>
              <w:rPr>
                <w:rFonts w:ascii="Arial" w:cs="Arial" w:eastAsia="Arial" w:hAnsi="Arial"/>
                <w:sz w:val="12"/>
                <w:szCs w:val="12"/>
                <w:color w:val="auto"/>
              </w:rPr>
              <w:t>125,644</w:t>
            </w: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2,071,968</w:t>
            </w:r>
          </w:p>
        </w:tc>
        <w:tc>
          <w:tcPr>
            <w:tcW w:w="0" w:type="dxa"/>
            <w:vAlign w:val="bottom"/>
          </w:tcPr>
          <w:p>
            <w:pPr>
              <w:spacing w:after="0"/>
              <w:rPr>
                <w:sz w:val="1"/>
                <w:szCs w:val="1"/>
                <w:color w:val="auto"/>
              </w:rPr>
            </w:pPr>
          </w:p>
        </w:tc>
      </w:tr>
      <w:tr>
        <w:trPr>
          <w:trHeight w:val="146"/>
        </w:trPr>
        <w:tc>
          <w:tcPr>
            <w:tcW w:w="2280" w:type="dxa"/>
            <w:vAlign w:val="bottom"/>
          </w:tcPr>
          <w:p>
            <w:pPr>
              <w:spacing w:after="0"/>
              <w:rPr>
                <w:sz w:val="20"/>
                <w:szCs w:val="20"/>
                <w:color w:val="auto"/>
              </w:rPr>
            </w:pPr>
            <w:r>
              <w:rPr>
                <w:rFonts w:ascii="Arial" w:cs="Arial" w:eastAsia="Arial" w:hAnsi="Arial"/>
                <w:sz w:val="12"/>
                <w:szCs w:val="12"/>
                <w:color w:val="auto"/>
              </w:rPr>
              <w:t>Timothy P. Dordell</w:t>
            </w:r>
            <w:r>
              <w:rPr>
                <w:rFonts w:ascii="Arial" w:cs="Arial" w:eastAsia="Arial" w:hAnsi="Arial"/>
                <w:sz w:val="10"/>
                <w:szCs w:val="10"/>
                <w:color w:val="auto"/>
              </w:rPr>
              <w:t>(6)</w:t>
            </w:r>
            <w:r>
              <w:rPr>
                <w:rFonts w:ascii="Arial" w:cs="Arial" w:eastAsia="Arial" w:hAnsi="Arial"/>
                <w:sz w:val="12"/>
                <w:szCs w:val="12"/>
                <w:color w:val="auto"/>
              </w:rPr>
              <w:t>,</w:t>
            </w:r>
          </w:p>
        </w:tc>
        <w:tc>
          <w:tcPr>
            <w:tcW w:w="780" w:type="dxa"/>
            <w:vAlign w:val="bottom"/>
            <w:gridSpan w:val="2"/>
            <w:vMerge w:val="restart"/>
          </w:tcPr>
          <w:p>
            <w:pPr>
              <w:jc w:val="center"/>
              <w:ind w:left="99"/>
              <w:spacing w:after="0"/>
              <w:rPr>
                <w:sz w:val="20"/>
                <w:szCs w:val="20"/>
                <w:color w:val="auto"/>
              </w:rPr>
            </w:pPr>
            <w:r>
              <w:rPr>
                <w:rFonts w:ascii="Arial" w:cs="Arial" w:eastAsia="Arial" w:hAnsi="Arial"/>
                <w:sz w:val="12"/>
                <w:szCs w:val="12"/>
                <w:color w:val="auto"/>
                <w:w w:val="97"/>
              </w:rPr>
              <w:t>2019</w:t>
            </w:r>
          </w:p>
        </w:tc>
        <w:tc>
          <w:tcPr>
            <w:tcW w:w="1040" w:type="dxa"/>
            <w:vAlign w:val="bottom"/>
            <w:vMerge w:val="restart"/>
          </w:tcPr>
          <w:p>
            <w:pPr>
              <w:ind w:left="460"/>
              <w:spacing w:after="0"/>
              <w:rPr>
                <w:sz w:val="20"/>
                <w:szCs w:val="20"/>
                <w:color w:val="auto"/>
              </w:rPr>
            </w:pPr>
            <w:r>
              <w:rPr>
                <w:rFonts w:ascii="Arial" w:cs="Arial" w:eastAsia="Arial" w:hAnsi="Arial"/>
                <w:sz w:val="12"/>
                <w:szCs w:val="12"/>
                <w:color w:val="auto"/>
              </w:rPr>
              <w:t>451,000</w:t>
            </w:r>
          </w:p>
        </w:tc>
        <w:tc>
          <w:tcPr>
            <w:tcW w:w="94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tcPr>
          <w:p>
            <w:pPr>
              <w:jc w:val="right"/>
              <w:ind w:right="99"/>
              <w:spacing w:after="0"/>
              <w:rPr>
                <w:sz w:val="20"/>
                <w:szCs w:val="20"/>
                <w:color w:val="auto"/>
              </w:rPr>
            </w:pPr>
            <w:r>
              <w:rPr>
                <w:rFonts w:ascii="Arial" w:cs="Arial" w:eastAsia="Arial" w:hAnsi="Arial"/>
                <w:sz w:val="12"/>
                <w:szCs w:val="12"/>
                <w:color w:val="auto"/>
              </w:rPr>
              <w:t>297,900</w:t>
            </w:r>
          </w:p>
        </w:tc>
        <w:tc>
          <w:tcPr>
            <w:tcW w:w="1120" w:type="dxa"/>
            <w:vAlign w:val="bottom"/>
            <w:vMerge w:val="restart"/>
          </w:tcPr>
          <w:p>
            <w:pPr>
              <w:jc w:val="right"/>
              <w:ind w:right="139"/>
              <w:spacing w:after="0"/>
              <w:rPr>
                <w:sz w:val="20"/>
                <w:szCs w:val="20"/>
                <w:color w:val="auto"/>
              </w:rPr>
            </w:pPr>
            <w:r>
              <w:rPr>
                <w:rFonts w:ascii="Arial" w:cs="Arial" w:eastAsia="Arial" w:hAnsi="Arial"/>
                <w:sz w:val="12"/>
                <w:szCs w:val="12"/>
                <w:color w:val="auto"/>
              </w:rPr>
              <w:t>259,416</w:t>
            </w:r>
          </w:p>
        </w:tc>
        <w:tc>
          <w:tcPr>
            <w:tcW w:w="1660" w:type="dxa"/>
            <w:vAlign w:val="bottom"/>
            <w:vMerge w:val="restart"/>
          </w:tcPr>
          <w:p>
            <w:pPr>
              <w:jc w:val="right"/>
              <w:ind w:right="138"/>
              <w:spacing w:after="0"/>
              <w:rPr>
                <w:sz w:val="20"/>
                <w:szCs w:val="20"/>
                <w:color w:val="auto"/>
              </w:rPr>
            </w:pPr>
            <w:r>
              <w:rPr>
                <w:rFonts w:ascii="Arial" w:cs="Arial" w:eastAsia="Arial" w:hAnsi="Arial"/>
                <w:sz w:val="12"/>
                <w:szCs w:val="12"/>
                <w:color w:val="auto"/>
              </w:rPr>
              <w:t>161,413</w:t>
            </w:r>
          </w:p>
        </w:tc>
        <w:tc>
          <w:tcPr>
            <w:tcW w:w="1680" w:type="dxa"/>
            <w:vAlign w:val="bottom"/>
            <w:vMerge w:val="restart"/>
          </w:tcPr>
          <w:p>
            <w:pPr>
              <w:jc w:val="right"/>
              <w:ind w:right="159"/>
              <w:spacing w:after="0"/>
              <w:rPr>
                <w:sz w:val="20"/>
                <w:szCs w:val="20"/>
                <w:color w:val="auto"/>
              </w:rPr>
            </w:pPr>
            <w:r>
              <w:rPr>
                <w:rFonts w:ascii="Arial" w:cs="Arial" w:eastAsia="Arial" w:hAnsi="Arial"/>
                <w:sz w:val="12"/>
                <w:szCs w:val="12"/>
                <w:color w:val="auto"/>
              </w:rPr>
              <w:t>95,194</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1,264,923</w:t>
            </w:r>
          </w:p>
        </w:tc>
        <w:tc>
          <w:tcPr>
            <w:tcW w:w="0" w:type="dxa"/>
            <w:vAlign w:val="bottom"/>
          </w:tcPr>
          <w:p>
            <w:pPr>
              <w:spacing w:after="0"/>
              <w:rPr>
                <w:sz w:val="1"/>
                <w:szCs w:val="1"/>
                <w:color w:val="auto"/>
              </w:rPr>
            </w:pPr>
          </w:p>
        </w:tc>
      </w:tr>
      <w:tr>
        <w:trPr>
          <w:trHeight w:val="49"/>
        </w:trPr>
        <w:tc>
          <w:tcPr>
            <w:tcW w:w="2280" w:type="dxa"/>
            <w:vAlign w:val="bottom"/>
            <w:vMerge w:val="restart"/>
          </w:tcPr>
          <w:p>
            <w:pPr>
              <w:ind w:left="160"/>
              <w:spacing w:after="0" w:line="135" w:lineRule="exact"/>
              <w:rPr>
                <w:sz w:val="20"/>
                <w:szCs w:val="20"/>
                <w:color w:val="auto"/>
              </w:rPr>
            </w:pPr>
            <w:r>
              <w:rPr>
                <w:rFonts w:ascii="Arial" w:cs="Arial" w:eastAsia="Arial" w:hAnsi="Arial"/>
                <w:sz w:val="12"/>
                <w:szCs w:val="12"/>
                <w:color w:val="auto"/>
              </w:rPr>
              <w:t>Former VP, Secretary and</w:t>
            </w:r>
          </w:p>
        </w:tc>
        <w:tc>
          <w:tcPr>
            <w:tcW w:w="78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280" w:type="dxa"/>
            <w:vAlign w:val="bottom"/>
            <w:vMerge w:val="continue"/>
          </w:tcPr>
          <w:p>
            <w:pPr>
              <w:spacing w:after="0"/>
              <w:rPr>
                <w:sz w:val="7"/>
                <w:szCs w:val="7"/>
                <w:color w:val="auto"/>
              </w:rPr>
            </w:pPr>
          </w:p>
        </w:tc>
        <w:tc>
          <w:tcPr>
            <w:tcW w:w="780" w:type="dxa"/>
            <w:vAlign w:val="bottom"/>
            <w:gridSpan w:val="2"/>
            <w:vMerge w:val="restart"/>
          </w:tcPr>
          <w:p>
            <w:pPr>
              <w:jc w:val="center"/>
              <w:ind w:left="99"/>
              <w:spacing w:after="0"/>
              <w:rPr>
                <w:sz w:val="20"/>
                <w:szCs w:val="20"/>
                <w:color w:val="auto"/>
              </w:rPr>
            </w:pPr>
            <w:r>
              <w:rPr>
                <w:rFonts w:ascii="Arial" w:cs="Arial" w:eastAsia="Arial" w:hAnsi="Arial"/>
                <w:sz w:val="12"/>
                <w:szCs w:val="12"/>
                <w:color w:val="auto"/>
                <w:w w:val="97"/>
              </w:rPr>
              <w:t>2018</w:t>
            </w:r>
          </w:p>
        </w:tc>
        <w:tc>
          <w:tcPr>
            <w:tcW w:w="1040" w:type="dxa"/>
            <w:vAlign w:val="bottom"/>
            <w:vMerge w:val="restart"/>
          </w:tcPr>
          <w:p>
            <w:pPr>
              <w:ind w:left="460"/>
              <w:spacing w:after="0"/>
              <w:rPr>
                <w:sz w:val="20"/>
                <w:szCs w:val="20"/>
                <w:color w:val="auto"/>
              </w:rPr>
            </w:pPr>
            <w:r>
              <w:rPr>
                <w:rFonts w:ascii="Arial" w:cs="Arial" w:eastAsia="Arial" w:hAnsi="Arial"/>
                <w:sz w:val="12"/>
                <w:szCs w:val="12"/>
                <w:color w:val="auto"/>
              </w:rPr>
              <w:t>445,000</w:t>
            </w:r>
          </w:p>
        </w:tc>
        <w:tc>
          <w:tcPr>
            <w:tcW w:w="94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tcPr>
          <w:p>
            <w:pPr>
              <w:jc w:val="right"/>
              <w:ind w:right="99"/>
              <w:spacing w:after="0"/>
              <w:rPr>
                <w:sz w:val="20"/>
                <w:szCs w:val="20"/>
                <w:color w:val="auto"/>
              </w:rPr>
            </w:pPr>
            <w:r>
              <w:rPr>
                <w:rFonts w:ascii="Arial" w:cs="Arial" w:eastAsia="Arial" w:hAnsi="Arial"/>
                <w:sz w:val="12"/>
                <w:szCs w:val="12"/>
                <w:color w:val="auto"/>
              </w:rPr>
              <w:t>307,380</w:t>
            </w:r>
          </w:p>
        </w:tc>
        <w:tc>
          <w:tcPr>
            <w:tcW w:w="1120" w:type="dxa"/>
            <w:vAlign w:val="bottom"/>
            <w:vMerge w:val="restart"/>
          </w:tcPr>
          <w:p>
            <w:pPr>
              <w:jc w:val="right"/>
              <w:ind w:right="139"/>
              <w:spacing w:after="0"/>
              <w:rPr>
                <w:sz w:val="20"/>
                <w:szCs w:val="20"/>
                <w:color w:val="auto"/>
              </w:rPr>
            </w:pPr>
            <w:r>
              <w:rPr>
                <w:rFonts w:ascii="Arial" w:cs="Arial" w:eastAsia="Arial" w:hAnsi="Arial"/>
                <w:sz w:val="12"/>
                <w:szCs w:val="12"/>
                <w:color w:val="auto"/>
              </w:rPr>
              <w:t>296,208</w:t>
            </w:r>
          </w:p>
        </w:tc>
        <w:tc>
          <w:tcPr>
            <w:tcW w:w="1660" w:type="dxa"/>
            <w:vAlign w:val="bottom"/>
            <w:vMerge w:val="restart"/>
          </w:tcPr>
          <w:p>
            <w:pPr>
              <w:jc w:val="right"/>
              <w:ind w:right="138"/>
              <w:spacing w:after="0"/>
              <w:rPr>
                <w:sz w:val="20"/>
                <w:szCs w:val="20"/>
                <w:color w:val="auto"/>
              </w:rPr>
            </w:pPr>
            <w:r>
              <w:rPr>
                <w:rFonts w:ascii="Arial" w:cs="Arial" w:eastAsia="Arial" w:hAnsi="Arial"/>
                <w:sz w:val="12"/>
                <w:szCs w:val="12"/>
                <w:color w:val="auto"/>
              </w:rPr>
              <w:t>276,118</w:t>
            </w:r>
          </w:p>
        </w:tc>
        <w:tc>
          <w:tcPr>
            <w:tcW w:w="1680" w:type="dxa"/>
            <w:vAlign w:val="bottom"/>
            <w:vMerge w:val="restart"/>
          </w:tcPr>
          <w:p>
            <w:pPr>
              <w:jc w:val="right"/>
              <w:ind w:right="159"/>
              <w:spacing w:after="0"/>
              <w:rPr>
                <w:sz w:val="20"/>
                <w:szCs w:val="20"/>
                <w:color w:val="auto"/>
              </w:rPr>
            </w:pPr>
            <w:r>
              <w:rPr>
                <w:rFonts w:ascii="Arial" w:cs="Arial" w:eastAsia="Arial" w:hAnsi="Arial"/>
                <w:sz w:val="12"/>
                <w:szCs w:val="12"/>
                <w:color w:val="auto"/>
              </w:rPr>
              <w:t>93,908</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1,418,614</w:t>
            </w:r>
          </w:p>
        </w:tc>
        <w:tc>
          <w:tcPr>
            <w:tcW w:w="0" w:type="dxa"/>
            <w:vAlign w:val="bottom"/>
          </w:tcPr>
          <w:p>
            <w:pPr>
              <w:spacing w:after="0"/>
              <w:rPr>
                <w:sz w:val="1"/>
                <w:szCs w:val="1"/>
                <w:color w:val="auto"/>
              </w:rPr>
            </w:pPr>
          </w:p>
        </w:tc>
      </w:tr>
      <w:tr>
        <w:trPr>
          <w:trHeight w:val="98"/>
        </w:trPr>
        <w:tc>
          <w:tcPr>
            <w:tcW w:w="2280" w:type="dxa"/>
            <w:vAlign w:val="bottom"/>
            <w:vMerge w:val="restart"/>
          </w:tcPr>
          <w:p>
            <w:pPr>
              <w:ind w:left="160"/>
              <w:spacing w:after="0"/>
              <w:rPr>
                <w:sz w:val="20"/>
                <w:szCs w:val="20"/>
                <w:color w:val="auto"/>
              </w:rPr>
            </w:pPr>
            <w:r>
              <w:rPr>
                <w:rFonts w:ascii="Arial" w:cs="Arial" w:eastAsia="Arial" w:hAnsi="Arial"/>
                <w:sz w:val="12"/>
                <w:szCs w:val="12"/>
                <w:color w:val="auto"/>
              </w:rPr>
              <w:t>General Counsel</w:t>
            </w:r>
          </w:p>
        </w:tc>
        <w:tc>
          <w:tcPr>
            <w:tcW w:w="7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280" w:type="dxa"/>
            <w:vAlign w:val="bottom"/>
            <w:vMerge w:val="continue"/>
          </w:tcPr>
          <w:p>
            <w:pPr>
              <w:spacing w:after="0"/>
              <w:rPr>
                <w:sz w:val="4"/>
                <w:szCs w:val="4"/>
                <w:color w:val="auto"/>
              </w:rPr>
            </w:pPr>
          </w:p>
        </w:tc>
        <w:tc>
          <w:tcPr>
            <w:tcW w:w="780" w:type="dxa"/>
            <w:vAlign w:val="bottom"/>
            <w:gridSpan w:val="2"/>
            <w:vMerge w:val="restart"/>
          </w:tcPr>
          <w:p>
            <w:pPr>
              <w:jc w:val="center"/>
              <w:ind w:left="99"/>
              <w:spacing w:after="0"/>
              <w:rPr>
                <w:sz w:val="20"/>
                <w:szCs w:val="20"/>
                <w:color w:val="auto"/>
              </w:rPr>
            </w:pPr>
            <w:r>
              <w:rPr>
                <w:rFonts w:ascii="Arial" w:cs="Arial" w:eastAsia="Arial" w:hAnsi="Arial"/>
                <w:sz w:val="12"/>
                <w:szCs w:val="12"/>
                <w:color w:val="auto"/>
                <w:w w:val="97"/>
              </w:rPr>
              <w:t>2017</w:t>
            </w:r>
          </w:p>
        </w:tc>
        <w:tc>
          <w:tcPr>
            <w:tcW w:w="1040" w:type="dxa"/>
            <w:vAlign w:val="bottom"/>
            <w:vMerge w:val="restart"/>
          </w:tcPr>
          <w:p>
            <w:pPr>
              <w:ind w:left="460"/>
              <w:spacing w:after="0"/>
              <w:rPr>
                <w:sz w:val="20"/>
                <w:szCs w:val="20"/>
                <w:color w:val="auto"/>
              </w:rPr>
            </w:pPr>
            <w:r>
              <w:rPr>
                <w:rFonts w:ascii="Arial" w:cs="Arial" w:eastAsia="Arial" w:hAnsi="Arial"/>
                <w:sz w:val="12"/>
                <w:szCs w:val="12"/>
                <w:color w:val="auto"/>
              </w:rPr>
              <w:t>432,000</w:t>
            </w:r>
          </w:p>
        </w:tc>
        <w:tc>
          <w:tcPr>
            <w:tcW w:w="94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tcPr>
          <w:p>
            <w:pPr>
              <w:jc w:val="right"/>
              <w:ind w:right="99"/>
              <w:spacing w:after="0"/>
              <w:rPr>
                <w:sz w:val="20"/>
                <w:szCs w:val="20"/>
                <w:color w:val="auto"/>
              </w:rPr>
            </w:pPr>
            <w:r>
              <w:rPr>
                <w:rFonts w:ascii="Arial" w:cs="Arial" w:eastAsia="Arial" w:hAnsi="Arial"/>
                <w:sz w:val="12"/>
                <w:szCs w:val="12"/>
                <w:color w:val="auto"/>
              </w:rPr>
              <w:t>332,572</w:t>
            </w:r>
          </w:p>
        </w:tc>
        <w:tc>
          <w:tcPr>
            <w:tcW w:w="1120" w:type="dxa"/>
            <w:vAlign w:val="bottom"/>
            <w:vMerge w:val="restart"/>
          </w:tcPr>
          <w:p>
            <w:pPr>
              <w:jc w:val="right"/>
              <w:ind w:right="139"/>
              <w:spacing w:after="0"/>
              <w:rPr>
                <w:sz w:val="20"/>
                <w:szCs w:val="20"/>
                <w:color w:val="auto"/>
              </w:rPr>
            </w:pPr>
            <w:r>
              <w:rPr>
                <w:rFonts w:ascii="Arial" w:cs="Arial" w:eastAsia="Arial" w:hAnsi="Arial"/>
                <w:sz w:val="12"/>
                <w:szCs w:val="12"/>
                <w:color w:val="auto"/>
              </w:rPr>
              <w:t>337,566</w:t>
            </w:r>
          </w:p>
        </w:tc>
        <w:tc>
          <w:tcPr>
            <w:tcW w:w="1660" w:type="dxa"/>
            <w:vAlign w:val="bottom"/>
            <w:vMerge w:val="restart"/>
          </w:tcPr>
          <w:p>
            <w:pPr>
              <w:jc w:val="right"/>
              <w:ind w:right="138"/>
              <w:spacing w:after="0"/>
              <w:rPr>
                <w:sz w:val="20"/>
                <w:szCs w:val="20"/>
                <w:color w:val="auto"/>
              </w:rPr>
            </w:pPr>
            <w:r>
              <w:rPr>
                <w:rFonts w:ascii="Arial" w:cs="Arial" w:eastAsia="Arial" w:hAnsi="Arial"/>
                <w:sz w:val="12"/>
                <w:szCs w:val="12"/>
                <w:color w:val="auto"/>
              </w:rPr>
              <w:t>359,256</w:t>
            </w:r>
          </w:p>
        </w:tc>
        <w:tc>
          <w:tcPr>
            <w:tcW w:w="1680" w:type="dxa"/>
            <w:vAlign w:val="bottom"/>
            <w:vMerge w:val="restart"/>
          </w:tcPr>
          <w:p>
            <w:pPr>
              <w:jc w:val="right"/>
              <w:ind w:right="159"/>
              <w:spacing w:after="0"/>
              <w:rPr>
                <w:sz w:val="20"/>
                <w:szCs w:val="20"/>
                <w:color w:val="auto"/>
              </w:rPr>
            </w:pPr>
            <w:r>
              <w:rPr>
                <w:rFonts w:ascii="Arial" w:cs="Arial" w:eastAsia="Arial" w:hAnsi="Arial"/>
                <w:sz w:val="12"/>
                <w:szCs w:val="12"/>
                <w:color w:val="auto"/>
              </w:rPr>
              <w:t>94,636</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1,556,030</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D9D9D9"/>
          </w:tcPr>
          <w:p>
            <w:pPr>
              <w:spacing w:after="0"/>
              <w:rPr>
                <w:sz w:val="20"/>
                <w:szCs w:val="20"/>
                <w:color w:val="auto"/>
              </w:rPr>
            </w:pPr>
            <w:r>
              <w:rPr>
                <w:rFonts w:ascii="Arial" w:cs="Arial" w:eastAsia="Arial" w:hAnsi="Arial"/>
                <w:sz w:val="12"/>
                <w:szCs w:val="12"/>
                <w:color w:val="auto"/>
              </w:rPr>
              <w:t>Bradley A. Hamilton</w:t>
            </w:r>
            <w:r>
              <w:rPr>
                <w:rFonts w:ascii="Arial" w:cs="Arial" w:eastAsia="Arial" w:hAnsi="Arial"/>
                <w:sz w:val="10"/>
                <w:szCs w:val="10"/>
                <w:color w:val="auto"/>
              </w:rPr>
              <w:t>(7)</w:t>
            </w:r>
            <w:r>
              <w:rPr>
                <w:rFonts w:ascii="Arial" w:cs="Arial" w:eastAsia="Arial" w:hAnsi="Arial"/>
                <w:sz w:val="12"/>
                <w:szCs w:val="12"/>
                <w:color w:val="auto"/>
              </w:rPr>
              <w:t>,</w:t>
            </w:r>
          </w:p>
        </w:tc>
        <w:tc>
          <w:tcPr>
            <w:tcW w:w="160" w:type="dxa"/>
            <w:vAlign w:val="bottom"/>
            <w:shd w:val="clear" w:color="auto" w:fill="D9D9D9"/>
          </w:tcPr>
          <w:p>
            <w:pPr>
              <w:spacing w:after="0"/>
              <w:rPr>
                <w:sz w:val="12"/>
                <w:szCs w:val="12"/>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w w:val="97"/>
              </w:rPr>
              <w:t>2019</w:t>
            </w:r>
          </w:p>
        </w:tc>
        <w:tc>
          <w:tcPr>
            <w:tcW w:w="1040" w:type="dxa"/>
            <w:vAlign w:val="bottom"/>
            <w:vMerge w:val="restart"/>
            <w:shd w:val="clear" w:color="auto" w:fill="D9D9D9"/>
          </w:tcPr>
          <w:p>
            <w:pPr>
              <w:ind w:left="460"/>
              <w:spacing w:after="0"/>
              <w:rPr>
                <w:sz w:val="20"/>
                <w:szCs w:val="20"/>
                <w:color w:val="auto"/>
              </w:rPr>
            </w:pPr>
            <w:r>
              <w:rPr>
                <w:rFonts w:ascii="Arial" w:cs="Arial" w:eastAsia="Arial" w:hAnsi="Arial"/>
                <w:sz w:val="12"/>
                <w:szCs w:val="12"/>
                <w:color w:val="auto"/>
              </w:rPr>
              <w:t>400,000</w:t>
            </w:r>
          </w:p>
        </w:tc>
        <w:tc>
          <w:tcPr>
            <w:tcW w:w="940" w:type="dxa"/>
            <w:vAlign w:val="bottom"/>
            <w:vMerge w:val="restart"/>
            <w:shd w:val="clear" w:color="auto" w:fill="D9D9D9"/>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shd w:val="clear" w:color="auto" w:fill="D9D9D9"/>
          </w:tcPr>
          <w:p>
            <w:pPr>
              <w:jc w:val="right"/>
              <w:ind w:right="99"/>
              <w:spacing w:after="0"/>
              <w:rPr>
                <w:sz w:val="20"/>
                <w:szCs w:val="20"/>
                <w:color w:val="auto"/>
              </w:rPr>
            </w:pPr>
            <w:r>
              <w:rPr>
                <w:rFonts w:ascii="Arial" w:cs="Arial" w:eastAsia="Arial" w:hAnsi="Arial"/>
                <w:sz w:val="12"/>
                <w:szCs w:val="12"/>
                <w:color w:val="auto"/>
              </w:rPr>
              <w:t>297,900</w:t>
            </w:r>
          </w:p>
        </w:tc>
        <w:tc>
          <w:tcPr>
            <w:tcW w:w="1120" w:type="dxa"/>
            <w:vAlign w:val="bottom"/>
            <w:vMerge w:val="restart"/>
            <w:shd w:val="clear" w:color="auto" w:fill="D9D9D9"/>
          </w:tcPr>
          <w:p>
            <w:pPr>
              <w:jc w:val="right"/>
              <w:ind w:right="139"/>
              <w:spacing w:after="0"/>
              <w:rPr>
                <w:sz w:val="20"/>
                <w:szCs w:val="20"/>
                <w:color w:val="auto"/>
              </w:rPr>
            </w:pPr>
            <w:r>
              <w:rPr>
                <w:rFonts w:ascii="Arial" w:cs="Arial" w:eastAsia="Arial" w:hAnsi="Arial"/>
                <w:sz w:val="12"/>
                <w:szCs w:val="12"/>
                <w:color w:val="auto"/>
              </w:rPr>
              <w:t>259,416</w:t>
            </w:r>
          </w:p>
        </w:tc>
        <w:tc>
          <w:tcPr>
            <w:tcW w:w="1660" w:type="dxa"/>
            <w:vAlign w:val="bottom"/>
            <w:vMerge w:val="restart"/>
            <w:shd w:val="clear" w:color="auto" w:fill="D9D9D9"/>
          </w:tcPr>
          <w:p>
            <w:pPr>
              <w:jc w:val="right"/>
              <w:ind w:right="138"/>
              <w:spacing w:after="0"/>
              <w:rPr>
                <w:sz w:val="20"/>
                <w:szCs w:val="20"/>
                <w:color w:val="auto"/>
              </w:rPr>
            </w:pPr>
            <w:r>
              <w:rPr>
                <w:rFonts w:ascii="Arial" w:cs="Arial" w:eastAsia="Arial" w:hAnsi="Arial"/>
                <w:sz w:val="12"/>
                <w:szCs w:val="12"/>
                <w:color w:val="auto"/>
              </w:rPr>
              <w:t>143,160</w:t>
            </w:r>
          </w:p>
        </w:tc>
        <w:tc>
          <w:tcPr>
            <w:tcW w:w="1680" w:type="dxa"/>
            <w:vAlign w:val="bottom"/>
            <w:vMerge w:val="restart"/>
            <w:shd w:val="clear" w:color="auto" w:fill="D9D9D9"/>
          </w:tcPr>
          <w:p>
            <w:pPr>
              <w:jc w:val="right"/>
              <w:ind w:right="159"/>
              <w:spacing w:after="0"/>
              <w:rPr>
                <w:sz w:val="20"/>
                <w:szCs w:val="20"/>
                <w:color w:val="auto"/>
              </w:rPr>
            </w:pPr>
            <w:r>
              <w:rPr>
                <w:rFonts w:ascii="Arial" w:cs="Arial" w:eastAsia="Arial" w:hAnsi="Arial"/>
                <w:sz w:val="12"/>
                <w:szCs w:val="12"/>
                <w:color w:val="auto"/>
              </w:rPr>
              <w:t>74,446</w:t>
            </w:r>
          </w:p>
        </w:tc>
        <w:tc>
          <w:tcPr>
            <w:tcW w:w="7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1,174,922</w:t>
            </w:r>
          </w:p>
        </w:tc>
        <w:tc>
          <w:tcPr>
            <w:tcW w:w="0" w:type="dxa"/>
            <w:vAlign w:val="bottom"/>
          </w:tcPr>
          <w:p>
            <w:pPr>
              <w:spacing w:after="0"/>
              <w:rPr>
                <w:sz w:val="1"/>
                <w:szCs w:val="1"/>
                <w:color w:val="auto"/>
              </w:rPr>
            </w:pPr>
          </w:p>
        </w:tc>
      </w:tr>
      <w:tr>
        <w:trPr>
          <w:trHeight w:val="37"/>
        </w:trPr>
        <w:tc>
          <w:tcPr>
            <w:tcW w:w="2280" w:type="dxa"/>
            <w:vAlign w:val="bottom"/>
            <w:vMerge w:val="restart"/>
            <w:shd w:val="clear" w:color="auto" w:fill="D9D9D9"/>
          </w:tcPr>
          <w:p>
            <w:pPr>
              <w:ind w:left="160"/>
              <w:spacing w:after="0" w:line="135" w:lineRule="exact"/>
              <w:rPr>
                <w:sz w:val="20"/>
                <w:szCs w:val="20"/>
                <w:color w:val="auto"/>
              </w:rPr>
            </w:pPr>
            <w:r>
              <w:rPr>
                <w:rFonts w:ascii="Arial" w:cs="Arial" w:eastAsia="Arial" w:hAnsi="Arial"/>
                <w:sz w:val="12"/>
                <w:szCs w:val="12"/>
                <w:color w:val="auto"/>
              </w:rPr>
              <w:t>Group VP, Commercial,</w:t>
            </w:r>
          </w:p>
        </w:tc>
        <w:tc>
          <w:tcPr>
            <w:tcW w:w="160" w:type="dxa"/>
            <w:vAlign w:val="bottom"/>
            <w:shd w:val="clear" w:color="auto" w:fill="D9D9D9"/>
          </w:tcPr>
          <w:p>
            <w:pPr>
              <w:spacing w:after="0"/>
              <w:rPr>
                <w:sz w:val="3"/>
                <w:szCs w:val="3"/>
                <w:color w:val="auto"/>
              </w:rPr>
            </w:pPr>
          </w:p>
        </w:tc>
        <w:tc>
          <w:tcPr>
            <w:tcW w:w="620" w:type="dxa"/>
            <w:vAlign w:val="bottom"/>
            <w:vMerge w:val="continue"/>
            <w:shd w:val="clear" w:color="auto" w:fill="D9D9D9"/>
          </w:tcPr>
          <w:p>
            <w:pPr>
              <w:spacing w:after="0"/>
              <w:rPr>
                <w:sz w:val="3"/>
                <w:szCs w:val="3"/>
                <w:color w:val="auto"/>
              </w:rPr>
            </w:pPr>
          </w:p>
        </w:tc>
        <w:tc>
          <w:tcPr>
            <w:tcW w:w="1040" w:type="dxa"/>
            <w:vAlign w:val="bottom"/>
            <w:vMerge w:val="continue"/>
            <w:shd w:val="clear" w:color="auto" w:fill="D9D9D9"/>
          </w:tcPr>
          <w:p>
            <w:pPr>
              <w:spacing w:after="0"/>
              <w:rPr>
                <w:sz w:val="3"/>
                <w:szCs w:val="3"/>
                <w:color w:val="auto"/>
              </w:rPr>
            </w:pPr>
          </w:p>
        </w:tc>
        <w:tc>
          <w:tcPr>
            <w:tcW w:w="940" w:type="dxa"/>
            <w:vAlign w:val="bottom"/>
            <w:vMerge w:val="continue"/>
            <w:shd w:val="clear" w:color="auto" w:fill="D9D9D9"/>
          </w:tcPr>
          <w:p>
            <w:pPr>
              <w:spacing w:after="0"/>
              <w:rPr>
                <w:sz w:val="3"/>
                <w:szCs w:val="3"/>
                <w:color w:val="auto"/>
              </w:rPr>
            </w:pPr>
          </w:p>
        </w:tc>
        <w:tc>
          <w:tcPr>
            <w:tcW w:w="1140" w:type="dxa"/>
            <w:vAlign w:val="bottom"/>
            <w:vMerge w:val="continue"/>
            <w:shd w:val="clear" w:color="auto" w:fill="D9D9D9"/>
          </w:tcPr>
          <w:p>
            <w:pPr>
              <w:spacing w:after="0"/>
              <w:rPr>
                <w:sz w:val="3"/>
                <w:szCs w:val="3"/>
                <w:color w:val="auto"/>
              </w:rPr>
            </w:pPr>
          </w:p>
        </w:tc>
        <w:tc>
          <w:tcPr>
            <w:tcW w:w="1120" w:type="dxa"/>
            <w:vAlign w:val="bottom"/>
            <w:vMerge w:val="continue"/>
            <w:shd w:val="clear" w:color="auto" w:fill="D9D9D9"/>
          </w:tcPr>
          <w:p>
            <w:pPr>
              <w:spacing w:after="0"/>
              <w:rPr>
                <w:sz w:val="3"/>
                <w:szCs w:val="3"/>
                <w:color w:val="auto"/>
              </w:rPr>
            </w:pPr>
          </w:p>
        </w:tc>
        <w:tc>
          <w:tcPr>
            <w:tcW w:w="1660" w:type="dxa"/>
            <w:vAlign w:val="bottom"/>
            <w:vMerge w:val="continue"/>
            <w:shd w:val="clear" w:color="auto" w:fill="D9D9D9"/>
          </w:tcPr>
          <w:p>
            <w:pPr>
              <w:spacing w:after="0"/>
              <w:rPr>
                <w:sz w:val="3"/>
                <w:szCs w:val="3"/>
                <w:color w:val="auto"/>
              </w:rPr>
            </w:pPr>
          </w:p>
        </w:tc>
        <w:tc>
          <w:tcPr>
            <w:tcW w:w="1680" w:type="dxa"/>
            <w:vAlign w:val="bottom"/>
            <w:vMerge w:val="continue"/>
            <w:shd w:val="clear" w:color="auto" w:fill="D9D9D9"/>
          </w:tcPr>
          <w:p>
            <w:pPr>
              <w:spacing w:after="0"/>
              <w:rPr>
                <w:sz w:val="3"/>
                <w:szCs w:val="3"/>
                <w:color w:val="auto"/>
              </w:rPr>
            </w:pPr>
          </w:p>
        </w:tc>
        <w:tc>
          <w:tcPr>
            <w:tcW w:w="780" w:type="dxa"/>
            <w:vAlign w:val="bottom"/>
            <w:vMerge w:val="continue"/>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2280" w:type="dxa"/>
            <w:vAlign w:val="bottom"/>
            <w:vMerge w:val="continue"/>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620" w:type="dxa"/>
            <w:vAlign w:val="bottom"/>
            <w:vMerge w:val="restart"/>
            <w:shd w:val="clear" w:color="auto" w:fill="D9D9D9"/>
          </w:tcPr>
          <w:p>
            <w:pPr>
              <w:jc w:val="center"/>
              <w:spacing w:after="0"/>
              <w:rPr>
                <w:sz w:val="20"/>
                <w:szCs w:val="20"/>
                <w:color w:val="auto"/>
              </w:rPr>
            </w:pPr>
            <w:r>
              <w:rPr>
                <w:rFonts w:ascii="Arial" w:cs="Arial" w:eastAsia="Arial" w:hAnsi="Arial"/>
                <w:sz w:val="12"/>
                <w:szCs w:val="12"/>
                <w:color w:val="auto"/>
                <w:w w:val="97"/>
              </w:rPr>
              <w:t>2018</w:t>
            </w:r>
          </w:p>
        </w:tc>
        <w:tc>
          <w:tcPr>
            <w:tcW w:w="1040" w:type="dxa"/>
            <w:vAlign w:val="bottom"/>
            <w:vMerge w:val="restart"/>
            <w:shd w:val="clear" w:color="auto" w:fill="D9D9D9"/>
          </w:tcPr>
          <w:p>
            <w:pPr>
              <w:ind w:left="460"/>
              <w:spacing w:after="0"/>
              <w:rPr>
                <w:sz w:val="20"/>
                <w:szCs w:val="20"/>
                <w:color w:val="auto"/>
              </w:rPr>
            </w:pPr>
            <w:r>
              <w:rPr>
                <w:rFonts w:ascii="Arial" w:cs="Arial" w:eastAsia="Arial" w:hAnsi="Arial"/>
                <w:sz w:val="12"/>
                <w:szCs w:val="12"/>
                <w:color w:val="auto"/>
              </w:rPr>
              <w:t>438,000</w:t>
            </w:r>
          </w:p>
        </w:tc>
        <w:tc>
          <w:tcPr>
            <w:tcW w:w="940" w:type="dxa"/>
            <w:vAlign w:val="bottom"/>
            <w:vMerge w:val="restart"/>
            <w:shd w:val="clear" w:color="auto" w:fill="D9D9D9"/>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vMerge w:val="restart"/>
            <w:shd w:val="clear" w:color="auto" w:fill="D9D9D9"/>
          </w:tcPr>
          <w:p>
            <w:pPr>
              <w:jc w:val="right"/>
              <w:ind w:right="99"/>
              <w:spacing w:after="0"/>
              <w:rPr>
                <w:sz w:val="20"/>
                <w:szCs w:val="20"/>
                <w:color w:val="auto"/>
              </w:rPr>
            </w:pPr>
            <w:r>
              <w:rPr>
                <w:rFonts w:ascii="Arial" w:cs="Arial" w:eastAsia="Arial" w:hAnsi="Arial"/>
                <w:sz w:val="12"/>
                <w:szCs w:val="12"/>
                <w:color w:val="auto"/>
              </w:rPr>
              <w:t>294,300</w:t>
            </w:r>
          </w:p>
        </w:tc>
        <w:tc>
          <w:tcPr>
            <w:tcW w:w="1120" w:type="dxa"/>
            <w:vAlign w:val="bottom"/>
            <w:vMerge w:val="restart"/>
            <w:shd w:val="clear" w:color="auto" w:fill="D9D9D9"/>
          </w:tcPr>
          <w:p>
            <w:pPr>
              <w:jc w:val="right"/>
              <w:ind w:right="139"/>
              <w:spacing w:after="0"/>
              <w:rPr>
                <w:sz w:val="20"/>
                <w:szCs w:val="20"/>
                <w:color w:val="auto"/>
              </w:rPr>
            </w:pPr>
            <w:r>
              <w:rPr>
                <w:rFonts w:ascii="Arial" w:cs="Arial" w:eastAsia="Arial" w:hAnsi="Arial"/>
                <w:sz w:val="12"/>
                <w:szCs w:val="12"/>
                <w:color w:val="auto"/>
              </w:rPr>
              <w:t>284,240</w:t>
            </w:r>
          </w:p>
        </w:tc>
        <w:tc>
          <w:tcPr>
            <w:tcW w:w="1660" w:type="dxa"/>
            <w:vAlign w:val="bottom"/>
            <w:vMerge w:val="restart"/>
            <w:shd w:val="clear" w:color="auto" w:fill="D9D9D9"/>
          </w:tcPr>
          <w:p>
            <w:pPr>
              <w:jc w:val="right"/>
              <w:ind w:right="138"/>
              <w:spacing w:after="0"/>
              <w:rPr>
                <w:sz w:val="20"/>
                <w:szCs w:val="20"/>
                <w:color w:val="auto"/>
              </w:rPr>
            </w:pPr>
            <w:r>
              <w:rPr>
                <w:rFonts w:ascii="Arial" w:cs="Arial" w:eastAsia="Arial" w:hAnsi="Arial"/>
                <w:sz w:val="12"/>
                <w:szCs w:val="12"/>
                <w:color w:val="auto"/>
              </w:rPr>
              <w:t>250,869</w:t>
            </w:r>
          </w:p>
        </w:tc>
        <w:tc>
          <w:tcPr>
            <w:tcW w:w="1680" w:type="dxa"/>
            <w:vAlign w:val="bottom"/>
            <w:vMerge w:val="restart"/>
            <w:shd w:val="clear" w:color="auto" w:fill="D9D9D9"/>
          </w:tcPr>
          <w:p>
            <w:pPr>
              <w:jc w:val="right"/>
              <w:ind w:right="159"/>
              <w:spacing w:after="0"/>
              <w:rPr>
                <w:sz w:val="20"/>
                <w:szCs w:val="20"/>
                <w:color w:val="auto"/>
              </w:rPr>
            </w:pPr>
            <w:r>
              <w:rPr>
                <w:rFonts w:ascii="Arial" w:cs="Arial" w:eastAsia="Arial" w:hAnsi="Arial"/>
                <w:sz w:val="12"/>
                <w:szCs w:val="12"/>
                <w:color w:val="auto"/>
              </w:rPr>
              <w:t>101,810</w:t>
            </w:r>
          </w:p>
        </w:tc>
        <w:tc>
          <w:tcPr>
            <w:tcW w:w="78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rPr>
              <w:t>1,369,219</w:t>
            </w:r>
          </w:p>
        </w:tc>
        <w:tc>
          <w:tcPr>
            <w:tcW w:w="0" w:type="dxa"/>
            <w:vAlign w:val="bottom"/>
          </w:tcPr>
          <w:p>
            <w:pPr>
              <w:spacing w:after="0"/>
              <w:rPr>
                <w:sz w:val="1"/>
                <w:szCs w:val="1"/>
                <w:color w:val="auto"/>
              </w:rPr>
            </w:pPr>
          </w:p>
        </w:tc>
      </w:tr>
      <w:tr>
        <w:trPr>
          <w:trHeight w:val="86"/>
        </w:trPr>
        <w:tc>
          <w:tcPr>
            <w:tcW w:w="2280" w:type="dxa"/>
            <w:vAlign w:val="bottom"/>
            <w:vMerge w:val="restart"/>
            <w:shd w:val="clear" w:color="auto" w:fill="D9D9D9"/>
          </w:tcPr>
          <w:p>
            <w:pPr>
              <w:ind w:left="160"/>
              <w:spacing w:after="0" w:line="135" w:lineRule="exact"/>
              <w:rPr>
                <w:sz w:val="20"/>
                <w:szCs w:val="20"/>
                <w:color w:val="auto"/>
              </w:rPr>
            </w:pPr>
            <w:r>
              <w:rPr>
                <w:rFonts w:ascii="Arial" w:cs="Arial" w:eastAsia="Arial" w:hAnsi="Arial"/>
                <w:sz w:val="12"/>
                <w:szCs w:val="12"/>
                <w:color w:val="auto"/>
              </w:rPr>
              <w:t>International and Irrigation</w:t>
            </w:r>
          </w:p>
        </w:tc>
        <w:tc>
          <w:tcPr>
            <w:tcW w:w="160" w:type="dxa"/>
            <w:vAlign w:val="bottom"/>
            <w:shd w:val="clear" w:color="auto" w:fill="D9D9D9"/>
          </w:tcPr>
          <w:p>
            <w:pPr>
              <w:spacing w:after="0"/>
              <w:rPr>
                <w:sz w:val="7"/>
                <w:szCs w:val="7"/>
                <w:color w:val="auto"/>
              </w:rPr>
            </w:pPr>
          </w:p>
        </w:tc>
        <w:tc>
          <w:tcPr>
            <w:tcW w:w="620" w:type="dxa"/>
            <w:vAlign w:val="bottom"/>
            <w:vMerge w:val="continue"/>
            <w:shd w:val="clear" w:color="auto" w:fill="D9D9D9"/>
          </w:tcPr>
          <w:p>
            <w:pPr>
              <w:spacing w:after="0"/>
              <w:rPr>
                <w:sz w:val="7"/>
                <w:szCs w:val="7"/>
                <w:color w:val="auto"/>
              </w:rPr>
            </w:pPr>
          </w:p>
        </w:tc>
        <w:tc>
          <w:tcPr>
            <w:tcW w:w="1040" w:type="dxa"/>
            <w:vAlign w:val="bottom"/>
            <w:vMerge w:val="continue"/>
            <w:shd w:val="clear" w:color="auto" w:fill="D9D9D9"/>
          </w:tcPr>
          <w:p>
            <w:pPr>
              <w:spacing w:after="0"/>
              <w:rPr>
                <w:sz w:val="7"/>
                <w:szCs w:val="7"/>
                <w:color w:val="auto"/>
              </w:rPr>
            </w:pPr>
          </w:p>
        </w:tc>
        <w:tc>
          <w:tcPr>
            <w:tcW w:w="940" w:type="dxa"/>
            <w:vAlign w:val="bottom"/>
            <w:vMerge w:val="continue"/>
            <w:shd w:val="clear" w:color="auto" w:fill="D9D9D9"/>
          </w:tcPr>
          <w:p>
            <w:pPr>
              <w:spacing w:after="0"/>
              <w:rPr>
                <w:sz w:val="7"/>
                <w:szCs w:val="7"/>
                <w:color w:val="auto"/>
              </w:rPr>
            </w:pPr>
          </w:p>
        </w:tc>
        <w:tc>
          <w:tcPr>
            <w:tcW w:w="1140" w:type="dxa"/>
            <w:vAlign w:val="bottom"/>
            <w:vMerge w:val="continue"/>
            <w:shd w:val="clear" w:color="auto" w:fill="D9D9D9"/>
          </w:tcPr>
          <w:p>
            <w:pPr>
              <w:spacing w:after="0"/>
              <w:rPr>
                <w:sz w:val="7"/>
                <w:szCs w:val="7"/>
                <w:color w:val="auto"/>
              </w:rPr>
            </w:pPr>
          </w:p>
        </w:tc>
        <w:tc>
          <w:tcPr>
            <w:tcW w:w="1120" w:type="dxa"/>
            <w:vAlign w:val="bottom"/>
            <w:vMerge w:val="continue"/>
            <w:shd w:val="clear" w:color="auto" w:fill="D9D9D9"/>
          </w:tcPr>
          <w:p>
            <w:pPr>
              <w:spacing w:after="0"/>
              <w:rPr>
                <w:sz w:val="7"/>
                <w:szCs w:val="7"/>
                <w:color w:val="auto"/>
              </w:rPr>
            </w:pPr>
          </w:p>
        </w:tc>
        <w:tc>
          <w:tcPr>
            <w:tcW w:w="1660" w:type="dxa"/>
            <w:vAlign w:val="bottom"/>
            <w:vMerge w:val="continue"/>
            <w:shd w:val="clear" w:color="auto" w:fill="D9D9D9"/>
          </w:tcPr>
          <w:p>
            <w:pPr>
              <w:spacing w:after="0"/>
              <w:rPr>
                <w:sz w:val="7"/>
                <w:szCs w:val="7"/>
                <w:color w:val="auto"/>
              </w:rPr>
            </w:pPr>
          </w:p>
        </w:tc>
        <w:tc>
          <w:tcPr>
            <w:tcW w:w="1680" w:type="dxa"/>
            <w:vAlign w:val="bottom"/>
            <w:vMerge w:val="continue"/>
            <w:shd w:val="clear" w:color="auto" w:fill="D9D9D9"/>
          </w:tcPr>
          <w:p>
            <w:pPr>
              <w:spacing w:after="0"/>
              <w:rPr>
                <w:sz w:val="7"/>
                <w:szCs w:val="7"/>
                <w:color w:val="auto"/>
              </w:rPr>
            </w:pPr>
          </w:p>
        </w:tc>
        <w:tc>
          <w:tcPr>
            <w:tcW w:w="780" w:type="dxa"/>
            <w:vAlign w:val="bottom"/>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280" w:type="dxa"/>
            <w:vAlign w:val="bottom"/>
            <w:vMerge w:val="continue"/>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620" w:type="dxa"/>
            <w:vAlign w:val="bottom"/>
            <w:shd w:val="clear" w:color="auto" w:fill="D9D9D9"/>
          </w:tcPr>
          <w:p>
            <w:pPr>
              <w:spacing w:after="0"/>
              <w:rPr>
                <w:sz w:val="4"/>
                <w:szCs w:val="4"/>
                <w:color w:val="auto"/>
              </w:rPr>
            </w:pPr>
          </w:p>
        </w:tc>
        <w:tc>
          <w:tcPr>
            <w:tcW w:w="1040" w:type="dxa"/>
            <w:vAlign w:val="bottom"/>
            <w:shd w:val="clear" w:color="auto" w:fill="D9D9D9"/>
          </w:tcPr>
          <w:p>
            <w:pPr>
              <w:spacing w:after="0"/>
              <w:rPr>
                <w:sz w:val="4"/>
                <w:szCs w:val="4"/>
                <w:color w:val="auto"/>
              </w:rPr>
            </w:pPr>
          </w:p>
        </w:tc>
        <w:tc>
          <w:tcPr>
            <w:tcW w:w="940" w:type="dxa"/>
            <w:vAlign w:val="bottom"/>
            <w:shd w:val="clear" w:color="auto" w:fill="D9D9D9"/>
          </w:tcPr>
          <w:p>
            <w:pPr>
              <w:spacing w:after="0"/>
              <w:rPr>
                <w:sz w:val="4"/>
                <w:szCs w:val="4"/>
                <w:color w:val="auto"/>
              </w:rPr>
            </w:pPr>
          </w:p>
        </w:tc>
        <w:tc>
          <w:tcPr>
            <w:tcW w:w="1140" w:type="dxa"/>
            <w:vAlign w:val="bottom"/>
            <w:shd w:val="clear" w:color="auto" w:fill="D9D9D9"/>
          </w:tcPr>
          <w:p>
            <w:pPr>
              <w:spacing w:after="0"/>
              <w:rPr>
                <w:sz w:val="4"/>
                <w:szCs w:val="4"/>
                <w:color w:val="auto"/>
              </w:rPr>
            </w:pPr>
          </w:p>
        </w:tc>
        <w:tc>
          <w:tcPr>
            <w:tcW w:w="1120" w:type="dxa"/>
            <w:vAlign w:val="bottom"/>
            <w:shd w:val="clear" w:color="auto" w:fill="D9D9D9"/>
          </w:tcPr>
          <w:p>
            <w:pPr>
              <w:spacing w:after="0"/>
              <w:rPr>
                <w:sz w:val="4"/>
                <w:szCs w:val="4"/>
                <w:color w:val="auto"/>
              </w:rPr>
            </w:pPr>
          </w:p>
        </w:tc>
        <w:tc>
          <w:tcPr>
            <w:tcW w:w="1660" w:type="dxa"/>
            <w:vAlign w:val="bottom"/>
            <w:shd w:val="clear" w:color="auto" w:fill="D9D9D9"/>
          </w:tcPr>
          <w:p>
            <w:pPr>
              <w:spacing w:after="0"/>
              <w:rPr>
                <w:sz w:val="4"/>
                <w:szCs w:val="4"/>
                <w:color w:val="auto"/>
              </w:rPr>
            </w:pPr>
          </w:p>
        </w:tc>
        <w:tc>
          <w:tcPr>
            <w:tcW w:w="1680" w:type="dxa"/>
            <w:vAlign w:val="bottom"/>
            <w:shd w:val="clear" w:color="auto" w:fill="D9D9D9"/>
          </w:tcPr>
          <w:p>
            <w:pPr>
              <w:spacing w:after="0"/>
              <w:rPr>
                <w:sz w:val="4"/>
                <w:szCs w:val="4"/>
                <w:color w:val="auto"/>
              </w:rPr>
            </w:pPr>
          </w:p>
        </w:tc>
        <w:tc>
          <w:tcPr>
            <w:tcW w:w="78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D9D9D9"/>
          </w:tcPr>
          <w:p>
            <w:pPr>
              <w:ind w:left="160"/>
              <w:spacing w:after="0" w:line="136" w:lineRule="exact"/>
              <w:rPr>
                <w:sz w:val="20"/>
                <w:szCs w:val="20"/>
                <w:color w:val="auto"/>
              </w:rPr>
            </w:pPr>
            <w:r>
              <w:rPr>
                <w:rFonts w:ascii="Arial" w:cs="Arial" w:eastAsia="Arial" w:hAnsi="Arial"/>
                <w:sz w:val="12"/>
                <w:szCs w:val="12"/>
                <w:color w:val="auto"/>
              </w:rPr>
              <w:t>Businesses</w:t>
            </w:r>
          </w:p>
        </w:tc>
        <w:tc>
          <w:tcPr>
            <w:tcW w:w="160" w:type="dxa"/>
            <w:vAlign w:val="bottom"/>
            <w:shd w:val="clear" w:color="auto" w:fill="D9D9D9"/>
          </w:tcPr>
          <w:p>
            <w:pPr>
              <w:spacing w:after="0"/>
              <w:rPr>
                <w:sz w:val="11"/>
                <w:szCs w:val="11"/>
                <w:color w:val="auto"/>
              </w:rPr>
            </w:pPr>
          </w:p>
        </w:tc>
        <w:tc>
          <w:tcPr>
            <w:tcW w:w="62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14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660" w:type="dxa"/>
            <w:vAlign w:val="bottom"/>
            <w:shd w:val="clear" w:color="auto" w:fill="D9D9D9"/>
          </w:tcPr>
          <w:p>
            <w:pPr>
              <w:spacing w:after="0"/>
              <w:rPr>
                <w:sz w:val="11"/>
                <w:szCs w:val="11"/>
                <w:color w:val="auto"/>
              </w:rPr>
            </w:pPr>
          </w:p>
        </w:tc>
        <w:tc>
          <w:tcPr>
            <w:tcW w:w="1680" w:type="dxa"/>
            <w:vAlign w:val="bottom"/>
            <w:shd w:val="clear" w:color="auto" w:fill="D9D9D9"/>
          </w:tcPr>
          <w:p>
            <w:pPr>
              <w:spacing w:after="0"/>
              <w:rPr>
                <w:sz w:val="11"/>
                <w:szCs w:val="11"/>
                <w:color w:val="auto"/>
              </w:rPr>
            </w:pPr>
          </w:p>
        </w:tc>
        <w:tc>
          <w:tcPr>
            <w:tcW w:w="7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spacing w:after="0"/>
              <w:rPr>
                <w:sz w:val="20"/>
                <w:szCs w:val="20"/>
                <w:color w:val="auto"/>
              </w:rPr>
            </w:pPr>
            <w:r>
              <w:rPr>
                <w:rFonts w:ascii="Arial" w:cs="Arial" w:eastAsia="Arial" w:hAnsi="Arial"/>
                <w:sz w:val="12"/>
                <w:szCs w:val="12"/>
                <w:color w:val="auto"/>
              </w:rPr>
              <w:t>Richard W. Rodier</w:t>
            </w:r>
            <w:r>
              <w:rPr>
                <w:rFonts w:ascii="Arial" w:cs="Arial" w:eastAsia="Arial" w:hAnsi="Arial"/>
                <w:sz w:val="10"/>
                <w:szCs w:val="10"/>
                <w:color w:val="auto"/>
              </w:rPr>
              <w:t>(8)</w:t>
            </w:r>
            <w:r>
              <w:rPr>
                <w:rFonts w:ascii="Arial" w:cs="Arial" w:eastAsia="Arial" w:hAnsi="Arial"/>
                <w:sz w:val="12"/>
                <w:szCs w:val="12"/>
                <w:color w:val="auto"/>
              </w:rPr>
              <w:t>,</w:t>
            </w:r>
          </w:p>
        </w:tc>
        <w:tc>
          <w:tcPr>
            <w:tcW w:w="780" w:type="dxa"/>
            <w:vAlign w:val="bottom"/>
            <w:gridSpan w:val="2"/>
          </w:tcPr>
          <w:p>
            <w:pPr>
              <w:jc w:val="center"/>
              <w:ind w:left="99"/>
              <w:spacing w:after="0"/>
              <w:rPr>
                <w:sz w:val="20"/>
                <w:szCs w:val="20"/>
                <w:color w:val="auto"/>
              </w:rPr>
            </w:pPr>
            <w:r>
              <w:rPr>
                <w:rFonts w:ascii="Arial" w:cs="Arial" w:eastAsia="Arial" w:hAnsi="Arial"/>
                <w:sz w:val="12"/>
                <w:szCs w:val="12"/>
                <w:color w:val="auto"/>
                <w:w w:val="97"/>
              </w:rPr>
              <w:t>2019</w:t>
            </w:r>
          </w:p>
        </w:tc>
        <w:tc>
          <w:tcPr>
            <w:tcW w:w="1040" w:type="dxa"/>
            <w:vAlign w:val="bottom"/>
          </w:tcPr>
          <w:p>
            <w:pPr>
              <w:ind w:left="460"/>
              <w:spacing w:after="0"/>
              <w:rPr>
                <w:sz w:val="20"/>
                <w:szCs w:val="20"/>
                <w:color w:val="auto"/>
              </w:rPr>
            </w:pPr>
            <w:r>
              <w:rPr>
                <w:rFonts w:ascii="Arial" w:cs="Arial" w:eastAsia="Arial" w:hAnsi="Arial"/>
                <w:sz w:val="12"/>
                <w:szCs w:val="12"/>
                <w:color w:val="auto"/>
              </w:rPr>
              <w:t>351,667</w:t>
            </w:r>
          </w:p>
        </w:tc>
        <w:tc>
          <w:tcPr>
            <w:tcW w:w="940" w:type="dxa"/>
            <w:vAlign w:val="bottom"/>
          </w:tcPr>
          <w:p>
            <w:pPr>
              <w:jc w:val="center"/>
              <w:ind w:right="19"/>
              <w:spacing w:after="0"/>
              <w:rPr>
                <w:sz w:val="20"/>
                <w:szCs w:val="20"/>
                <w:color w:val="auto"/>
              </w:rPr>
            </w:pPr>
            <w:r>
              <w:rPr>
                <w:rFonts w:ascii="Arial" w:cs="Arial" w:eastAsia="Arial" w:hAnsi="Arial"/>
                <w:sz w:val="12"/>
                <w:szCs w:val="12"/>
                <w:color w:val="auto"/>
                <w:w w:val="89"/>
              </w:rPr>
              <w:t>0</w:t>
            </w:r>
          </w:p>
        </w:tc>
        <w:tc>
          <w:tcPr>
            <w:tcW w:w="1140" w:type="dxa"/>
            <w:vAlign w:val="bottom"/>
          </w:tcPr>
          <w:p>
            <w:pPr>
              <w:jc w:val="right"/>
              <w:ind w:right="99"/>
              <w:spacing w:after="0"/>
              <w:rPr>
                <w:sz w:val="20"/>
                <w:szCs w:val="20"/>
                <w:color w:val="auto"/>
              </w:rPr>
            </w:pPr>
            <w:r>
              <w:rPr>
                <w:rFonts w:ascii="Arial" w:cs="Arial" w:eastAsia="Arial" w:hAnsi="Arial"/>
                <w:sz w:val="12"/>
                <w:szCs w:val="12"/>
                <w:color w:val="auto"/>
              </w:rPr>
              <w:t>391,461</w:t>
            </w:r>
          </w:p>
        </w:tc>
        <w:tc>
          <w:tcPr>
            <w:tcW w:w="1120" w:type="dxa"/>
            <w:vAlign w:val="bottom"/>
          </w:tcPr>
          <w:p>
            <w:pPr>
              <w:jc w:val="right"/>
              <w:ind w:right="139"/>
              <w:spacing w:after="0"/>
              <w:rPr>
                <w:sz w:val="20"/>
                <w:szCs w:val="20"/>
                <w:color w:val="auto"/>
              </w:rPr>
            </w:pPr>
            <w:r>
              <w:rPr>
                <w:rFonts w:ascii="Arial" w:cs="Arial" w:eastAsia="Arial" w:hAnsi="Arial"/>
                <w:sz w:val="12"/>
                <w:szCs w:val="12"/>
                <w:color w:val="auto"/>
              </w:rPr>
              <w:t>108,090</w:t>
            </w:r>
          </w:p>
        </w:tc>
        <w:tc>
          <w:tcPr>
            <w:tcW w:w="1660" w:type="dxa"/>
            <w:vAlign w:val="bottom"/>
          </w:tcPr>
          <w:p>
            <w:pPr>
              <w:jc w:val="right"/>
              <w:ind w:right="138"/>
              <w:spacing w:after="0"/>
              <w:rPr>
                <w:sz w:val="20"/>
                <w:szCs w:val="20"/>
                <w:color w:val="auto"/>
              </w:rPr>
            </w:pPr>
            <w:r>
              <w:rPr>
                <w:rFonts w:ascii="Arial" w:cs="Arial" w:eastAsia="Arial" w:hAnsi="Arial"/>
                <w:sz w:val="12"/>
                <w:szCs w:val="12"/>
                <w:color w:val="auto"/>
              </w:rPr>
              <w:t>130,608</w:t>
            </w:r>
          </w:p>
        </w:tc>
        <w:tc>
          <w:tcPr>
            <w:tcW w:w="1680" w:type="dxa"/>
            <w:vAlign w:val="bottom"/>
          </w:tcPr>
          <w:p>
            <w:pPr>
              <w:jc w:val="right"/>
              <w:ind w:right="159"/>
              <w:spacing w:after="0"/>
              <w:rPr>
                <w:sz w:val="20"/>
                <w:szCs w:val="20"/>
                <w:color w:val="auto"/>
              </w:rPr>
            </w:pPr>
            <w:r>
              <w:rPr>
                <w:rFonts w:ascii="Arial" w:cs="Arial" w:eastAsia="Arial" w:hAnsi="Arial"/>
                <w:sz w:val="12"/>
                <w:szCs w:val="12"/>
                <w:color w:val="auto"/>
              </w:rPr>
              <w:t>74,866</w:t>
            </w:r>
          </w:p>
        </w:tc>
        <w:tc>
          <w:tcPr>
            <w:tcW w:w="780" w:type="dxa"/>
            <w:vAlign w:val="bottom"/>
          </w:tcPr>
          <w:p>
            <w:pPr>
              <w:jc w:val="right"/>
              <w:spacing w:after="0"/>
              <w:rPr>
                <w:sz w:val="20"/>
                <w:szCs w:val="20"/>
                <w:color w:val="auto"/>
              </w:rPr>
            </w:pPr>
            <w:r>
              <w:rPr>
                <w:rFonts w:ascii="Arial" w:cs="Arial" w:eastAsia="Arial" w:hAnsi="Arial"/>
                <w:sz w:val="12"/>
                <w:szCs w:val="12"/>
                <w:color w:val="auto"/>
              </w:rPr>
              <w:t>1,056,692</w:t>
            </w:r>
          </w:p>
        </w:tc>
        <w:tc>
          <w:tcPr>
            <w:tcW w:w="0" w:type="dxa"/>
            <w:vAlign w:val="bottom"/>
          </w:tcPr>
          <w:p>
            <w:pPr>
              <w:spacing w:after="0"/>
              <w:rPr>
                <w:sz w:val="1"/>
                <w:szCs w:val="1"/>
                <w:color w:val="auto"/>
              </w:rPr>
            </w:pPr>
          </w:p>
        </w:tc>
      </w:tr>
      <w:tr>
        <w:trPr>
          <w:trHeight w:val="135"/>
        </w:trPr>
        <w:tc>
          <w:tcPr>
            <w:tcW w:w="2280" w:type="dxa"/>
            <w:vAlign w:val="bottom"/>
          </w:tcPr>
          <w:p>
            <w:pPr>
              <w:ind w:left="160"/>
              <w:spacing w:after="0" w:line="135" w:lineRule="exact"/>
              <w:rPr>
                <w:sz w:val="20"/>
                <w:szCs w:val="20"/>
                <w:color w:val="auto"/>
              </w:rPr>
            </w:pPr>
            <w:r>
              <w:rPr>
                <w:rFonts w:ascii="Arial" w:cs="Arial" w:eastAsia="Arial" w:hAnsi="Arial"/>
                <w:sz w:val="12"/>
                <w:szCs w:val="12"/>
                <w:color w:val="auto"/>
              </w:rPr>
              <w:t>Group VP, Construction</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280" w:type="dxa"/>
            <w:vAlign w:val="bottom"/>
          </w:tcPr>
          <w:p>
            <w:pPr>
              <w:ind w:left="160"/>
              <w:spacing w:after="0"/>
              <w:rPr>
                <w:sz w:val="20"/>
                <w:szCs w:val="20"/>
                <w:color w:val="auto"/>
              </w:rPr>
            </w:pPr>
            <w:r>
              <w:rPr>
                <w:rFonts w:ascii="Arial" w:cs="Arial" w:eastAsia="Arial" w:hAnsi="Arial"/>
                <w:sz w:val="12"/>
                <w:szCs w:val="12"/>
                <w:color w:val="auto"/>
              </w:rPr>
              <w:t>Businesses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207772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27" w:lineRule="exact"/>
        <w:rPr>
          <w:sz w:val="20"/>
          <w:szCs w:val="20"/>
          <w:color w:val="auto"/>
        </w:rPr>
      </w:pPr>
    </w:p>
    <w:p>
      <w:pPr>
        <w:ind w:left="402" w:right="60" w:hanging="402"/>
        <w:spacing w:after="0" w:line="247" w:lineRule="auto"/>
        <w:tabs>
          <w:tab w:leader="none" w:pos="4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generally do not pay discretionary bonuses or bonuses that are subjectively determined; we did not pay any such bonuses to any of our named executive officers in any of the last three most recently completed fiscal years. Annual cash incentive award payouts based on performance against pre-established financial performance goals are reported in the “Non-Equity Incentive Plan Compensation” column.</w:t>
      </w:r>
    </w:p>
    <w:p>
      <w:pPr>
        <w:spacing w:after="0" w:line="81" w:lineRule="exact"/>
        <w:rPr>
          <w:rFonts w:ascii="Arial" w:cs="Arial" w:eastAsia="Arial" w:hAnsi="Arial"/>
          <w:sz w:val="16"/>
          <w:szCs w:val="16"/>
          <w:color w:val="auto"/>
        </w:rPr>
      </w:pPr>
    </w:p>
    <w:p>
      <w:pPr>
        <w:ind w:left="402" w:hanging="402"/>
        <w:spacing w:after="0" w:line="241" w:lineRule="auto"/>
        <w:tabs>
          <w:tab w:leader="none" w:pos="40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reported for fiscal 2019 for our named executive officers represent the grant date fair value, computed in accordance with FASB ASC Topic 718, of performance share awards granted for the fiscal 2019 to fiscal 2021 performance period assuming target levels of performance. Amount reported for Mr. Rodier also includes the grant date value of restricted stock units granted to Mr. Rodier on April 1, 2019 in connection with his promotion to Group Vice President, Construction Businesses. Amounts reported for each named executive officer and each award for fiscal 2019 are set forth in the “Grants of Plan-Based Awards for Fiscal 2019” table beginning on page 46 in the “Grant Date Fair Value of Stock and Option Awards” column. Provided below is the fiscal 2019 grant date fair value of performance share awards for the fiscal 2019 to fiscal 2021 performance period assuming maximum levels of performance. The maximum value is calculated using the number of shares reflected in the “Maximum” column of the “Estimated Future Payouts Under Equity Incentive Plan Awards” section of the “Grants of Plan-Based Awards for Fiscal 2019” table beginning on page 46 and the closing price of our common stock on December 4, 2018, the grant date, of $59.58.</w:t>
      </w:r>
    </w:p>
    <w:p>
      <w:pPr>
        <w:spacing w:after="0" w:line="39" w:lineRule="exact"/>
        <w:rPr>
          <w:sz w:val="20"/>
          <w:szCs w:val="20"/>
          <w:color w:val="auto"/>
        </w:rPr>
      </w:pPr>
    </w:p>
    <w:tbl>
      <w:tblPr>
        <w:tblLayout w:type="fixed"/>
        <w:tblInd w:w="442"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80" w:type="dxa"/>
            <w:vAlign w:val="bottom"/>
            <w:shd w:val="clear" w:color="auto" w:fill="BE0000"/>
          </w:tcPr>
          <w:p>
            <w:pPr>
              <w:spacing w:after="0"/>
              <w:rPr>
                <w:sz w:val="12"/>
                <w:szCs w:val="12"/>
                <w:color w:val="auto"/>
              </w:rPr>
            </w:pPr>
          </w:p>
        </w:tc>
        <w:tc>
          <w:tcPr>
            <w:tcW w:w="4840" w:type="dxa"/>
            <w:vAlign w:val="bottom"/>
            <w:shd w:val="clear" w:color="auto" w:fill="BE0000"/>
          </w:tcPr>
          <w:p>
            <w:pPr>
              <w:jc w:val="center"/>
              <w:ind w:left="1970"/>
              <w:spacing w:after="0"/>
              <w:rPr>
                <w:sz w:val="20"/>
                <w:szCs w:val="20"/>
                <w:color w:val="auto"/>
              </w:rPr>
            </w:pPr>
            <w:r>
              <w:rPr>
                <w:rFonts w:ascii="Arial" w:cs="Arial" w:eastAsia="Arial" w:hAnsi="Arial"/>
                <w:sz w:val="13"/>
                <w:szCs w:val="13"/>
                <w:b w:val="1"/>
                <w:bCs w:val="1"/>
                <w:color w:val="FFFFFF"/>
              </w:rPr>
              <w:t>Grant Date Fair Value at</w:t>
            </w:r>
          </w:p>
        </w:tc>
      </w:tr>
      <w:tr>
        <w:trPr>
          <w:trHeight w:val="147"/>
        </w:trPr>
        <w:tc>
          <w:tcPr>
            <w:tcW w:w="20" w:type="dxa"/>
            <w:vAlign w:val="bottom"/>
          </w:tcPr>
          <w:p>
            <w:pPr>
              <w:spacing w:after="0"/>
              <w:rPr>
                <w:sz w:val="12"/>
                <w:szCs w:val="12"/>
                <w:color w:val="auto"/>
              </w:rPr>
            </w:pPr>
          </w:p>
        </w:tc>
        <w:tc>
          <w:tcPr>
            <w:tcW w:w="3280" w:type="dxa"/>
            <w:vAlign w:val="bottom"/>
            <w:shd w:val="clear" w:color="auto" w:fill="BE0000"/>
          </w:tcPr>
          <w:p>
            <w:pPr>
              <w:spacing w:after="0"/>
              <w:rPr>
                <w:sz w:val="12"/>
                <w:szCs w:val="12"/>
                <w:color w:val="auto"/>
              </w:rPr>
            </w:pPr>
          </w:p>
        </w:tc>
        <w:tc>
          <w:tcPr>
            <w:tcW w:w="4840" w:type="dxa"/>
            <w:vAlign w:val="bottom"/>
            <w:shd w:val="clear" w:color="auto" w:fill="BE0000"/>
          </w:tcPr>
          <w:p>
            <w:pPr>
              <w:jc w:val="center"/>
              <w:ind w:left="1970"/>
              <w:spacing w:after="0" w:line="148" w:lineRule="exact"/>
              <w:rPr>
                <w:sz w:val="20"/>
                <w:szCs w:val="20"/>
                <w:color w:val="auto"/>
              </w:rPr>
            </w:pPr>
            <w:r>
              <w:rPr>
                <w:rFonts w:ascii="Arial" w:cs="Arial" w:eastAsia="Arial" w:hAnsi="Arial"/>
                <w:sz w:val="13"/>
                <w:szCs w:val="13"/>
                <w:b w:val="1"/>
                <w:bCs w:val="1"/>
                <w:color w:val="FFFFFF"/>
              </w:rPr>
              <w:t>Maximum Levels of Performance</w:t>
            </w:r>
          </w:p>
        </w:tc>
      </w:tr>
      <w:tr>
        <w:trPr>
          <w:trHeight w:val="159"/>
        </w:trPr>
        <w:tc>
          <w:tcPr>
            <w:tcW w:w="20" w:type="dxa"/>
            <w:vAlign w:val="bottom"/>
          </w:tcPr>
          <w:p>
            <w:pPr>
              <w:spacing w:after="0"/>
              <w:rPr>
                <w:sz w:val="13"/>
                <w:szCs w:val="13"/>
                <w:color w:val="auto"/>
              </w:rPr>
            </w:pPr>
          </w:p>
        </w:tc>
        <w:tc>
          <w:tcPr>
            <w:tcW w:w="3280" w:type="dxa"/>
            <w:vAlign w:val="bottom"/>
            <w:shd w:val="clear" w:color="auto" w:fill="BE0000"/>
          </w:tcPr>
          <w:p>
            <w:pPr>
              <w:spacing w:after="0"/>
              <w:rPr>
                <w:sz w:val="20"/>
                <w:szCs w:val="20"/>
                <w:color w:val="auto"/>
              </w:rPr>
            </w:pPr>
            <w:r>
              <w:rPr>
                <w:rFonts w:ascii="Arial" w:cs="Arial" w:eastAsia="Arial" w:hAnsi="Arial"/>
                <w:sz w:val="13"/>
                <w:szCs w:val="13"/>
                <w:b w:val="1"/>
                <w:bCs w:val="1"/>
                <w:color w:val="FFFFFF"/>
              </w:rPr>
              <w:t>Name</w:t>
            </w:r>
          </w:p>
        </w:tc>
        <w:tc>
          <w:tcPr>
            <w:tcW w:w="4840" w:type="dxa"/>
            <w:vAlign w:val="bottom"/>
            <w:shd w:val="clear" w:color="auto" w:fill="BE0000"/>
          </w:tcPr>
          <w:p>
            <w:pPr>
              <w:jc w:val="center"/>
              <w:ind w:left="1970"/>
              <w:spacing w:after="0"/>
              <w:rPr>
                <w:sz w:val="20"/>
                <w:szCs w:val="20"/>
                <w:color w:val="auto"/>
              </w:rPr>
            </w:pPr>
            <w:r>
              <w:rPr>
                <w:rFonts w:ascii="Arial" w:cs="Arial" w:eastAsia="Arial" w:hAnsi="Arial"/>
                <w:sz w:val="13"/>
                <w:szCs w:val="13"/>
                <w:b w:val="1"/>
                <w:bCs w:val="1"/>
                <w:color w:val="FFFFFF"/>
              </w:rPr>
              <w:t>($)</w:t>
            </w:r>
          </w:p>
        </w:tc>
      </w:tr>
      <w:tr>
        <w:trPr>
          <w:trHeight w:val="184"/>
        </w:trPr>
        <w:tc>
          <w:tcPr>
            <w:tcW w:w="3300" w:type="dxa"/>
            <w:vAlign w:val="bottom"/>
            <w:gridSpan w:val="2"/>
          </w:tcPr>
          <w:p>
            <w:pPr>
              <w:spacing w:after="0"/>
              <w:rPr>
                <w:sz w:val="20"/>
                <w:szCs w:val="20"/>
                <w:color w:val="auto"/>
              </w:rPr>
            </w:pPr>
            <w:r>
              <w:rPr>
                <w:rFonts w:ascii="Arial" w:cs="Arial" w:eastAsia="Arial" w:hAnsi="Arial"/>
                <w:sz w:val="15"/>
                <w:szCs w:val="15"/>
                <w:color w:val="auto"/>
              </w:rPr>
              <w:t>Mr. Olson</w:t>
            </w:r>
          </w:p>
        </w:tc>
        <w:tc>
          <w:tcPr>
            <w:tcW w:w="4840" w:type="dxa"/>
            <w:vAlign w:val="bottom"/>
          </w:tcPr>
          <w:p>
            <w:pPr>
              <w:jc w:val="right"/>
              <w:spacing w:after="0"/>
              <w:rPr>
                <w:sz w:val="20"/>
                <w:szCs w:val="20"/>
                <w:color w:val="auto"/>
              </w:rPr>
            </w:pPr>
            <w:r>
              <w:rPr>
                <w:rFonts w:ascii="Arial" w:cs="Arial" w:eastAsia="Arial" w:hAnsi="Arial"/>
                <w:sz w:val="15"/>
                <w:szCs w:val="15"/>
                <w:color w:val="auto"/>
              </w:rPr>
              <w:t>3,813,120</w:t>
            </w:r>
          </w:p>
        </w:tc>
      </w:tr>
      <w:tr>
        <w:trPr>
          <w:trHeight w:val="184"/>
        </w:trPr>
        <w:tc>
          <w:tcPr>
            <w:tcW w:w="20" w:type="dxa"/>
            <w:vAlign w:val="bottom"/>
          </w:tcPr>
          <w:p>
            <w:pPr>
              <w:spacing w:after="0"/>
              <w:rPr>
                <w:sz w:val="15"/>
                <w:szCs w:val="15"/>
                <w:color w:val="auto"/>
              </w:rPr>
            </w:pPr>
          </w:p>
        </w:tc>
        <w:tc>
          <w:tcPr>
            <w:tcW w:w="328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48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929,448</w:t>
            </w:r>
          </w:p>
        </w:tc>
      </w:tr>
      <w:tr>
        <w:trPr>
          <w:trHeight w:val="184"/>
        </w:trPr>
        <w:tc>
          <w:tcPr>
            <w:tcW w:w="3300" w:type="dxa"/>
            <w:vAlign w:val="bottom"/>
            <w:gridSpan w:val="2"/>
          </w:tcPr>
          <w:p>
            <w:pPr>
              <w:spacing w:after="0"/>
              <w:rPr>
                <w:sz w:val="20"/>
                <w:szCs w:val="20"/>
                <w:color w:val="auto"/>
              </w:rPr>
            </w:pPr>
            <w:r>
              <w:rPr>
                <w:rFonts w:ascii="Arial" w:cs="Arial" w:eastAsia="Arial" w:hAnsi="Arial"/>
                <w:sz w:val="15"/>
                <w:szCs w:val="15"/>
                <w:color w:val="auto"/>
              </w:rPr>
              <w:t>Mr. Dordell</w:t>
            </w:r>
          </w:p>
        </w:tc>
        <w:tc>
          <w:tcPr>
            <w:tcW w:w="4840" w:type="dxa"/>
            <w:vAlign w:val="bottom"/>
          </w:tcPr>
          <w:p>
            <w:pPr>
              <w:jc w:val="right"/>
              <w:spacing w:after="0"/>
              <w:rPr>
                <w:sz w:val="20"/>
                <w:szCs w:val="20"/>
                <w:color w:val="auto"/>
              </w:rPr>
            </w:pPr>
            <w:r>
              <w:rPr>
                <w:rFonts w:ascii="Arial" w:cs="Arial" w:eastAsia="Arial" w:hAnsi="Arial"/>
                <w:sz w:val="15"/>
                <w:szCs w:val="15"/>
                <w:color w:val="auto"/>
              </w:rPr>
              <w:t>595,800</w:t>
            </w:r>
          </w:p>
        </w:tc>
      </w:tr>
      <w:tr>
        <w:trPr>
          <w:trHeight w:val="184"/>
        </w:trPr>
        <w:tc>
          <w:tcPr>
            <w:tcW w:w="20" w:type="dxa"/>
            <w:vAlign w:val="bottom"/>
          </w:tcPr>
          <w:p>
            <w:pPr>
              <w:spacing w:after="0"/>
              <w:rPr>
                <w:sz w:val="15"/>
                <w:szCs w:val="15"/>
                <w:color w:val="auto"/>
              </w:rPr>
            </w:pPr>
          </w:p>
        </w:tc>
        <w:tc>
          <w:tcPr>
            <w:tcW w:w="3280" w:type="dxa"/>
            <w:vAlign w:val="bottom"/>
            <w:shd w:val="clear" w:color="auto" w:fill="D9D9D9"/>
          </w:tcPr>
          <w:p>
            <w:pPr>
              <w:spacing w:after="0"/>
              <w:rPr>
                <w:sz w:val="20"/>
                <w:szCs w:val="20"/>
                <w:color w:val="auto"/>
              </w:rPr>
            </w:pPr>
            <w:r>
              <w:rPr>
                <w:rFonts w:ascii="Arial" w:cs="Arial" w:eastAsia="Arial" w:hAnsi="Arial"/>
                <w:sz w:val="15"/>
                <w:szCs w:val="15"/>
                <w:color w:val="auto"/>
              </w:rPr>
              <w:t>Mr. Hamilton</w:t>
            </w:r>
          </w:p>
        </w:tc>
        <w:tc>
          <w:tcPr>
            <w:tcW w:w="48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595,800</w:t>
            </w:r>
          </w:p>
        </w:tc>
      </w:tr>
      <w:tr>
        <w:trPr>
          <w:trHeight w:val="191"/>
        </w:trPr>
        <w:tc>
          <w:tcPr>
            <w:tcW w:w="3300" w:type="dxa"/>
            <w:vAlign w:val="bottom"/>
            <w:gridSpan w:val="2"/>
          </w:tcPr>
          <w:p>
            <w:pPr>
              <w:spacing w:after="0"/>
              <w:rPr>
                <w:sz w:val="20"/>
                <w:szCs w:val="20"/>
                <w:color w:val="auto"/>
              </w:rPr>
            </w:pPr>
            <w:r>
              <w:rPr>
                <w:rFonts w:ascii="Arial" w:cs="Arial" w:eastAsia="Arial" w:hAnsi="Arial"/>
                <w:sz w:val="15"/>
                <w:szCs w:val="15"/>
                <w:color w:val="auto"/>
              </w:rPr>
              <w:t>Mr. Rodier</w:t>
            </w:r>
          </w:p>
        </w:tc>
        <w:tc>
          <w:tcPr>
            <w:tcW w:w="4840" w:type="dxa"/>
            <w:vAlign w:val="bottom"/>
          </w:tcPr>
          <w:p>
            <w:pPr>
              <w:jc w:val="right"/>
              <w:spacing w:after="0"/>
              <w:rPr>
                <w:sz w:val="20"/>
                <w:szCs w:val="20"/>
                <w:color w:val="auto"/>
              </w:rPr>
            </w:pPr>
            <w:r>
              <w:rPr>
                <w:rFonts w:ascii="Arial" w:cs="Arial" w:eastAsia="Arial" w:hAnsi="Arial"/>
                <w:sz w:val="15"/>
                <w:szCs w:val="15"/>
                <w:color w:val="auto"/>
              </w:rPr>
              <w:t>250,236</w:t>
            </w:r>
          </w:p>
        </w:tc>
      </w:tr>
    </w:tbl>
    <w:p>
      <w:pPr>
        <w:spacing w:after="0" w:line="41" w:lineRule="exact"/>
        <w:rPr>
          <w:sz w:val="20"/>
          <w:szCs w:val="20"/>
          <w:color w:val="auto"/>
        </w:rPr>
      </w:pPr>
    </w:p>
    <w:p>
      <w:pPr>
        <w:ind w:left="402" w:right="320" w:hanging="402"/>
        <w:spacing w:after="0" w:line="255" w:lineRule="auto"/>
        <w:tabs>
          <w:tab w:leader="none" w:pos="40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reported represent the grant date fair value, computed in accordance with FASB ASC Topic 718, of option awards granted each fiscal year. Summarized in the table below are the specific assumptions used in the valuation of the option awards previously granted.</w:t>
      </w:r>
    </w:p>
    <w:p>
      <w:pPr>
        <w:spacing w:after="0" w:line="22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56" w:name="page57"/>
    <w:bookmarkEnd w:id="56"/>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6" w:lineRule="exact"/>
        <w:rPr>
          <w:sz w:val="20"/>
          <w:szCs w:val="20"/>
          <w:color w:val="auto"/>
        </w:rPr>
      </w:pPr>
    </w:p>
    <w:tbl>
      <w:tblPr>
        <w:tblLayout w:type="fixed"/>
        <w:tblInd w:w="462" w:type="dxa"/>
        <w:tblCellMar>
          <w:top w:w="0" w:type="dxa"/>
          <w:left w:w="0" w:type="dxa"/>
          <w:bottom w:w="0" w:type="dxa"/>
          <w:right w:w="0" w:type="dxa"/>
        </w:tblCellMar>
      </w:tblPr>
      <w:tr>
        <w:trPr>
          <w:trHeight w:val="149"/>
        </w:trPr>
        <w:tc>
          <w:tcPr>
            <w:tcW w:w="2140" w:type="dxa"/>
            <w:vAlign w:val="bottom"/>
            <w:shd w:val="clear" w:color="auto" w:fill="C00000"/>
          </w:tcPr>
          <w:p>
            <w:pPr>
              <w:spacing w:after="0"/>
              <w:rPr>
                <w:sz w:val="13"/>
                <w:szCs w:val="13"/>
                <w:color w:val="auto"/>
              </w:rPr>
            </w:pPr>
          </w:p>
        </w:tc>
        <w:tc>
          <w:tcPr>
            <w:tcW w:w="2000" w:type="dxa"/>
            <w:vAlign w:val="bottom"/>
            <w:shd w:val="clear" w:color="auto" w:fill="C00000"/>
          </w:tcPr>
          <w:p>
            <w:pPr>
              <w:spacing w:after="0"/>
              <w:rPr>
                <w:sz w:val="13"/>
                <w:szCs w:val="13"/>
                <w:color w:val="auto"/>
              </w:rPr>
            </w:pPr>
          </w:p>
        </w:tc>
        <w:tc>
          <w:tcPr>
            <w:tcW w:w="720" w:type="dxa"/>
            <w:vAlign w:val="bottom"/>
            <w:shd w:val="clear" w:color="auto" w:fill="C00000"/>
          </w:tcPr>
          <w:p>
            <w:pPr>
              <w:spacing w:after="0"/>
              <w:rPr>
                <w:sz w:val="13"/>
                <w:szCs w:val="13"/>
                <w:color w:val="auto"/>
              </w:rPr>
            </w:pPr>
          </w:p>
        </w:tc>
        <w:tc>
          <w:tcPr>
            <w:tcW w:w="1600" w:type="dxa"/>
            <w:vAlign w:val="bottom"/>
            <w:shd w:val="clear" w:color="auto" w:fill="C00000"/>
          </w:tcPr>
          <w:p>
            <w:pPr>
              <w:spacing w:after="0"/>
              <w:rPr>
                <w:sz w:val="13"/>
                <w:szCs w:val="13"/>
                <w:color w:val="auto"/>
              </w:rPr>
            </w:pPr>
          </w:p>
        </w:tc>
        <w:tc>
          <w:tcPr>
            <w:tcW w:w="1500" w:type="dxa"/>
            <w:vAlign w:val="bottom"/>
            <w:shd w:val="clear" w:color="auto" w:fill="C00000"/>
          </w:tcPr>
          <w:p>
            <w:pPr>
              <w:spacing w:after="0"/>
              <w:rPr>
                <w:sz w:val="13"/>
                <w:szCs w:val="13"/>
                <w:color w:val="auto"/>
              </w:rPr>
            </w:pPr>
          </w:p>
        </w:tc>
        <w:tc>
          <w:tcPr>
            <w:tcW w:w="1620" w:type="dxa"/>
            <w:vAlign w:val="bottom"/>
            <w:shd w:val="clear" w:color="auto" w:fill="C00000"/>
          </w:tcPr>
          <w:p>
            <w:pPr>
              <w:spacing w:after="0"/>
              <w:rPr>
                <w:sz w:val="13"/>
                <w:szCs w:val="13"/>
                <w:color w:val="auto"/>
              </w:rPr>
            </w:pPr>
          </w:p>
        </w:tc>
        <w:tc>
          <w:tcPr>
            <w:tcW w:w="138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8"/>
              </w:rPr>
              <w:t>Per Share</w:t>
            </w:r>
          </w:p>
        </w:tc>
      </w:tr>
      <w:tr>
        <w:trPr>
          <w:trHeight w:val="147"/>
        </w:trPr>
        <w:tc>
          <w:tcPr>
            <w:tcW w:w="2140" w:type="dxa"/>
            <w:vAlign w:val="bottom"/>
            <w:shd w:val="clear" w:color="auto" w:fill="C00000"/>
          </w:tcPr>
          <w:p>
            <w:pPr>
              <w:spacing w:after="0"/>
              <w:rPr>
                <w:sz w:val="12"/>
                <w:szCs w:val="12"/>
                <w:color w:val="auto"/>
              </w:rPr>
            </w:pPr>
          </w:p>
        </w:tc>
        <w:tc>
          <w:tcPr>
            <w:tcW w:w="2000" w:type="dxa"/>
            <w:vAlign w:val="bottom"/>
            <w:shd w:val="clear" w:color="auto" w:fill="C00000"/>
          </w:tcPr>
          <w:p>
            <w:pPr>
              <w:jc w:val="center"/>
              <w:ind w:left="1355"/>
              <w:spacing w:after="0" w:line="148" w:lineRule="exact"/>
              <w:rPr>
                <w:sz w:val="20"/>
                <w:szCs w:val="20"/>
                <w:color w:val="auto"/>
              </w:rPr>
            </w:pPr>
            <w:r>
              <w:rPr>
                <w:rFonts w:ascii="Arial" w:cs="Arial" w:eastAsia="Arial" w:hAnsi="Arial"/>
                <w:sz w:val="13"/>
                <w:szCs w:val="13"/>
                <w:b w:val="1"/>
                <w:bCs w:val="1"/>
                <w:color w:val="FFFFFF"/>
                <w:w w:val="99"/>
              </w:rPr>
              <w:t>Risk Free</w:t>
            </w:r>
          </w:p>
        </w:tc>
        <w:tc>
          <w:tcPr>
            <w:tcW w:w="720" w:type="dxa"/>
            <w:vAlign w:val="bottom"/>
            <w:shd w:val="clear" w:color="auto" w:fill="C00000"/>
          </w:tcPr>
          <w:p>
            <w:pPr>
              <w:spacing w:after="0"/>
              <w:rPr>
                <w:sz w:val="12"/>
                <w:szCs w:val="12"/>
                <w:color w:val="auto"/>
              </w:rPr>
            </w:pPr>
          </w:p>
        </w:tc>
        <w:tc>
          <w:tcPr>
            <w:tcW w:w="1600" w:type="dxa"/>
            <w:vAlign w:val="bottom"/>
            <w:shd w:val="clear" w:color="auto" w:fill="C00000"/>
          </w:tcPr>
          <w:p>
            <w:pPr>
              <w:jc w:val="center"/>
              <w:ind w:right="350"/>
              <w:spacing w:after="0" w:line="148" w:lineRule="exact"/>
              <w:rPr>
                <w:sz w:val="20"/>
                <w:szCs w:val="20"/>
                <w:color w:val="auto"/>
              </w:rPr>
            </w:pPr>
            <w:r>
              <w:rPr>
                <w:rFonts w:ascii="Arial" w:cs="Arial" w:eastAsia="Arial" w:hAnsi="Arial"/>
                <w:sz w:val="13"/>
                <w:szCs w:val="13"/>
                <w:b w:val="1"/>
                <w:bCs w:val="1"/>
                <w:color w:val="FFFFFF"/>
              </w:rPr>
              <w:t>Expected</w:t>
            </w:r>
          </w:p>
        </w:tc>
        <w:tc>
          <w:tcPr>
            <w:tcW w:w="1500" w:type="dxa"/>
            <w:vAlign w:val="bottom"/>
            <w:shd w:val="clear" w:color="auto" w:fill="C00000"/>
          </w:tcPr>
          <w:p>
            <w:pPr>
              <w:jc w:val="right"/>
              <w:ind w:right="570"/>
              <w:spacing w:after="0" w:line="148" w:lineRule="exact"/>
              <w:rPr>
                <w:sz w:val="20"/>
                <w:szCs w:val="20"/>
                <w:color w:val="auto"/>
              </w:rPr>
            </w:pPr>
            <w:r>
              <w:rPr>
                <w:rFonts w:ascii="Arial" w:cs="Arial" w:eastAsia="Arial" w:hAnsi="Arial"/>
                <w:sz w:val="13"/>
                <w:szCs w:val="13"/>
                <w:b w:val="1"/>
                <w:bCs w:val="1"/>
                <w:color w:val="FFFFFF"/>
              </w:rPr>
              <w:t>Expected</w:t>
            </w:r>
          </w:p>
        </w:tc>
        <w:tc>
          <w:tcPr>
            <w:tcW w:w="1620" w:type="dxa"/>
            <w:vAlign w:val="bottom"/>
            <w:shd w:val="clear" w:color="auto" w:fill="C00000"/>
          </w:tcPr>
          <w:p>
            <w:pPr>
              <w:jc w:val="right"/>
              <w:ind w:right="590"/>
              <w:spacing w:after="0" w:line="148" w:lineRule="exact"/>
              <w:rPr>
                <w:sz w:val="20"/>
                <w:szCs w:val="20"/>
                <w:color w:val="auto"/>
              </w:rPr>
            </w:pPr>
            <w:r>
              <w:rPr>
                <w:rFonts w:ascii="Arial" w:cs="Arial" w:eastAsia="Arial" w:hAnsi="Arial"/>
                <w:sz w:val="13"/>
                <w:szCs w:val="13"/>
                <w:b w:val="1"/>
                <w:bCs w:val="1"/>
                <w:color w:val="FFFFFF"/>
              </w:rPr>
              <w:t>Expected</w:t>
            </w:r>
          </w:p>
        </w:tc>
        <w:tc>
          <w:tcPr>
            <w:tcW w:w="138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b w:val="1"/>
                <w:bCs w:val="1"/>
                <w:color w:val="FFFFFF"/>
                <w:w w:val="98"/>
              </w:rPr>
              <w:t>Black-Scholes</w:t>
            </w:r>
          </w:p>
        </w:tc>
      </w:tr>
      <w:tr>
        <w:trPr>
          <w:trHeight w:val="159"/>
        </w:trPr>
        <w:tc>
          <w:tcPr>
            <w:tcW w:w="214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Grant Date</w:t>
            </w:r>
          </w:p>
        </w:tc>
        <w:tc>
          <w:tcPr>
            <w:tcW w:w="2000" w:type="dxa"/>
            <w:vAlign w:val="bottom"/>
            <w:shd w:val="clear" w:color="auto" w:fill="C00000"/>
          </w:tcPr>
          <w:p>
            <w:pPr>
              <w:jc w:val="center"/>
              <w:ind w:left="1355"/>
              <w:spacing w:after="0"/>
              <w:rPr>
                <w:sz w:val="20"/>
                <w:szCs w:val="20"/>
                <w:color w:val="auto"/>
              </w:rPr>
            </w:pPr>
            <w:r>
              <w:rPr>
                <w:rFonts w:ascii="Arial" w:cs="Arial" w:eastAsia="Arial" w:hAnsi="Arial"/>
                <w:sz w:val="13"/>
                <w:szCs w:val="13"/>
                <w:b w:val="1"/>
                <w:bCs w:val="1"/>
                <w:color w:val="FFFFFF"/>
              </w:rPr>
              <w:t>Rate</w:t>
            </w:r>
          </w:p>
        </w:tc>
        <w:tc>
          <w:tcPr>
            <w:tcW w:w="720" w:type="dxa"/>
            <w:vAlign w:val="bottom"/>
            <w:shd w:val="clear" w:color="auto" w:fill="C00000"/>
          </w:tcPr>
          <w:p>
            <w:pPr>
              <w:spacing w:after="0"/>
              <w:rPr>
                <w:sz w:val="13"/>
                <w:szCs w:val="13"/>
                <w:color w:val="auto"/>
              </w:rPr>
            </w:pPr>
          </w:p>
        </w:tc>
        <w:tc>
          <w:tcPr>
            <w:tcW w:w="1600" w:type="dxa"/>
            <w:vAlign w:val="bottom"/>
            <w:shd w:val="clear" w:color="auto" w:fill="C00000"/>
          </w:tcPr>
          <w:p>
            <w:pPr>
              <w:jc w:val="center"/>
              <w:ind w:right="370"/>
              <w:spacing w:after="0"/>
              <w:rPr>
                <w:sz w:val="20"/>
                <w:szCs w:val="20"/>
                <w:color w:val="auto"/>
              </w:rPr>
            </w:pPr>
            <w:r>
              <w:rPr>
                <w:rFonts w:ascii="Arial" w:cs="Arial" w:eastAsia="Arial" w:hAnsi="Arial"/>
                <w:sz w:val="13"/>
                <w:szCs w:val="13"/>
                <w:b w:val="1"/>
                <w:bCs w:val="1"/>
                <w:color w:val="FFFFFF"/>
              </w:rPr>
              <w:t>Life</w:t>
            </w:r>
          </w:p>
        </w:tc>
        <w:tc>
          <w:tcPr>
            <w:tcW w:w="1500" w:type="dxa"/>
            <w:vAlign w:val="bottom"/>
            <w:shd w:val="clear" w:color="auto" w:fill="C00000"/>
          </w:tcPr>
          <w:p>
            <w:pPr>
              <w:jc w:val="right"/>
              <w:ind w:right="590"/>
              <w:spacing w:after="0"/>
              <w:rPr>
                <w:sz w:val="20"/>
                <w:szCs w:val="20"/>
                <w:color w:val="auto"/>
              </w:rPr>
            </w:pPr>
            <w:r>
              <w:rPr>
                <w:rFonts w:ascii="Arial" w:cs="Arial" w:eastAsia="Arial" w:hAnsi="Arial"/>
                <w:sz w:val="13"/>
                <w:szCs w:val="13"/>
                <w:b w:val="1"/>
                <w:bCs w:val="1"/>
                <w:color w:val="FFFFFF"/>
              </w:rPr>
              <w:t>Volatility</w:t>
            </w:r>
          </w:p>
        </w:tc>
        <w:tc>
          <w:tcPr>
            <w:tcW w:w="1620" w:type="dxa"/>
            <w:vAlign w:val="bottom"/>
            <w:shd w:val="clear" w:color="auto" w:fill="C00000"/>
          </w:tcPr>
          <w:p>
            <w:pPr>
              <w:jc w:val="right"/>
              <w:ind w:right="430"/>
              <w:spacing w:after="0"/>
              <w:rPr>
                <w:sz w:val="20"/>
                <w:szCs w:val="20"/>
                <w:color w:val="auto"/>
              </w:rPr>
            </w:pPr>
            <w:r>
              <w:rPr>
                <w:rFonts w:ascii="Arial" w:cs="Arial" w:eastAsia="Arial" w:hAnsi="Arial"/>
                <w:sz w:val="13"/>
                <w:szCs w:val="13"/>
                <w:b w:val="1"/>
                <w:bCs w:val="1"/>
                <w:color w:val="FFFFFF"/>
              </w:rPr>
              <w:t>Dividend Yield</w:t>
            </w:r>
          </w:p>
        </w:tc>
        <w:tc>
          <w:tcPr>
            <w:tcW w:w="138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7"/>
              </w:rPr>
              <w:t>Value</w:t>
            </w:r>
          </w:p>
        </w:tc>
      </w:tr>
      <w:tr>
        <w:trPr>
          <w:trHeight w:val="184"/>
        </w:trPr>
        <w:tc>
          <w:tcPr>
            <w:tcW w:w="2140" w:type="dxa"/>
            <w:vAlign w:val="bottom"/>
          </w:tcPr>
          <w:p>
            <w:pPr>
              <w:spacing w:after="0"/>
              <w:rPr>
                <w:sz w:val="20"/>
                <w:szCs w:val="20"/>
                <w:color w:val="auto"/>
              </w:rPr>
            </w:pPr>
            <w:r>
              <w:rPr>
                <w:rFonts w:ascii="Arial" w:cs="Arial" w:eastAsia="Arial" w:hAnsi="Arial"/>
                <w:sz w:val="15"/>
                <w:szCs w:val="15"/>
                <w:color w:val="auto"/>
              </w:rPr>
              <w:t>12/07/2018</w:t>
            </w:r>
          </w:p>
        </w:tc>
        <w:tc>
          <w:tcPr>
            <w:tcW w:w="2000" w:type="dxa"/>
            <w:vAlign w:val="bottom"/>
          </w:tcPr>
          <w:p>
            <w:pPr>
              <w:spacing w:after="0"/>
              <w:rPr>
                <w:sz w:val="15"/>
                <w:szCs w:val="15"/>
                <w:color w:val="auto"/>
              </w:rPr>
            </w:pPr>
          </w:p>
        </w:tc>
        <w:tc>
          <w:tcPr>
            <w:tcW w:w="720" w:type="dxa"/>
            <w:vAlign w:val="bottom"/>
          </w:tcPr>
          <w:p>
            <w:pPr>
              <w:jc w:val="right"/>
              <w:ind w:right="226"/>
              <w:spacing w:after="0"/>
              <w:rPr>
                <w:sz w:val="20"/>
                <w:szCs w:val="20"/>
                <w:color w:val="auto"/>
              </w:rPr>
            </w:pPr>
            <w:r>
              <w:rPr>
                <w:rFonts w:ascii="Arial" w:cs="Arial" w:eastAsia="Arial" w:hAnsi="Arial"/>
                <w:sz w:val="15"/>
                <w:szCs w:val="15"/>
                <w:color w:val="auto"/>
                <w:w w:val="93"/>
              </w:rPr>
              <w:t>2.72%</w:t>
            </w:r>
          </w:p>
        </w:tc>
        <w:tc>
          <w:tcPr>
            <w:tcW w:w="1600" w:type="dxa"/>
            <w:vAlign w:val="bottom"/>
          </w:tcPr>
          <w:p>
            <w:pPr>
              <w:ind w:left="680"/>
              <w:spacing w:after="0"/>
              <w:rPr>
                <w:sz w:val="20"/>
                <w:szCs w:val="20"/>
                <w:color w:val="auto"/>
              </w:rPr>
            </w:pPr>
            <w:r>
              <w:rPr>
                <w:rFonts w:ascii="Arial" w:cs="Arial" w:eastAsia="Arial" w:hAnsi="Arial"/>
                <w:sz w:val="15"/>
                <w:szCs w:val="15"/>
                <w:color w:val="auto"/>
              </w:rPr>
              <w:t>5.7 years</w:t>
            </w:r>
          </w:p>
        </w:tc>
        <w:tc>
          <w:tcPr>
            <w:tcW w:w="1500" w:type="dxa"/>
            <w:vAlign w:val="bottom"/>
          </w:tcPr>
          <w:p>
            <w:pPr>
              <w:jc w:val="right"/>
              <w:ind w:right="150"/>
              <w:spacing w:after="0"/>
              <w:rPr>
                <w:sz w:val="20"/>
                <w:szCs w:val="20"/>
                <w:color w:val="auto"/>
              </w:rPr>
            </w:pPr>
            <w:r>
              <w:rPr>
                <w:rFonts w:ascii="Arial" w:cs="Arial" w:eastAsia="Arial" w:hAnsi="Arial"/>
                <w:sz w:val="15"/>
                <w:szCs w:val="15"/>
                <w:color w:val="auto"/>
              </w:rPr>
              <w:t>19.35%</w:t>
            </w:r>
          </w:p>
        </w:tc>
        <w:tc>
          <w:tcPr>
            <w:tcW w:w="1620" w:type="dxa"/>
            <w:vAlign w:val="bottom"/>
          </w:tcPr>
          <w:p>
            <w:pPr>
              <w:jc w:val="right"/>
              <w:ind w:right="150"/>
              <w:spacing w:after="0"/>
              <w:rPr>
                <w:sz w:val="20"/>
                <w:szCs w:val="20"/>
                <w:color w:val="auto"/>
              </w:rPr>
            </w:pPr>
            <w:r>
              <w:rPr>
                <w:rFonts w:ascii="Arial" w:cs="Arial" w:eastAsia="Arial" w:hAnsi="Arial"/>
                <w:sz w:val="15"/>
                <w:szCs w:val="15"/>
                <w:color w:val="auto"/>
              </w:rPr>
              <w:t>1.19%</w:t>
            </w:r>
          </w:p>
        </w:tc>
        <w:tc>
          <w:tcPr>
            <w:tcW w:w="1380" w:type="dxa"/>
            <w:vAlign w:val="bottom"/>
          </w:tcPr>
          <w:p>
            <w:pPr>
              <w:jc w:val="right"/>
              <w:spacing w:after="0"/>
              <w:rPr>
                <w:sz w:val="20"/>
                <w:szCs w:val="20"/>
                <w:color w:val="auto"/>
              </w:rPr>
            </w:pPr>
            <w:r>
              <w:rPr>
                <w:rFonts w:ascii="Arial" w:cs="Arial" w:eastAsia="Arial" w:hAnsi="Arial"/>
                <w:sz w:val="15"/>
                <w:szCs w:val="15"/>
                <w:color w:val="auto"/>
              </w:rPr>
              <w:t>$12.01</w:t>
            </w:r>
          </w:p>
        </w:tc>
      </w:tr>
      <w:tr>
        <w:trPr>
          <w:trHeight w:val="184"/>
        </w:trPr>
        <w:tc>
          <w:tcPr>
            <w:tcW w:w="2140" w:type="dxa"/>
            <w:vAlign w:val="bottom"/>
            <w:shd w:val="clear" w:color="auto" w:fill="D9D9D9"/>
          </w:tcPr>
          <w:p>
            <w:pPr>
              <w:spacing w:after="0"/>
              <w:rPr>
                <w:sz w:val="20"/>
                <w:szCs w:val="20"/>
                <w:color w:val="auto"/>
              </w:rPr>
            </w:pPr>
            <w:r>
              <w:rPr>
                <w:rFonts w:ascii="Arial" w:cs="Arial" w:eastAsia="Arial" w:hAnsi="Arial"/>
                <w:sz w:val="15"/>
                <w:szCs w:val="15"/>
                <w:color w:val="auto"/>
              </w:rPr>
              <w:t>12/08/2017</w:t>
            </w:r>
          </w:p>
        </w:tc>
        <w:tc>
          <w:tcPr>
            <w:tcW w:w="2000" w:type="dxa"/>
            <w:vAlign w:val="bottom"/>
            <w:shd w:val="clear" w:color="auto" w:fill="D9D9D9"/>
          </w:tcPr>
          <w:p>
            <w:pPr>
              <w:spacing w:after="0"/>
              <w:rPr>
                <w:sz w:val="15"/>
                <w:szCs w:val="15"/>
                <w:color w:val="auto"/>
              </w:rPr>
            </w:pPr>
          </w:p>
        </w:tc>
        <w:tc>
          <w:tcPr>
            <w:tcW w:w="720" w:type="dxa"/>
            <w:vAlign w:val="bottom"/>
            <w:shd w:val="clear" w:color="auto" w:fill="D9D9D9"/>
          </w:tcPr>
          <w:p>
            <w:pPr>
              <w:jc w:val="right"/>
              <w:ind w:right="226"/>
              <w:spacing w:after="0"/>
              <w:rPr>
                <w:sz w:val="20"/>
                <w:szCs w:val="20"/>
                <w:color w:val="auto"/>
              </w:rPr>
            </w:pPr>
            <w:r>
              <w:rPr>
                <w:rFonts w:ascii="Arial" w:cs="Arial" w:eastAsia="Arial" w:hAnsi="Arial"/>
                <w:sz w:val="15"/>
                <w:szCs w:val="15"/>
                <w:color w:val="auto"/>
                <w:w w:val="93"/>
              </w:rPr>
              <w:t>2.24%</w:t>
            </w:r>
          </w:p>
        </w:tc>
        <w:tc>
          <w:tcPr>
            <w:tcW w:w="1600" w:type="dxa"/>
            <w:vAlign w:val="bottom"/>
            <w:shd w:val="clear" w:color="auto" w:fill="D9D9D9"/>
          </w:tcPr>
          <w:p>
            <w:pPr>
              <w:ind w:left="680"/>
              <w:spacing w:after="0"/>
              <w:rPr>
                <w:sz w:val="20"/>
                <w:szCs w:val="20"/>
                <w:color w:val="auto"/>
              </w:rPr>
            </w:pPr>
            <w:r>
              <w:rPr>
                <w:rFonts w:ascii="Arial" w:cs="Arial" w:eastAsia="Arial" w:hAnsi="Arial"/>
                <w:sz w:val="15"/>
                <w:szCs w:val="15"/>
                <w:color w:val="auto"/>
              </w:rPr>
              <w:t>6.3 years</w:t>
            </w:r>
          </w:p>
        </w:tc>
        <w:tc>
          <w:tcPr>
            <w:tcW w:w="1500" w:type="dxa"/>
            <w:vAlign w:val="bottom"/>
            <w:shd w:val="clear" w:color="auto" w:fill="D9D9D9"/>
          </w:tcPr>
          <w:p>
            <w:pPr>
              <w:jc w:val="right"/>
              <w:ind w:right="150"/>
              <w:spacing w:after="0"/>
              <w:rPr>
                <w:sz w:val="20"/>
                <w:szCs w:val="20"/>
                <w:color w:val="auto"/>
              </w:rPr>
            </w:pPr>
            <w:r>
              <w:rPr>
                <w:rFonts w:ascii="Arial" w:cs="Arial" w:eastAsia="Arial" w:hAnsi="Arial"/>
                <w:sz w:val="15"/>
                <w:szCs w:val="15"/>
                <w:color w:val="auto"/>
              </w:rPr>
              <w:t>21.07%</w:t>
            </w:r>
          </w:p>
        </w:tc>
        <w:tc>
          <w:tcPr>
            <w:tcW w:w="1620" w:type="dxa"/>
            <w:vAlign w:val="bottom"/>
            <w:shd w:val="clear" w:color="auto" w:fill="D9D9D9"/>
          </w:tcPr>
          <w:p>
            <w:pPr>
              <w:jc w:val="right"/>
              <w:ind w:right="150"/>
              <w:spacing w:after="0"/>
              <w:rPr>
                <w:sz w:val="20"/>
                <w:szCs w:val="20"/>
                <w:color w:val="auto"/>
              </w:rPr>
            </w:pPr>
            <w:r>
              <w:rPr>
                <w:rFonts w:ascii="Arial" w:cs="Arial" w:eastAsia="Arial" w:hAnsi="Arial"/>
                <w:sz w:val="15"/>
                <w:szCs w:val="15"/>
                <w:color w:val="auto"/>
              </w:rPr>
              <w:t>0.96%</w:t>
            </w:r>
          </w:p>
        </w:tc>
        <w:tc>
          <w:tcPr>
            <w:tcW w:w="13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$14.96</w:t>
            </w:r>
          </w:p>
        </w:tc>
      </w:tr>
      <w:tr>
        <w:trPr>
          <w:trHeight w:val="191"/>
        </w:trPr>
        <w:tc>
          <w:tcPr>
            <w:tcW w:w="2140" w:type="dxa"/>
            <w:vAlign w:val="bottom"/>
          </w:tcPr>
          <w:p>
            <w:pPr>
              <w:spacing w:after="0"/>
              <w:rPr>
                <w:sz w:val="20"/>
                <w:szCs w:val="20"/>
                <w:color w:val="auto"/>
              </w:rPr>
            </w:pPr>
            <w:r>
              <w:rPr>
                <w:rFonts w:ascii="Arial" w:cs="Arial" w:eastAsia="Arial" w:hAnsi="Arial"/>
                <w:sz w:val="15"/>
                <w:szCs w:val="15"/>
                <w:color w:val="auto"/>
              </w:rPr>
              <w:t>12/09/2016</w:t>
            </w:r>
          </w:p>
        </w:tc>
        <w:tc>
          <w:tcPr>
            <w:tcW w:w="2000" w:type="dxa"/>
            <w:vAlign w:val="bottom"/>
          </w:tcPr>
          <w:p>
            <w:pPr>
              <w:spacing w:after="0"/>
              <w:rPr>
                <w:sz w:val="16"/>
                <w:szCs w:val="16"/>
                <w:color w:val="auto"/>
              </w:rPr>
            </w:pPr>
          </w:p>
        </w:tc>
        <w:tc>
          <w:tcPr>
            <w:tcW w:w="720" w:type="dxa"/>
            <w:vAlign w:val="bottom"/>
          </w:tcPr>
          <w:p>
            <w:pPr>
              <w:jc w:val="right"/>
              <w:ind w:right="226"/>
              <w:spacing w:after="0"/>
              <w:rPr>
                <w:sz w:val="20"/>
                <w:szCs w:val="20"/>
                <w:color w:val="auto"/>
              </w:rPr>
            </w:pPr>
            <w:r>
              <w:rPr>
                <w:rFonts w:ascii="Arial" w:cs="Arial" w:eastAsia="Arial" w:hAnsi="Arial"/>
                <w:sz w:val="15"/>
                <w:szCs w:val="15"/>
                <w:color w:val="auto"/>
                <w:w w:val="93"/>
              </w:rPr>
              <w:t>2.13%</w:t>
            </w:r>
          </w:p>
        </w:tc>
        <w:tc>
          <w:tcPr>
            <w:tcW w:w="1600" w:type="dxa"/>
            <w:vAlign w:val="bottom"/>
          </w:tcPr>
          <w:p>
            <w:pPr>
              <w:ind w:left="680"/>
              <w:spacing w:after="0"/>
              <w:rPr>
                <w:sz w:val="20"/>
                <w:szCs w:val="20"/>
                <w:color w:val="auto"/>
              </w:rPr>
            </w:pPr>
            <w:r>
              <w:rPr>
                <w:rFonts w:ascii="Arial" w:cs="Arial" w:eastAsia="Arial" w:hAnsi="Arial"/>
                <w:sz w:val="15"/>
                <w:szCs w:val="15"/>
                <w:color w:val="auto"/>
              </w:rPr>
              <w:t>6.3 years</w:t>
            </w:r>
          </w:p>
        </w:tc>
        <w:tc>
          <w:tcPr>
            <w:tcW w:w="1500" w:type="dxa"/>
            <w:vAlign w:val="bottom"/>
          </w:tcPr>
          <w:p>
            <w:pPr>
              <w:jc w:val="right"/>
              <w:ind w:right="150"/>
              <w:spacing w:after="0"/>
              <w:rPr>
                <w:sz w:val="20"/>
                <w:szCs w:val="20"/>
                <w:color w:val="auto"/>
              </w:rPr>
            </w:pPr>
            <w:r>
              <w:rPr>
                <w:rFonts w:ascii="Arial" w:cs="Arial" w:eastAsia="Arial" w:hAnsi="Arial"/>
                <w:sz w:val="15"/>
                <w:szCs w:val="15"/>
                <w:color w:val="auto"/>
              </w:rPr>
              <w:t>22.37%</w:t>
            </w:r>
          </w:p>
        </w:tc>
        <w:tc>
          <w:tcPr>
            <w:tcW w:w="1620" w:type="dxa"/>
            <w:vAlign w:val="bottom"/>
          </w:tcPr>
          <w:p>
            <w:pPr>
              <w:jc w:val="right"/>
              <w:ind w:right="150"/>
              <w:spacing w:after="0"/>
              <w:rPr>
                <w:sz w:val="20"/>
                <w:szCs w:val="20"/>
                <w:color w:val="auto"/>
              </w:rPr>
            </w:pPr>
            <w:r>
              <w:rPr>
                <w:rFonts w:ascii="Arial" w:cs="Arial" w:eastAsia="Arial" w:hAnsi="Arial"/>
                <w:sz w:val="15"/>
                <w:szCs w:val="15"/>
                <w:color w:val="auto"/>
              </w:rPr>
              <w:t>0.97%</w:t>
            </w:r>
          </w:p>
        </w:tc>
        <w:tc>
          <w:tcPr>
            <w:tcW w:w="1380" w:type="dxa"/>
            <w:vAlign w:val="bottom"/>
          </w:tcPr>
          <w:p>
            <w:pPr>
              <w:jc w:val="right"/>
              <w:spacing w:after="0"/>
              <w:rPr>
                <w:sz w:val="20"/>
                <w:szCs w:val="20"/>
                <w:color w:val="auto"/>
              </w:rPr>
            </w:pPr>
            <w:r>
              <w:rPr>
                <w:rFonts w:ascii="Arial" w:cs="Arial" w:eastAsia="Arial" w:hAnsi="Arial"/>
                <w:sz w:val="15"/>
                <w:szCs w:val="15"/>
                <w:color w:val="auto"/>
              </w:rPr>
              <w:t>$13.29</w:t>
            </w:r>
          </w:p>
        </w:tc>
      </w:tr>
    </w:tbl>
    <w:p>
      <w:pPr>
        <w:spacing w:after="0" w:line="41" w:lineRule="exact"/>
        <w:rPr>
          <w:sz w:val="20"/>
          <w:szCs w:val="20"/>
          <w:color w:val="auto"/>
        </w:rPr>
      </w:pPr>
    </w:p>
    <w:p>
      <w:pPr>
        <w:ind w:left="402" w:right="140" w:hanging="402"/>
        <w:spacing w:after="0" w:line="247" w:lineRule="auto"/>
        <w:tabs>
          <w:tab w:leader="none" w:pos="4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reported represent annual cash incentive awards earned for each fiscal year, but paid during the following fiscal year or deferred. Annual cash incentive awards are calculated and paid based on performance against financial performance goals. Additional detail regarding our annual cash incentives is set forth in the “Annual Cash Incentives—Actual Cash Compensation Discussion and Analysis” beginning on page 37.</w:t>
      </w:r>
    </w:p>
    <w:p>
      <w:pPr>
        <w:spacing w:after="0" w:line="69" w:lineRule="exact"/>
        <w:rPr>
          <w:rFonts w:ascii="Arial" w:cs="Arial" w:eastAsia="Arial" w:hAnsi="Arial"/>
          <w:sz w:val="16"/>
          <w:szCs w:val="16"/>
          <w:color w:val="auto"/>
        </w:rPr>
      </w:pPr>
    </w:p>
    <w:p>
      <w:pPr>
        <w:ind w:left="402" w:hanging="402"/>
        <w:spacing w:after="0"/>
        <w:tabs>
          <w:tab w:leader="none" w:pos="4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for fiscal 2019 are set forth below under “All Other Compensation for Fiscal 2019.”</w:t>
      </w:r>
    </w:p>
    <w:p>
      <w:pPr>
        <w:spacing w:after="0" w:line="85" w:lineRule="exact"/>
        <w:rPr>
          <w:rFonts w:ascii="Arial" w:cs="Arial" w:eastAsia="Arial" w:hAnsi="Arial"/>
          <w:sz w:val="16"/>
          <w:szCs w:val="16"/>
          <w:color w:val="auto"/>
        </w:rPr>
      </w:pPr>
    </w:p>
    <w:p>
      <w:pPr>
        <w:ind w:left="402" w:hanging="402"/>
        <w:spacing w:after="0"/>
        <w:tabs>
          <w:tab w:leader="none" w:pos="4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Mr. Dordell retired from our Company on January 10, 2020.</w:t>
      </w:r>
    </w:p>
    <w:p>
      <w:pPr>
        <w:spacing w:after="0" w:line="85" w:lineRule="exact"/>
        <w:rPr>
          <w:rFonts w:ascii="Arial" w:cs="Arial" w:eastAsia="Arial" w:hAnsi="Arial"/>
          <w:sz w:val="16"/>
          <w:szCs w:val="16"/>
          <w:color w:val="auto"/>
        </w:rPr>
      </w:pPr>
    </w:p>
    <w:p>
      <w:pPr>
        <w:ind w:left="402" w:hanging="402"/>
        <w:spacing w:after="0"/>
        <w:tabs>
          <w:tab w:leader="none" w:pos="4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Mr. Hamilton was not a named executive officer in fiscal 2017; therefore, his information is provided only for fiscal 2018 and fiscal 2019.</w:t>
      </w:r>
    </w:p>
    <w:p>
      <w:pPr>
        <w:spacing w:after="0" w:line="48" w:lineRule="exact"/>
        <w:rPr>
          <w:rFonts w:ascii="Arial" w:cs="Arial" w:eastAsia="Arial" w:hAnsi="Arial"/>
          <w:sz w:val="16"/>
          <w:szCs w:val="16"/>
          <w:color w:val="auto"/>
        </w:rPr>
      </w:pPr>
    </w:p>
    <w:p>
      <w:pPr>
        <w:ind w:left="402" w:right="160" w:hanging="402"/>
        <w:spacing w:after="0" w:line="247" w:lineRule="auto"/>
        <w:tabs>
          <w:tab w:leader="none" w:pos="4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Mr. Rodier was not a named executive officer in fiscal 2017 or fiscal 2018; therefore, his information is provided only for fiscal 2019. The base salary amount for Mr. Rodier reflects 5/12 of $305,000, which was his base salary for November 1, 2018 through March 31, 2019 and 7/12 of $385,000, which was his base salary for April 1, 2019 through October 31, 2019.</w:t>
      </w:r>
    </w:p>
    <w:p>
      <w:pPr>
        <w:spacing w:after="0" w:line="155" w:lineRule="exact"/>
        <w:rPr>
          <w:sz w:val="20"/>
          <w:szCs w:val="20"/>
          <w:color w:val="auto"/>
        </w:rPr>
      </w:pPr>
    </w:p>
    <w:p>
      <w:pPr>
        <w:ind w:left="22"/>
        <w:spacing w:after="0"/>
        <w:rPr>
          <w:sz w:val="20"/>
          <w:szCs w:val="20"/>
          <w:color w:val="auto"/>
        </w:rPr>
      </w:pPr>
      <w:r>
        <w:rPr>
          <w:rFonts w:ascii="Arial" w:cs="Arial" w:eastAsia="Arial" w:hAnsi="Arial"/>
          <w:sz w:val="18"/>
          <w:szCs w:val="18"/>
          <w:b w:val="1"/>
          <w:bCs w:val="1"/>
          <w:color w:val="C00000"/>
        </w:rPr>
        <w:t>All Other Compensation for Fiscal 2019</w:t>
      </w:r>
    </w:p>
    <w:p>
      <w:pPr>
        <w:spacing w:after="0" w:line="112" w:lineRule="exact"/>
        <w:rPr>
          <w:sz w:val="20"/>
          <w:szCs w:val="20"/>
          <w:color w:val="auto"/>
        </w:rPr>
      </w:pPr>
    </w:p>
    <w:p>
      <w:pPr>
        <w:ind w:left="2" w:right="260" w:firstLine="408"/>
        <w:spacing w:after="0" w:line="255" w:lineRule="auto"/>
        <w:rPr>
          <w:sz w:val="20"/>
          <w:szCs w:val="20"/>
          <w:color w:val="auto"/>
        </w:rPr>
      </w:pPr>
      <w:r>
        <w:rPr>
          <w:rFonts w:ascii="Arial" w:cs="Arial" w:eastAsia="Arial" w:hAnsi="Arial"/>
          <w:sz w:val="16"/>
          <w:szCs w:val="16"/>
          <w:color w:val="auto"/>
        </w:rPr>
        <w:t>All other compensation for fiscal 2019 includes the value of Company contributions to our retirement plan(s), the value of modest perquisites provided and the matching portion by the Company for charitable donations by our named executive officers, all of which are described below.</w:t>
      </w:r>
    </w:p>
    <w:p>
      <w:pPr>
        <w:spacing w:after="0" w:line="75"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4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Element</w:t>
            </w:r>
          </w:p>
        </w:tc>
        <w:tc>
          <w:tcPr>
            <w:tcW w:w="10000" w:type="dxa"/>
            <w:vAlign w:val="bottom"/>
            <w:shd w:val="clear" w:color="auto" w:fill="C00000"/>
          </w:tcPr>
          <w:p>
            <w:pPr>
              <w:ind w:left="4860"/>
              <w:spacing w:after="0"/>
              <w:rPr>
                <w:sz w:val="20"/>
                <w:szCs w:val="20"/>
                <w:color w:val="auto"/>
              </w:rPr>
            </w:pPr>
            <w:r>
              <w:rPr>
                <w:rFonts w:ascii="Arial" w:cs="Arial" w:eastAsia="Arial" w:hAnsi="Arial"/>
                <w:sz w:val="13"/>
                <w:szCs w:val="13"/>
                <w:b w:val="1"/>
                <w:bCs w:val="1"/>
                <w:color w:val="FFFFFF"/>
              </w:rPr>
              <w:t>Description</w:t>
            </w:r>
          </w:p>
        </w:tc>
        <w:tc>
          <w:tcPr>
            <w:tcW w:w="40" w:type="dxa"/>
            <w:vAlign w:val="bottom"/>
          </w:tcPr>
          <w:p>
            <w:pPr>
              <w:spacing w:after="0"/>
              <w:rPr>
                <w:sz w:val="15"/>
                <w:szCs w:val="15"/>
                <w:color w:val="auto"/>
              </w:rPr>
            </w:pPr>
          </w:p>
        </w:tc>
      </w:tr>
      <w:tr>
        <w:trPr>
          <w:trHeight w:val="210"/>
        </w:trPr>
        <w:tc>
          <w:tcPr>
            <w:tcW w:w="1420" w:type="dxa"/>
            <w:vAlign w:val="bottom"/>
          </w:tcPr>
          <w:p>
            <w:pPr>
              <w:spacing w:after="0"/>
              <w:rPr>
                <w:sz w:val="20"/>
                <w:szCs w:val="20"/>
                <w:color w:val="auto"/>
              </w:rPr>
            </w:pPr>
            <w:r>
              <w:rPr>
                <w:rFonts w:ascii="Arial" w:cs="Arial" w:eastAsia="Arial" w:hAnsi="Arial"/>
                <w:sz w:val="15"/>
                <w:szCs w:val="15"/>
                <w:color w:val="auto"/>
              </w:rPr>
              <w:t>Retirement</w:t>
            </w:r>
          </w:p>
        </w:tc>
        <w:tc>
          <w:tcPr>
            <w:tcW w:w="10000" w:type="dxa"/>
            <w:vAlign w:val="bottom"/>
          </w:tcPr>
          <w:p>
            <w:pPr>
              <w:ind w:left="300"/>
              <w:spacing w:after="0"/>
              <w:rPr>
                <w:sz w:val="20"/>
                <w:szCs w:val="20"/>
                <w:color w:val="auto"/>
              </w:rPr>
            </w:pPr>
            <w:r>
              <w:rPr>
                <w:rFonts w:ascii="Arial" w:cs="Arial" w:eastAsia="Arial" w:hAnsi="Arial"/>
                <w:sz w:val="15"/>
                <w:szCs w:val="15"/>
                <w:color w:val="auto"/>
                <w:w w:val="97"/>
              </w:rPr>
              <w:t>Under our Retirement Plan in calendar year 2018, we matched $0.50 for each employee dollar contribution, up to a maximum of 4%. In calendar year</w:t>
            </w:r>
          </w:p>
        </w:tc>
        <w:tc>
          <w:tcPr>
            <w:tcW w:w="40" w:type="dxa"/>
            <w:vAlign w:val="bottom"/>
          </w:tcPr>
          <w:p>
            <w:pPr>
              <w:spacing w:after="0"/>
              <w:rPr>
                <w:sz w:val="18"/>
                <w:szCs w:val="18"/>
                <w:color w:val="auto"/>
              </w:rPr>
            </w:pPr>
          </w:p>
        </w:tc>
      </w:tr>
      <w:tr>
        <w:trPr>
          <w:trHeight w:val="172"/>
        </w:trPr>
        <w:tc>
          <w:tcPr>
            <w:tcW w:w="1420" w:type="dxa"/>
            <w:vAlign w:val="bottom"/>
          </w:tcPr>
          <w:p>
            <w:pPr>
              <w:spacing w:after="0"/>
              <w:rPr>
                <w:sz w:val="20"/>
                <w:szCs w:val="20"/>
                <w:color w:val="auto"/>
              </w:rPr>
            </w:pPr>
            <w:r>
              <w:rPr>
                <w:rFonts w:ascii="Arial" w:cs="Arial" w:eastAsia="Arial" w:hAnsi="Arial"/>
                <w:sz w:val="15"/>
                <w:szCs w:val="15"/>
                <w:color w:val="auto"/>
              </w:rPr>
              <w:t>Benefits</w:t>
            </w:r>
          </w:p>
        </w:tc>
        <w:tc>
          <w:tcPr>
            <w:tcW w:w="10000" w:type="dxa"/>
            <w:vAlign w:val="bottom"/>
          </w:tcPr>
          <w:p>
            <w:pPr>
              <w:ind w:left="300"/>
              <w:spacing w:after="0"/>
              <w:rPr>
                <w:sz w:val="20"/>
                <w:szCs w:val="20"/>
                <w:color w:val="auto"/>
              </w:rPr>
            </w:pPr>
            <w:r>
              <w:rPr>
                <w:rFonts w:ascii="Arial" w:cs="Arial" w:eastAsia="Arial" w:hAnsi="Arial"/>
                <w:sz w:val="15"/>
                <w:szCs w:val="15"/>
                <w:color w:val="auto"/>
              </w:rPr>
              <w:t>2019, we changed our matching formula to $1.00 for each employee dollar contribution, up to an employee maximum of 4%. Additionally, the</w:t>
            </w:r>
          </w:p>
        </w:tc>
        <w:tc>
          <w:tcPr>
            <w:tcW w:w="4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10000" w:type="dxa"/>
            <w:vAlign w:val="bottom"/>
          </w:tcPr>
          <w:p>
            <w:pPr>
              <w:ind w:left="300"/>
              <w:spacing w:after="0"/>
              <w:rPr>
                <w:sz w:val="20"/>
                <w:szCs w:val="20"/>
                <w:color w:val="auto"/>
              </w:rPr>
            </w:pPr>
            <w:r>
              <w:rPr>
                <w:rFonts w:ascii="Arial" w:cs="Arial" w:eastAsia="Arial" w:hAnsi="Arial"/>
                <w:sz w:val="15"/>
                <w:szCs w:val="15"/>
                <w:color w:val="auto"/>
                <w:w w:val="99"/>
              </w:rPr>
              <w:t>Company may make a discretionary investment fund and ESOP contribution. Employees are eligible to participate in the plan and receive company</w:t>
            </w:r>
          </w:p>
        </w:tc>
        <w:tc>
          <w:tcPr>
            <w:tcW w:w="4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10000" w:type="dxa"/>
            <w:vAlign w:val="bottom"/>
          </w:tcPr>
          <w:p>
            <w:pPr>
              <w:ind w:left="300"/>
              <w:spacing w:after="0"/>
              <w:rPr>
                <w:sz w:val="20"/>
                <w:szCs w:val="20"/>
                <w:color w:val="auto"/>
              </w:rPr>
            </w:pPr>
            <w:r>
              <w:rPr>
                <w:rFonts w:ascii="Arial" w:cs="Arial" w:eastAsia="Arial" w:hAnsi="Arial"/>
                <w:sz w:val="15"/>
                <w:szCs w:val="15"/>
                <w:color w:val="auto"/>
              </w:rPr>
              <w:t>contributions, after 30 days of service. For certain employees whose compensation exceeds the IRS limit, we also provide a contribution into our</w:t>
            </w:r>
          </w:p>
        </w:tc>
        <w:tc>
          <w:tcPr>
            <w:tcW w:w="4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10000" w:type="dxa"/>
            <w:vAlign w:val="bottom"/>
          </w:tcPr>
          <w:p>
            <w:pPr>
              <w:ind w:left="300"/>
              <w:spacing w:after="0"/>
              <w:rPr>
                <w:sz w:val="20"/>
                <w:szCs w:val="20"/>
                <w:color w:val="auto"/>
              </w:rPr>
            </w:pPr>
            <w:r>
              <w:rPr>
                <w:rFonts w:ascii="Arial" w:cs="Arial" w:eastAsia="Arial" w:hAnsi="Arial"/>
                <w:sz w:val="15"/>
                <w:szCs w:val="15"/>
                <w:color w:val="auto"/>
              </w:rPr>
              <w:t>nonqualified deferred compensation plans, the Supplemental Benefit Plan or the Deferred Plan, as applicable. Our nonqualified deferred</w:t>
            </w:r>
          </w:p>
        </w:tc>
        <w:tc>
          <w:tcPr>
            <w:tcW w:w="40" w:type="dxa"/>
            <w:vAlign w:val="bottom"/>
          </w:tcPr>
          <w:p>
            <w:pPr>
              <w:spacing w:after="0"/>
              <w:rPr>
                <w:sz w:val="14"/>
                <w:szCs w:val="14"/>
                <w:color w:val="auto"/>
              </w:rPr>
            </w:pPr>
          </w:p>
        </w:tc>
      </w:tr>
      <w:tr>
        <w:trPr>
          <w:trHeight w:val="170"/>
        </w:trPr>
        <w:tc>
          <w:tcPr>
            <w:tcW w:w="1420" w:type="dxa"/>
            <w:vAlign w:val="bottom"/>
          </w:tcPr>
          <w:p>
            <w:pPr>
              <w:spacing w:after="0"/>
              <w:rPr>
                <w:sz w:val="14"/>
                <w:szCs w:val="14"/>
                <w:color w:val="auto"/>
              </w:rPr>
            </w:pPr>
          </w:p>
        </w:tc>
        <w:tc>
          <w:tcPr>
            <w:tcW w:w="10000" w:type="dxa"/>
            <w:vAlign w:val="bottom"/>
          </w:tcPr>
          <w:p>
            <w:pPr>
              <w:ind w:left="300"/>
              <w:spacing w:after="0" w:line="170" w:lineRule="exact"/>
              <w:rPr>
                <w:sz w:val="20"/>
                <w:szCs w:val="20"/>
                <w:color w:val="auto"/>
              </w:rPr>
            </w:pPr>
            <w:r>
              <w:rPr>
                <w:rFonts w:ascii="Arial" w:cs="Arial" w:eastAsia="Arial" w:hAnsi="Arial"/>
                <w:sz w:val="15"/>
                <w:szCs w:val="15"/>
                <w:color w:val="auto"/>
              </w:rPr>
              <w:t>compensation plans are described under “Nonqualified Deferred Compensation for Fiscal 2019” on page 50.</w:t>
            </w:r>
          </w:p>
        </w:tc>
        <w:tc>
          <w:tcPr>
            <w:tcW w:w="40" w:type="dxa"/>
            <w:vAlign w:val="bottom"/>
          </w:tcPr>
          <w:p>
            <w:pPr>
              <w:spacing w:after="0"/>
              <w:rPr>
                <w:sz w:val="14"/>
                <w:szCs w:val="14"/>
                <w:color w:val="auto"/>
              </w:rPr>
            </w:pPr>
          </w:p>
        </w:tc>
      </w:tr>
      <w:tr>
        <w:trPr>
          <w:trHeight w:val="216"/>
        </w:trPr>
        <w:tc>
          <w:tcPr>
            <w:tcW w:w="1420" w:type="dxa"/>
            <w:vAlign w:val="bottom"/>
            <w:shd w:val="clear" w:color="auto" w:fill="D9D9D9"/>
          </w:tcPr>
          <w:p>
            <w:pPr>
              <w:spacing w:after="0"/>
              <w:rPr>
                <w:sz w:val="20"/>
                <w:szCs w:val="20"/>
                <w:color w:val="auto"/>
              </w:rPr>
            </w:pPr>
            <w:r>
              <w:rPr>
                <w:rFonts w:ascii="Arial" w:cs="Arial" w:eastAsia="Arial" w:hAnsi="Arial"/>
                <w:sz w:val="15"/>
                <w:szCs w:val="15"/>
                <w:color w:val="auto"/>
              </w:rPr>
              <w:t>Perquisites</w:t>
            </w: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rPr>
              <w:t>We provide our executive officers with modest perquisites, including:</w:t>
            </w:r>
          </w:p>
        </w:tc>
        <w:tc>
          <w:tcPr>
            <w:tcW w:w="40" w:type="dxa"/>
            <w:vAlign w:val="bottom"/>
          </w:tcPr>
          <w:p>
            <w:pPr>
              <w:spacing w:after="0"/>
              <w:rPr>
                <w:sz w:val="18"/>
                <w:szCs w:val="18"/>
                <w:color w:val="auto"/>
              </w:rPr>
            </w:pPr>
          </w:p>
        </w:tc>
      </w:tr>
      <w:tr>
        <w:trPr>
          <w:trHeight w:val="203"/>
        </w:trPr>
        <w:tc>
          <w:tcPr>
            <w:tcW w:w="1420" w:type="dxa"/>
            <w:vAlign w:val="bottom"/>
            <w:shd w:val="clear" w:color="auto" w:fill="D9D9D9"/>
          </w:tcPr>
          <w:p>
            <w:pPr>
              <w:spacing w:after="0"/>
              <w:rPr>
                <w:sz w:val="17"/>
                <w:szCs w:val="17"/>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w w:val="99"/>
              </w:rPr>
              <w:t>•  Company-leased automobile—We pay all costs associated with leasing, operating, maintaining and insuring a company-leased automobile up to</w:t>
            </w:r>
          </w:p>
        </w:tc>
        <w:tc>
          <w:tcPr>
            <w:tcW w:w="40" w:type="dxa"/>
            <w:vAlign w:val="bottom"/>
          </w:tcPr>
          <w:p>
            <w:pPr>
              <w:spacing w:after="0"/>
              <w:rPr>
                <w:sz w:val="17"/>
                <w:szCs w:val="17"/>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w w:val="98"/>
              </w:rPr>
              <w:t>certain thresholds. Our executive officers are generally eligible for a new vehicle after 30 months and may choose to purchase the existing vehicle</w:t>
            </w:r>
          </w:p>
        </w:tc>
        <w:tc>
          <w:tcPr>
            <w:tcW w:w="40" w:type="dxa"/>
            <w:vAlign w:val="bottom"/>
          </w:tcPr>
          <w:p>
            <w:pPr>
              <w:spacing w:after="0"/>
              <w:rPr>
                <w:sz w:val="14"/>
                <w:szCs w:val="14"/>
                <w:color w:val="auto"/>
              </w:rPr>
            </w:pPr>
          </w:p>
        </w:tc>
      </w:tr>
      <w:tr>
        <w:trPr>
          <w:trHeight w:val="177"/>
        </w:trPr>
        <w:tc>
          <w:tcPr>
            <w:tcW w:w="1420" w:type="dxa"/>
            <w:vAlign w:val="bottom"/>
            <w:shd w:val="clear" w:color="auto" w:fill="D9D9D9"/>
          </w:tcPr>
          <w:p>
            <w:pPr>
              <w:spacing w:after="0"/>
              <w:rPr>
                <w:sz w:val="15"/>
                <w:szCs w:val="15"/>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at book value plus payment of any miscellaneous expenses charged by our leasing company.</w:t>
            </w:r>
          </w:p>
        </w:tc>
        <w:tc>
          <w:tcPr>
            <w:tcW w:w="40" w:type="dxa"/>
            <w:vAlign w:val="bottom"/>
          </w:tcPr>
          <w:p>
            <w:pPr>
              <w:spacing w:after="0"/>
              <w:rPr>
                <w:sz w:val="15"/>
                <w:szCs w:val="15"/>
                <w:color w:val="auto"/>
              </w:rPr>
            </w:pPr>
          </w:p>
        </w:tc>
      </w:tr>
      <w:tr>
        <w:trPr>
          <w:trHeight w:val="215"/>
        </w:trPr>
        <w:tc>
          <w:tcPr>
            <w:tcW w:w="1420" w:type="dxa"/>
            <w:vAlign w:val="bottom"/>
            <w:shd w:val="clear" w:color="auto" w:fill="D9D9D9"/>
          </w:tcPr>
          <w:p>
            <w:pPr>
              <w:spacing w:after="0"/>
              <w:rPr>
                <w:sz w:val="18"/>
                <w:szCs w:val="18"/>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rPr>
              <w:t>•  Financial planning—We encourage our executive officers to receive professional advice regarding their financial, tax and estate planning needs.</w:t>
            </w:r>
          </w:p>
        </w:tc>
        <w:tc>
          <w:tcPr>
            <w:tcW w:w="40" w:type="dxa"/>
            <w:vAlign w:val="bottom"/>
          </w:tcPr>
          <w:p>
            <w:pPr>
              <w:spacing w:after="0"/>
              <w:rPr>
                <w:sz w:val="18"/>
                <w:szCs w:val="18"/>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Therefore, we pay up to a maximum defined amount for each of our executive officers to cover tax planning, tax return preparation, financial</w:t>
            </w:r>
          </w:p>
        </w:tc>
        <w:tc>
          <w:tcPr>
            <w:tcW w:w="40" w:type="dxa"/>
            <w:vAlign w:val="bottom"/>
          </w:tcPr>
          <w:p>
            <w:pPr>
              <w:spacing w:after="0"/>
              <w:rPr>
                <w:sz w:val="14"/>
                <w:szCs w:val="14"/>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counseling and estate planning. Every three years, we will pay up to an additional 50% of the annual allowance. Annual allowance ranges from</w:t>
            </w:r>
          </w:p>
        </w:tc>
        <w:tc>
          <w:tcPr>
            <w:tcW w:w="40" w:type="dxa"/>
            <w:vAlign w:val="bottom"/>
          </w:tcPr>
          <w:p>
            <w:pPr>
              <w:spacing w:after="0"/>
              <w:rPr>
                <w:sz w:val="14"/>
                <w:szCs w:val="14"/>
                <w:color w:val="auto"/>
              </w:rPr>
            </w:pPr>
          </w:p>
        </w:tc>
      </w:tr>
      <w:tr>
        <w:trPr>
          <w:trHeight w:val="177"/>
        </w:trPr>
        <w:tc>
          <w:tcPr>
            <w:tcW w:w="1420" w:type="dxa"/>
            <w:vAlign w:val="bottom"/>
            <w:shd w:val="clear" w:color="auto" w:fill="D9D9D9"/>
          </w:tcPr>
          <w:p>
            <w:pPr>
              <w:spacing w:after="0"/>
              <w:rPr>
                <w:sz w:val="15"/>
                <w:szCs w:val="15"/>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$5,000 to $15,000 depending on the level of the executive officer’s position.</w:t>
            </w:r>
          </w:p>
        </w:tc>
        <w:tc>
          <w:tcPr>
            <w:tcW w:w="40" w:type="dxa"/>
            <w:vAlign w:val="bottom"/>
          </w:tcPr>
          <w:p>
            <w:pPr>
              <w:spacing w:after="0"/>
              <w:rPr>
                <w:sz w:val="15"/>
                <w:szCs w:val="15"/>
                <w:color w:val="auto"/>
              </w:rPr>
            </w:pPr>
          </w:p>
        </w:tc>
      </w:tr>
      <w:tr>
        <w:trPr>
          <w:trHeight w:val="215"/>
        </w:trPr>
        <w:tc>
          <w:tcPr>
            <w:tcW w:w="1420" w:type="dxa"/>
            <w:vAlign w:val="bottom"/>
            <w:shd w:val="clear" w:color="auto" w:fill="D9D9D9"/>
          </w:tcPr>
          <w:p>
            <w:pPr>
              <w:spacing w:after="0"/>
              <w:rPr>
                <w:sz w:val="18"/>
                <w:szCs w:val="18"/>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rPr>
              <w:t>•  Annual executive physical—To help ensure the health of our executive officers, we generally pay up to $2,000 for approved physical exam</w:t>
            </w:r>
          </w:p>
        </w:tc>
        <w:tc>
          <w:tcPr>
            <w:tcW w:w="40" w:type="dxa"/>
            <w:vAlign w:val="bottom"/>
          </w:tcPr>
          <w:p>
            <w:pPr>
              <w:spacing w:after="0"/>
              <w:rPr>
                <w:sz w:val="18"/>
                <w:szCs w:val="18"/>
                <w:color w:val="auto"/>
              </w:rPr>
            </w:pPr>
          </w:p>
        </w:tc>
      </w:tr>
      <w:tr>
        <w:trPr>
          <w:trHeight w:val="177"/>
        </w:trPr>
        <w:tc>
          <w:tcPr>
            <w:tcW w:w="1420" w:type="dxa"/>
            <w:vAlign w:val="bottom"/>
            <w:shd w:val="clear" w:color="auto" w:fill="D9D9D9"/>
          </w:tcPr>
          <w:p>
            <w:pPr>
              <w:spacing w:after="0"/>
              <w:rPr>
                <w:sz w:val="15"/>
                <w:szCs w:val="15"/>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expenses not covered by the executive officer’s health insurance.</w:t>
            </w:r>
          </w:p>
        </w:tc>
        <w:tc>
          <w:tcPr>
            <w:tcW w:w="40" w:type="dxa"/>
            <w:vAlign w:val="bottom"/>
          </w:tcPr>
          <w:p>
            <w:pPr>
              <w:spacing w:after="0"/>
              <w:rPr>
                <w:sz w:val="15"/>
                <w:szCs w:val="15"/>
                <w:color w:val="auto"/>
              </w:rPr>
            </w:pPr>
          </w:p>
        </w:tc>
      </w:tr>
      <w:tr>
        <w:trPr>
          <w:trHeight w:val="203"/>
        </w:trPr>
        <w:tc>
          <w:tcPr>
            <w:tcW w:w="1420" w:type="dxa"/>
            <w:vAlign w:val="bottom"/>
            <w:shd w:val="clear" w:color="auto" w:fill="D9D9D9"/>
          </w:tcPr>
          <w:p>
            <w:pPr>
              <w:spacing w:after="0"/>
              <w:rPr>
                <w:sz w:val="17"/>
                <w:szCs w:val="17"/>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rPr>
              <w:t>•  Company products—To enable our executive officers the opportunity to become more familiar with our products and use those products on a</w:t>
            </w:r>
          </w:p>
        </w:tc>
        <w:tc>
          <w:tcPr>
            <w:tcW w:w="40" w:type="dxa"/>
            <w:vAlign w:val="bottom"/>
          </w:tcPr>
          <w:p>
            <w:pPr>
              <w:spacing w:after="0"/>
              <w:rPr>
                <w:sz w:val="17"/>
                <w:szCs w:val="17"/>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regular basis, we provide certain Company products and related accessories for personal use at no cost; provided, however, that executive</w:t>
            </w:r>
          </w:p>
        </w:tc>
        <w:tc>
          <w:tcPr>
            <w:tcW w:w="40" w:type="dxa"/>
            <w:vAlign w:val="bottom"/>
          </w:tcPr>
          <w:p>
            <w:pPr>
              <w:spacing w:after="0"/>
              <w:rPr>
                <w:sz w:val="14"/>
                <w:szCs w:val="14"/>
                <w:color w:val="auto"/>
              </w:rPr>
            </w:pPr>
          </w:p>
        </w:tc>
      </w:tr>
      <w:tr>
        <w:trPr>
          <w:trHeight w:val="172"/>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w w:val="98"/>
              </w:rPr>
              <w:t>officers are responsible for applicable taxes attributable to the value of such products. The value of a product or accessory is generally deemed to</w:t>
            </w:r>
          </w:p>
        </w:tc>
        <w:tc>
          <w:tcPr>
            <w:tcW w:w="40" w:type="dxa"/>
            <w:vAlign w:val="bottom"/>
          </w:tcPr>
          <w:p>
            <w:pPr>
              <w:spacing w:after="0"/>
              <w:rPr>
                <w:sz w:val="14"/>
                <w:szCs w:val="14"/>
                <w:color w:val="auto"/>
              </w:rPr>
            </w:pPr>
          </w:p>
        </w:tc>
      </w:tr>
      <w:tr>
        <w:trPr>
          <w:trHeight w:val="177"/>
        </w:trPr>
        <w:tc>
          <w:tcPr>
            <w:tcW w:w="1420" w:type="dxa"/>
            <w:vAlign w:val="bottom"/>
            <w:shd w:val="clear" w:color="auto" w:fill="D9D9D9"/>
          </w:tcPr>
          <w:p>
            <w:pPr>
              <w:spacing w:after="0"/>
              <w:rPr>
                <w:sz w:val="15"/>
                <w:szCs w:val="15"/>
                <w:color w:val="auto"/>
              </w:rPr>
            </w:pPr>
          </w:p>
        </w:tc>
        <w:tc>
          <w:tcPr>
            <w:tcW w:w="10000" w:type="dxa"/>
            <w:vAlign w:val="bottom"/>
            <w:shd w:val="clear" w:color="auto" w:fill="D9D9D9"/>
          </w:tcPr>
          <w:p>
            <w:pPr>
              <w:ind w:left="500"/>
              <w:spacing w:after="0"/>
              <w:rPr>
                <w:sz w:val="20"/>
                <w:szCs w:val="20"/>
                <w:color w:val="auto"/>
              </w:rPr>
            </w:pPr>
            <w:r>
              <w:rPr>
                <w:rFonts w:ascii="Arial" w:cs="Arial" w:eastAsia="Arial" w:hAnsi="Arial"/>
                <w:sz w:val="15"/>
                <w:szCs w:val="15"/>
                <w:color w:val="auto"/>
              </w:rPr>
              <w:t>be our distributor net price or its equivalent, which is also the price at which products are available to employees for purchase.</w:t>
            </w:r>
          </w:p>
        </w:tc>
        <w:tc>
          <w:tcPr>
            <w:tcW w:w="40" w:type="dxa"/>
            <w:vAlign w:val="bottom"/>
          </w:tcPr>
          <w:p>
            <w:pPr>
              <w:spacing w:after="0"/>
              <w:rPr>
                <w:sz w:val="15"/>
                <w:szCs w:val="15"/>
                <w:color w:val="auto"/>
              </w:rPr>
            </w:pPr>
          </w:p>
        </w:tc>
      </w:tr>
      <w:tr>
        <w:trPr>
          <w:trHeight w:val="215"/>
        </w:trPr>
        <w:tc>
          <w:tcPr>
            <w:tcW w:w="1420" w:type="dxa"/>
            <w:vAlign w:val="bottom"/>
            <w:shd w:val="clear" w:color="auto" w:fill="D9D9D9"/>
          </w:tcPr>
          <w:p>
            <w:pPr>
              <w:spacing w:after="0"/>
              <w:rPr>
                <w:sz w:val="18"/>
                <w:szCs w:val="18"/>
                <w:color w:val="auto"/>
              </w:rPr>
            </w:pPr>
          </w:p>
        </w:tc>
        <w:tc>
          <w:tcPr>
            <w:tcW w:w="10000" w:type="dxa"/>
            <w:vAlign w:val="bottom"/>
            <w:shd w:val="clear" w:color="auto" w:fill="D9D9D9"/>
          </w:tcPr>
          <w:p>
            <w:pPr>
              <w:ind w:left="300"/>
              <w:spacing w:after="0"/>
              <w:rPr>
                <w:sz w:val="20"/>
                <w:szCs w:val="20"/>
                <w:color w:val="auto"/>
              </w:rPr>
            </w:pPr>
            <w:r>
              <w:rPr>
                <w:rFonts w:ascii="Arial" w:cs="Arial" w:eastAsia="Arial" w:hAnsi="Arial"/>
                <w:sz w:val="15"/>
                <w:szCs w:val="15"/>
                <w:color w:val="auto"/>
                <w:w w:val="98"/>
              </w:rPr>
              <w:t>•  Travel expenses—During fiscal 2019, we paid certain travel costs for spouses of our executive officers in connection with certain off-site meetings,</w:t>
            </w:r>
          </w:p>
        </w:tc>
        <w:tc>
          <w:tcPr>
            <w:tcW w:w="40" w:type="dxa"/>
            <w:vAlign w:val="bottom"/>
          </w:tcPr>
          <w:p>
            <w:pPr>
              <w:spacing w:after="0"/>
              <w:rPr>
                <w:sz w:val="18"/>
                <w:szCs w:val="18"/>
                <w:color w:val="auto"/>
              </w:rPr>
            </w:pPr>
          </w:p>
        </w:tc>
      </w:tr>
      <w:tr>
        <w:trPr>
          <w:trHeight w:val="170"/>
        </w:trPr>
        <w:tc>
          <w:tcPr>
            <w:tcW w:w="1420" w:type="dxa"/>
            <w:vAlign w:val="bottom"/>
            <w:shd w:val="clear" w:color="auto" w:fill="D9D9D9"/>
          </w:tcPr>
          <w:p>
            <w:pPr>
              <w:spacing w:after="0"/>
              <w:rPr>
                <w:sz w:val="14"/>
                <w:szCs w:val="14"/>
                <w:color w:val="auto"/>
              </w:rPr>
            </w:pPr>
          </w:p>
        </w:tc>
        <w:tc>
          <w:tcPr>
            <w:tcW w:w="10000" w:type="dxa"/>
            <w:vAlign w:val="bottom"/>
            <w:shd w:val="clear" w:color="auto" w:fill="D9D9D9"/>
          </w:tcPr>
          <w:p>
            <w:pPr>
              <w:ind w:left="500"/>
              <w:spacing w:after="0" w:line="170" w:lineRule="exact"/>
              <w:rPr>
                <w:sz w:val="20"/>
                <w:szCs w:val="20"/>
                <w:color w:val="auto"/>
              </w:rPr>
            </w:pPr>
            <w:r>
              <w:rPr>
                <w:rFonts w:ascii="Arial" w:cs="Arial" w:eastAsia="Arial" w:hAnsi="Arial"/>
                <w:sz w:val="15"/>
                <w:szCs w:val="15"/>
                <w:color w:val="auto"/>
              </w:rPr>
              <w:t>such as an off-site Board of Directors meeting or other business-related meetings in which it was appropriate for a spouse to attend.</w:t>
            </w:r>
          </w:p>
        </w:tc>
        <w:tc>
          <w:tcPr>
            <w:tcW w:w="40" w:type="dxa"/>
            <w:vAlign w:val="bottom"/>
          </w:tcPr>
          <w:p>
            <w:pPr>
              <w:spacing w:after="0"/>
              <w:rPr>
                <w:sz w:val="14"/>
                <w:szCs w:val="14"/>
                <w:color w:val="auto"/>
              </w:rPr>
            </w:pPr>
          </w:p>
        </w:tc>
      </w:tr>
      <w:tr>
        <w:trPr>
          <w:trHeight w:val="173"/>
        </w:trPr>
        <w:tc>
          <w:tcPr>
            <w:tcW w:w="1420" w:type="dxa"/>
            <w:vAlign w:val="bottom"/>
          </w:tcPr>
          <w:p>
            <w:pPr>
              <w:spacing w:after="0"/>
              <w:rPr>
                <w:sz w:val="20"/>
                <w:szCs w:val="20"/>
                <w:color w:val="auto"/>
              </w:rPr>
            </w:pPr>
            <w:r>
              <w:rPr>
                <w:rFonts w:ascii="Arial" w:cs="Arial" w:eastAsia="Arial" w:hAnsi="Arial"/>
                <w:sz w:val="15"/>
                <w:szCs w:val="15"/>
                <w:color w:val="auto"/>
              </w:rPr>
              <w:t>Charitable Giving</w:t>
            </w:r>
          </w:p>
        </w:tc>
        <w:tc>
          <w:tcPr>
            <w:tcW w:w="10000" w:type="dxa"/>
            <w:vAlign w:val="bottom"/>
          </w:tcPr>
          <w:p>
            <w:pPr>
              <w:ind w:left="300"/>
              <w:spacing w:after="0"/>
              <w:rPr>
                <w:sz w:val="20"/>
                <w:szCs w:val="20"/>
                <w:color w:val="auto"/>
              </w:rPr>
            </w:pPr>
            <w:r>
              <w:rPr>
                <w:rFonts w:ascii="Arial" w:cs="Arial" w:eastAsia="Arial" w:hAnsi="Arial"/>
                <w:sz w:val="15"/>
                <w:szCs w:val="15"/>
                <w:color w:val="auto"/>
                <w:w w:val="98"/>
              </w:rPr>
              <w:t>We support charitable organizations for our employees through our matching gift program. The program for our executive officers provides that a gift</w:t>
            </w:r>
          </w:p>
        </w:tc>
        <w:tc>
          <w:tcPr>
            <w:tcW w:w="40" w:type="dxa"/>
            <w:vAlign w:val="bottom"/>
          </w:tcPr>
          <w:p>
            <w:pPr>
              <w:spacing w:after="0"/>
              <w:rPr>
                <w:sz w:val="15"/>
                <w:szCs w:val="15"/>
                <w:color w:val="auto"/>
              </w:rPr>
            </w:pPr>
          </w:p>
        </w:tc>
      </w:tr>
      <w:tr>
        <w:trPr>
          <w:trHeight w:val="172"/>
        </w:trPr>
        <w:tc>
          <w:tcPr>
            <w:tcW w:w="1420" w:type="dxa"/>
            <w:vAlign w:val="bottom"/>
          </w:tcPr>
          <w:p>
            <w:pPr>
              <w:spacing w:after="0"/>
              <w:rPr>
                <w:sz w:val="14"/>
                <w:szCs w:val="14"/>
                <w:color w:val="auto"/>
              </w:rPr>
            </w:pPr>
          </w:p>
        </w:tc>
        <w:tc>
          <w:tcPr>
            <w:tcW w:w="10000" w:type="dxa"/>
            <w:vAlign w:val="bottom"/>
          </w:tcPr>
          <w:p>
            <w:pPr>
              <w:ind w:left="300"/>
              <w:spacing w:after="0"/>
              <w:rPr>
                <w:sz w:val="20"/>
                <w:szCs w:val="20"/>
                <w:color w:val="auto"/>
              </w:rPr>
            </w:pPr>
            <w:r>
              <w:rPr>
                <w:rFonts w:ascii="Arial" w:cs="Arial" w:eastAsia="Arial" w:hAnsi="Arial"/>
                <w:sz w:val="15"/>
                <w:szCs w:val="15"/>
                <w:color w:val="auto"/>
                <w:w w:val="98"/>
              </w:rPr>
              <w:t>or gifts by an executive officer and/or his or her spouse to one or more tax exempt 501(c)(3) charitable organizations located in the United States will</w:t>
            </w:r>
          </w:p>
        </w:tc>
        <w:tc>
          <w:tcPr>
            <w:tcW w:w="40" w:type="dxa"/>
            <w:vAlign w:val="bottom"/>
          </w:tcPr>
          <w:p>
            <w:pPr>
              <w:spacing w:after="0"/>
              <w:rPr>
                <w:sz w:val="14"/>
                <w:szCs w:val="14"/>
                <w:color w:val="auto"/>
              </w:rPr>
            </w:pPr>
          </w:p>
        </w:tc>
      </w:tr>
      <w:tr>
        <w:trPr>
          <w:trHeight w:val="177"/>
        </w:trPr>
        <w:tc>
          <w:tcPr>
            <w:tcW w:w="1420" w:type="dxa"/>
            <w:vAlign w:val="bottom"/>
          </w:tcPr>
          <w:p>
            <w:pPr>
              <w:spacing w:after="0"/>
              <w:rPr>
                <w:sz w:val="15"/>
                <w:szCs w:val="15"/>
                <w:color w:val="auto"/>
              </w:rPr>
            </w:pPr>
          </w:p>
        </w:tc>
        <w:tc>
          <w:tcPr>
            <w:tcW w:w="10000" w:type="dxa"/>
            <w:vAlign w:val="bottom"/>
          </w:tcPr>
          <w:p>
            <w:pPr>
              <w:ind w:left="300"/>
              <w:spacing w:after="0"/>
              <w:rPr>
                <w:sz w:val="20"/>
                <w:szCs w:val="20"/>
                <w:color w:val="auto"/>
              </w:rPr>
            </w:pPr>
            <w:r>
              <w:rPr>
                <w:rFonts w:ascii="Arial" w:cs="Arial" w:eastAsia="Arial" w:hAnsi="Arial"/>
                <w:sz w:val="15"/>
                <w:szCs w:val="15"/>
                <w:color w:val="auto"/>
              </w:rPr>
              <w:t>be matched by us in an aggregate amount of up to $3,000 per year.</w:t>
            </w:r>
          </w:p>
        </w:tc>
        <w:tc>
          <w:tcPr>
            <w:tcW w:w="40" w:type="dxa"/>
            <w:vAlign w:val="bottom"/>
          </w:tcPr>
          <w:p>
            <w:pPr>
              <w:spacing w:after="0"/>
              <w:rPr>
                <w:sz w:val="15"/>
                <w:szCs w:val="15"/>
                <w:color w:val="auto"/>
              </w:rPr>
            </w:pPr>
          </w:p>
        </w:tc>
      </w:tr>
      <w:tr>
        <w:trPr>
          <w:trHeight w:val="384"/>
        </w:trPr>
        <w:tc>
          <w:tcPr>
            <w:tcW w:w="1420" w:type="dxa"/>
            <w:vAlign w:val="bottom"/>
          </w:tcPr>
          <w:p>
            <w:pPr>
              <w:spacing w:after="0"/>
              <w:rPr>
                <w:sz w:val="24"/>
                <w:szCs w:val="24"/>
                <w:color w:val="auto"/>
              </w:rPr>
            </w:pPr>
          </w:p>
        </w:tc>
        <w:tc>
          <w:tcPr>
            <w:tcW w:w="10000" w:type="dxa"/>
            <w:vAlign w:val="bottom"/>
          </w:tcPr>
          <w:p>
            <w:pPr>
              <w:ind w:left="4200"/>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24"/>
                <w:szCs w:val="24"/>
                <w:color w:val="auto"/>
              </w:rPr>
            </w:pPr>
          </w:p>
        </w:tc>
      </w:tr>
      <w:tr>
        <w:trPr>
          <w:trHeight w:val="91"/>
        </w:trPr>
        <w:tc>
          <w:tcPr>
            <w:tcW w:w="1420" w:type="dxa"/>
            <w:vAlign w:val="bottom"/>
            <w:tcBorders>
              <w:bottom w:val="single" w:sz="8" w:color="9A9A9A"/>
            </w:tcBorders>
          </w:tcPr>
          <w:p>
            <w:pPr>
              <w:spacing w:after="0"/>
              <w:rPr>
                <w:sz w:val="7"/>
                <w:szCs w:val="7"/>
                <w:color w:val="auto"/>
              </w:rPr>
            </w:pPr>
          </w:p>
        </w:tc>
        <w:tc>
          <w:tcPr>
            <w:tcW w:w="10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-27940</wp:posOffset>
            </wp:positionV>
            <wp:extent cx="33020"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2"/>
          </w:cols>
          <w:pgMar w:left="238" w:top="140" w:right="199" w:bottom="1440" w:gutter="0" w:footer="0" w:header="0"/>
        </w:sectPr>
      </w:pPr>
    </w:p>
    <w:bookmarkStart w:id="57" w:name="page58"/>
    <w:bookmarkEnd w:id="57"/>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left="402"/>
        <w:spacing w:after="0"/>
        <w:rPr>
          <w:sz w:val="20"/>
          <w:szCs w:val="20"/>
          <w:color w:val="auto"/>
        </w:rPr>
      </w:pPr>
      <w:r>
        <w:rPr>
          <w:rFonts w:ascii="Arial" w:cs="Arial" w:eastAsia="Arial" w:hAnsi="Arial"/>
          <w:sz w:val="16"/>
          <w:szCs w:val="16"/>
          <w:color w:val="auto"/>
        </w:rPr>
        <w:t>Specific amounts included in the fiscal 2019 “All Other Compensation” column of the “Summary Compensation Table” are in the table below.</w:t>
      </w:r>
    </w:p>
    <w:p>
      <w:pPr>
        <w:spacing w:after="0" w:line="97"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00" w:type="dxa"/>
            <w:vAlign w:val="bottom"/>
            <w:shd w:val="clear" w:color="auto" w:fill="C00000"/>
          </w:tcPr>
          <w:p>
            <w:pPr>
              <w:spacing w:after="0"/>
              <w:rPr>
                <w:sz w:val="13"/>
                <w:szCs w:val="13"/>
                <w:color w:val="auto"/>
              </w:rPr>
            </w:pPr>
          </w:p>
        </w:tc>
        <w:tc>
          <w:tcPr>
            <w:tcW w:w="2900" w:type="dxa"/>
            <w:vAlign w:val="bottom"/>
            <w:shd w:val="clear" w:color="auto" w:fill="C00000"/>
          </w:tcPr>
          <w:p>
            <w:pPr>
              <w:spacing w:after="0"/>
              <w:rPr>
                <w:sz w:val="13"/>
                <w:szCs w:val="13"/>
                <w:color w:val="auto"/>
              </w:rPr>
            </w:pPr>
          </w:p>
        </w:tc>
        <w:tc>
          <w:tcPr>
            <w:tcW w:w="1660" w:type="dxa"/>
            <w:vAlign w:val="bottom"/>
            <w:shd w:val="clear" w:color="auto" w:fill="C00000"/>
          </w:tcPr>
          <w:p>
            <w:pPr>
              <w:jc w:val="center"/>
              <w:ind w:right="211"/>
              <w:spacing w:after="0"/>
              <w:rPr>
                <w:sz w:val="20"/>
                <w:szCs w:val="20"/>
                <w:color w:val="auto"/>
              </w:rPr>
            </w:pPr>
            <w:r>
              <w:rPr>
                <w:rFonts w:ascii="Arial" w:cs="Arial" w:eastAsia="Arial" w:hAnsi="Arial"/>
                <w:sz w:val="13"/>
                <w:szCs w:val="13"/>
                <w:b w:val="1"/>
                <w:bCs w:val="1"/>
                <w:color w:val="FFFFFF"/>
                <w:w w:val="99"/>
              </w:rPr>
              <w:t>Nonqualified</w:t>
            </w:r>
          </w:p>
        </w:tc>
        <w:tc>
          <w:tcPr>
            <w:tcW w:w="1520" w:type="dxa"/>
            <w:vAlign w:val="bottom"/>
            <w:shd w:val="clear" w:color="auto" w:fill="C00000"/>
          </w:tcPr>
          <w:p>
            <w:pPr>
              <w:spacing w:after="0"/>
              <w:rPr>
                <w:sz w:val="13"/>
                <w:szCs w:val="13"/>
                <w:color w:val="auto"/>
              </w:rPr>
            </w:pPr>
          </w:p>
        </w:tc>
        <w:tc>
          <w:tcPr>
            <w:tcW w:w="1720" w:type="dxa"/>
            <w:vAlign w:val="bottom"/>
            <w:shd w:val="clear" w:color="auto" w:fill="C00000"/>
          </w:tcPr>
          <w:p>
            <w:pPr>
              <w:spacing w:after="0"/>
              <w:rPr>
                <w:sz w:val="13"/>
                <w:szCs w:val="13"/>
                <w:color w:val="auto"/>
              </w:rPr>
            </w:pPr>
          </w:p>
        </w:tc>
        <w:tc>
          <w:tcPr>
            <w:tcW w:w="1220" w:type="dxa"/>
            <w:vAlign w:val="bottom"/>
            <w:shd w:val="clear" w:color="auto" w:fill="C00000"/>
          </w:tcPr>
          <w:p>
            <w:pPr>
              <w:spacing w:after="0"/>
              <w:rPr>
                <w:sz w:val="13"/>
                <w:szCs w:val="13"/>
                <w:color w:val="auto"/>
              </w:rPr>
            </w:pPr>
          </w:p>
        </w:tc>
      </w:tr>
      <w:tr>
        <w:trPr>
          <w:trHeight w:val="142"/>
        </w:trPr>
        <w:tc>
          <w:tcPr>
            <w:tcW w:w="2400" w:type="dxa"/>
            <w:vAlign w:val="bottom"/>
            <w:shd w:val="clear" w:color="auto" w:fill="C00000"/>
          </w:tcPr>
          <w:p>
            <w:pPr>
              <w:spacing w:after="0"/>
              <w:rPr>
                <w:sz w:val="12"/>
                <w:szCs w:val="12"/>
                <w:color w:val="auto"/>
              </w:rPr>
            </w:pPr>
          </w:p>
        </w:tc>
        <w:tc>
          <w:tcPr>
            <w:tcW w:w="2900" w:type="dxa"/>
            <w:vAlign w:val="bottom"/>
            <w:shd w:val="clear" w:color="auto" w:fill="C00000"/>
          </w:tcPr>
          <w:p>
            <w:pPr>
              <w:jc w:val="center"/>
              <w:ind w:left="1071"/>
              <w:spacing w:after="0" w:line="143" w:lineRule="exact"/>
              <w:rPr>
                <w:sz w:val="20"/>
                <w:szCs w:val="20"/>
                <w:color w:val="auto"/>
              </w:rPr>
            </w:pPr>
            <w:r>
              <w:rPr>
                <w:rFonts w:ascii="Arial" w:cs="Arial" w:eastAsia="Arial" w:hAnsi="Arial"/>
                <w:sz w:val="13"/>
                <w:szCs w:val="13"/>
                <w:b w:val="1"/>
                <w:bCs w:val="1"/>
                <w:color w:val="FFFFFF"/>
              </w:rPr>
              <w:t>Retirement Plan</w:t>
            </w:r>
          </w:p>
        </w:tc>
        <w:tc>
          <w:tcPr>
            <w:tcW w:w="1660" w:type="dxa"/>
            <w:vAlign w:val="bottom"/>
            <w:shd w:val="clear" w:color="auto" w:fill="C00000"/>
          </w:tcPr>
          <w:p>
            <w:pPr>
              <w:jc w:val="center"/>
              <w:ind w:right="211"/>
              <w:spacing w:after="0" w:line="143" w:lineRule="exact"/>
              <w:rPr>
                <w:sz w:val="20"/>
                <w:szCs w:val="20"/>
                <w:color w:val="auto"/>
              </w:rPr>
            </w:pPr>
            <w:r>
              <w:rPr>
                <w:rFonts w:ascii="Arial" w:cs="Arial" w:eastAsia="Arial" w:hAnsi="Arial"/>
                <w:sz w:val="13"/>
                <w:szCs w:val="13"/>
                <w:b w:val="1"/>
                <w:bCs w:val="1"/>
                <w:color w:val="FFFFFF"/>
                <w:w w:val="94"/>
              </w:rPr>
              <w:t>Plan</w:t>
            </w:r>
          </w:p>
        </w:tc>
        <w:tc>
          <w:tcPr>
            <w:tcW w:w="1520" w:type="dxa"/>
            <w:vAlign w:val="bottom"/>
            <w:shd w:val="clear" w:color="auto" w:fill="C00000"/>
          </w:tcPr>
          <w:p>
            <w:pPr>
              <w:jc w:val="center"/>
              <w:ind w:right="251"/>
              <w:spacing w:after="0" w:line="143" w:lineRule="exact"/>
              <w:rPr>
                <w:sz w:val="20"/>
                <w:szCs w:val="20"/>
                <w:color w:val="auto"/>
              </w:rPr>
            </w:pPr>
            <w:r>
              <w:rPr>
                <w:rFonts w:ascii="Arial" w:cs="Arial" w:eastAsia="Arial" w:hAnsi="Arial"/>
                <w:sz w:val="13"/>
                <w:szCs w:val="13"/>
                <w:b w:val="1"/>
                <w:bCs w:val="1"/>
                <w:color w:val="FFFFFF"/>
              </w:rPr>
              <w:t>Charitable</w:t>
            </w:r>
          </w:p>
        </w:tc>
        <w:tc>
          <w:tcPr>
            <w:tcW w:w="1720" w:type="dxa"/>
            <w:vAlign w:val="bottom"/>
            <w:shd w:val="clear" w:color="auto" w:fill="C00000"/>
          </w:tcPr>
          <w:p>
            <w:pPr>
              <w:spacing w:after="0"/>
              <w:rPr>
                <w:sz w:val="12"/>
                <w:szCs w:val="12"/>
                <w:color w:val="auto"/>
              </w:rPr>
            </w:pPr>
          </w:p>
        </w:tc>
        <w:tc>
          <w:tcPr>
            <w:tcW w:w="1220" w:type="dxa"/>
            <w:vAlign w:val="bottom"/>
            <w:shd w:val="clear" w:color="auto" w:fill="C00000"/>
          </w:tcPr>
          <w:p>
            <w:pPr>
              <w:spacing w:after="0"/>
              <w:rPr>
                <w:sz w:val="12"/>
                <w:szCs w:val="12"/>
                <w:color w:val="auto"/>
              </w:rPr>
            </w:pPr>
          </w:p>
        </w:tc>
      </w:tr>
      <w:tr>
        <w:trPr>
          <w:trHeight w:val="152"/>
        </w:trPr>
        <w:tc>
          <w:tcPr>
            <w:tcW w:w="2400" w:type="dxa"/>
            <w:vAlign w:val="bottom"/>
            <w:shd w:val="clear" w:color="auto" w:fill="C00000"/>
          </w:tcPr>
          <w:p>
            <w:pPr>
              <w:spacing w:after="0"/>
              <w:rPr>
                <w:sz w:val="13"/>
                <w:szCs w:val="13"/>
                <w:color w:val="auto"/>
              </w:rPr>
            </w:pPr>
          </w:p>
        </w:tc>
        <w:tc>
          <w:tcPr>
            <w:tcW w:w="2900" w:type="dxa"/>
            <w:vAlign w:val="bottom"/>
            <w:shd w:val="clear" w:color="auto" w:fill="C00000"/>
          </w:tcPr>
          <w:p>
            <w:pPr>
              <w:jc w:val="center"/>
              <w:ind w:left="1071"/>
              <w:spacing w:after="0" w:line="152" w:lineRule="exact"/>
              <w:rPr>
                <w:sz w:val="20"/>
                <w:szCs w:val="20"/>
                <w:color w:val="auto"/>
              </w:rPr>
            </w:pPr>
            <w:r>
              <w:rPr>
                <w:rFonts w:ascii="Arial" w:cs="Arial" w:eastAsia="Arial" w:hAnsi="Arial"/>
                <w:sz w:val="11"/>
                <w:szCs w:val="11"/>
                <w:b w:val="1"/>
                <w:bCs w:val="1"/>
                <w:color w:val="FFFFFF"/>
              </w:rPr>
              <w:t>Contributions</w:t>
            </w:r>
            <w:r>
              <w:rPr>
                <w:rFonts w:ascii="Arial" w:cs="Arial" w:eastAsia="Arial" w:hAnsi="Arial"/>
                <w:sz w:val="17"/>
                <w:szCs w:val="17"/>
                <w:b w:val="1"/>
                <w:bCs w:val="1"/>
                <w:color w:val="FFFFFF"/>
                <w:vertAlign w:val="superscript"/>
              </w:rPr>
              <w:t>(1)</w:t>
            </w:r>
          </w:p>
        </w:tc>
        <w:tc>
          <w:tcPr>
            <w:tcW w:w="1660" w:type="dxa"/>
            <w:vAlign w:val="bottom"/>
            <w:shd w:val="clear" w:color="auto" w:fill="C00000"/>
          </w:tcPr>
          <w:p>
            <w:pPr>
              <w:jc w:val="center"/>
              <w:ind w:right="211"/>
              <w:spacing w:after="0" w:line="152" w:lineRule="exact"/>
              <w:rPr>
                <w:sz w:val="20"/>
                <w:szCs w:val="20"/>
                <w:color w:val="auto"/>
              </w:rPr>
            </w:pPr>
            <w:r>
              <w:rPr>
                <w:rFonts w:ascii="Arial" w:cs="Arial" w:eastAsia="Arial" w:hAnsi="Arial"/>
                <w:sz w:val="11"/>
                <w:szCs w:val="11"/>
                <w:b w:val="1"/>
                <w:bCs w:val="1"/>
                <w:color w:val="FFFFFF"/>
              </w:rPr>
              <w:t>Contributions</w:t>
            </w:r>
            <w:r>
              <w:rPr>
                <w:rFonts w:ascii="Arial" w:cs="Arial" w:eastAsia="Arial" w:hAnsi="Arial"/>
                <w:sz w:val="17"/>
                <w:szCs w:val="17"/>
                <w:b w:val="1"/>
                <w:bCs w:val="1"/>
                <w:color w:val="FFFFFF"/>
                <w:vertAlign w:val="superscript"/>
              </w:rPr>
              <w:t>(2)</w:t>
            </w:r>
          </w:p>
        </w:tc>
        <w:tc>
          <w:tcPr>
            <w:tcW w:w="1520" w:type="dxa"/>
            <w:vAlign w:val="bottom"/>
            <w:shd w:val="clear" w:color="auto" w:fill="C00000"/>
          </w:tcPr>
          <w:p>
            <w:pPr>
              <w:jc w:val="center"/>
              <w:ind w:right="271"/>
              <w:spacing w:after="0" w:line="152" w:lineRule="exact"/>
              <w:rPr>
                <w:sz w:val="20"/>
                <w:szCs w:val="20"/>
                <w:color w:val="auto"/>
              </w:rPr>
            </w:pPr>
            <w:r>
              <w:rPr>
                <w:rFonts w:ascii="Arial" w:cs="Arial" w:eastAsia="Arial" w:hAnsi="Arial"/>
                <w:sz w:val="11"/>
                <w:szCs w:val="11"/>
                <w:b w:val="1"/>
                <w:bCs w:val="1"/>
                <w:color w:val="FFFFFF"/>
              </w:rPr>
              <w:t>Giving</w:t>
            </w:r>
            <w:r>
              <w:rPr>
                <w:rFonts w:ascii="Arial" w:cs="Arial" w:eastAsia="Arial" w:hAnsi="Arial"/>
                <w:sz w:val="17"/>
                <w:szCs w:val="17"/>
                <w:b w:val="1"/>
                <w:bCs w:val="1"/>
                <w:color w:val="FFFFFF"/>
                <w:vertAlign w:val="superscript"/>
              </w:rPr>
              <w:t>(3)</w:t>
            </w:r>
          </w:p>
        </w:tc>
        <w:tc>
          <w:tcPr>
            <w:tcW w:w="1720" w:type="dxa"/>
            <w:vAlign w:val="bottom"/>
            <w:shd w:val="clear" w:color="auto" w:fill="C00000"/>
          </w:tcPr>
          <w:p>
            <w:pPr>
              <w:jc w:val="right"/>
              <w:ind w:right="571"/>
              <w:spacing w:after="0" w:line="152" w:lineRule="exact"/>
              <w:rPr>
                <w:sz w:val="20"/>
                <w:szCs w:val="20"/>
                <w:color w:val="auto"/>
              </w:rPr>
            </w:pPr>
            <w:r>
              <w:rPr>
                <w:rFonts w:ascii="Arial" w:cs="Arial" w:eastAsia="Arial" w:hAnsi="Arial"/>
                <w:sz w:val="11"/>
                <w:szCs w:val="11"/>
                <w:b w:val="1"/>
                <w:bCs w:val="1"/>
                <w:color w:val="FFFFFF"/>
              </w:rPr>
              <w:t>Perquisites</w:t>
            </w:r>
            <w:r>
              <w:rPr>
                <w:rFonts w:ascii="Arial" w:cs="Arial" w:eastAsia="Arial" w:hAnsi="Arial"/>
                <w:sz w:val="17"/>
                <w:szCs w:val="17"/>
                <w:b w:val="1"/>
                <w:bCs w:val="1"/>
                <w:color w:val="FFFFFF"/>
                <w:vertAlign w:val="superscript"/>
              </w:rPr>
              <w:t>(4)</w:t>
            </w:r>
          </w:p>
        </w:tc>
        <w:tc>
          <w:tcPr>
            <w:tcW w:w="1220" w:type="dxa"/>
            <w:vAlign w:val="bottom"/>
            <w:shd w:val="clear" w:color="auto" w:fill="C00000"/>
          </w:tcPr>
          <w:p>
            <w:pPr>
              <w:jc w:val="right"/>
              <w:ind w:right="489"/>
              <w:spacing w:after="0"/>
              <w:rPr>
                <w:sz w:val="20"/>
                <w:szCs w:val="20"/>
                <w:color w:val="auto"/>
              </w:rPr>
            </w:pPr>
            <w:r>
              <w:rPr>
                <w:rFonts w:ascii="Arial" w:cs="Arial" w:eastAsia="Arial" w:hAnsi="Arial"/>
                <w:sz w:val="13"/>
                <w:szCs w:val="13"/>
                <w:b w:val="1"/>
                <w:bCs w:val="1"/>
                <w:color w:val="FFFFFF"/>
              </w:rPr>
              <w:t>Total</w:t>
            </w:r>
          </w:p>
        </w:tc>
      </w:tr>
      <w:tr>
        <w:trPr>
          <w:trHeight w:val="159"/>
        </w:trPr>
        <w:tc>
          <w:tcPr>
            <w:tcW w:w="240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2900" w:type="dxa"/>
            <w:vAlign w:val="bottom"/>
            <w:shd w:val="clear" w:color="auto" w:fill="C00000"/>
          </w:tcPr>
          <w:p>
            <w:pPr>
              <w:jc w:val="center"/>
              <w:ind w:left="1071"/>
              <w:spacing w:after="0"/>
              <w:rPr>
                <w:sz w:val="20"/>
                <w:szCs w:val="20"/>
                <w:color w:val="auto"/>
              </w:rPr>
            </w:pPr>
            <w:r>
              <w:rPr>
                <w:rFonts w:ascii="Arial" w:cs="Arial" w:eastAsia="Arial" w:hAnsi="Arial"/>
                <w:sz w:val="13"/>
                <w:szCs w:val="13"/>
                <w:b w:val="1"/>
                <w:bCs w:val="1"/>
                <w:color w:val="FFFFFF"/>
              </w:rPr>
              <w:t>($)</w:t>
            </w:r>
          </w:p>
        </w:tc>
        <w:tc>
          <w:tcPr>
            <w:tcW w:w="1660" w:type="dxa"/>
            <w:vAlign w:val="bottom"/>
            <w:shd w:val="clear" w:color="auto" w:fill="C00000"/>
          </w:tcPr>
          <w:p>
            <w:pPr>
              <w:jc w:val="center"/>
              <w:ind w:right="231"/>
              <w:spacing w:after="0"/>
              <w:rPr>
                <w:sz w:val="20"/>
                <w:szCs w:val="20"/>
                <w:color w:val="auto"/>
              </w:rPr>
            </w:pPr>
            <w:r>
              <w:rPr>
                <w:rFonts w:ascii="Arial" w:cs="Arial" w:eastAsia="Arial" w:hAnsi="Arial"/>
                <w:sz w:val="13"/>
                <w:szCs w:val="13"/>
                <w:b w:val="1"/>
                <w:bCs w:val="1"/>
                <w:color w:val="FFFFFF"/>
              </w:rPr>
              <w:t>($)</w:t>
            </w:r>
          </w:p>
        </w:tc>
        <w:tc>
          <w:tcPr>
            <w:tcW w:w="1520" w:type="dxa"/>
            <w:vAlign w:val="bottom"/>
            <w:shd w:val="clear" w:color="auto" w:fill="C00000"/>
          </w:tcPr>
          <w:p>
            <w:pPr>
              <w:jc w:val="center"/>
              <w:ind w:right="251"/>
              <w:spacing w:after="0"/>
              <w:rPr>
                <w:sz w:val="20"/>
                <w:szCs w:val="20"/>
                <w:color w:val="auto"/>
              </w:rPr>
            </w:pPr>
            <w:r>
              <w:rPr>
                <w:rFonts w:ascii="Arial" w:cs="Arial" w:eastAsia="Arial" w:hAnsi="Arial"/>
                <w:sz w:val="13"/>
                <w:szCs w:val="13"/>
                <w:b w:val="1"/>
                <w:bCs w:val="1"/>
                <w:color w:val="FFFFFF"/>
              </w:rPr>
              <w:t>($)</w:t>
            </w:r>
          </w:p>
        </w:tc>
        <w:tc>
          <w:tcPr>
            <w:tcW w:w="1720" w:type="dxa"/>
            <w:vAlign w:val="bottom"/>
            <w:shd w:val="clear" w:color="auto" w:fill="C00000"/>
          </w:tcPr>
          <w:p>
            <w:pPr>
              <w:jc w:val="right"/>
              <w:ind w:right="911"/>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C00000"/>
          </w:tcPr>
          <w:p>
            <w:pPr>
              <w:jc w:val="right"/>
              <w:ind w:right="549"/>
              <w:spacing w:after="0"/>
              <w:rPr>
                <w:sz w:val="20"/>
                <w:szCs w:val="20"/>
                <w:color w:val="auto"/>
              </w:rPr>
            </w:pPr>
            <w:r>
              <w:rPr>
                <w:rFonts w:ascii="Arial" w:cs="Arial" w:eastAsia="Arial" w:hAnsi="Arial"/>
                <w:sz w:val="13"/>
                <w:szCs w:val="13"/>
                <w:b w:val="1"/>
                <w:bCs w:val="1"/>
                <w:color w:val="FFFFFF"/>
              </w:rPr>
              <w:t>($)</w:t>
            </w:r>
          </w:p>
        </w:tc>
      </w:tr>
      <w:tr>
        <w:trPr>
          <w:trHeight w:val="184"/>
        </w:trPr>
        <w:tc>
          <w:tcPr>
            <w:tcW w:w="2400" w:type="dxa"/>
            <w:vAlign w:val="bottom"/>
          </w:tcPr>
          <w:p>
            <w:pPr>
              <w:spacing w:after="0"/>
              <w:rPr>
                <w:sz w:val="20"/>
                <w:szCs w:val="20"/>
                <w:color w:val="auto"/>
              </w:rPr>
            </w:pPr>
            <w:r>
              <w:rPr>
                <w:rFonts w:ascii="Arial" w:cs="Arial" w:eastAsia="Arial" w:hAnsi="Arial"/>
                <w:sz w:val="15"/>
                <w:szCs w:val="15"/>
                <w:color w:val="auto"/>
              </w:rPr>
              <w:t>Mr. Olson</w:t>
            </w:r>
          </w:p>
        </w:tc>
        <w:tc>
          <w:tcPr>
            <w:tcW w:w="2900" w:type="dxa"/>
            <w:vAlign w:val="bottom"/>
          </w:tcPr>
          <w:p>
            <w:pPr>
              <w:jc w:val="right"/>
              <w:ind w:right="111"/>
              <w:spacing w:after="0"/>
              <w:rPr>
                <w:sz w:val="20"/>
                <w:szCs w:val="20"/>
                <w:color w:val="auto"/>
              </w:rPr>
            </w:pPr>
            <w:r>
              <w:rPr>
                <w:rFonts w:ascii="Arial" w:cs="Arial" w:eastAsia="Arial" w:hAnsi="Arial"/>
                <w:sz w:val="15"/>
                <w:szCs w:val="15"/>
                <w:color w:val="auto"/>
              </w:rPr>
              <w:t>25,854</w:t>
            </w:r>
          </w:p>
        </w:tc>
        <w:tc>
          <w:tcPr>
            <w:tcW w:w="1660" w:type="dxa"/>
            <w:vAlign w:val="bottom"/>
          </w:tcPr>
          <w:p>
            <w:pPr>
              <w:jc w:val="right"/>
              <w:ind w:right="211"/>
              <w:spacing w:after="0"/>
              <w:rPr>
                <w:sz w:val="20"/>
                <w:szCs w:val="20"/>
                <w:color w:val="auto"/>
              </w:rPr>
            </w:pPr>
            <w:r>
              <w:rPr>
                <w:rFonts w:ascii="Arial" w:cs="Arial" w:eastAsia="Arial" w:hAnsi="Arial"/>
                <w:sz w:val="15"/>
                <w:szCs w:val="15"/>
                <w:color w:val="auto"/>
              </w:rPr>
              <w:t>137,923</w:t>
            </w:r>
          </w:p>
        </w:tc>
        <w:tc>
          <w:tcPr>
            <w:tcW w:w="1520" w:type="dxa"/>
            <w:vAlign w:val="bottom"/>
          </w:tcPr>
          <w:p>
            <w:pPr>
              <w:jc w:val="right"/>
              <w:ind w:right="151"/>
              <w:spacing w:after="0"/>
              <w:rPr>
                <w:sz w:val="20"/>
                <w:szCs w:val="20"/>
                <w:color w:val="auto"/>
              </w:rPr>
            </w:pPr>
            <w:r>
              <w:rPr>
                <w:rFonts w:ascii="Arial" w:cs="Arial" w:eastAsia="Arial" w:hAnsi="Arial"/>
                <w:sz w:val="15"/>
                <w:szCs w:val="15"/>
                <w:color w:val="auto"/>
              </w:rPr>
              <w:t>3,000</w:t>
            </w:r>
          </w:p>
        </w:tc>
        <w:tc>
          <w:tcPr>
            <w:tcW w:w="1720" w:type="dxa"/>
            <w:vAlign w:val="bottom"/>
          </w:tcPr>
          <w:p>
            <w:pPr>
              <w:jc w:val="right"/>
              <w:ind w:right="291"/>
              <w:spacing w:after="0"/>
              <w:rPr>
                <w:sz w:val="20"/>
                <w:szCs w:val="20"/>
                <w:color w:val="auto"/>
              </w:rPr>
            </w:pPr>
            <w:r>
              <w:rPr>
                <w:rFonts w:ascii="Arial" w:cs="Arial" w:eastAsia="Arial" w:hAnsi="Arial"/>
                <w:sz w:val="15"/>
                <w:szCs w:val="15"/>
                <w:color w:val="auto"/>
              </w:rPr>
              <w:t>15,586</w:t>
            </w:r>
          </w:p>
        </w:tc>
        <w:tc>
          <w:tcPr>
            <w:tcW w:w="1220" w:type="dxa"/>
            <w:vAlign w:val="bottom"/>
          </w:tcPr>
          <w:p>
            <w:pPr>
              <w:jc w:val="right"/>
              <w:spacing w:after="0"/>
              <w:rPr>
                <w:sz w:val="20"/>
                <w:szCs w:val="20"/>
                <w:color w:val="auto"/>
              </w:rPr>
            </w:pPr>
            <w:r>
              <w:rPr>
                <w:rFonts w:ascii="Arial" w:cs="Arial" w:eastAsia="Arial" w:hAnsi="Arial"/>
                <w:sz w:val="15"/>
                <w:szCs w:val="15"/>
                <w:color w:val="auto"/>
              </w:rPr>
              <w:t>182,363</w:t>
            </w:r>
          </w:p>
        </w:tc>
      </w:tr>
      <w:tr>
        <w:trPr>
          <w:trHeight w:val="184"/>
        </w:trPr>
        <w:tc>
          <w:tcPr>
            <w:tcW w:w="240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2900" w:type="dxa"/>
            <w:vAlign w:val="bottom"/>
            <w:shd w:val="clear" w:color="auto" w:fill="D9D9D9"/>
          </w:tcPr>
          <w:p>
            <w:pPr>
              <w:jc w:val="right"/>
              <w:ind w:right="111"/>
              <w:spacing w:after="0"/>
              <w:rPr>
                <w:sz w:val="20"/>
                <w:szCs w:val="20"/>
                <w:color w:val="auto"/>
              </w:rPr>
            </w:pPr>
            <w:r>
              <w:rPr>
                <w:rFonts w:ascii="Arial" w:cs="Arial" w:eastAsia="Arial" w:hAnsi="Arial"/>
                <w:sz w:val="15"/>
                <w:szCs w:val="15"/>
                <w:color w:val="auto"/>
              </w:rPr>
              <w:t>25,854</w:t>
            </w:r>
          </w:p>
        </w:tc>
        <w:tc>
          <w:tcPr>
            <w:tcW w:w="1660" w:type="dxa"/>
            <w:vAlign w:val="bottom"/>
            <w:shd w:val="clear" w:color="auto" w:fill="D9D9D9"/>
          </w:tcPr>
          <w:p>
            <w:pPr>
              <w:jc w:val="right"/>
              <w:ind w:right="211"/>
              <w:spacing w:after="0"/>
              <w:rPr>
                <w:sz w:val="20"/>
                <w:szCs w:val="20"/>
                <w:color w:val="auto"/>
              </w:rPr>
            </w:pPr>
            <w:r>
              <w:rPr>
                <w:rFonts w:ascii="Arial" w:cs="Arial" w:eastAsia="Arial" w:hAnsi="Arial"/>
                <w:sz w:val="15"/>
                <w:szCs w:val="15"/>
                <w:color w:val="auto"/>
              </w:rPr>
              <w:t>54,415</w:t>
            </w:r>
          </w:p>
        </w:tc>
        <w:tc>
          <w:tcPr>
            <w:tcW w:w="1520" w:type="dxa"/>
            <w:vAlign w:val="bottom"/>
            <w:shd w:val="clear" w:color="auto" w:fill="D9D9D9"/>
          </w:tcPr>
          <w:p>
            <w:pPr>
              <w:jc w:val="right"/>
              <w:ind w:right="151"/>
              <w:spacing w:after="0"/>
              <w:rPr>
                <w:sz w:val="20"/>
                <w:szCs w:val="20"/>
                <w:color w:val="auto"/>
              </w:rPr>
            </w:pPr>
            <w:r>
              <w:rPr>
                <w:rFonts w:ascii="Arial" w:cs="Arial" w:eastAsia="Arial" w:hAnsi="Arial"/>
                <w:sz w:val="15"/>
                <w:szCs w:val="15"/>
                <w:color w:val="auto"/>
              </w:rPr>
              <w:t>3,000</w:t>
            </w:r>
          </w:p>
        </w:tc>
        <w:tc>
          <w:tcPr>
            <w:tcW w:w="1720" w:type="dxa"/>
            <w:vAlign w:val="bottom"/>
            <w:shd w:val="clear" w:color="auto" w:fill="D9D9D9"/>
          </w:tcPr>
          <w:p>
            <w:pPr>
              <w:jc w:val="right"/>
              <w:ind w:right="291"/>
              <w:spacing w:after="0"/>
              <w:rPr>
                <w:sz w:val="20"/>
                <w:szCs w:val="20"/>
                <w:color w:val="auto"/>
              </w:rPr>
            </w:pPr>
            <w:r>
              <w:rPr>
                <w:rFonts w:ascii="Arial" w:cs="Arial" w:eastAsia="Arial" w:hAnsi="Arial"/>
                <w:sz w:val="15"/>
                <w:szCs w:val="15"/>
                <w:color w:val="auto"/>
              </w:rPr>
              <w:t>31,675</w:t>
            </w:r>
          </w:p>
        </w:tc>
        <w:tc>
          <w:tcPr>
            <w:tcW w:w="12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114,944</w:t>
            </w:r>
          </w:p>
        </w:tc>
      </w:tr>
      <w:tr>
        <w:trPr>
          <w:trHeight w:val="184"/>
        </w:trPr>
        <w:tc>
          <w:tcPr>
            <w:tcW w:w="2400" w:type="dxa"/>
            <w:vAlign w:val="bottom"/>
          </w:tcPr>
          <w:p>
            <w:pPr>
              <w:spacing w:after="0"/>
              <w:rPr>
                <w:sz w:val="20"/>
                <w:szCs w:val="20"/>
                <w:color w:val="auto"/>
              </w:rPr>
            </w:pPr>
            <w:r>
              <w:rPr>
                <w:rFonts w:ascii="Arial" w:cs="Arial" w:eastAsia="Arial" w:hAnsi="Arial"/>
                <w:sz w:val="15"/>
                <w:szCs w:val="15"/>
                <w:color w:val="auto"/>
              </w:rPr>
              <w:t>Mr. Dordell</w:t>
            </w:r>
          </w:p>
        </w:tc>
        <w:tc>
          <w:tcPr>
            <w:tcW w:w="2900" w:type="dxa"/>
            <w:vAlign w:val="bottom"/>
          </w:tcPr>
          <w:p>
            <w:pPr>
              <w:jc w:val="right"/>
              <w:ind w:right="111"/>
              <w:spacing w:after="0"/>
              <w:rPr>
                <w:sz w:val="20"/>
                <w:szCs w:val="20"/>
                <w:color w:val="auto"/>
              </w:rPr>
            </w:pPr>
            <w:r>
              <w:rPr>
                <w:rFonts w:ascii="Arial" w:cs="Arial" w:eastAsia="Arial" w:hAnsi="Arial"/>
                <w:sz w:val="15"/>
                <w:szCs w:val="15"/>
                <w:color w:val="auto"/>
              </w:rPr>
              <w:t>25,388</w:t>
            </w:r>
          </w:p>
        </w:tc>
        <w:tc>
          <w:tcPr>
            <w:tcW w:w="1660" w:type="dxa"/>
            <w:vAlign w:val="bottom"/>
          </w:tcPr>
          <w:p>
            <w:pPr>
              <w:jc w:val="right"/>
              <w:ind w:right="211"/>
              <w:spacing w:after="0"/>
              <w:rPr>
                <w:sz w:val="20"/>
                <w:szCs w:val="20"/>
                <w:color w:val="auto"/>
              </w:rPr>
            </w:pPr>
            <w:r>
              <w:rPr>
                <w:rFonts w:ascii="Arial" w:cs="Arial" w:eastAsia="Arial" w:hAnsi="Arial"/>
                <w:sz w:val="15"/>
                <w:szCs w:val="15"/>
                <w:color w:val="auto"/>
              </w:rPr>
              <w:t>36,365</w:t>
            </w:r>
          </w:p>
        </w:tc>
        <w:tc>
          <w:tcPr>
            <w:tcW w:w="1520" w:type="dxa"/>
            <w:vAlign w:val="bottom"/>
          </w:tcPr>
          <w:p>
            <w:pPr>
              <w:jc w:val="right"/>
              <w:ind w:right="151"/>
              <w:spacing w:after="0"/>
              <w:rPr>
                <w:sz w:val="20"/>
                <w:szCs w:val="20"/>
                <w:color w:val="auto"/>
              </w:rPr>
            </w:pPr>
            <w:r>
              <w:rPr>
                <w:rFonts w:ascii="Arial" w:cs="Arial" w:eastAsia="Arial" w:hAnsi="Arial"/>
                <w:sz w:val="15"/>
                <w:szCs w:val="15"/>
                <w:color w:val="auto"/>
              </w:rPr>
              <w:t>3,000</w:t>
            </w:r>
          </w:p>
        </w:tc>
        <w:tc>
          <w:tcPr>
            <w:tcW w:w="1720" w:type="dxa"/>
            <w:vAlign w:val="bottom"/>
          </w:tcPr>
          <w:p>
            <w:pPr>
              <w:jc w:val="right"/>
              <w:ind w:right="291"/>
              <w:spacing w:after="0"/>
              <w:rPr>
                <w:sz w:val="20"/>
                <w:szCs w:val="20"/>
                <w:color w:val="auto"/>
              </w:rPr>
            </w:pPr>
            <w:r>
              <w:rPr>
                <w:rFonts w:ascii="Arial" w:cs="Arial" w:eastAsia="Arial" w:hAnsi="Arial"/>
                <w:sz w:val="15"/>
                <w:szCs w:val="15"/>
                <w:color w:val="auto"/>
              </w:rPr>
              <w:t>30,441</w:t>
            </w:r>
          </w:p>
        </w:tc>
        <w:tc>
          <w:tcPr>
            <w:tcW w:w="1220" w:type="dxa"/>
            <w:vAlign w:val="bottom"/>
          </w:tcPr>
          <w:p>
            <w:pPr>
              <w:jc w:val="right"/>
              <w:spacing w:after="0"/>
              <w:rPr>
                <w:sz w:val="20"/>
                <w:szCs w:val="20"/>
                <w:color w:val="auto"/>
              </w:rPr>
            </w:pPr>
            <w:r>
              <w:rPr>
                <w:rFonts w:ascii="Arial" w:cs="Arial" w:eastAsia="Arial" w:hAnsi="Arial"/>
                <w:sz w:val="15"/>
                <w:szCs w:val="15"/>
                <w:color w:val="auto"/>
              </w:rPr>
              <w:t>95,194</w:t>
            </w:r>
          </w:p>
        </w:tc>
      </w:tr>
      <w:tr>
        <w:trPr>
          <w:trHeight w:val="184"/>
        </w:trPr>
        <w:tc>
          <w:tcPr>
            <w:tcW w:w="2400" w:type="dxa"/>
            <w:vAlign w:val="bottom"/>
            <w:shd w:val="clear" w:color="auto" w:fill="D9D9D9"/>
          </w:tcPr>
          <w:p>
            <w:pPr>
              <w:spacing w:after="0"/>
              <w:rPr>
                <w:sz w:val="20"/>
                <w:szCs w:val="20"/>
                <w:color w:val="auto"/>
              </w:rPr>
            </w:pPr>
            <w:r>
              <w:rPr>
                <w:rFonts w:ascii="Arial" w:cs="Arial" w:eastAsia="Arial" w:hAnsi="Arial"/>
                <w:sz w:val="15"/>
                <w:szCs w:val="15"/>
                <w:color w:val="auto"/>
              </w:rPr>
              <w:t>Mr. Hamilton</w:t>
            </w:r>
          </w:p>
        </w:tc>
        <w:tc>
          <w:tcPr>
            <w:tcW w:w="2900" w:type="dxa"/>
            <w:vAlign w:val="bottom"/>
            <w:shd w:val="clear" w:color="auto" w:fill="D9D9D9"/>
          </w:tcPr>
          <w:p>
            <w:pPr>
              <w:jc w:val="right"/>
              <w:ind w:right="111"/>
              <w:spacing w:after="0"/>
              <w:rPr>
                <w:sz w:val="20"/>
                <w:szCs w:val="20"/>
                <w:color w:val="auto"/>
              </w:rPr>
            </w:pPr>
            <w:r>
              <w:rPr>
                <w:rFonts w:ascii="Arial" w:cs="Arial" w:eastAsia="Arial" w:hAnsi="Arial"/>
                <w:sz w:val="15"/>
                <w:szCs w:val="15"/>
                <w:color w:val="auto"/>
              </w:rPr>
              <w:t>25,854</w:t>
            </w:r>
          </w:p>
        </w:tc>
        <w:tc>
          <w:tcPr>
            <w:tcW w:w="1660" w:type="dxa"/>
            <w:vAlign w:val="bottom"/>
            <w:shd w:val="clear" w:color="auto" w:fill="D9D9D9"/>
          </w:tcPr>
          <w:p>
            <w:pPr>
              <w:jc w:val="right"/>
              <w:ind w:right="211"/>
              <w:spacing w:after="0"/>
              <w:rPr>
                <w:sz w:val="20"/>
                <w:szCs w:val="20"/>
                <w:color w:val="auto"/>
              </w:rPr>
            </w:pPr>
            <w:r>
              <w:rPr>
                <w:rFonts w:ascii="Arial" w:cs="Arial" w:eastAsia="Arial" w:hAnsi="Arial"/>
                <w:sz w:val="15"/>
                <w:szCs w:val="15"/>
                <w:color w:val="auto"/>
              </w:rPr>
              <w:t>28,269</w:t>
            </w:r>
          </w:p>
        </w:tc>
        <w:tc>
          <w:tcPr>
            <w:tcW w:w="1520" w:type="dxa"/>
            <w:vAlign w:val="bottom"/>
            <w:shd w:val="clear" w:color="auto" w:fill="D9D9D9"/>
          </w:tcPr>
          <w:p>
            <w:pPr>
              <w:jc w:val="right"/>
              <w:ind w:right="151"/>
              <w:spacing w:after="0"/>
              <w:rPr>
                <w:sz w:val="20"/>
                <w:szCs w:val="20"/>
                <w:color w:val="auto"/>
              </w:rPr>
            </w:pPr>
            <w:r>
              <w:rPr>
                <w:rFonts w:ascii="Arial" w:cs="Arial" w:eastAsia="Arial" w:hAnsi="Arial"/>
                <w:sz w:val="15"/>
                <w:szCs w:val="15"/>
                <w:color w:val="auto"/>
              </w:rPr>
              <w:t>0</w:t>
            </w:r>
          </w:p>
        </w:tc>
        <w:tc>
          <w:tcPr>
            <w:tcW w:w="1720" w:type="dxa"/>
            <w:vAlign w:val="bottom"/>
            <w:shd w:val="clear" w:color="auto" w:fill="D9D9D9"/>
          </w:tcPr>
          <w:p>
            <w:pPr>
              <w:jc w:val="right"/>
              <w:ind w:right="291"/>
              <w:spacing w:after="0"/>
              <w:rPr>
                <w:sz w:val="20"/>
                <w:szCs w:val="20"/>
                <w:color w:val="auto"/>
              </w:rPr>
            </w:pPr>
            <w:r>
              <w:rPr>
                <w:rFonts w:ascii="Arial" w:cs="Arial" w:eastAsia="Arial" w:hAnsi="Arial"/>
                <w:sz w:val="15"/>
                <w:szCs w:val="15"/>
                <w:color w:val="auto"/>
              </w:rPr>
              <w:t>20,323</w:t>
            </w:r>
          </w:p>
        </w:tc>
        <w:tc>
          <w:tcPr>
            <w:tcW w:w="12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74,446</w:t>
            </w:r>
          </w:p>
        </w:tc>
      </w:tr>
      <w:tr>
        <w:trPr>
          <w:trHeight w:val="191"/>
        </w:trPr>
        <w:tc>
          <w:tcPr>
            <w:tcW w:w="2400" w:type="dxa"/>
            <w:vAlign w:val="bottom"/>
          </w:tcPr>
          <w:p>
            <w:pPr>
              <w:spacing w:after="0"/>
              <w:rPr>
                <w:sz w:val="20"/>
                <w:szCs w:val="20"/>
                <w:color w:val="auto"/>
              </w:rPr>
            </w:pPr>
            <w:r>
              <w:rPr>
                <w:rFonts w:ascii="Arial" w:cs="Arial" w:eastAsia="Arial" w:hAnsi="Arial"/>
                <w:sz w:val="15"/>
                <w:szCs w:val="15"/>
                <w:color w:val="auto"/>
              </w:rPr>
              <w:t>Mr. Rodier</w:t>
            </w:r>
          </w:p>
        </w:tc>
        <w:tc>
          <w:tcPr>
            <w:tcW w:w="2900" w:type="dxa"/>
            <w:vAlign w:val="bottom"/>
          </w:tcPr>
          <w:p>
            <w:pPr>
              <w:jc w:val="right"/>
              <w:ind w:right="111"/>
              <w:spacing w:after="0"/>
              <w:rPr>
                <w:sz w:val="20"/>
                <w:szCs w:val="20"/>
                <w:color w:val="auto"/>
              </w:rPr>
            </w:pPr>
            <w:r>
              <w:rPr>
                <w:rFonts w:ascii="Arial" w:cs="Arial" w:eastAsia="Arial" w:hAnsi="Arial"/>
                <w:sz w:val="15"/>
                <w:szCs w:val="15"/>
                <w:color w:val="auto"/>
              </w:rPr>
              <w:t>25,854</w:t>
            </w:r>
          </w:p>
        </w:tc>
        <w:tc>
          <w:tcPr>
            <w:tcW w:w="1660" w:type="dxa"/>
            <w:vAlign w:val="bottom"/>
          </w:tcPr>
          <w:p>
            <w:pPr>
              <w:jc w:val="right"/>
              <w:ind w:right="211"/>
              <w:spacing w:after="0"/>
              <w:rPr>
                <w:sz w:val="20"/>
                <w:szCs w:val="20"/>
                <w:color w:val="auto"/>
              </w:rPr>
            </w:pPr>
            <w:r>
              <w:rPr>
                <w:rFonts w:ascii="Arial" w:cs="Arial" w:eastAsia="Arial" w:hAnsi="Arial"/>
                <w:sz w:val="15"/>
                <w:szCs w:val="15"/>
                <w:color w:val="auto"/>
              </w:rPr>
              <w:t>22,409</w:t>
            </w:r>
          </w:p>
        </w:tc>
        <w:tc>
          <w:tcPr>
            <w:tcW w:w="1520" w:type="dxa"/>
            <w:vAlign w:val="bottom"/>
          </w:tcPr>
          <w:p>
            <w:pPr>
              <w:jc w:val="right"/>
              <w:ind w:right="151"/>
              <w:spacing w:after="0"/>
              <w:rPr>
                <w:sz w:val="20"/>
                <w:szCs w:val="20"/>
                <w:color w:val="auto"/>
              </w:rPr>
            </w:pPr>
            <w:r>
              <w:rPr>
                <w:rFonts w:ascii="Arial" w:cs="Arial" w:eastAsia="Arial" w:hAnsi="Arial"/>
                <w:sz w:val="15"/>
                <w:szCs w:val="15"/>
                <w:color w:val="auto"/>
              </w:rPr>
              <w:t>3,000</w:t>
            </w:r>
          </w:p>
        </w:tc>
        <w:tc>
          <w:tcPr>
            <w:tcW w:w="1720" w:type="dxa"/>
            <w:vAlign w:val="bottom"/>
          </w:tcPr>
          <w:p>
            <w:pPr>
              <w:jc w:val="right"/>
              <w:ind w:right="291"/>
              <w:spacing w:after="0"/>
              <w:rPr>
                <w:sz w:val="20"/>
                <w:szCs w:val="20"/>
                <w:color w:val="auto"/>
              </w:rPr>
            </w:pPr>
            <w:r>
              <w:rPr>
                <w:rFonts w:ascii="Arial" w:cs="Arial" w:eastAsia="Arial" w:hAnsi="Arial"/>
                <w:sz w:val="15"/>
                <w:szCs w:val="15"/>
                <w:color w:val="auto"/>
              </w:rPr>
              <w:t>23,603</w:t>
            </w:r>
          </w:p>
        </w:tc>
        <w:tc>
          <w:tcPr>
            <w:tcW w:w="1220" w:type="dxa"/>
            <w:vAlign w:val="bottom"/>
          </w:tcPr>
          <w:p>
            <w:pPr>
              <w:jc w:val="right"/>
              <w:spacing w:after="0"/>
              <w:rPr>
                <w:sz w:val="20"/>
                <w:szCs w:val="20"/>
                <w:color w:val="auto"/>
              </w:rPr>
            </w:pPr>
            <w:r>
              <w:rPr>
                <w:rFonts w:ascii="Arial" w:cs="Arial" w:eastAsia="Arial" w:hAnsi="Arial"/>
                <w:sz w:val="15"/>
                <w:szCs w:val="15"/>
                <w:color w:val="auto"/>
              </w:rPr>
              <w:t>74,866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207772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1" w:lineRule="exact"/>
        <w:rPr>
          <w:sz w:val="20"/>
          <w:szCs w:val="20"/>
          <w:color w:val="auto"/>
        </w:rPr>
      </w:pPr>
    </w:p>
    <w:p>
      <w:pPr>
        <w:ind w:left="402" w:right="160" w:hanging="402"/>
        <w:spacing w:after="0" w:line="255" w:lineRule="auto"/>
        <w:tabs>
          <w:tab w:leader="none" w:pos="40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Amounts reported represent Company (i) matching contributions, (ii) investment fund contributions, and (iii) ESOP contributions to the Retirement Plan for calendar year 2018.</w:t>
      </w:r>
    </w:p>
    <w:p>
      <w:pPr>
        <w:spacing w:after="0" w:line="25" w:lineRule="exact"/>
        <w:rPr>
          <w:rFonts w:ascii="Arial" w:cs="Arial" w:eastAsia="Arial" w:hAnsi="Arial"/>
          <w:sz w:val="16"/>
          <w:szCs w:val="16"/>
          <w:color w:val="auto"/>
        </w:rPr>
      </w:pPr>
    </w:p>
    <w:p>
      <w:pPr>
        <w:ind w:left="402" w:hanging="402"/>
        <w:spacing w:after="0"/>
        <w:tabs>
          <w:tab w:leader="none" w:pos="40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Amounts reported represent Company contributions to the Supplemental Benefit Plan.</w:t>
      </w:r>
    </w:p>
    <w:p>
      <w:pPr>
        <w:spacing w:after="0" w:line="48" w:lineRule="exact"/>
        <w:rPr>
          <w:rFonts w:ascii="Arial" w:cs="Arial" w:eastAsia="Arial" w:hAnsi="Arial"/>
          <w:sz w:val="16"/>
          <w:szCs w:val="16"/>
          <w:color w:val="auto"/>
        </w:rPr>
      </w:pPr>
    </w:p>
    <w:p>
      <w:pPr>
        <w:ind w:left="402" w:hanging="402"/>
        <w:spacing w:after="0"/>
        <w:tabs>
          <w:tab w:leader="none" w:pos="40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Amounts reported represent matching contributions for charitable donations made by our executive officers.</w:t>
      </w:r>
    </w:p>
    <w:p>
      <w:pPr>
        <w:spacing w:after="0" w:line="48" w:lineRule="exact"/>
        <w:rPr>
          <w:rFonts w:ascii="Arial" w:cs="Arial" w:eastAsia="Arial" w:hAnsi="Arial"/>
          <w:sz w:val="16"/>
          <w:szCs w:val="16"/>
          <w:color w:val="auto"/>
        </w:rPr>
      </w:pPr>
    </w:p>
    <w:p>
      <w:pPr>
        <w:ind w:left="402" w:right="120" w:hanging="402"/>
        <w:spacing w:after="0" w:line="244" w:lineRule="auto"/>
        <w:tabs>
          <w:tab w:leader="none" w:pos="40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certain off-site meetings, such as an off-site Board of Directors meeting or other business-related meetings in which it was appropriate for a spouse to attend.</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Grants of Plan-Based Awards for Fiscal 2019</w:t>
      </w:r>
    </w:p>
    <w:p>
      <w:pPr>
        <w:spacing w:after="0" w:line="112" w:lineRule="exact"/>
        <w:rPr>
          <w:sz w:val="20"/>
          <w:szCs w:val="20"/>
          <w:color w:val="auto"/>
        </w:rPr>
      </w:pPr>
    </w:p>
    <w:p>
      <w:pPr>
        <w:ind w:left="2" w:right="220" w:firstLine="408"/>
        <w:spacing w:after="0" w:line="247" w:lineRule="auto"/>
        <w:rPr>
          <w:sz w:val="20"/>
          <w:szCs w:val="20"/>
          <w:color w:val="auto"/>
        </w:rPr>
      </w:pPr>
      <w:r>
        <w:rPr>
          <w:rFonts w:ascii="Arial" w:cs="Arial" w:eastAsia="Arial" w:hAnsi="Arial"/>
          <w:sz w:val="16"/>
          <w:szCs w:val="16"/>
          <w:color w:val="auto"/>
        </w:rPr>
        <w:t>We currently grant cash and equity awards under our 2010 Plan. During fiscal 2019, plan-based awards granted to our named executive officers included annual cash incentive awards, performance share awards, restricted stock unit awards, and stock option awards. More details on these grants can be found within the “Compensation Discussion and Analysis.”</w:t>
      </w:r>
    </w:p>
    <w:p>
      <w:pPr>
        <w:spacing w:after="0" w:line="81" w:lineRule="exact"/>
        <w:rPr>
          <w:sz w:val="20"/>
          <w:szCs w:val="20"/>
          <w:color w:val="auto"/>
        </w:rPr>
      </w:pPr>
    </w:p>
    <w:p>
      <w:pPr>
        <w:ind w:left="402"/>
        <w:spacing w:after="0"/>
        <w:rPr>
          <w:sz w:val="20"/>
          <w:szCs w:val="20"/>
          <w:color w:val="auto"/>
        </w:rPr>
      </w:pPr>
      <w:r>
        <w:rPr>
          <w:rFonts w:ascii="Arial" w:cs="Arial" w:eastAsia="Arial" w:hAnsi="Arial"/>
          <w:sz w:val="16"/>
          <w:szCs w:val="16"/>
          <w:color w:val="auto"/>
        </w:rPr>
        <w:t>The following table summarizes all plan-based awards granted to our named executive officers during fiscal 2019.</w:t>
      </w:r>
    </w:p>
    <w:p>
      <w:pPr>
        <w:spacing w:after="0" w:line="97"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2220" w:type="dxa"/>
            <w:vAlign w:val="bottom"/>
            <w:shd w:val="clear" w:color="auto" w:fill="C00000"/>
          </w:tcPr>
          <w:p>
            <w:pPr>
              <w:spacing w:after="0"/>
              <w:rPr>
                <w:sz w:val="10"/>
                <w:szCs w:val="10"/>
                <w:color w:val="auto"/>
              </w:rPr>
            </w:pPr>
          </w:p>
        </w:tc>
        <w:tc>
          <w:tcPr>
            <w:tcW w:w="66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820" w:type="dxa"/>
            <w:vAlign w:val="bottom"/>
            <w:shd w:val="clear" w:color="auto" w:fill="C00000"/>
          </w:tcPr>
          <w:p>
            <w:pPr>
              <w:spacing w:after="0"/>
              <w:rPr>
                <w:sz w:val="10"/>
                <w:szCs w:val="10"/>
                <w:color w:val="auto"/>
              </w:rPr>
            </w:pPr>
          </w:p>
        </w:tc>
        <w:tc>
          <w:tcPr>
            <w:tcW w:w="74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700" w:type="dxa"/>
            <w:vAlign w:val="bottom"/>
            <w:shd w:val="clear" w:color="auto" w:fill="C00000"/>
          </w:tcPr>
          <w:p>
            <w:pPr>
              <w:spacing w:after="0"/>
              <w:rPr>
                <w:sz w:val="10"/>
                <w:szCs w:val="10"/>
                <w:color w:val="auto"/>
              </w:rPr>
            </w:pPr>
          </w:p>
        </w:tc>
        <w:tc>
          <w:tcPr>
            <w:tcW w:w="740" w:type="dxa"/>
            <w:vAlign w:val="bottom"/>
            <w:shd w:val="clear" w:color="auto" w:fill="C00000"/>
          </w:tcPr>
          <w:p>
            <w:pPr>
              <w:spacing w:after="0"/>
              <w:rPr>
                <w:sz w:val="10"/>
                <w:szCs w:val="10"/>
                <w:color w:val="auto"/>
              </w:rPr>
            </w:pPr>
          </w:p>
        </w:tc>
        <w:tc>
          <w:tcPr>
            <w:tcW w:w="820" w:type="dxa"/>
            <w:vAlign w:val="bottom"/>
            <w:shd w:val="clear" w:color="auto" w:fill="C00000"/>
          </w:tcPr>
          <w:p>
            <w:pPr>
              <w:jc w:val="center"/>
              <w:ind w:right="48"/>
              <w:spacing w:after="0"/>
              <w:rPr>
                <w:sz w:val="20"/>
                <w:szCs w:val="20"/>
                <w:color w:val="auto"/>
              </w:rPr>
            </w:pPr>
            <w:r>
              <w:rPr>
                <w:rFonts w:ascii="Arial" w:cs="Arial" w:eastAsia="Arial" w:hAnsi="Arial"/>
                <w:sz w:val="11"/>
                <w:szCs w:val="11"/>
                <w:b w:val="1"/>
                <w:bCs w:val="1"/>
                <w:color w:val="FFFFFF"/>
                <w:w w:val="94"/>
              </w:rPr>
              <w:t>All Other</w:t>
            </w:r>
          </w:p>
        </w:tc>
        <w:tc>
          <w:tcPr>
            <w:tcW w:w="860" w:type="dxa"/>
            <w:vAlign w:val="bottom"/>
            <w:shd w:val="clear" w:color="auto" w:fill="C00000"/>
          </w:tcPr>
          <w:p>
            <w:pPr>
              <w:jc w:val="center"/>
              <w:ind w:right="67"/>
              <w:spacing w:after="0"/>
              <w:rPr>
                <w:sz w:val="20"/>
                <w:szCs w:val="20"/>
                <w:color w:val="auto"/>
              </w:rPr>
            </w:pPr>
            <w:r>
              <w:rPr>
                <w:rFonts w:ascii="Arial" w:cs="Arial" w:eastAsia="Arial" w:hAnsi="Arial"/>
                <w:sz w:val="11"/>
                <w:szCs w:val="11"/>
                <w:b w:val="1"/>
                <w:bCs w:val="1"/>
                <w:color w:val="FFFFFF"/>
                <w:w w:val="98"/>
              </w:rPr>
              <w:t>All Other</w:t>
            </w:r>
          </w:p>
        </w:tc>
        <w:tc>
          <w:tcPr>
            <w:tcW w:w="800" w:type="dxa"/>
            <w:vAlign w:val="bottom"/>
            <w:shd w:val="clear" w:color="auto" w:fill="C00000"/>
          </w:tcPr>
          <w:p>
            <w:pPr>
              <w:spacing w:after="0"/>
              <w:rPr>
                <w:sz w:val="10"/>
                <w:szCs w:val="10"/>
                <w:color w:val="auto"/>
              </w:rPr>
            </w:pPr>
          </w:p>
        </w:tc>
        <w:tc>
          <w:tcPr>
            <w:tcW w:w="780" w:type="dxa"/>
            <w:vAlign w:val="bottom"/>
            <w:shd w:val="clear" w:color="auto" w:fill="C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shd w:val="clear" w:color="auto" w:fill="C00000"/>
          </w:tcPr>
          <w:p>
            <w:pPr>
              <w:spacing w:after="0"/>
              <w:rPr>
                <w:sz w:val="10"/>
                <w:szCs w:val="10"/>
                <w:color w:val="auto"/>
              </w:rPr>
            </w:pPr>
          </w:p>
        </w:tc>
        <w:tc>
          <w:tcPr>
            <w:tcW w:w="66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820" w:type="dxa"/>
            <w:vAlign w:val="bottom"/>
            <w:shd w:val="clear" w:color="auto" w:fill="C00000"/>
          </w:tcPr>
          <w:p>
            <w:pPr>
              <w:spacing w:after="0"/>
              <w:rPr>
                <w:sz w:val="10"/>
                <w:szCs w:val="10"/>
                <w:color w:val="auto"/>
              </w:rPr>
            </w:pPr>
          </w:p>
        </w:tc>
        <w:tc>
          <w:tcPr>
            <w:tcW w:w="74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700" w:type="dxa"/>
            <w:vAlign w:val="bottom"/>
            <w:shd w:val="clear" w:color="auto" w:fill="C00000"/>
          </w:tcPr>
          <w:p>
            <w:pPr>
              <w:spacing w:after="0"/>
              <w:rPr>
                <w:sz w:val="10"/>
                <w:szCs w:val="10"/>
                <w:color w:val="auto"/>
              </w:rPr>
            </w:pPr>
          </w:p>
        </w:tc>
        <w:tc>
          <w:tcPr>
            <w:tcW w:w="740" w:type="dxa"/>
            <w:vAlign w:val="bottom"/>
            <w:shd w:val="clear" w:color="auto" w:fill="C00000"/>
          </w:tcPr>
          <w:p>
            <w:pPr>
              <w:spacing w:after="0"/>
              <w:rPr>
                <w:sz w:val="10"/>
                <w:szCs w:val="10"/>
                <w:color w:val="auto"/>
              </w:rPr>
            </w:pPr>
          </w:p>
        </w:tc>
        <w:tc>
          <w:tcPr>
            <w:tcW w:w="820" w:type="dxa"/>
            <w:vAlign w:val="bottom"/>
            <w:shd w:val="clear" w:color="auto" w:fill="C00000"/>
          </w:tcPr>
          <w:p>
            <w:pPr>
              <w:jc w:val="center"/>
              <w:ind w:right="48"/>
              <w:spacing w:after="0" w:line="123" w:lineRule="exact"/>
              <w:rPr>
                <w:sz w:val="20"/>
                <w:szCs w:val="20"/>
                <w:color w:val="auto"/>
              </w:rPr>
            </w:pPr>
            <w:r>
              <w:rPr>
                <w:rFonts w:ascii="Arial" w:cs="Arial" w:eastAsia="Arial" w:hAnsi="Arial"/>
                <w:sz w:val="11"/>
                <w:szCs w:val="11"/>
                <w:b w:val="1"/>
                <w:bCs w:val="1"/>
                <w:color w:val="FFFFFF"/>
                <w:w w:val="93"/>
              </w:rPr>
              <w:t>Stock</w:t>
            </w:r>
          </w:p>
        </w:tc>
        <w:tc>
          <w:tcPr>
            <w:tcW w:w="860" w:type="dxa"/>
            <w:vAlign w:val="bottom"/>
            <w:shd w:val="clear" w:color="auto" w:fill="C00000"/>
          </w:tcPr>
          <w:p>
            <w:pPr>
              <w:jc w:val="center"/>
              <w:ind w:right="67"/>
              <w:spacing w:after="0" w:line="123" w:lineRule="exact"/>
              <w:rPr>
                <w:sz w:val="20"/>
                <w:szCs w:val="20"/>
                <w:color w:val="auto"/>
              </w:rPr>
            </w:pPr>
            <w:r>
              <w:rPr>
                <w:rFonts w:ascii="Arial" w:cs="Arial" w:eastAsia="Arial" w:hAnsi="Arial"/>
                <w:sz w:val="11"/>
                <w:szCs w:val="11"/>
                <w:b w:val="1"/>
                <w:bCs w:val="1"/>
                <w:color w:val="FFFFFF"/>
                <w:w w:val="95"/>
              </w:rPr>
              <w:t>Option</w:t>
            </w:r>
          </w:p>
        </w:tc>
        <w:tc>
          <w:tcPr>
            <w:tcW w:w="800" w:type="dxa"/>
            <w:vAlign w:val="bottom"/>
            <w:shd w:val="clear" w:color="auto" w:fill="C00000"/>
          </w:tcPr>
          <w:p>
            <w:pPr>
              <w:spacing w:after="0"/>
              <w:rPr>
                <w:sz w:val="10"/>
                <w:szCs w:val="10"/>
                <w:color w:val="auto"/>
              </w:rPr>
            </w:pPr>
          </w:p>
        </w:tc>
        <w:tc>
          <w:tcPr>
            <w:tcW w:w="78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5"/>
              </w:rPr>
              <w:t>Grant</w:t>
            </w:r>
          </w:p>
        </w:tc>
        <w:tc>
          <w:tcPr>
            <w:tcW w:w="0" w:type="dxa"/>
            <w:vAlign w:val="bottom"/>
          </w:tcPr>
          <w:p>
            <w:pPr>
              <w:spacing w:after="0"/>
              <w:rPr>
                <w:sz w:val="1"/>
                <w:szCs w:val="1"/>
                <w:color w:val="auto"/>
              </w:rPr>
            </w:pPr>
          </w:p>
        </w:tc>
      </w:tr>
      <w:tr>
        <w:trPr>
          <w:trHeight w:val="123"/>
        </w:trPr>
        <w:tc>
          <w:tcPr>
            <w:tcW w:w="2220" w:type="dxa"/>
            <w:vAlign w:val="bottom"/>
            <w:shd w:val="clear" w:color="auto" w:fill="C00000"/>
          </w:tcPr>
          <w:p>
            <w:pPr>
              <w:spacing w:after="0"/>
              <w:rPr>
                <w:sz w:val="10"/>
                <w:szCs w:val="10"/>
                <w:color w:val="auto"/>
              </w:rPr>
            </w:pPr>
          </w:p>
        </w:tc>
        <w:tc>
          <w:tcPr>
            <w:tcW w:w="66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2320" w:type="dxa"/>
            <w:vAlign w:val="bottom"/>
            <w:gridSpan w:val="3"/>
            <w:vMerge w:val="restart"/>
            <w:shd w:val="clear" w:color="auto" w:fill="C00000"/>
          </w:tcPr>
          <w:p>
            <w:pPr>
              <w:jc w:val="center"/>
              <w:ind w:right="7"/>
              <w:spacing w:after="0"/>
              <w:rPr>
                <w:sz w:val="20"/>
                <w:szCs w:val="20"/>
                <w:color w:val="auto"/>
              </w:rPr>
            </w:pPr>
            <w:r>
              <w:rPr>
                <w:rFonts w:ascii="Arial" w:cs="Arial" w:eastAsia="Arial" w:hAnsi="Arial"/>
                <w:sz w:val="11"/>
                <w:szCs w:val="11"/>
                <w:b w:val="1"/>
                <w:bCs w:val="1"/>
                <w:color w:val="FFFFFF"/>
                <w:w w:val="95"/>
              </w:rPr>
              <w:t>Estimated Future Payouts</w:t>
            </w:r>
          </w:p>
        </w:tc>
        <w:tc>
          <w:tcPr>
            <w:tcW w:w="2200" w:type="dxa"/>
            <w:vAlign w:val="bottom"/>
            <w:gridSpan w:val="3"/>
            <w:vMerge w:val="restart"/>
            <w:shd w:val="clear" w:color="auto" w:fill="C00000"/>
          </w:tcPr>
          <w:p>
            <w:pPr>
              <w:jc w:val="center"/>
              <w:ind w:right="27"/>
              <w:spacing w:after="0"/>
              <w:rPr>
                <w:sz w:val="20"/>
                <w:szCs w:val="20"/>
                <w:color w:val="auto"/>
              </w:rPr>
            </w:pPr>
            <w:r>
              <w:rPr>
                <w:rFonts w:ascii="Arial" w:cs="Arial" w:eastAsia="Arial" w:hAnsi="Arial"/>
                <w:sz w:val="11"/>
                <w:szCs w:val="11"/>
                <w:b w:val="1"/>
                <w:bCs w:val="1"/>
                <w:color w:val="FFFFFF"/>
                <w:w w:val="97"/>
              </w:rPr>
              <w:t>Estimated Future Payouts</w:t>
            </w:r>
          </w:p>
        </w:tc>
        <w:tc>
          <w:tcPr>
            <w:tcW w:w="820" w:type="dxa"/>
            <w:vAlign w:val="bottom"/>
            <w:shd w:val="clear" w:color="auto" w:fill="C00000"/>
          </w:tcPr>
          <w:p>
            <w:pPr>
              <w:jc w:val="center"/>
              <w:ind w:right="48"/>
              <w:spacing w:after="0" w:line="123" w:lineRule="exact"/>
              <w:rPr>
                <w:sz w:val="20"/>
                <w:szCs w:val="20"/>
                <w:color w:val="auto"/>
              </w:rPr>
            </w:pPr>
            <w:r>
              <w:rPr>
                <w:rFonts w:ascii="Arial" w:cs="Arial" w:eastAsia="Arial" w:hAnsi="Arial"/>
                <w:sz w:val="11"/>
                <w:szCs w:val="11"/>
                <w:b w:val="1"/>
                <w:bCs w:val="1"/>
                <w:color w:val="FFFFFF"/>
                <w:w w:val="92"/>
              </w:rPr>
              <w:t>Awards:</w:t>
            </w:r>
          </w:p>
        </w:tc>
        <w:tc>
          <w:tcPr>
            <w:tcW w:w="860" w:type="dxa"/>
            <w:vAlign w:val="bottom"/>
            <w:shd w:val="clear" w:color="auto" w:fill="C00000"/>
          </w:tcPr>
          <w:p>
            <w:pPr>
              <w:jc w:val="center"/>
              <w:ind w:right="67"/>
              <w:spacing w:after="0" w:line="123" w:lineRule="exact"/>
              <w:rPr>
                <w:sz w:val="20"/>
                <w:szCs w:val="20"/>
                <w:color w:val="auto"/>
              </w:rPr>
            </w:pPr>
            <w:r>
              <w:rPr>
                <w:rFonts w:ascii="Arial" w:cs="Arial" w:eastAsia="Arial" w:hAnsi="Arial"/>
                <w:sz w:val="11"/>
                <w:szCs w:val="11"/>
                <w:b w:val="1"/>
                <w:bCs w:val="1"/>
                <w:color w:val="FFFFFF"/>
                <w:w w:val="96"/>
              </w:rPr>
              <w:t>Awards:</w:t>
            </w:r>
          </w:p>
        </w:tc>
        <w:tc>
          <w:tcPr>
            <w:tcW w:w="800" w:type="dxa"/>
            <w:vAlign w:val="bottom"/>
            <w:shd w:val="clear" w:color="auto" w:fill="C00000"/>
          </w:tcPr>
          <w:p>
            <w:pPr>
              <w:jc w:val="center"/>
              <w:ind w:right="28"/>
              <w:spacing w:after="0" w:line="123" w:lineRule="exact"/>
              <w:rPr>
                <w:sz w:val="20"/>
                <w:szCs w:val="20"/>
                <w:color w:val="auto"/>
              </w:rPr>
            </w:pPr>
            <w:r>
              <w:rPr>
                <w:rFonts w:ascii="Arial" w:cs="Arial" w:eastAsia="Arial" w:hAnsi="Arial"/>
                <w:sz w:val="11"/>
                <w:szCs w:val="11"/>
                <w:b w:val="1"/>
                <w:bCs w:val="1"/>
                <w:color w:val="FFFFFF"/>
                <w:w w:val="97"/>
              </w:rPr>
              <w:t>Exercise</w:t>
            </w:r>
          </w:p>
        </w:tc>
        <w:tc>
          <w:tcPr>
            <w:tcW w:w="78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7"/>
              </w:rPr>
              <w:t>Date Fair</w:t>
            </w:r>
          </w:p>
        </w:tc>
        <w:tc>
          <w:tcPr>
            <w:tcW w:w="0" w:type="dxa"/>
            <w:vAlign w:val="bottom"/>
          </w:tcPr>
          <w:p>
            <w:pPr>
              <w:spacing w:after="0"/>
              <w:rPr>
                <w:sz w:val="1"/>
                <w:szCs w:val="1"/>
                <w:color w:val="auto"/>
              </w:rPr>
            </w:pPr>
          </w:p>
        </w:tc>
      </w:tr>
      <w:tr>
        <w:trPr>
          <w:trHeight w:val="108"/>
        </w:trPr>
        <w:tc>
          <w:tcPr>
            <w:tcW w:w="2220" w:type="dxa"/>
            <w:vAlign w:val="bottom"/>
            <w:shd w:val="clear" w:color="auto" w:fill="C00000"/>
          </w:tcPr>
          <w:p>
            <w:pPr>
              <w:spacing w:after="0"/>
              <w:rPr>
                <w:sz w:val="9"/>
                <w:szCs w:val="9"/>
                <w:color w:val="auto"/>
              </w:rPr>
            </w:pPr>
          </w:p>
        </w:tc>
        <w:tc>
          <w:tcPr>
            <w:tcW w:w="660" w:type="dxa"/>
            <w:vAlign w:val="bottom"/>
            <w:shd w:val="clear" w:color="auto" w:fill="C00000"/>
          </w:tcPr>
          <w:p>
            <w:pPr>
              <w:spacing w:after="0"/>
              <w:rPr>
                <w:sz w:val="9"/>
                <w:szCs w:val="9"/>
                <w:color w:val="auto"/>
              </w:rPr>
            </w:pPr>
          </w:p>
        </w:tc>
        <w:tc>
          <w:tcPr>
            <w:tcW w:w="760" w:type="dxa"/>
            <w:vAlign w:val="bottom"/>
            <w:shd w:val="clear" w:color="auto" w:fill="C00000"/>
          </w:tcPr>
          <w:p>
            <w:pPr>
              <w:spacing w:after="0"/>
              <w:rPr>
                <w:sz w:val="9"/>
                <w:szCs w:val="9"/>
                <w:color w:val="auto"/>
              </w:rPr>
            </w:pPr>
          </w:p>
        </w:tc>
        <w:tc>
          <w:tcPr>
            <w:tcW w:w="2320" w:type="dxa"/>
            <w:vAlign w:val="bottom"/>
            <w:gridSpan w:val="3"/>
            <w:vMerge w:val="continue"/>
            <w:shd w:val="clear" w:color="auto" w:fill="C00000"/>
          </w:tcPr>
          <w:p>
            <w:pPr>
              <w:spacing w:after="0"/>
              <w:rPr>
                <w:sz w:val="9"/>
                <w:szCs w:val="9"/>
                <w:color w:val="auto"/>
              </w:rPr>
            </w:pPr>
          </w:p>
        </w:tc>
        <w:tc>
          <w:tcPr>
            <w:tcW w:w="2200" w:type="dxa"/>
            <w:vAlign w:val="bottom"/>
            <w:gridSpan w:val="3"/>
            <w:vMerge w:val="continue"/>
            <w:shd w:val="clear" w:color="auto" w:fill="C00000"/>
          </w:tcPr>
          <w:p>
            <w:pPr>
              <w:spacing w:after="0"/>
              <w:rPr>
                <w:sz w:val="9"/>
                <w:szCs w:val="9"/>
                <w:color w:val="auto"/>
              </w:rPr>
            </w:pPr>
          </w:p>
        </w:tc>
        <w:tc>
          <w:tcPr>
            <w:tcW w:w="820" w:type="dxa"/>
            <w:vAlign w:val="bottom"/>
            <w:shd w:val="clear" w:color="auto" w:fill="C00000"/>
          </w:tcPr>
          <w:p>
            <w:pPr>
              <w:jc w:val="center"/>
              <w:ind w:right="48"/>
              <w:spacing w:after="0" w:line="108" w:lineRule="exact"/>
              <w:rPr>
                <w:sz w:val="20"/>
                <w:szCs w:val="20"/>
                <w:color w:val="auto"/>
              </w:rPr>
            </w:pPr>
            <w:r>
              <w:rPr>
                <w:rFonts w:ascii="Arial" w:cs="Arial" w:eastAsia="Arial" w:hAnsi="Arial"/>
                <w:sz w:val="11"/>
                <w:szCs w:val="11"/>
                <w:b w:val="1"/>
                <w:bCs w:val="1"/>
                <w:color w:val="FFFFFF"/>
                <w:w w:val="94"/>
              </w:rPr>
              <w:t>Number of</w:t>
            </w:r>
          </w:p>
        </w:tc>
        <w:tc>
          <w:tcPr>
            <w:tcW w:w="860" w:type="dxa"/>
            <w:vAlign w:val="bottom"/>
            <w:shd w:val="clear" w:color="auto" w:fill="C00000"/>
          </w:tcPr>
          <w:p>
            <w:pPr>
              <w:jc w:val="center"/>
              <w:ind w:right="67"/>
              <w:spacing w:after="0" w:line="108" w:lineRule="exact"/>
              <w:rPr>
                <w:sz w:val="20"/>
                <w:szCs w:val="20"/>
                <w:color w:val="auto"/>
              </w:rPr>
            </w:pPr>
            <w:r>
              <w:rPr>
                <w:rFonts w:ascii="Arial" w:cs="Arial" w:eastAsia="Arial" w:hAnsi="Arial"/>
                <w:sz w:val="11"/>
                <w:szCs w:val="11"/>
                <w:b w:val="1"/>
                <w:bCs w:val="1"/>
                <w:color w:val="FFFFFF"/>
                <w:w w:val="98"/>
              </w:rPr>
              <w:t>Number of</w:t>
            </w:r>
          </w:p>
        </w:tc>
        <w:tc>
          <w:tcPr>
            <w:tcW w:w="800" w:type="dxa"/>
            <w:vAlign w:val="bottom"/>
            <w:shd w:val="clear" w:color="auto" w:fill="C00000"/>
          </w:tcPr>
          <w:p>
            <w:pPr>
              <w:jc w:val="center"/>
              <w:ind w:right="48"/>
              <w:spacing w:after="0" w:line="108" w:lineRule="exact"/>
              <w:rPr>
                <w:sz w:val="20"/>
                <w:szCs w:val="20"/>
                <w:color w:val="auto"/>
              </w:rPr>
            </w:pPr>
            <w:r>
              <w:rPr>
                <w:rFonts w:ascii="Arial" w:cs="Arial" w:eastAsia="Arial" w:hAnsi="Arial"/>
                <w:sz w:val="11"/>
                <w:szCs w:val="11"/>
                <w:b w:val="1"/>
                <w:bCs w:val="1"/>
                <w:color w:val="FFFFFF"/>
                <w:w w:val="94"/>
              </w:rPr>
              <w:t>or Base</w:t>
            </w:r>
          </w:p>
        </w:tc>
        <w:tc>
          <w:tcPr>
            <w:tcW w:w="780" w:type="dxa"/>
            <w:vAlign w:val="bottom"/>
            <w:shd w:val="clear" w:color="auto" w:fill="C00000"/>
          </w:tcPr>
          <w:p>
            <w:pPr>
              <w:jc w:val="center"/>
              <w:spacing w:after="0" w:line="108" w:lineRule="exact"/>
              <w:rPr>
                <w:sz w:val="20"/>
                <w:szCs w:val="20"/>
                <w:color w:val="auto"/>
              </w:rPr>
            </w:pPr>
            <w:r>
              <w:rPr>
                <w:rFonts w:ascii="Arial" w:cs="Arial" w:eastAsia="Arial" w:hAnsi="Arial"/>
                <w:sz w:val="11"/>
                <w:szCs w:val="11"/>
                <w:b w:val="1"/>
                <w:bCs w:val="1"/>
                <w:color w:val="FFFFFF"/>
                <w:w w:val="93"/>
              </w:rPr>
              <w:t>Value of</w:t>
            </w:r>
          </w:p>
        </w:tc>
        <w:tc>
          <w:tcPr>
            <w:tcW w:w="0" w:type="dxa"/>
            <w:vAlign w:val="bottom"/>
          </w:tcPr>
          <w:p>
            <w:pPr>
              <w:spacing w:after="0"/>
              <w:rPr>
                <w:sz w:val="1"/>
                <w:szCs w:val="1"/>
                <w:color w:val="auto"/>
              </w:rPr>
            </w:pPr>
          </w:p>
        </w:tc>
      </w:tr>
      <w:tr>
        <w:trPr>
          <w:trHeight w:val="123"/>
        </w:trPr>
        <w:tc>
          <w:tcPr>
            <w:tcW w:w="2220" w:type="dxa"/>
            <w:vAlign w:val="bottom"/>
            <w:shd w:val="clear" w:color="auto" w:fill="C00000"/>
          </w:tcPr>
          <w:p>
            <w:pPr>
              <w:spacing w:after="0"/>
              <w:rPr>
                <w:sz w:val="10"/>
                <w:szCs w:val="10"/>
                <w:color w:val="auto"/>
              </w:rPr>
            </w:pPr>
          </w:p>
        </w:tc>
        <w:tc>
          <w:tcPr>
            <w:tcW w:w="660" w:type="dxa"/>
            <w:vAlign w:val="bottom"/>
            <w:shd w:val="clear" w:color="auto" w:fill="C00000"/>
          </w:tcPr>
          <w:p>
            <w:pPr>
              <w:spacing w:after="0"/>
              <w:rPr>
                <w:sz w:val="10"/>
                <w:szCs w:val="10"/>
                <w:color w:val="auto"/>
              </w:rPr>
            </w:pPr>
          </w:p>
        </w:tc>
        <w:tc>
          <w:tcPr>
            <w:tcW w:w="760" w:type="dxa"/>
            <w:vAlign w:val="bottom"/>
            <w:shd w:val="clear" w:color="auto" w:fill="C00000"/>
          </w:tcPr>
          <w:p>
            <w:pPr>
              <w:spacing w:after="0"/>
              <w:rPr>
                <w:sz w:val="10"/>
                <w:szCs w:val="10"/>
                <w:color w:val="auto"/>
              </w:rPr>
            </w:pPr>
          </w:p>
        </w:tc>
        <w:tc>
          <w:tcPr>
            <w:tcW w:w="2320" w:type="dxa"/>
            <w:vAlign w:val="bottom"/>
            <w:gridSpan w:val="3"/>
            <w:shd w:val="clear" w:color="auto" w:fill="C00000"/>
          </w:tcPr>
          <w:p>
            <w:pPr>
              <w:jc w:val="center"/>
              <w:ind w:right="7"/>
              <w:spacing w:after="0" w:line="123" w:lineRule="exact"/>
              <w:rPr>
                <w:sz w:val="20"/>
                <w:szCs w:val="20"/>
                <w:color w:val="auto"/>
              </w:rPr>
            </w:pPr>
            <w:r>
              <w:rPr>
                <w:rFonts w:ascii="Arial" w:cs="Arial" w:eastAsia="Arial" w:hAnsi="Arial"/>
                <w:sz w:val="11"/>
                <w:szCs w:val="11"/>
                <w:b w:val="1"/>
                <w:bCs w:val="1"/>
                <w:color w:val="FFFFFF"/>
                <w:w w:val="95"/>
              </w:rPr>
              <w:t>Under Non-Equity Incentive</w:t>
            </w:r>
          </w:p>
        </w:tc>
        <w:tc>
          <w:tcPr>
            <w:tcW w:w="2200" w:type="dxa"/>
            <w:vAlign w:val="bottom"/>
            <w:gridSpan w:val="3"/>
            <w:shd w:val="clear" w:color="auto" w:fill="C00000"/>
          </w:tcPr>
          <w:p>
            <w:pPr>
              <w:jc w:val="center"/>
              <w:ind w:right="27"/>
              <w:spacing w:after="0" w:line="123" w:lineRule="exact"/>
              <w:rPr>
                <w:sz w:val="20"/>
                <w:szCs w:val="20"/>
                <w:color w:val="auto"/>
              </w:rPr>
            </w:pPr>
            <w:r>
              <w:rPr>
                <w:rFonts w:ascii="Arial" w:cs="Arial" w:eastAsia="Arial" w:hAnsi="Arial"/>
                <w:sz w:val="11"/>
                <w:szCs w:val="11"/>
                <w:b w:val="1"/>
                <w:bCs w:val="1"/>
                <w:color w:val="FFFFFF"/>
                <w:w w:val="96"/>
              </w:rPr>
              <w:t>Under Equity Incentive Plan</w:t>
            </w:r>
          </w:p>
        </w:tc>
        <w:tc>
          <w:tcPr>
            <w:tcW w:w="820" w:type="dxa"/>
            <w:vAlign w:val="bottom"/>
            <w:shd w:val="clear" w:color="auto" w:fill="C00000"/>
          </w:tcPr>
          <w:p>
            <w:pPr>
              <w:jc w:val="center"/>
              <w:ind w:right="48"/>
              <w:spacing w:after="0" w:line="123" w:lineRule="exact"/>
              <w:rPr>
                <w:sz w:val="20"/>
                <w:szCs w:val="20"/>
                <w:color w:val="auto"/>
              </w:rPr>
            </w:pPr>
            <w:r>
              <w:rPr>
                <w:rFonts w:ascii="Arial" w:cs="Arial" w:eastAsia="Arial" w:hAnsi="Arial"/>
                <w:sz w:val="11"/>
                <w:szCs w:val="11"/>
                <w:b w:val="1"/>
                <w:bCs w:val="1"/>
                <w:color w:val="FFFFFF"/>
                <w:w w:val="95"/>
              </w:rPr>
              <w:t>Shares of</w:t>
            </w:r>
          </w:p>
        </w:tc>
        <w:tc>
          <w:tcPr>
            <w:tcW w:w="860" w:type="dxa"/>
            <w:vAlign w:val="bottom"/>
            <w:shd w:val="clear" w:color="auto" w:fill="C00000"/>
          </w:tcPr>
          <w:p>
            <w:pPr>
              <w:jc w:val="center"/>
              <w:ind w:right="67"/>
              <w:spacing w:after="0" w:line="123" w:lineRule="exact"/>
              <w:rPr>
                <w:sz w:val="20"/>
                <w:szCs w:val="20"/>
                <w:color w:val="auto"/>
              </w:rPr>
            </w:pPr>
            <w:r>
              <w:rPr>
                <w:rFonts w:ascii="Arial" w:cs="Arial" w:eastAsia="Arial" w:hAnsi="Arial"/>
                <w:sz w:val="11"/>
                <w:szCs w:val="11"/>
                <w:b w:val="1"/>
                <w:bCs w:val="1"/>
                <w:color w:val="FFFFFF"/>
                <w:w w:val="94"/>
              </w:rPr>
              <w:t>Securities</w:t>
            </w:r>
          </w:p>
        </w:tc>
        <w:tc>
          <w:tcPr>
            <w:tcW w:w="800" w:type="dxa"/>
            <w:vAlign w:val="bottom"/>
            <w:shd w:val="clear" w:color="auto" w:fill="C00000"/>
          </w:tcPr>
          <w:p>
            <w:pPr>
              <w:jc w:val="center"/>
              <w:ind w:right="48"/>
              <w:spacing w:after="0" w:line="123" w:lineRule="exact"/>
              <w:rPr>
                <w:sz w:val="20"/>
                <w:szCs w:val="20"/>
                <w:color w:val="auto"/>
              </w:rPr>
            </w:pPr>
            <w:r>
              <w:rPr>
                <w:rFonts w:ascii="Arial" w:cs="Arial" w:eastAsia="Arial" w:hAnsi="Arial"/>
                <w:sz w:val="11"/>
                <w:szCs w:val="11"/>
                <w:b w:val="1"/>
                <w:bCs w:val="1"/>
                <w:color w:val="FFFFFF"/>
                <w:w w:val="94"/>
              </w:rPr>
              <w:t>Price of</w:t>
            </w:r>
          </w:p>
        </w:tc>
        <w:tc>
          <w:tcPr>
            <w:tcW w:w="78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5"/>
              </w:rPr>
              <w:t>Stock and</w:t>
            </w:r>
          </w:p>
        </w:tc>
        <w:tc>
          <w:tcPr>
            <w:tcW w:w="0" w:type="dxa"/>
            <w:vAlign w:val="bottom"/>
          </w:tcPr>
          <w:p>
            <w:pPr>
              <w:spacing w:after="0"/>
              <w:rPr>
                <w:sz w:val="1"/>
                <w:szCs w:val="1"/>
                <w:color w:val="auto"/>
              </w:rPr>
            </w:pPr>
          </w:p>
        </w:tc>
      </w:tr>
      <w:tr>
        <w:trPr>
          <w:trHeight w:val="129"/>
        </w:trPr>
        <w:tc>
          <w:tcPr>
            <w:tcW w:w="2220" w:type="dxa"/>
            <w:vAlign w:val="bottom"/>
            <w:shd w:val="clear" w:color="auto" w:fill="C00000"/>
          </w:tcPr>
          <w:p>
            <w:pPr>
              <w:spacing w:after="0"/>
              <w:rPr>
                <w:sz w:val="11"/>
                <w:szCs w:val="11"/>
                <w:color w:val="auto"/>
              </w:rPr>
            </w:pPr>
          </w:p>
        </w:tc>
        <w:tc>
          <w:tcPr>
            <w:tcW w:w="66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820" w:type="dxa"/>
            <w:vAlign w:val="bottom"/>
            <w:shd w:val="clear" w:color="auto" w:fill="C00000"/>
          </w:tcPr>
          <w:p>
            <w:pPr>
              <w:jc w:val="center"/>
              <w:ind w:right="28"/>
              <w:spacing w:after="0" w:line="129" w:lineRule="exact"/>
              <w:rPr>
                <w:sz w:val="20"/>
                <w:szCs w:val="20"/>
                <w:color w:val="auto"/>
              </w:rPr>
            </w:pPr>
            <w:r>
              <w:rPr>
                <w:rFonts w:ascii="Arial" w:cs="Arial" w:eastAsia="Arial" w:hAnsi="Arial"/>
                <w:sz w:val="9"/>
                <w:szCs w:val="9"/>
                <w:b w:val="1"/>
                <w:bCs w:val="1"/>
                <w:color w:val="FFFFFF"/>
              </w:rPr>
              <w:t>Plan Awards</w:t>
            </w:r>
            <w:r>
              <w:rPr>
                <w:rFonts w:ascii="Arial" w:cs="Arial" w:eastAsia="Arial" w:hAnsi="Arial"/>
                <w:sz w:val="14"/>
                <w:szCs w:val="14"/>
                <w:b w:val="1"/>
                <w:bCs w:val="1"/>
                <w:color w:val="FFFFFF"/>
                <w:vertAlign w:val="superscript"/>
              </w:rPr>
              <w:t>(1)</w:t>
            </w:r>
          </w:p>
        </w:tc>
        <w:tc>
          <w:tcPr>
            <w:tcW w:w="74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700" w:type="dxa"/>
            <w:vAlign w:val="bottom"/>
            <w:shd w:val="clear" w:color="auto" w:fill="C00000"/>
          </w:tcPr>
          <w:p>
            <w:pPr>
              <w:jc w:val="center"/>
              <w:ind w:right="48"/>
              <w:spacing w:after="0" w:line="129" w:lineRule="exact"/>
              <w:rPr>
                <w:sz w:val="20"/>
                <w:szCs w:val="20"/>
                <w:color w:val="auto"/>
              </w:rPr>
            </w:pPr>
            <w:r>
              <w:rPr>
                <w:rFonts w:ascii="Arial" w:cs="Arial" w:eastAsia="Arial" w:hAnsi="Arial"/>
                <w:sz w:val="9"/>
                <w:szCs w:val="9"/>
                <w:b w:val="1"/>
                <w:bCs w:val="1"/>
                <w:color w:val="FFFFFF"/>
              </w:rPr>
              <w:t>Awards</w:t>
            </w:r>
            <w:r>
              <w:rPr>
                <w:rFonts w:ascii="Arial" w:cs="Arial" w:eastAsia="Arial" w:hAnsi="Arial"/>
                <w:sz w:val="14"/>
                <w:szCs w:val="14"/>
                <w:b w:val="1"/>
                <w:bCs w:val="1"/>
                <w:color w:val="FFFFFF"/>
                <w:vertAlign w:val="superscript"/>
              </w:rPr>
              <w:t>(2)</w:t>
            </w:r>
          </w:p>
        </w:tc>
        <w:tc>
          <w:tcPr>
            <w:tcW w:w="740" w:type="dxa"/>
            <w:vAlign w:val="bottom"/>
            <w:shd w:val="clear" w:color="auto" w:fill="C00000"/>
          </w:tcPr>
          <w:p>
            <w:pPr>
              <w:spacing w:after="0"/>
              <w:rPr>
                <w:sz w:val="11"/>
                <w:szCs w:val="11"/>
                <w:color w:val="auto"/>
              </w:rPr>
            </w:pPr>
          </w:p>
        </w:tc>
        <w:tc>
          <w:tcPr>
            <w:tcW w:w="820" w:type="dxa"/>
            <w:vAlign w:val="bottom"/>
            <w:shd w:val="clear" w:color="auto" w:fill="C00000"/>
          </w:tcPr>
          <w:p>
            <w:pPr>
              <w:jc w:val="center"/>
              <w:ind w:right="48"/>
              <w:spacing w:after="0"/>
              <w:rPr>
                <w:sz w:val="20"/>
                <w:szCs w:val="20"/>
                <w:color w:val="auto"/>
              </w:rPr>
            </w:pPr>
            <w:r>
              <w:rPr>
                <w:rFonts w:ascii="Arial" w:cs="Arial" w:eastAsia="Arial" w:hAnsi="Arial"/>
                <w:sz w:val="11"/>
                <w:szCs w:val="11"/>
                <w:b w:val="1"/>
                <w:bCs w:val="1"/>
                <w:color w:val="FFFFFF"/>
                <w:w w:val="99"/>
              </w:rPr>
              <w:t>Stock or</w:t>
            </w:r>
          </w:p>
        </w:tc>
        <w:tc>
          <w:tcPr>
            <w:tcW w:w="860" w:type="dxa"/>
            <w:vAlign w:val="bottom"/>
            <w:shd w:val="clear" w:color="auto" w:fill="C00000"/>
          </w:tcPr>
          <w:p>
            <w:pPr>
              <w:jc w:val="center"/>
              <w:ind w:right="47"/>
              <w:spacing w:after="0"/>
              <w:rPr>
                <w:sz w:val="20"/>
                <w:szCs w:val="20"/>
                <w:color w:val="auto"/>
              </w:rPr>
            </w:pPr>
            <w:r>
              <w:rPr>
                <w:rFonts w:ascii="Arial" w:cs="Arial" w:eastAsia="Arial" w:hAnsi="Arial"/>
                <w:sz w:val="11"/>
                <w:szCs w:val="11"/>
                <w:b w:val="1"/>
                <w:bCs w:val="1"/>
                <w:color w:val="FFFFFF"/>
                <w:w w:val="97"/>
              </w:rPr>
              <w:t>Underlying</w:t>
            </w:r>
          </w:p>
        </w:tc>
        <w:tc>
          <w:tcPr>
            <w:tcW w:w="800" w:type="dxa"/>
            <w:vAlign w:val="bottom"/>
            <w:shd w:val="clear" w:color="auto" w:fill="C00000"/>
          </w:tcPr>
          <w:p>
            <w:pPr>
              <w:jc w:val="center"/>
              <w:ind w:right="48"/>
              <w:spacing w:after="0"/>
              <w:rPr>
                <w:sz w:val="20"/>
                <w:szCs w:val="20"/>
                <w:color w:val="auto"/>
              </w:rPr>
            </w:pPr>
            <w:r>
              <w:rPr>
                <w:rFonts w:ascii="Arial" w:cs="Arial" w:eastAsia="Arial" w:hAnsi="Arial"/>
                <w:sz w:val="11"/>
                <w:szCs w:val="11"/>
                <w:b w:val="1"/>
                <w:bCs w:val="1"/>
                <w:color w:val="FFFFFF"/>
                <w:w w:val="95"/>
              </w:rPr>
              <w:t>Option</w:t>
            </w:r>
          </w:p>
        </w:tc>
        <w:tc>
          <w:tcPr>
            <w:tcW w:w="78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0" w:type="dxa"/>
            <w:vAlign w:val="bottom"/>
          </w:tcPr>
          <w:p>
            <w:pPr>
              <w:spacing w:after="0"/>
              <w:rPr>
                <w:sz w:val="1"/>
                <w:szCs w:val="1"/>
                <w:color w:val="auto"/>
              </w:rPr>
            </w:pPr>
          </w:p>
        </w:tc>
      </w:tr>
      <w:tr>
        <w:trPr>
          <w:trHeight w:val="131"/>
        </w:trPr>
        <w:tc>
          <w:tcPr>
            <w:tcW w:w="2220" w:type="dxa"/>
            <w:vAlign w:val="bottom"/>
            <w:shd w:val="clear" w:color="auto" w:fill="C00000"/>
          </w:tcPr>
          <w:p>
            <w:pPr>
              <w:spacing w:after="0"/>
              <w:rPr>
                <w:sz w:val="11"/>
                <w:szCs w:val="11"/>
                <w:color w:val="auto"/>
              </w:rPr>
            </w:pPr>
          </w:p>
        </w:tc>
        <w:tc>
          <w:tcPr>
            <w:tcW w:w="66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Grant</w:t>
            </w:r>
          </w:p>
        </w:tc>
        <w:tc>
          <w:tcPr>
            <w:tcW w:w="76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6"/>
              </w:rPr>
              <w:t>Approval</w:t>
            </w:r>
          </w:p>
        </w:tc>
        <w:tc>
          <w:tcPr>
            <w:tcW w:w="760" w:type="dxa"/>
            <w:vAlign w:val="bottom"/>
            <w:shd w:val="clear" w:color="auto" w:fill="C00000"/>
          </w:tcPr>
          <w:p>
            <w:pPr>
              <w:jc w:val="right"/>
              <w:ind w:right="67"/>
              <w:spacing w:after="0"/>
              <w:rPr>
                <w:sz w:val="20"/>
                <w:szCs w:val="20"/>
                <w:color w:val="auto"/>
              </w:rPr>
            </w:pPr>
            <w:r>
              <w:rPr>
                <w:rFonts w:ascii="Arial" w:cs="Arial" w:eastAsia="Arial" w:hAnsi="Arial"/>
                <w:sz w:val="11"/>
                <w:szCs w:val="11"/>
                <w:b w:val="1"/>
                <w:bCs w:val="1"/>
                <w:color w:val="FFFFFF"/>
              </w:rPr>
              <w:t>Threshold</w:t>
            </w:r>
          </w:p>
        </w:tc>
        <w:tc>
          <w:tcPr>
            <w:tcW w:w="820" w:type="dxa"/>
            <w:vAlign w:val="bottom"/>
            <w:shd w:val="clear" w:color="auto" w:fill="C00000"/>
          </w:tcPr>
          <w:p>
            <w:pPr>
              <w:jc w:val="right"/>
              <w:ind w:right="228"/>
              <w:spacing w:after="0"/>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C00000"/>
          </w:tcPr>
          <w:p>
            <w:pPr>
              <w:jc w:val="right"/>
              <w:ind w:right="127"/>
              <w:spacing w:after="0"/>
              <w:rPr>
                <w:sz w:val="20"/>
                <w:szCs w:val="20"/>
                <w:color w:val="auto"/>
              </w:rPr>
            </w:pPr>
            <w:r>
              <w:rPr>
                <w:rFonts w:ascii="Arial" w:cs="Arial" w:eastAsia="Arial" w:hAnsi="Arial"/>
                <w:sz w:val="11"/>
                <w:szCs w:val="11"/>
                <w:b w:val="1"/>
                <w:bCs w:val="1"/>
                <w:color w:val="FFFFFF"/>
              </w:rPr>
              <w:t>Maximum</w:t>
            </w:r>
          </w:p>
        </w:tc>
        <w:tc>
          <w:tcPr>
            <w:tcW w:w="760" w:type="dxa"/>
            <w:vAlign w:val="bottom"/>
            <w:shd w:val="clear" w:color="auto" w:fill="C00000"/>
          </w:tcPr>
          <w:p>
            <w:pPr>
              <w:jc w:val="right"/>
              <w:ind w:right="87"/>
              <w:spacing w:after="0"/>
              <w:rPr>
                <w:sz w:val="20"/>
                <w:szCs w:val="20"/>
                <w:color w:val="auto"/>
              </w:rPr>
            </w:pPr>
            <w:r>
              <w:rPr>
                <w:rFonts w:ascii="Arial" w:cs="Arial" w:eastAsia="Arial" w:hAnsi="Arial"/>
                <w:sz w:val="11"/>
                <w:szCs w:val="11"/>
                <w:b w:val="1"/>
                <w:bCs w:val="1"/>
                <w:color w:val="FFFFFF"/>
              </w:rPr>
              <w:t>Threshold</w:t>
            </w:r>
          </w:p>
        </w:tc>
        <w:tc>
          <w:tcPr>
            <w:tcW w:w="700" w:type="dxa"/>
            <w:vAlign w:val="bottom"/>
            <w:shd w:val="clear" w:color="auto" w:fill="C00000"/>
          </w:tcPr>
          <w:p>
            <w:pPr>
              <w:jc w:val="right"/>
              <w:ind w:right="168"/>
              <w:spacing w:after="0"/>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C00000"/>
          </w:tcPr>
          <w:p>
            <w:pPr>
              <w:jc w:val="right"/>
              <w:ind w:right="127"/>
              <w:spacing w:after="0"/>
              <w:rPr>
                <w:sz w:val="20"/>
                <w:szCs w:val="20"/>
                <w:color w:val="auto"/>
              </w:rPr>
            </w:pPr>
            <w:r>
              <w:rPr>
                <w:rFonts w:ascii="Arial" w:cs="Arial" w:eastAsia="Arial" w:hAnsi="Arial"/>
                <w:sz w:val="11"/>
                <w:szCs w:val="11"/>
                <w:b w:val="1"/>
                <w:bCs w:val="1"/>
                <w:color w:val="FFFFFF"/>
              </w:rPr>
              <w:t>Maximum</w:t>
            </w:r>
          </w:p>
        </w:tc>
        <w:tc>
          <w:tcPr>
            <w:tcW w:w="820" w:type="dxa"/>
            <w:vAlign w:val="bottom"/>
            <w:shd w:val="clear" w:color="auto" w:fill="C00000"/>
          </w:tcPr>
          <w:p>
            <w:pPr>
              <w:jc w:val="center"/>
              <w:ind w:right="48"/>
              <w:spacing w:after="0" w:line="131" w:lineRule="exact"/>
              <w:rPr>
                <w:sz w:val="20"/>
                <w:szCs w:val="20"/>
                <w:color w:val="auto"/>
              </w:rPr>
            </w:pPr>
            <w:r>
              <w:rPr>
                <w:rFonts w:ascii="Arial" w:cs="Arial" w:eastAsia="Arial" w:hAnsi="Arial"/>
                <w:sz w:val="9"/>
                <w:szCs w:val="9"/>
                <w:b w:val="1"/>
                <w:bCs w:val="1"/>
                <w:color w:val="FFFFFF"/>
              </w:rPr>
              <w:t>Units</w:t>
            </w:r>
            <w:r>
              <w:rPr>
                <w:rFonts w:ascii="Arial" w:cs="Arial" w:eastAsia="Arial" w:hAnsi="Arial"/>
                <w:sz w:val="15"/>
                <w:szCs w:val="15"/>
                <w:b w:val="1"/>
                <w:bCs w:val="1"/>
                <w:color w:val="FFFFFF"/>
                <w:vertAlign w:val="superscript"/>
              </w:rPr>
              <w:t>(3)</w:t>
            </w:r>
          </w:p>
        </w:tc>
        <w:tc>
          <w:tcPr>
            <w:tcW w:w="860" w:type="dxa"/>
            <w:vAlign w:val="bottom"/>
            <w:shd w:val="clear" w:color="auto" w:fill="C00000"/>
          </w:tcPr>
          <w:p>
            <w:pPr>
              <w:jc w:val="center"/>
              <w:ind w:right="67"/>
              <w:spacing w:after="0" w:line="131" w:lineRule="exact"/>
              <w:rPr>
                <w:sz w:val="20"/>
                <w:szCs w:val="20"/>
                <w:color w:val="auto"/>
              </w:rPr>
            </w:pPr>
            <w:r>
              <w:rPr>
                <w:rFonts w:ascii="Arial" w:cs="Arial" w:eastAsia="Arial" w:hAnsi="Arial"/>
                <w:sz w:val="9"/>
                <w:szCs w:val="9"/>
                <w:b w:val="1"/>
                <w:bCs w:val="1"/>
                <w:color w:val="FFFFFF"/>
              </w:rPr>
              <w:t>Options</w:t>
            </w:r>
            <w:r>
              <w:rPr>
                <w:rFonts w:ascii="Arial" w:cs="Arial" w:eastAsia="Arial" w:hAnsi="Arial"/>
                <w:sz w:val="15"/>
                <w:szCs w:val="15"/>
                <w:b w:val="1"/>
                <w:bCs w:val="1"/>
                <w:color w:val="FFFFFF"/>
                <w:vertAlign w:val="superscript"/>
              </w:rPr>
              <w:t>(4)</w:t>
            </w:r>
          </w:p>
        </w:tc>
        <w:tc>
          <w:tcPr>
            <w:tcW w:w="800" w:type="dxa"/>
            <w:vAlign w:val="bottom"/>
            <w:shd w:val="clear" w:color="auto" w:fill="C00000"/>
          </w:tcPr>
          <w:p>
            <w:pPr>
              <w:jc w:val="center"/>
              <w:ind w:right="48"/>
              <w:spacing w:after="0" w:line="131" w:lineRule="exact"/>
              <w:rPr>
                <w:sz w:val="20"/>
                <w:szCs w:val="20"/>
                <w:color w:val="auto"/>
              </w:rPr>
            </w:pPr>
            <w:r>
              <w:rPr>
                <w:rFonts w:ascii="Arial" w:cs="Arial" w:eastAsia="Arial" w:hAnsi="Arial"/>
                <w:sz w:val="9"/>
                <w:szCs w:val="9"/>
                <w:b w:val="1"/>
                <w:bCs w:val="1"/>
                <w:color w:val="FFFFFF"/>
              </w:rPr>
              <w:t>Awards</w:t>
            </w:r>
            <w:r>
              <w:rPr>
                <w:rFonts w:ascii="Arial" w:cs="Arial" w:eastAsia="Arial" w:hAnsi="Arial"/>
                <w:sz w:val="15"/>
                <w:szCs w:val="15"/>
                <w:b w:val="1"/>
                <w:bCs w:val="1"/>
                <w:color w:val="FFFFFF"/>
                <w:vertAlign w:val="superscript"/>
              </w:rPr>
              <w:t>(5)</w:t>
            </w:r>
          </w:p>
        </w:tc>
        <w:tc>
          <w:tcPr>
            <w:tcW w:w="780" w:type="dxa"/>
            <w:vAlign w:val="bottom"/>
            <w:shd w:val="clear" w:color="auto" w:fill="C00000"/>
          </w:tcPr>
          <w:p>
            <w:pPr>
              <w:jc w:val="center"/>
              <w:spacing w:after="0" w:line="131" w:lineRule="exact"/>
              <w:rPr>
                <w:sz w:val="20"/>
                <w:szCs w:val="20"/>
                <w:color w:val="auto"/>
              </w:rPr>
            </w:pPr>
            <w:r>
              <w:rPr>
                <w:rFonts w:ascii="Arial" w:cs="Arial" w:eastAsia="Arial" w:hAnsi="Arial"/>
                <w:sz w:val="15"/>
                <w:szCs w:val="15"/>
                <w:b w:val="1"/>
                <w:bCs w:val="1"/>
                <w:color w:val="FFFFFF"/>
                <w:vertAlign w:val="subscript"/>
              </w:rPr>
              <w:t>Awards</w:t>
            </w:r>
            <w:r>
              <w:rPr>
                <w:rFonts w:ascii="Arial" w:cs="Arial" w:eastAsia="Arial" w:hAnsi="Arial"/>
                <w:sz w:val="7"/>
                <w:szCs w:val="7"/>
                <w:b w:val="1"/>
                <w:bCs w:val="1"/>
                <w:color w:val="FFFFFF"/>
              </w:rPr>
              <w:t>(6)(7)</w:t>
            </w:r>
          </w:p>
        </w:tc>
        <w:tc>
          <w:tcPr>
            <w:tcW w:w="0" w:type="dxa"/>
            <w:vAlign w:val="bottom"/>
          </w:tcPr>
          <w:p>
            <w:pPr>
              <w:spacing w:after="0"/>
              <w:rPr>
                <w:sz w:val="1"/>
                <w:szCs w:val="1"/>
                <w:color w:val="auto"/>
              </w:rPr>
            </w:pPr>
          </w:p>
        </w:tc>
      </w:tr>
      <w:tr>
        <w:trPr>
          <w:trHeight w:val="133"/>
        </w:trPr>
        <w:tc>
          <w:tcPr>
            <w:tcW w:w="2220" w:type="dxa"/>
            <w:vAlign w:val="bottom"/>
            <w:shd w:val="clear" w:color="auto" w:fill="C00000"/>
          </w:tcPr>
          <w:p>
            <w:pPr>
              <w:spacing w:after="0"/>
              <w:rPr>
                <w:sz w:val="20"/>
                <w:szCs w:val="20"/>
                <w:color w:val="auto"/>
              </w:rPr>
            </w:pPr>
            <w:r>
              <w:rPr>
                <w:rFonts w:ascii="Arial" w:cs="Arial" w:eastAsia="Arial" w:hAnsi="Arial"/>
                <w:sz w:val="11"/>
                <w:szCs w:val="11"/>
                <w:b w:val="1"/>
                <w:bCs w:val="1"/>
                <w:color w:val="FFFFFF"/>
              </w:rPr>
              <w:t>Name</w:t>
            </w:r>
          </w:p>
        </w:tc>
        <w:tc>
          <w:tcPr>
            <w:tcW w:w="66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2"/>
              </w:rPr>
              <w:t>Date</w:t>
            </w:r>
          </w:p>
        </w:tc>
        <w:tc>
          <w:tcPr>
            <w:tcW w:w="76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Date</w:t>
            </w:r>
          </w:p>
        </w:tc>
        <w:tc>
          <w:tcPr>
            <w:tcW w:w="760" w:type="dxa"/>
            <w:vAlign w:val="bottom"/>
            <w:shd w:val="clear" w:color="auto" w:fill="C00000"/>
          </w:tcPr>
          <w:p>
            <w:pPr>
              <w:jc w:val="right"/>
              <w:ind w:right="267"/>
              <w:spacing w:after="0"/>
              <w:rPr>
                <w:sz w:val="20"/>
                <w:szCs w:val="20"/>
                <w:color w:val="auto"/>
              </w:rPr>
            </w:pPr>
            <w:r>
              <w:rPr>
                <w:rFonts w:ascii="Arial" w:cs="Arial" w:eastAsia="Arial" w:hAnsi="Arial"/>
                <w:sz w:val="11"/>
                <w:szCs w:val="11"/>
                <w:b w:val="1"/>
                <w:bCs w:val="1"/>
                <w:color w:val="FFFFFF"/>
              </w:rPr>
              <w:t>($)</w:t>
            </w:r>
          </w:p>
        </w:tc>
        <w:tc>
          <w:tcPr>
            <w:tcW w:w="820" w:type="dxa"/>
            <w:vAlign w:val="bottom"/>
            <w:shd w:val="clear" w:color="auto" w:fill="C00000"/>
          </w:tcPr>
          <w:p>
            <w:pPr>
              <w:jc w:val="right"/>
              <w:ind w:right="308"/>
              <w:spacing w:after="0"/>
              <w:rPr>
                <w:sz w:val="20"/>
                <w:szCs w:val="20"/>
                <w:color w:val="auto"/>
              </w:rPr>
            </w:pPr>
            <w:r>
              <w:rPr>
                <w:rFonts w:ascii="Arial" w:cs="Arial" w:eastAsia="Arial" w:hAnsi="Arial"/>
                <w:sz w:val="11"/>
                <w:szCs w:val="11"/>
                <w:b w:val="1"/>
                <w:bCs w:val="1"/>
                <w:color w:val="FFFFFF"/>
              </w:rPr>
              <w:t>($)</w:t>
            </w:r>
          </w:p>
        </w:tc>
        <w:tc>
          <w:tcPr>
            <w:tcW w:w="740" w:type="dxa"/>
            <w:vAlign w:val="bottom"/>
            <w:shd w:val="clear" w:color="auto" w:fill="C00000"/>
          </w:tcPr>
          <w:p>
            <w:pPr>
              <w:jc w:val="right"/>
              <w:ind w:right="307"/>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C00000"/>
          </w:tcPr>
          <w:p>
            <w:pPr>
              <w:jc w:val="right"/>
              <w:ind w:right="287"/>
              <w:spacing w:after="0"/>
              <w:rPr>
                <w:sz w:val="20"/>
                <w:szCs w:val="20"/>
                <w:color w:val="auto"/>
              </w:rPr>
            </w:pPr>
            <w:r>
              <w:rPr>
                <w:rFonts w:ascii="Arial" w:cs="Arial" w:eastAsia="Arial" w:hAnsi="Arial"/>
                <w:sz w:val="11"/>
                <w:szCs w:val="11"/>
                <w:b w:val="1"/>
                <w:bCs w:val="1"/>
                <w:color w:val="FFFFFF"/>
              </w:rPr>
              <w:t>(#)</w:t>
            </w:r>
          </w:p>
        </w:tc>
        <w:tc>
          <w:tcPr>
            <w:tcW w:w="700" w:type="dxa"/>
            <w:vAlign w:val="bottom"/>
            <w:shd w:val="clear" w:color="auto" w:fill="C00000"/>
          </w:tcPr>
          <w:p>
            <w:pPr>
              <w:jc w:val="right"/>
              <w:ind w:right="268"/>
              <w:spacing w:after="0"/>
              <w:rPr>
                <w:sz w:val="20"/>
                <w:szCs w:val="20"/>
                <w:color w:val="auto"/>
              </w:rPr>
            </w:pPr>
            <w:r>
              <w:rPr>
                <w:rFonts w:ascii="Arial" w:cs="Arial" w:eastAsia="Arial" w:hAnsi="Arial"/>
                <w:sz w:val="11"/>
                <w:szCs w:val="11"/>
                <w:b w:val="1"/>
                <w:bCs w:val="1"/>
                <w:color w:val="FFFFFF"/>
              </w:rPr>
              <w:t>(#)</w:t>
            </w:r>
          </w:p>
        </w:tc>
        <w:tc>
          <w:tcPr>
            <w:tcW w:w="740" w:type="dxa"/>
            <w:vAlign w:val="bottom"/>
            <w:shd w:val="clear" w:color="auto" w:fill="C00000"/>
          </w:tcPr>
          <w:p>
            <w:pPr>
              <w:jc w:val="right"/>
              <w:ind w:right="307"/>
              <w:spacing w:after="0"/>
              <w:rPr>
                <w:sz w:val="20"/>
                <w:szCs w:val="20"/>
                <w:color w:val="auto"/>
              </w:rPr>
            </w:pPr>
            <w:r>
              <w:rPr>
                <w:rFonts w:ascii="Arial" w:cs="Arial" w:eastAsia="Arial" w:hAnsi="Arial"/>
                <w:sz w:val="11"/>
                <w:szCs w:val="11"/>
                <w:b w:val="1"/>
                <w:bCs w:val="1"/>
                <w:color w:val="FFFFFF"/>
              </w:rPr>
              <w:t>(#)</w:t>
            </w:r>
          </w:p>
        </w:tc>
        <w:tc>
          <w:tcPr>
            <w:tcW w:w="820" w:type="dxa"/>
            <w:vAlign w:val="bottom"/>
            <w:shd w:val="clear" w:color="auto" w:fill="C00000"/>
          </w:tcPr>
          <w:p>
            <w:pPr>
              <w:jc w:val="center"/>
              <w:ind w:right="48"/>
              <w:spacing w:after="0"/>
              <w:rPr>
                <w:sz w:val="20"/>
                <w:szCs w:val="20"/>
                <w:color w:val="auto"/>
              </w:rPr>
            </w:pPr>
            <w:r>
              <w:rPr>
                <w:rFonts w:ascii="Arial" w:cs="Arial" w:eastAsia="Arial" w:hAnsi="Arial"/>
                <w:sz w:val="11"/>
                <w:szCs w:val="11"/>
                <w:b w:val="1"/>
                <w:bCs w:val="1"/>
                <w:color w:val="FFFFFF"/>
                <w:w w:val="88"/>
              </w:rPr>
              <w:t>(#)</w:t>
            </w:r>
          </w:p>
        </w:tc>
        <w:tc>
          <w:tcPr>
            <w:tcW w:w="860" w:type="dxa"/>
            <w:vAlign w:val="bottom"/>
            <w:shd w:val="clear" w:color="auto" w:fill="C00000"/>
          </w:tcPr>
          <w:p>
            <w:pPr>
              <w:jc w:val="center"/>
              <w:ind w:right="67"/>
              <w:spacing w:after="0"/>
              <w:rPr>
                <w:sz w:val="20"/>
                <w:szCs w:val="20"/>
                <w:color w:val="auto"/>
              </w:rPr>
            </w:pPr>
            <w:r>
              <w:rPr>
                <w:rFonts w:ascii="Arial" w:cs="Arial" w:eastAsia="Arial" w:hAnsi="Arial"/>
                <w:sz w:val="11"/>
                <w:szCs w:val="11"/>
                <w:b w:val="1"/>
                <w:bCs w:val="1"/>
                <w:color w:val="FFFFFF"/>
              </w:rPr>
              <w:t>(#)</w:t>
            </w:r>
          </w:p>
        </w:tc>
        <w:tc>
          <w:tcPr>
            <w:tcW w:w="800" w:type="dxa"/>
            <w:vAlign w:val="bottom"/>
            <w:shd w:val="clear" w:color="auto" w:fill="C00000"/>
          </w:tcPr>
          <w:p>
            <w:pPr>
              <w:jc w:val="center"/>
              <w:ind w:right="48"/>
              <w:spacing w:after="0"/>
              <w:rPr>
                <w:sz w:val="20"/>
                <w:szCs w:val="20"/>
                <w:color w:val="auto"/>
              </w:rPr>
            </w:pPr>
            <w:r>
              <w:rPr>
                <w:rFonts w:ascii="Arial" w:cs="Arial" w:eastAsia="Arial" w:hAnsi="Arial"/>
                <w:sz w:val="11"/>
                <w:szCs w:val="11"/>
                <w:b w:val="1"/>
                <w:bCs w:val="1"/>
                <w:color w:val="FFFFFF"/>
                <w:w w:val="98"/>
              </w:rPr>
              <w:t>($/Sh)</w:t>
            </w:r>
          </w:p>
        </w:tc>
        <w:tc>
          <w:tcPr>
            <w:tcW w:w="78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20"/>
                <w:szCs w:val="20"/>
                <w:color w:val="auto"/>
              </w:rPr>
            </w:pPr>
            <w:r>
              <w:rPr>
                <w:rFonts w:ascii="Arial" w:cs="Arial" w:eastAsia="Arial" w:hAnsi="Arial"/>
                <w:sz w:val="11"/>
                <w:szCs w:val="11"/>
                <w:color w:val="auto"/>
              </w:rPr>
              <w:t>Richard M. Olson</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20"/>
              <w:spacing w:after="0"/>
              <w:rPr>
                <w:sz w:val="20"/>
                <w:szCs w:val="20"/>
                <w:color w:val="auto"/>
              </w:rPr>
            </w:pPr>
            <w:r>
              <w:rPr>
                <w:rFonts w:ascii="Arial" w:cs="Arial" w:eastAsia="Arial" w:hAnsi="Arial"/>
                <w:sz w:val="11"/>
                <w:szCs w:val="11"/>
                <w:color w:val="auto"/>
              </w:rPr>
              <w:t>Annual Cash Incentive</w:t>
            </w: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407,000</w:t>
            </w:r>
          </w:p>
        </w:tc>
        <w:tc>
          <w:tcPr>
            <w:tcW w:w="820" w:type="dxa"/>
            <w:vAlign w:val="bottom"/>
          </w:tcPr>
          <w:p>
            <w:pPr>
              <w:jc w:val="right"/>
              <w:ind w:right="48"/>
              <w:spacing w:after="0"/>
              <w:rPr>
                <w:sz w:val="20"/>
                <w:szCs w:val="20"/>
                <w:color w:val="auto"/>
              </w:rPr>
            </w:pPr>
            <w:r>
              <w:rPr>
                <w:rFonts w:ascii="Arial" w:cs="Arial" w:eastAsia="Arial" w:hAnsi="Arial"/>
                <w:sz w:val="11"/>
                <w:szCs w:val="11"/>
                <w:color w:val="auto"/>
              </w:rPr>
              <w:t>1,017,500</w:t>
            </w: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2,035,000</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20"/>
              <w:spacing w:after="0"/>
              <w:rPr>
                <w:sz w:val="20"/>
                <w:szCs w:val="20"/>
                <w:color w:val="auto"/>
              </w:rPr>
            </w:pPr>
            <w:r>
              <w:rPr>
                <w:rFonts w:ascii="Arial" w:cs="Arial" w:eastAsia="Arial" w:hAnsi="Arial"/>
                <w:sz w:val="11"/>
                <w:szCs w:val="11"/>
                <w:color w:val="auto"/>
              </w:rPr>
              <w:t>Performance Shares</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12,800</w:t>
            </w:r>
          </w:p>
        </w:tc>
        <w:tc>
          <w:tcPr>
            <w:tcW w:w="700" w:type="dxa"/>
            <w:vAlign w:val="bottom"/>
          </w:tcPr>
          <w:p>
            <w:pPr>
              <w:jc w:val="right"/>
              <w:ind w:right="48"/>
              <w:spacing w:after="0"/>
              <w:rPr>
                <w:sz w:val="20"/>
                <w:szCs w:val="20"/>
                <w:color w:val="auto"/>
              </w:rPr>
            </w:pPr>
            <w:r>
              <w:rPr>
                <w:rFonts w:ascii="Arial" w:cs="Arial" w:eastAsia="Arial" w:hAnsi="Arial"/>
                <w:sz w:val="11"/>
                <w:szCs w:val="11"/>
                <w:color w:val="auto"/>
              </w:rPr>
              <w:t>32,000</w:t>
            </w: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64,000</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1,906,560</w:t>
            </w:r>
          </w:p>
        </w:tc>
        <w:tc>
          <w:tcPr>
            <w:tcW w:w="0" w:type="dxa"/>
            <w:vAlign w:val="bottom"/>
          </w:tcPr>
          <w:p>
            <w:pPr>
              <w:spacing w:after="0"/>
              <w:rPr>
                <w:sz w:val="1"/>
                <w:szCs w:val="1"/>
                <w:color w:val="auto"/>
              </w:rPr>
            </w:pPr>
          </w:p>
        </w:tc>
      </w:tr>
      <w:tr>
        <w:trPr>
          <w:trHeight w:val="127"/>
        </w:trPr>
        <w:tc>
          <w:tcPr>
            <w:tcW w:w="2220" w:type="dxa"/>
            <w:vAlign w:val="bottom"/>
          </w:tcPr>
          <w:p>
            <w:pPr>
              <w:ind w:left="220"/>
              <w:spacing w:after="0"/>
              <w:rPr>
                <w:sz w:val="20"/>
                <w:szCs w:val="20"/>
                <w:color w:val="auto"/>
              </w:rPr>
            </w:pPr>
            <w:r>
              <w:rPr>
                <w:rFonts w:ascii="Arial" w:cs="Arial" w:eastAsia="Arial" w:hAnsi="Arial"/>
                <w:sz w:val="11"/>
                <w:szCs w:val="11"/>
                <w:color w:val="auto"/>
              </w:rPr>
              <w:t>Stock Options</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12/07/18</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jc w:val="right"/>
              <w:ind w:right="27"/>
              <w:spacing w:after="0"/>
              <w:rPr>
                <w:sz w:val="20"/>
                <w:szCs w:val="20"/>
                <w:color w:val="auto"/>
              </w:rPr>
            </w:pPr>
            <w:r>
              <w:rPr>
                <w:rFonts w:ascii="Arial" w:cs="Arial" w:eastAsia="Arial" w:hAnsi="Arial"/>
                <w:sz w:val="11"/>
                <w:szCs w:val="11"/>
                <w:color w:val="auto"/>
              </w:rPr>
              <w:t>137,100</w:t>
            </w:r>
          </w:p>
        </w:tc>
        <w:tc>
          <w:tcPr>
            <w:tcW w:w="800" w:type="dxa"/>
            <w:vAlign w:val="bottom"/>
          </w:tcPr>
          <w:p>
            <w:pPr>
              <w:jc w:val="right"/>
              <w:ind w:right="28"/>
              <w:spacing w:after="0"/>
              <w:rPr>
                <w:sz w:val="20"/>
                <w:szCs w:val="20"/>
                <w:color w:val="auto"/>
              </w:rPr>
            </w:pPr>
            <w:r>
              <w:rPr>
                <w:rFonts w:ascii="Arial" w:cs="Arial" w:eastAsia="Arial" w:hAnsi="Arial"/>
                <w:sz w:val="11"/>
                <w:szCs w:val="11"/>
                <w:color w:val="auto"/>
              </w:rPr>
              <w:t>58.53</w:t>
            </w:r>
          </w:p>
        </w:tc>
        <w:tc>
          <w:tcPr>
            <w:tcW w:w="780" w:type="dxa"/>
            <w:vAlign w:val="bottom"/>
          </w:tcPr>
          <w:p>
            <w:pPr>
              <w:jc w:val="right"/>
              <w:spacing w:after="0"/>
              <w:rPr>
                <w:sz w:val="20"/>
                <w:szCs w:val="20"/>
                <w:color w:val="auto"/>
              </w:rPr>
            </w:pPr>
            <w:r>
              <w:rPr>
                <w:rFonts w:ascii="Arial" w:cs="Arial" w:eastAsia="Arial" w:hAnsi="Arial"/>
                <w:sz w:val="11"/>
                <w:szCs w:val="11"/>
                <w:color w:val="auto"/>
              </w:rPr>
              <w:t>1,646,571</w:t>
            </w:r>
          </w:p>
        </w:tc>
        <w:tc>
          <w:tcPr>
            <w:tcW w:w="0" w:type="dxa"/>
            <w:vAlign w:val="bottom"/>
          </w:tcPr>
          <w:p>
            <w:pPr>
              <w:spacing w:after="0"/>
              <w:rPr>
                <w:sz w:val="1"/>
                <w:szCs w:val="1"/>
                <w:color w:val="auto"/>
              </w:rPr>
            </w:pPr>
          </w:p>
        </w:tc>
      </w:tr>
      <w:tr>
        <w:trPr>
          <w:trHeight w:val="135"/>
        </w:trPr>
        <w:tc>
          <w:tcPr>
            <w:tcW w:w="2220" w:type="dxa"/>
            <w:vAlign w:val="bottom"/>
            <w:shd w:val="clear" w:color="auto" w:fill="D9D9D9"/>
          </w:tcPr>
          <w:p>
            <w:pPr>
              <w:spacing w:after="0"/>
              <w:rPr>
                <w:sz w:val="20"/>
                <w:szCs w:val="20"/>
                <w:color w:val="auto"/>
              </w:rPr>
            </w:pPr>
            <w:r>
              <w:rPr>
                <w:rFonts w:ascii="Arial" w:cs="Arial" w:eastAsia="Arial" w:hAnsi="Arial"/>
                <w:sz w:val="11"/>
                <w:szCs w:val="11"/>
                <w:color w:val="auto"/>
              </w:rPr>
              <w:t>Renee J. Peterson</w:t>
            </w:r>
          </w:p>
        </w:tc>
        <w:tc>
          <w:tcPr>
            <w:tcW w:w="6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7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D9D9D9"/>
          </w:tcPr>
          <w:p>
            <w:pPr>
              <w:ind w:left="220"/>
              <w:spacing w:after="0"/>
              <w:rPr>
                <w:sz w:val="20"/>
                <w:szCs w:val="20"/>
                <w:color w:val="auto"/>
              </w:rPr>
            </w:pPr>
            <w:r>
              <w:rPr>
                <w:rFonts w:ascii="Arial" w:cs="Arial" w:eastAsia="Arial" w:hAnsi="Arial"/>
                <w:sz w:val="11"/>
                <w:szCs w:val="11"/>
                <w:color w:val="auto"/>
              </w:rPr>
              <w:t>Annual Cash Incentive</w:t>
            </w:r>
          </w:p>
        </w:tc>
        <w:tc>
          <w:tcPr>
            <w:tcW w:w="6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160,650</w:t>
            </w:r>
          </w:p>
        </w:tc>
        <w:tc>
          <w:tcPr>
            <w:tcW w:w="820" w:type="dxa"/>
            <w:vAlign w:val="bottom"/>
            <w:shd w:val="clear" w:color="auto" w:fill="D9D9D9"/>
          </w:tcPr>
          <w:p>
            <w:pPr>
              <w:jc w:val="right"/>
              <w:ind w:right="48"/>
              <w:spacing w:after="0"/>
              <w:rPr>
                <w:sz w:val="20"/>
                <w:szCs w:val="20"/>
                <w:color w:val="auto"/>
              </w:rPr>
            </w:pPr>
            <w:r>
              <w:rPr>
                <w:rFonts w:ascii="Arial" w:cs="Arial" w:eastAsia="Arial" w:hAnsi="Arial"/>
                <w:sz w:val="11"/>
                <w:szCs w:val="11"/>
                <w:color w:val="auto"/>
              </w:rPr>
              <w:t>401,625</w:t>
            </w:r>
          </w:p>
        </w:tc>
        <w:tc>
          <w:tcPr>
            <w:tcW w:w="740" w:type="dxa"/>
            <w:vAlign w:val="bottom"/>
            <w:shd w:val="clear" w:color="auto" w:fill="D9D9D9"/>
          </w:tcPr>
          <w:p>
            <w:pPr>
              <w:jc w:val="right"/>
              <w:ind w:right="27"/>
              <w:spacing w:after="0"/>
              <w:rPr>
                <w:sz w:val="20"/>
                <w:szCs w:val="20"/>
                <w:color w:val="auto"/>
              </w:rPr>
            </w:pPr>
            <w:r>
              <w:rPr>
                <w:rFonts w:ascii="Arial" w:cs="Arial" w:eastAsia="Arial" w:hAnsi="Arial"/>
                <w:sz w:val="11"/>
                <w:szCs w:val="11"/>
                <w:color w:val="auto"/>
              </w:rPr>
              <w:t>803,250</w:t>
            </w:r>
          </w:p>
        </w:tc>
        <w:tc>
          <w:tcPr>
            <w:tcW w:w="76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7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D9D9D9"/>
          </w:tcPr>
          <w:p>
            <w:pPr>
              <w:ind w:left="220"/>
              <w:spacing w:after="0"/>
              <w:rPr>
                <w:sz w:val="20"/>
                <w:szCs w:val="20"/>
                <w:color w:val="auto"/>
              </w:rPr>
            </w:pPr>
            <w:r>
              <w:rPr>
                <w:rFonts w:ascii="Arial" w:cs="Arial" w:eastAsia="Arial" w:hAnsi="Arial"/>
                <w:sz w:val="11"/>
                <w:szCs w:val="11"/>
                <w:color w:val="auto"/>
              </w:rPr>
              <w:t>Performance Shares</w:t>
            </w:r>
          </w:p>
        </w:tc>
        <w:tc>
          <w:tcPr>
            <w:tcW w:w="6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3,120</w:t>
            </w:r>
          </w:p>
        </w:tc>
        <w:tc>
          <w:tcPr>
            <w:tcW w:w="700" w:type="dxa"/>
            <w:vAlign w:val="bottom"/>
            <w:shd w:val="clear" w:color="auto" w:fill="D9D9D9"/>
          </w:tcPr>
          <w:p>
            <w:pPr>
              <w:jc w:val="right"/>
              <w:ind w:right="48"/>
              <w:spacing w:after="0"/>
              <w:rPr>
                <w:sz w:val="20"/>
                <w:szCs w:val="20"/>
                <w:color w:val="auto"/>
              </w:rPr>
            </w:pPr>
            <w:r>
              <w:rPr>
                <w:rFonts w:ascii="Arial" w:cs="Arial" w:eastAsia="Arial" w:hAnsi="Arial"/>
                <w:sz w:val="11"/>
                <w:szCs w:val="11"/>
                <w:color w:val="auto"/>
              </w:rPr>
              <w:t>7,800</w:t>
            </w:r>
          </w:p>
        </w:tc>
        <w:tc>
          <w:tcPr>
            <w:tcW w:w="740" w:type="dxa"/>
            <w:vAlign w:val="bottom"/>
            <w:shd w:val="clear" w:color="auto" w:fill="D9D9D9"/>
          </w:tcPr>
          <w:p>
            <w:pPr>
              <w:jc w:val="right"/>
              <w:ind w:right="27"/>
              <w:spacing w:after="0"/>
              <w:rPr>
                <w:sz w:val="20"/>
                <w:szCs w:val="20"/>
                <w:color w:val="auto"/>
              </w:rPr>
            </w:pPr>
            <w:r>
              <w:rPr>
                <w:rFonts w:ascii="Arial" w:cs="Arial" w:eastAsia="Arial" w:hAnsi="Arial"/>
                <w:sz w:val="11"/>
                <w:szCs w:val="11"/>
                <w:color w:val="auto"/>
              </w:rPr>
              <w:t>15,600</w:t>
            </w:r>
          </w:p>
        </w:tc>
        <w:tc>
          <w:tcPr>
            <w:tcW w:w="8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464,724</w:t>
            </w:r>
          </w:p>
        </w:tc>
        <w:tc>
          <w:tcPr>
            <w:tcW w:w="0" w:type="dxa"/>
            <w:vAlign w:val="bottom"/>
          </w:tcPr>
          <w:p>
            <w:pPr>
              <w:spacing w:after="0"/>
              <w:rPr>
                <w:sz w:val="1"/>
                <w:szCs w:val="1"/>
                <w:color w:val="auto"/>
              </w:rPr>
            </w:pPr>
          </w:p>
        </w:tc>
      </w:tr>
      <w:tr>
        <w:trPr>
          <w:trHeight w:val="135"/>
        </w:trPr>
        <w:tc>
          <w:tcPr>
            <w:tcW w:w="2220" w:type="dxa"/>
            <w:vAlign w:val="bottom"/>
            <w:shd w:val="clear" w:color="auto" w:fill="D9D9D9"/>
          </w:tcPr>
          <w:p>
            <w:pPr>
              <w:ind w:left="220"/>
              <w:spacing w:after="0"/>
              <w:rPr>
                <w:sz w:val="20"/>
                <w:szCs w:val="20"/>
                <w:color w:val="auto"/>
              </w:rPr>
            </w:pPr>
            <w:r>
              <w:rPr>
                <w:rFonts w:ascii="Arial" w:cs="Arial" w:eastAsia="Arial" w:hAnsi="Arial"/>
                <w:sz w:val="11"/>
                <w:szCs w:val="11"/>
                <w:color w:val="auto"/>
              </w:rPr>
              <w:t>Stock Options</w:t>
            </w:r>
          </w:p>
        </w:tc>
        <w:tc>
          <w:tcPr>
            <w:tcW w:w="6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12/07/18</w:t>
            </w:r>
          </w:p>
        </w:tc>
        <w:tc>
          <w:tcPr>
            <w:tcW w:w="7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60" w:type="dxa"/>
            <w:vAlign w:val="bottom"/>
            <w:shd w:val="clear" w:color="auto" w:fill="D9D9D9"/>
          </w:tcPr>
          <w:p>
            <w:pPr>
              <w:jc w:val="right"/>
              <w:ind w:right="27"/>
              <w:spacing w:after="0"/>
              <w:rPr>
                <w:sz w:val="20"/>
                <w:szCs w:val="20"/>
                <w:color w:val="auto"/>
              </w:rPr>
            </w:pPr>
            <w:r>
              <w:rPr>
                <w:rFonts w:ascii="Arial" w:cs="Arial" w:eastAsia="Arial" w:hAnsi="Arial"/>
                <w:sz w:val="11"/>
                <w:szCs w:val="11"/>
                <w:color w:val="auto"/>
              </w:rPr>
              <w:t>33,400</w:t>
            </w:r>
          </w:p>
        </w:tc>
        <w:tc>
          <w:tcPr>
            <w:tcW w:w="800" w:type="dxa"/>
            <w:vAlign w:val="bottom"/>
            <w:shd w:val="clear" w:color="auto" w:fill="D9D9D9"/>
          </w:tcPr>
          <w:p>
            <w:pPr>
              <w:jc w:val="right"/>
              <w:ind w:right="28"/>
              <w:spacing w:after="0"/>
              <w:rPr>
                <w:sz w:val="20"/>
                <w:szCs w:val="20"/>
                <w:color w:val="auto"/>
              </w:rPr>
            </w:pPr>
            <w:r>
              <w:rPr>
                <w:rFonts w:ascii="Arial" w:cs="Arial" w:eastAsia="Arial" w:hAnsi="Arial"/>
                <w:sz w:val="11"/>
                <w:szCs w:val="11"/>
                <w:color w:val="auto"/>
              </w:rPr>
              <w:t>58.53</w:t>
            </w:r>
          </w:p>
        </w:tc>
        <w:tc>
          <w:tcPr>
            <w:tcW w:w="7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401,134</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20"/>
                <w:szCs w:val="20"/>
                <w:color w:val="auto"/>
              </w:rPr>
            </w:pPr>
            <w:r>
              <w:rPr>
                <w:rFonts w:ascii="Arial" w:cs="Arial" w:eastAsia="Arial" w:hAnsi="Arial"/>
                <w:sz w:val="11"/>
                <w:szCs w:val="11"/>
                <w:color w:val="auto"/>
              </w:rPr>
              <w:t>Timothy P. Dordell</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20"/>
              <w:spacing w:after="0"/>
              <w:rPr>
                <w:sz w:val="20"/>
                <w:szCs w:val="20"/>
                <w:color w:val="auto"/>
              </w:rPr>
            </w:pPr>
            <w:r>
              <w:rPr>
                <w:rFonts w:ascii="Arial" w:cs="Arial" w:eastAsia="Arial" w:hAnsi="Arial"/>
                <w:sz w:val="11"/>
                <w:szCs w:val="11"/>
                <w:color w:val="auto"/>
              </w:rPr>
              <w:t>Annual Cash Incentive</w:t>
            </w: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108,240</w:t>
            </w:r>
          </w:p>
        </w:tc>
        <w:tc>
          <w:tcPr>
            <w:tcW w:w="820" w:type="dxa"/>
            <w:vAlign w:val="bottom"/>
          </w:tcPr>
          <w:p>
            <w:pPr>
              <w:jc w:val="right"/>
              <w:ind w:right="48"/>
              <w:spacing w:after="0"/>
              <w:rPr>
                <w:sz w:val="20"/>
                <w:szCs w:val="20"/>
                <w:color w:val="auto"/>
              </w:rPr>
            </w:pPr>
            <w:r>
              <w:rPr>
                <w:rFonts w:ascii="Arial" w:cs="Arial" w:eastAsia="Arial" w:hAnsi="Arial"/>
                <w:sz w:val="11"/>
                <w:szCs w:val="11"/>
                <w:color w:val="auto"/>
              </w:rPr>
              <w:t>270,600</w:t>
            </w: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541,200</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20"/>
              <w:spacing w:after="0"/>
              <w:rPr>
                <w:sz w:val="20"/>
                <w:szCs w:val="20"/>
                <w:color w:val="auto"/>
              </w:rPr>
            </w:pPr>
            <w:r>
              <w:rPr>
                <w:rFonts w:ascii="Arial" w:cs="Arial" w:eastAsia="Arial" w:hAnsi="Arial"/>
                <w:sz w:val="11"/>
                <w:szCs w:val="11"/>
                <w:color w:val="auto"/>
              </w:rPr>
              <w:t>Performance Shares</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2,000</w:t>
            </w:r>
          </w:p>
        </w:tc>
        <w:tc>
          <w:tcPr>
            <w:tcW w:w="700" w:type="dxa"/>
            <w:vAlign w:val="bottom"/>
          </w:tcPr>
          <w:p>
            <w:pPr>
              <w:jc w:val="right"/>
              <w:ind w:right="48"/>
              <w:spacing w:after="0"/>
              <w:rPr>
                <w:sz w:val="20"/>
                <w:szCs w:val="20"/>
                <w:color w:val="auto"/>
              </w:rPr>
            </w:pPr>
            <w:r>
              <w:rPr>
                <w:rFonts w:ascii="Arial" w:cs="Arial" w:eastAsia="Arial" w:hAnsi="Arial"/>
                <w:sz w:val="11"/>
                <w:szCs w:val="11"/>
                <w:color w:val="auto"/>
              </w:rPr>
              <w:t>5,000</w:t>
            </w: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10,000</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297,900</w:t>
            </w:r>
          </w:p>
        </w:tc>
        <w:tc>
          <w:tcPr>
            <w:tcW w:w="0" w:type="dxa"/>
            <w:vAlign w:val="bottom"/>
          </w:tcPr>
          <w:p>
            <w:pPr>
              <w:spacing w:after="0"/>
              <w:rPr>
                <w:sz w:val="1"/>
                <w:szCs w:val="1"/>
                <w:color w:val="auto"/>
              </w:rPr>
            </w:pPr>
          </w:p>
        </w:tc>
      </w:tr>
      <w:tr>
        <w:trPr>
          <w:trHeight w:val="127"/>
        </w:trPr>
        <w:tc>
          <w:tcPr>
            <w:tcW w:w="2220" w:type="dxa"/>
            <w:vAlign w:val="bottom"/>
          </w:tcPr>
          <w:p>
            <w:pPr>
              <w:ind w:left="220"/>
              <w:spacing w:after="0"/>
              <w:rPr>
                <w:sz w:val="20"/>
                <w:szCs w:val="20"/>
                <w:color w:val="auto"/>
              </w:rPr>
            </w:pPr>
            <w:r>
              <w:rPr>
                <w:rFonts w:ascii="Arial" w:cs="Arial" w:eastAsia="Arial" w:hAnsi="Arial"/>
                <w:sz w:val="11"/>
                <w:szCs w:val="11"/>
                <w:color w:val="auto"/>
              </w:rPr>
              <w:t>Stock Options</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12/07/18</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jc w:val="right"/>
              <w:ind w:right="27"/>
              <w:spacing w:after="0"/>
              <w:rPr>
                <w:sz w:val="20"/>
                <w:szCs w:val="20"/>
                <w:color w:val="auto"/>
              </w:rPr>
            </w:pPr>
            <w:r>
              <w:rPr>
                <w:rFonts w:ascii="Arial" w:cs="Arial" w:eastAsia="Arial" w:hAnsi="Arial"/>
                <w:sz w:val="11"/>
                <w:szCs w:val="11"/>
                <w:color w:val="auto"/>
              </w:rPr>
              <w:t>21,600</w:t>
            </w:r>
          </w:p>
        </w:tc>
        <w:tc>
          <w:tcPr>
            <w:tcW w:w="800" w:type="dxa"/>
            <w:vAlign w:val="bottom"/>
          </w:tcPr>
          <w:p>
            <w:pPr>
              <w:jc w:val="right"/>
              <w:ind w:right="28"/>
              <w:spacing w:after="0"/>
              <w:rPr>
                <w:sz w:val="20"/>
                <w:szCs w:val="20"/>
                <w:color w:val="auto"/>
              </w:rPr>
            </w:pPr>
            <w:r>
              <w:rPr>
                <w:rFonts w:ascii="Arial" w:cs="Arial" w:eastAsia="Arial" w:hAnsi="Arial"/>
                <w:sz w:val="11"/>
                <w:szCs w:val="11"/>
                <w:color w:val="auto"/>
              </w:rPr>
              <w:t>58.53</w:t>
            </w:r>
          </w:p>
        </w:tc>
        <w:tc>
          <w:tcPr>
            <w:tcW w:w="780" w:type="dxa"/>
            <w:vAlign w:val="bottom"/>
          </w:tcPr>
          <w:p>
            <w:pPr>
              <w:jc w:val="right"/>
              <w:spacing w:after="0"/>
              <w:rPr>
                <w:sz w:val="20"/>
                <w:szCs w:val="20"/>
                <w:color w:val="auto"/>
              </w:rPr>
            </w:pPr>
            <w:r>
              <w:rPr>
                <w:rFonts w:ascii="Arial" w:cs="Arial" w:eastAsia="Arial" w:hAnsi="Arial"/>
                <w:sz w:val="11"/>
                <w:szCs w:val="11"/>
                <w:color w:val="auto"/>
              </w:rPr>
              <w:t>259,416</w:t>
            </w:r>
          </w:p>
        </w:tc>
        <w:tc>
          <w:tcPr>
            <w:tcW w:w="0" w:type="dxa"/>
            <w:vAlign w:val="bottom"/>
          </w:tcPr>
          <w:p>
            <w:pPr>
              <w:spacing w:after="0"/>
              <w:rPr>
                <w:sz w:val="1"/>
                <w:szCs w:val="1"/>
                <w:color w:val="auto"/>
              </w:rPr>
            </w:pPr>
          </w:p>
        </w:tc>
      </w:tr>
      <w:tr>
        <w:trPr>
          <w:trHeight w:val="135"/>
        </w:trPr>
        <w:tc>
          <w:tcPr>
            <w:tcW w:w="2220" w:type="dxa"/>
            <w:vAlign w:val="bottom"/>
            <w:shd w:val="clear" w:color="auto" w:fill="D9D9D9"/>
          </w:tcPr>
          <w:p>
            <w:pPr>
              <w:spacing w:after="0"/>
              <w:rPr>
                <w:sz w:val="20"/>
                <w:szCs w:val="20"/>
                <w:color w:val="auto"/>
              </w:rPr>
            </w:pPr>
            <w:r>
              <w:rPr>
                <w:rFonts w:ascii="Arial" w:cs="Arial" w:eastAsia="Arial" w:hAnsi="Arial"/>
                <w:sz w:val="11"/>
                <w:szCs w:val="11"/>
                <w:color w:val="auto"/>
              </w:rPr>
              <w:t>Bradley A. Hamilton</w:t>
            </w:r>
          </w:p>
        </w:tc>
        <w:tc>
          <w:tcPr>
            <w:tcW w:w="6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7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D9D9D9"/>
          </w:tcPr>
          <w:p>
            <w:pPr>
              <w:ind w:left="220"/>
              <w:spacing w:after="0"/>
              <w:rPr>
                <w:sz w:val="20"/>
                <w:szCs w:val="20"/>
                <w:color w:val="auto"/>
              </w:rPr>
            </w:pPr>
            <w:r>
              <w:rPr>
                <w:rFonts w:ascii="Arial" w:cs="Arial" w:eastAsia="Arial" w:hAnsi="Arial"/>
                <w:sz w:val="11"/>
                <w:szCs w:val="11"/>
                <w:color w:val="auto"/>
              </w:rPr>
              <w:t>Annual Cash Incentive</w:t>
            </w:r>
          </w:p>
        </w:tc>
        <w:tc>
          <w:tcPr>
            <w:tcW w:w="6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96,000</w:t>
            </w:r>
          </w:p>
        </w:tc>
        <w:tc>
          <w:tcPr>
            <w:tcW w:w="820" w:type="dxa"/>
            <w:vAlign w:val="bottom"/>
            <w:shd w:val="clear" w:color="auto" w:fill="D9D9D9"/>
          </w:tcPr>
          <w:p>
            <w:pPr>
              <w:jc w:val="right"/>
              <w:ind w:right="48"/>
              <w:spacing w:after="0"/>
              <w:rPr>
                <w:sz w:val="20"/>
                <w:szCs w:val="20"/>
                <w:color w:val="auto"/>
              </w:rPr>
            </w:pPr>
            <w:r>
              <w:rPr>
                <w:rFonts w:ascii="Arial" w:cs="Arial" w:eastAsia="Arial" w:hAnsi="Arial"/>
                <w:sz w:val="11"/>
                <w:szCs w:val="11"/>
                <w:color w:val="auto"/>
              </w:rPr>
              <w:t>240,000</w:t>
            </w:r>
          </w:p>
        </w:tc>
        <w:tc>
          <w:tcPr>
            <w:tcW w:w="740" w:type="dxa"/>
            <w:vAlign w:val="bottom"/>
            <w:shd w:val="clear" w:color="auto" w:fill="D9D9D9"/>
          </w:tcPr>
          <w:p>
            <w:pPr>
              <w:jc w:val="right"/>
              <w:ind w:right="27"/>
              <w:spacing w:after="0"/>
              <w:rPr>
                <w:sz w:val="20"/>
                <w:szCs w:val="20"/>
                <w:color w:val="auto"/>
              </w:rPr>
            </w:pPr>
            <w:r>
              <w:rPr>
                <w:rFonts w:ascii="Arial" w:cs="Arial" w:eastAsia="Arial" w:hAnsi="Arial"/>
                <w:sz w:val="11"/>
                <w:szCs w:val="11"/>
                <w:color w:val="auto"/>
              </w:rPr>
              <w:t>480,000</w:t>
            </w:r>
          </w:p>
        </w:tc>
        <w:tc>
          <w:tcPr>
            <w:tcW w:w="76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7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D9D9D9"/>
          </w:tcPr>
          <w:p>
            <w:pPr>
              <w:ind w:left="220"/>
              <w:spacing w:after="0"/>
              <w:rPr>
                <w:sz w:val="20"/>
                <w:szCs w:val="20"/>
                <w:color w:val="auto"/>
              </w:rPr>
            </w:pPr>
            <w:r>
              <w:rPr>
                <w:rFonts w:ascii="Arial" w:cs="Arial" w:eastAsia="Arial" w:hAnsi="Arial"/>
                <w:sz w:val="11"/>
                <w:szCs w:val="11"/>
                <w:color w:val="auto"/>
              </w:rPr>
              <w:t>Performance Shares</w:t>
            </w:r>
          </w:p>
        </w:tc>
        <w:tc>
          <w:tcPr>
            <w:tcW w:w="6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2,000</w:t>
            </w:r>
          </w:p>
        </w:tc>
        <w:tc>
          <w:tcPr>
            <w:tcW w:w="700" w:type="dxa"/>
            <w:vAlign w:val="bottom"/>
            <w:shd w:val="clear" w:color="auto" w:fill="D9D9D9"/>
          </w:tcPr>
          <w:p>
            <w:pPr>
              <w:jc w:val="right"/>
              <w:ind w:right="48"/>
              <w:spacing w:after="0"/>
              <w:rPr>
                <w:sz w:val="20"/>
                <w:szCs w:val="20"/>
                <w:color w:val="auto"/>
              </w:rPr>
            </w:pPr>
            <w:r>
              <w:rPr>
                <w:rFonts w:ascii="Arial" w:cs="Arial" w:eastAsia="Arial" w:hAnsi="Arial"/>
                <w:sz w:val="11"/>
                <w:szCs w:val="11"/>
                <w:color w:val="auto"/>
              </w:rPr>
              <w:t>5,000</w:t>
            </w:r>
          </w:p>
        </w:tc>
        <w:tc>
          <w:tcPr>
            <w:tcW w:w="740" w:type="dxa"/>
            <w:vAlign w:val="bottom"/>
            <w:shd w:val="clear" w:color="auto" w:fill="D9D9D9"/>
          </w:tcPr>
          <w:p>
            <w:pPr>
              <w:jc w:val="right"/>
              <w:ind w:right="27"/>
              <w:spacing w:after="0"/>
              <w:rPr>
                <w:sz w:val="20"/>
                <w:szCs w:val="20"/>
                <w:color w:val="auto"/>
              </w:rPr>
            </w:pPr>
            <w:r>
              <w:rPr>
                <w:rFonts w:ascii="Arial" w:cs="Arial" w:eastAsia="Arial" w:hAnsi="Arial"/>
                <w:sz w:val="11"/>
                <w:szCs w:val="11"/>
                <w:color w:val="auto"/>
              </w:rPr>
              <w:t>10,000</w:t>
            </w:r>
          </w:p>
        </w:tc>
        <w:tc>
          <w:tcPr>
            <w:tcW w:w="820" w:type="dxa"/>
            <w:vAlign w:val="bottom"/>
            <w:shd w:val="clear" w:color="auto" w:fill="D9D9D9"/>
          </w:tcPr>
          <w:p>
            <w:pPr>
              <w:spacing w:after="0"/>
              <w:rPr>
                <w:sz w:val="11"/>
                <w:szCs w:val="11"/>
                <w:color w:val="auto"/>
              </w:rPr>
            </w:pPr>
          </w:p>
        </w:tc>
        <w:tc>
          <w:tcPr>
            <w:tcW w:w="86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297,900</w:t>
            </w:r>
          </w:p>
        </w:tc>
        <w:tc>
          <w:tcPr>
            <w:tcW w:w="0" w:type="dxa"/>
            <w:vAlign w:val="bottom"/>
          </w:tcPr>
          <w:p>
            <w:pPr>
              <w:spacing w:after="0"/>
              <w:rPr>
                <w:sz w:val="1"/>
                <w:szCs w:val="1"/>
                <w:color w:val="auto"/>
              </w:rPr>
            </w:pPr>
          </w:p>
        </w:tc>
      </w:tr>
      <w:tr>
        <w:trPr>
          <w:trHeight w:val="135"/>
        </w:trPr>
        <w:tc>
          <w:tcPr>
            <w:tcW w:w="2220" w:type="dxa"/>
            <w:vAlign w:val="bottom"/>
            <w:shd w:val="clear" w:color="auto" w:fill="D9D9D9"/>
          </w:tcPr>
          <w:p>
            <w:pPr>
              <w:ind w:left="220"/>
              <w:spacing w:after="0"/>
              <w:rPr>
                <w:sz w:val="20"/>
                <w:szCs w:val="20"/>
                <w:color w:val="auto"/>
              </w:rPr>
            </w:pPr>
            <w:r>
              <w:rPr>
                <w:rFonts w:ascii="Arial" w:cs="Arial" w:eastAsia="Arial" w:hAnsi="Arial"/>
                <w:sz w:val="11"/>
                <w:szCs w:val="11"/>
                <w:color w:val="auto"/>
              </w:rPr>
              <w:t>Stock Options</w:t>
            </w:r>
          </w:p>
        </w:tc>
        <w:tc>
          <w:tcPr>
            <w:tcW w:w="6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12/07/18</w:t>
            </w:r>
          </w:p>
        </w:tc>
        <w:tc>
          <w:tcPr>
            <w:tcW w:w="76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700" w:type="dxa"/>
            <w:vAlign w:val="bottom"/>
            <w:shd w:val="clear" w:color="auto" w:fill="D9D9D9"/>
          </w:tcPr>
          <w:p>
            <w:pPr>
              <w:spacing w:after="0"/>
              <w:rPr>
                <w:sz w:val="11"/>
                <w:szCs w:val="11"/>
                <w:color w:val="auto"/>
              </w:rPr>
            </w:pPr>
          </w:p>
        </w:tc>
        <w:tc>
          <w:tcPr>
            <w:tcW w:w="740" w:type="dxa"/>
            <w:vAlign w:val="bottom"/>
            <w:shd w:val="clear" w:color="auto" w:fill="D9D9D9"/>
          </w:tcPr>
          <w:p>
            <w:pPr>
              <w:spacing w:after="0"/>
              <w:rPr>
                <w:sz w:val="11"/>
                <w:szCs w:val="11"/>
                <w:color w:val="auto"/>
              </w:rPr>
            </w:pPr>
          </w:p>
        </w:tc>
        <w:tc>
          <w:tcPr>
            <w:tcW w:w="820" w:type="dxa"/>
            <w:vAlign w:val="bottom"/>
            <w:shd w:val="clear" w:color="auto" w:fill="D9D9D9"/>
          </w:tcPr>
          <w:p>
            <w:pPr>
              <w:spacing w:after="0"/>
              <w:rPr>
                <w:sz w:val="11"/>
                <w:szCs w:val="11"/>
                <w:color w:val="auto"/>
              </w:rPr>
            </w:pPr>
          </w:p>
        </w:tc>
        <w:tc>
          <w:tcPr>
            <w:tcW w:w="860" w:type="dxa"/>
            <w:vAlign w:val="bottom"/>
            <w:shd w:val="clear" w:color="auto" w:fill="D9D9D9"/>
          </w:tcPr>
          <w:p>
            <w:pPr>
              <w:jc w:val="right"/>
              <w:ind w:right="27"/>
              <w:spacing w:after="0"/>
              <w:rPr>
                <w:sz w:val="20"/>
                <w:szCs w:val="20"/>
                <w:color w:val="auto"/>
              </w:rPr>
            </w:pPr>
            <w:r>
              <w:rPr>
                <w:rFonts w:ascii="Arial" w:cs="Arial" w:eastAsia="Arial" w:hAnsi="Arial"/>
                <w:sz w:val="11"/>
                <w:szCs w:val="11"/>
                <w:color w:val="auto"/>
              </w:rPr>
              <w:t>21,600</w:t>
            </w:r>
          </w:p>
        </w:tc>
        <w:tc>
          <w:tcPr>
            <w:tcW w:w="800" w:type="dxa"/>
            <w:vAlign w:val="bottom"/>
            <w:shd w:val="clear" w:color="auto" w:fill="D9D9D9"/>
          </w:tcPr>
          <w:p>
            <w:pPr>
              <w:jc w:val="right"/>
              <w:ind w:right="28"/>
              <w:spacing w:after="0"/>
              <w:rPr>
                <w:sz w:val="20"/>
                <w:szCs w:val="20"/>
                <w:color w:val="auto"/>
              </w:rPr>
            </w:pPr>
            <w:r>
              <w:rPr>
                <w:rFonts w:ascii="Arial" w:cs="Arial" w:eastAsia="Arial" w:hAnsi="Arial"/>
                <w:sz w:val="11"/>
                <w:szCs w:val="11"/>
                <w:color w:val="auto"/>
              </w:rPr>
              <w:t>58.53</w:t>
            </w:r>
          </w:p>
        </w:tc>
        <w:tc>
          <w:tcPr>
            <w:tcW w:w="78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259,416</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20"/>
                <w:szCs w:val="20"/>
                <w:color w:val="auto"/>
              </w:rPr>
            </w:pPr>
            <w:r>
              <w:rPr>
                <w:rFonts w:ascii="Arial" w:cs="Arial" w:eastAsia="Arial" w:hAnsi="Arial"/>
                <w:sz w:val="11"/>
                <w:szCs w:val="11"/>
                <w:color w:val="auto"/>
              </w:rPr>
              <w:t>Richard W. Rodier</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20" w:type="dxa"/>
            <w:vAlign w:val="bottom"/>
          </w:tcPr>
          <w:p>
            <w:pPr>
              <w:ind w:left="220"/>
              <w:spacing w:after="0"/>
              <w:rPr>
                <w:sz w:val="20"/>
                <w:szCs w:val="20"/>
                <w:color w:val="auto"/>
              </w:rPr>
            </w:pPr>
            <w:r>
              <w:rPr>
                <w:rFonts w:ascii="Arial" w:cs="Arial" w:eastAsia="Arial" w:hAnsi="Arial"/>
                <w:sz w:val="11"/>
                <w:szCs w:val="11"/>
                <w:color w:val="auto"/>
              </w:rPr>
              <w:t>Annual Cash Incentive (11/01/2018-</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20" w:type="dxa"/>
            <w:vAlign w:val="bottom"/>
          </w:tcPr>
          <w:p>
            <w:pPr>
              <w:ind w:left="220"/>
              <w:spacing w:after="0"/>
              <w:rPr>
                <w:sz w:val="20"/>
                <w:szCs w:val="20"/>
                <w:color w:val="auto"/>
              </w:rPr>
            </w:pPr>
            <w:r>
              <w:rPr>
                <w:rFonts w:ascii="Arial" w:cs="Arial" w:eastAsia="Arial" w:hAnsi="Arial"/>
                <w:sz w:val="11"/>
                <w:szCs w:val="11"/>
                <w:color w:val="auto"/>
              </w:rPr>
              <w:t>03/31/2019)</w:t>
            </w: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25,417</w:t>
            </w:r>
          </w:p>
        </w:tc>
        <w:tc>
          <w:tcPr>
            <w:tcW w:w="820" w:type="dxa"/>
            <w:vAlign w:val="bottom"/>
          </w:tcPr>
          <w:p>
            <w:pPr>
              <w:jc w:val="right"/>
              <w:ind w:right="48"/>
              <w:spacing w:after="0"/>
              <w:rPr>
                <w:sz w:val="20"/>
                <w:szCs w:val="20"/>
                <w:color w:val="auto"/>
              </w:rPr>
            </w:pPr>
            <w:r>
              <w:rPr>
                <w:rFonts w:ascii="Arial" w:cs="Arial" w:eastAsia="Arial" w:hAnsi="Arial"/>
                <w:sz w:val="11"/>
                <w:szCs w:val="11"/>
                <w:color w:val="auto"/>
              </w:rPr>
              <w:t>63,542</w:t>
            </w: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127,084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20" w:type="dxa"/>
            <w:vAlign w:val="bottom"/>
          </w:tcPr>
          <w:p>
            <w:pPr>
              <w:ind w:left="220"/>
              <w:spacing w:after="0"/>
              <w:rPr>
                <w:sz w:val="20"/>
                <w:szCs w:val="20"/>
                <w:color w:val="auto"/>
              </w:rPr>
            </w:pPr>
            <w:r>
              <w:rPr>
                <w:rFonts w:ascii="Arial" w:cs="Arial" w:eastAsia="Arial" w:hAnsi="Arial"/>
                <w:sz w:val="11"/>
                <w:szCs w:val="11"/>
                <w:color w:val="auto"/>
              </w:rPr>
              <w:t>Annual Cash Incentive (04/01/2019-</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20" w:type="dxa"/>
            <w:vAlign w:val="bottom"/>
          </w:tcPr>
          <w:p>
            <w:pPr>
              <w:ind w:left="220"/>
              <w:spacing w:after="0"/>
              <w:rPr>
                <w:sz w:val="20"/>
                <w:szCs w:val="20"/>
                <w:color w:val="auto"/>
              </w:rPr>
            </w:pPr>
            <w:r>
              <w:rPr>
                <w:rFonts w:ascii="Arial" w:cs="Arial" w:eastAsia="Arial" w:hAnsi="Arial"/>
                <w:sz w:val="11"/>
                <w:szCs w:val="11"/>
                <w:color w:val="auto"/>
              </w:rPr>
              <w:t>10/31/2019)</w:t>
            </w: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53,900</w:t>
            </w:r>
          </w:p>
        </w:tc>
        <w:tc>
          <w:tcPr>
            <w:tcW w:w="820" w:type="dxa"/>
            <w:vAlign w:val="bottom"/>
          </w:tcPr>
          <w:p>
            <w:pPr>
              <w:jc w:val="right"/>
              <w:ind w:right="48"/>
              <w:spacing w:after="0"/>
              <w:rPr>
                <w:sz w:val="20"/>
                <w:szCs w:val="20"/>
                <w:color w:val="auto"/>
              </w:rPr>
            </w:pPr>
            <w:r>
              <w:rPr>
                <w:rFonts w:ascii="Arial" w:cs="Arial" w:eastAsia="Arial" w:hAnsi="Arial"/>
                <w:sz w:val="11"/>
                <w:szCs w:val="11"/>
                <w:color w:val="auto"/>
              </w:rPr>
              <w:t>134,750</w:t>
            </w: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269,500</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20"/>
              <w:spacing w:after="0"/>
              <w:rPr>
                <w:sz w:val="20"/>
                <w:szCs w:val="20"/>
                <w:color w:val="auto"/>
              </w:rPr>
            </w:pPr>
            <w:r>
              <w:rPr>
                <w:rFonts w:ascii="Arial" w:cs="Arial" w:eastAsia="Arial" w:hAnsi="Arial"/>
                <w:sz w:val="11"/>
                <w:szCs w:val="11"/>
                <w:color w:val="auto"/>
              </w:rPr>
              <w:t>Performance Shares</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840</w:t>
            </w:r>
          </w:p>
        </w:tc>
        <w:tc>
          <w:tcPr>
            <w:tcW w:w="700" w:type="dxa"/>
            <w:vAlign w:val="bottom"/>
          </w:tcPr>
          <w:p>
            <w:pPr>
              <w:jc w:val="right"/>
              <w:ind w:right="48"/>
              <w:spacing w:after="0"/>
              <w:rPr>
                <w:sz w:val="20"/>
                <w:szCs w:val="20"/>
                <w:color w:val="auto"/>
              </w:rPr>
            </w:pPr>
            <w:r>
              <w:rPr>
                <w:rFonts w:ascii="Arial" w:cs="Arial" w:eastAsia="Arial" w:hAnsi="Arial"/>
                <w:sz w:val="11"/>
                <w:szCs w:val="11"/>
                <w:color w:val="auto"/>
              </w:rPr>
              <w:t>2,100</w:t>
            </w: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4,200</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125,118</w:t>
            </w:r>
          </w:p>
        </w:tc>
        <w:tc>
          <w:tcPr>
            <w:tcW w:w="0" w:type="dxa"/>
            <w:vAlign w:val="bottom"/>
          </w:tcPr>
          <w:p>
            <w:pPr>
              <w:spacing w:after="0"/>
              <w:rPr>
                <w:sz w:val="1"/>
                <w:szCs w:val="1"/>
                <w:color w:val="auto"/>
              </w:rPr>
            </w:pPr>
          </w:p>
        </w:tc>
      </w:tr>
      <w:tr>
        <w:trPr>
          <w:trHeight w:val="135"/>
        </w:trPr>
        <w:tc>
          <w:tcPr>
            <w:tcW w:w="2220" w:type="dxa"/>
            <w:vAlign w:val="bottom"/>
          </w:tcPr>
          <w:p>
            <w:pPr>
              <w:ind w:left="220"/>
              <w:spacing w:after="0"/>
              <w:rPr>
                <w:sz w:val="20"/>
                <w:szCs w:val="20"/>
                <w:color w:val="auto"/>
              </w:rPr>
            </w:pPr>
            <w:r>
              <w:rPr>
                <w:rFonts w:ascii="Arial" w:cs="Arial" w:eastAsia="Arial" w:hAnsi="Arial"/>
                <w:sz w:val="11"/>
                <w:szCs w:val="11"/>
                <w:color w:val="auto"/>
              </w:rPr>
              <w:t>Stock Options</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12/07/18</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12/04/18</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jc w:val="right"/>
              <w:ind w:right="27"/>
              <w:spacing w:after="0"/>
              <w:rPr>
                <w:sz w:val="20"/>
                <w:szCs w:val="20"/>
                <w:color w:val="auto"/>
              </w:rPr>
            </w:pPr>
            <w:r>
              <w:rPr>
                <w:rFonts w:ascii="Arial" w:cs="Arial" w:eastAsia="Arial" w:hAnsi="Arial"/>
                <w:sz w:val="11"/>
                <w:szCs w:val="11"/>
                <w:color w:val="auto"/>
              </w:rPr>
              <w:t>9,000</w:t>
            </w:r>
          </w:p>
        </w:tc>
        <w:tc>
          <w:tcPr>
            <w:tcW w:w="800" w:type="dxa"/>
            <w:vAlign w:val="bottom"/>
          </w:tcPr>
          <w:p>
            <w:pPr>
              <w:jc w:val="right"/>
              <w:ind w:right="28"/>
              <w:spacing w:after="0"/>
              <w:rPr>
                <w:sz w:val="20"/>
                <w:szCs w:val="20"/>
                <w:color w:val="auto"/>
              </w:rPr>
            </w:pPr>
            <w:r>
              <w:rPr>
                <w:rFonts w:ascii="Arial" w:cs="Arial" w:eastAsia="Arial" w:hAnsi="Arial"/>
                <w:sz w:val="11"/>
                <w:szCs w:val="11"/>
                <w:color w:val="auto"/>
              </w:rPr>
              <w:t>58.53</w:t>
            </w:r>
          </w:p>
        </w:tc>
        <w:tc>
          <w:tcPr>
            <w:tcW w:w="780" w:type="dxa"/>
            <w:vAlign w:val="bottom"/>
          </w:tcPr>
          <w:p>
            <w:pPr>
              <w:jc w:val="right"/>
              <w:spacing w:after="0"/>
              <w:rPr>
                <w:sz w:val="20"/>
                <w:szCs w:val="20"/>
                <w:color w:val="auto"/>
              </w:rPr>
            </w:pPr>
            <w:r>
              <w:rPr>
                <w:rFonts w:ascii="Arial" w:cs="Arial" w:eastAsia="Arial" w:hAnsi="Arial"/>
                <w:sz w:val="11"/>
                <w:szCs w:val="11"/>
                <w:color w:val="auto"/>
              </w:rPr>
              <w:t>108,090</w:t>
            </w:r>
          </w:p>
        </w:tc>
        <w:tc>
          <w:tcPr>
            <w:tcW w:w="0" w:type="dxa"/>
            <w:vAlign w:val="bottom"/>
          </w:tcPr>
          <w:p>
            <w:pPr>
              <w:spacing w:after="0"/>
              <w:rPr>
                <w:sz w:val="1"/>
                <w:szCs w:val="1"/>
                <w:color w:val="auto"/>
              </w:rPr>
            </w:pPr>
          </w:p>
        </w:tc>
      </w:tr>
      <w:tr>
        <w:trPr>
          <w:trHeight w:val="135"/>
        </w:trPr>
        <w:tc>
          <w:tcPr>
            <w:tcW w:w="2220" w:type="dxa"/>
            <w:vAlign w:val="bottom"/>
          </w:tcPr>
          <w:p>
            <w:pPr>
              <w:ind w:left="220"/>
              <w:spacing w:after="0"/>
              <w:rPr>
                <w:sz w:val="20"/>
                <w:szCs w:val="20"/>
                <w:color w:val="auto"/>
              </w:rPr>
            </w:pPr>
            <w:r>
              <w:rPr>
                <w:rFonts w:ascii="Arial" w:cs="Arial" w:eastAsia="Arial" w:hAnsi="Arial"/>
                <w:sz w:val="11"/>
                <w:szCs w:val="11"/>
                <w:color w:val="auto"/>
              </w:rPr>
              <w:t>Restricted Stock Units</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04/01/19</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02/12/19</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jc w:val="right"/>
              <w:ind w:right="48"/>
              <w:spacing w:after="0"/>
              <w:rPr>
                <w:sz w:val="20"/>
                <w:szCs w:val="20"/>
                <w:color w:val="auto"/>
              </w:rPr>
            </w:pPr>
            <w:r>
              <w:rPr>
                <w:rFonts w:ascii="Arial" w:cs="Arial" w:eastAsia="Arial" w:hAnsi="Arial"/>
                <w:sz w:val="11"/>
                <w:szCs w:val="11"/>
                <w:color w:val="auto"/>
              </w:rPr>
              <w:t>3,850</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266,343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-2213610</wp:posOffset>
            </wp:positionV>
            <wp:extent cx="281686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16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65405</wp:posOffset>
            </wp:positionV>
            <wp:extent cx="207772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43" w:lineRule="exact"/>
        <w:rPr>
          <w:sz w:val="20"/>
          <w:szCs w:val="20"/>
          <w:color w:val="auto"/>
        </w:rPr>
      </w:pPr>
    </w:p>
    <w:p>
      <w:pPr>
        <w:ind w:left="402" w:right="140" w:hanging="402"/>
        <w:spacing w:after="0" w:line="247" w:lineRule="auto"/>
        <w:tabs>
          <w:tab w:leader="none" w:pos="40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Amounts reported represent the range of payouts of annual cash incentive awards for fiscal 2019. Actual payouts for fiscal 2019 are included in the “Summary Compensation Table” beginning on page 44 in the “Non-Equity Incentive Plan Compensation” column. Amounts for Mr. Rodier represent the portions of the fiscal year</w:t>
      </w:r>
    </w:p>
    <w:p>
      <w:pPr>
        <w:spacing w:after="0" w:line="17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58" w:name="page59"/>
    <w:bookmarkEnd w:id="58"/>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46" w:lineRule="exact"/>
        <w:rPr>
          <w:sz w:val="20"/>
          <w:szCs w:val="20"/>
          <w:color w:val="auto"/>
        </w:rPr>
      </w:pPr>
    </w:p>
    <w:p>
      <w:pPr>
        <w:ind w:left="402"/>
        <w:spacing w:after="0"/>
        <w:rPr>
          <w:sz w:val="20"/>
          <w:szCs w:val="20"/>
          <w:color w:val="auto"/>
        </w:rPr>
      </w:pPr>
      <w:r>
        <w:rPr>
          <w:rFonts w:ascii="Arial" w:cs="Arial" w:eastAsia="Arial" w:hAnsi="Arial"/>
          <w:sz w:val="16"/>
          <w:szCs w:val="16"/>
          <w:color w:val="auto"/>
        </w:rPr>
        <w:t>in which he was in two different roles and the corresponding threshold, target and maximum potential payouts for such awards.</w:t>
      </w:r>
    </w:p>
    <w:p>
      <w:pPr>
        <w:spacing w:after="0" w:line="49" w:lineRule="exact"/>
        <w:rPr>
          <w:sz w:val="20"/>
          <w:szCs w:val="20"/>
          <w:color w:val="auto"/>
        </w:rPr>
      </w:pPr>
    </w:p>
    <w:p>
      <w:pPr>
        <w:ind w:left="402" w:right="100" w:hanging="402"/>
        <w:spacing w:after="0" w:line="247" w:lineRule="auto"/>
        <w:tabs>
          <w:tab w:leader="none" w:pos="4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reported represent the range of performance share award payouts for the fiscal 2019 to fiscal 2021 performance period. Information regarding the performance share awards is set forth within the “Compensation Discussion and Analysis” under “Long-Term Incentives—Performance Share Awards” beginning on page 38.</w:t>
      </w:r>
    </w:p>
    <w:p>
      <w:pPr>
        <w:spacing w:after="0" w:line="32" w:lineRule="exact"/>
        <w:rPr>
          <w:rFonts w:ascii="Arial" w:cs="Arial" w:eastAsia="Arial" w:hAnsi="Arial"/>
          <w:sz w:val="16"/>
          <w:szCs w:val="16"/>
          <w:color w:val="auto"/>
        </w:rPr>
      </w:pPr>
    </w:p>
    <w:p>
      <w:pPr>
        <w:ind w:left="402" w:right="60" w:hanging="402"/>
        <w:spacing w:after="0" w:line="255" w:lineRule="auto"/>
        <w:tabs>
          <w:tab w:leader="none" w:pos="4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 reported represents restricted stock units, with three-year cliff vesting, granted to Mr. Rodier on April 1, 2019 in connection with his promotion to Group Vice President, Construction Businesses.</w:t>
      </w:r>
    </w:p>
    <w:p>
      <w:pPr>
        <w:spacing w:after="0" w:line="25" w:lineRule="exact"/>
        <w:rPr>
          <w:rFonts w:ascii="Arial" w:cs="Arial" w:eastAsia="Arial" w:hAnsi="Arial"/>
          <w:sz w:val="16"/>
          <w:szCs w:val="16"/>
          <w:color w:val="auto"/>
        </w:rPr>
      </w:pPr>
    </w:p>
    <w:p>
      <w:pPr>
        <w:ind w:left="402" w:right="140" w:hanging="402"/>
        <w:spacing w:after="0" w:line="244" w:lineRule="auto"/>
        <w:tabs>
          <w:tab w:leader="none" w:pos="4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reported represent stock options granted during fiscal 2019, which grant date was December 7, 2018, the second business day following the issuance of our press release announcing our financial results for fiscal 2018. Options have a ten-year term and vest ratably in three equal installments on each of the first, second and third year anniversaries of the date of grant. Additional information regarding stock options is set forth within the “Compensation Discussion and Analysis” under “Long-Term Incentives—Stock Options” on page 38.</w:t>
      </w:r>
    </w:p>
    <w:p>
      <w:pPr>
        <w:spacing w:after="0" w:line="35" w:lineRule="exact"/>
        <w:rPr>
          <w:rFonts w:ascii="Arial" w:cs="Arial" w:eastAsia="Arial" w:hAnsi="Arial"/>
          <w:sz w:val="16"/>
          <w:szCs w:val="16"/>
          <w:color w:val="auto"/>
        </w:rPr>
      </w:pPr>
    </w:p>
    <w:p>
      <w:pPr>
        <w:ind w:left="402" w:right="460" w:hanging="402"/>
        <w:spacing w:after="0" w:line="255" w:lineRule="auto"/>
        <w:tabs>
          <w:tab w:leader="none" w:pos="4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reported represent the exercise price of stock options granted during fiscal 2019, which equals the closing price of our common stock, as reported on the NYSE, on December 7, 2018, the date of grant.</w:t>
      </w:r>
    </w:p>
    <w:p>
      <w:pPr>
        <w:spacing w:after="0" w:line="25" w:lineRule="exact"/>
        <w:rPr>
          <w:rFonts w:ascii="Arial" w:cs="Arial" w:eastAsia="Arial" w:hAnsi="Arial"/>
          <w:sz w:val="16"/>
          <w:szCs w:val="16"/>
          <w:color w:val="auto"/>
        </w:rPr>
      </w:pPr>
    </w:p>
    <w:p>
      <w:pPr>
        <w:ind w:left="402" w:hanging="402"/>
        <w:spacing w:after="0" w:line="243" w:lineRule="auto"/>
        <w:tabs>
          <w:tab w:leader="none" w:pos="4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reported represent the grant date fair value of performance share awards at target granted for the fiscal 2019 to fiscal 2021 performance period based on the closing price of our common stock, as reported on the NYSE, on December 4, 2018, the date of grant, of $59.58. These amounts are also set forth in the “Summary Compensation Table” beginning on page 44 in the “Stock Awards” column. Amount reported for Mr. Rodier’s restricted stock unit grant represents the grant date fair value based on the closing price of our common stock, as reported on the NYSE, on April 1, 2019, the date of grant, of $69.18.</w:t>
      </w:r>
    </w:p>
    <w:p>
      <w:pPr>
        <w:spacing w:after="0" w:line="36" w:lineRule="exact"/>
        <w:rPr>
          <w:rFonts w:ascii="Arial" w:cs="Arial" w:eastAsia="Arial" w:hAnsi="Arial"/>
          <w:sz w:val="16"/>
          <w:szCs w:val="16"/>
          <w:color w:val="auto"/>
        </w:rPr>
      </w:pPr>
    </w:p>
    <w:p>
      <w:pPr>
        <w:ind w:left="402" w:right="440" w:hanging="402"/>
        <w:spacing w:after="0" w:line="247" w:lineRule="auto"/>
        <w:tabs>
          <w:tab w:leader="none" w:pos="4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reported for option awards represent the grant date fair value of $12.01 per share, computed in accordance with FASB ASC Topic 718, of option awards made for fiscal 2019. These amounts are also set forth in the “Summary Compensation Table” beginning on page 44 in the “Option Awards” column. The specific assumptions used in the valuation of the options are included in footnote 3 to the “Summary Compensation Table.”</w:t>
      </w:r>
    </w:p>
    <w:p>
      <w:pPr>
        <w:spacing w:after="0" w:line="17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Outstanding Equity Awards at Fiscal Year-End for 2019</w:t>
      </w:r>
    </w:p>
    <w:p>
      <w:pPr>
        <w:spacing w:after="0" w:line="112" w:lineRule="exact"/>
        <w:rPr>
          <w:sz w:val="20"/>
          <w:szCs w:val="20"/>
          <w:color w:val="auto"/>
        </w:rPr>
      </w:pPr>
    </w:p>
    <w:p>
      <w:pPr>
        <w:ind w:right="160" w:firstLine="408"/>
        <w:spacing w:after="0" w:line="247" w:lineRule="auto"/>
        <w:rPr>
          <w:sz w:val="20"/>
          <w:szCs w:val="20"/>
          <w:color w:val="auto"/>
        </w:rPr>
      </w:pPr>
      <w:r>
        <w:rPr>
          <w:rFonts w:ascii="Arial" w:cs="Arial" w:eastAsia="Arial" w:hAnsi="Arial"/>
          <w:sz w:val="16"/>
          <w:szCs w:val="16"/>
          <w:color w:val="auto"/>
        </w:rPr>
        <w:t>The following table summarizes all outstanding equity awards previously granted to our named executive officers that were outstanding on October 31, 2019, the last day of fiscal 2019. Specifically, it reflects exercisable and unexercisable stock options, unvested restricted stock unit awards and unvested performance share awards.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shd w:val="clear" w:color="auto" w:fill="C00000"/>
          </w:tcPr>
          <w:p>
            <w:pPr>
              <w:spacing w:after="0"/>
              <w:rPr>
                <w:sz w:val="17"/>
                <w:szCs w:val="17"/>
                <w:color w:val="auto"/>
              </w:rPr>
            </w:pPr>
          </w:p>
        </w:tc>
        <w:tc>
          <w:tcPr>
            <w:tcW w:w="840" w:type="dxa"/>
            <w:vAlign w:val="bottom"/>
            <w:shd w:val="clear" w:color="auto" w:fill="C00000"/>
          </w:tcPr>
          <w:p>
            <w:pPr>
              <w:spacing w:after="0"/>
              <w:rPr>
                <w:sz w:val="17"/>
                <w:szCs w:val="17"/>
                <w:color w:val="auto"/>
              </w:rPr>
            </w:pPr>
          </w:p>
        </w:tc>
        <w:tc>
          <w:tcPr>
            <w:tcW w:w="200" w:type="dxa"/>
            <w:vAlign w:val="bottom"/>
            <w:shd w:val="clear" w:color="auto" w:fill="C00000"/>
          </w:tcPr>
          <w:p>
            <w:pPr>
              <w:spacing w:after="0"/>
              <w:rPr>
                <w:sz w:val="17"/>
                <w:szCs w:val="17"/>
                <w:color w:val="auto"/>
              </w:rPr>
            </w:pPr>
          </w:p>
        </w:tc>
        <w:tc>
          <w:tcPr>
            <w:tcW w:w="2100" w:type="dxa"/>
            <w:vAlign w:val="bottom"/>
            <w:gridSpan w:val="2"/>
            <w:shd w:val="clear" w:color="auto" w:fill="C00000"/>
          </w:tcPr>
          <w:p>
            <w:pPr>
              <w:jc w:val="right"/>
              <w:ind w:right="543"/>
              <w:spacing w:after="0"/>
              <w:rPr>
                <w:sz w:val="20"/>
                <w:szCs w:val="20"/>
                <w:color w:val="auto"/>
              </w:rPr>
            </w:pPr>
            <w:r>
              <w:rPr>
                <w:rFonts w:ascii="Arial" w:cs="Arial" w:eastAsia="Arial" w:hAnsi="Arial"/>
                <w:sz w:val="11"/>
                <w:szCs w:val="11"/>
                <w:b w:val="1"/>
                <w:bCs w:val="1"/>
                <w:color w:val="FFFFFF"/>
              </w:rPr>
              <w:t>Option Awards</w:t>
            </w:r>
          </w:p>
        </w:tc>
        <w:tc>
          <w:tcPr>
            <w:tcW w:w="1060" w:type="dxa"/>
            <w:vAlign w:val="bottom"/>
            <w:shd w:val="clear" w:color="auto" w:fill="C00000"/>
          </w:tcPr>
          <w:p>
            <w:pPr>
              <w:spacing w:after="0"/>
              <w:rPr>
                <w:sz w:val="17"/>
                <w:szCs w:val="17"/>
                <w:color w:val="auto"/>
              </w:rPr>
            </w:pPr>
          </w:p>
        </w:tc>
        <w:tc>
          <w:tcPr>
            <w:tcW w:w="1100" w:type="dxa"/>
            <w:vAlign w:val="bottom"/>
            <w:shd w:val="clear" w:color="auto" w:fill="C00000"/>
          </w:tcPr>
          <w:p>
            <w:pPr>
              <w:spacing w:after="0"/>
              <w:rPr>
                <w:sz w:val="17"/>
                <w:szCs w:val="17"/>
                <w:color w:val="auto"/>
              </w:rPr>
            </w:pPr>
          </w:p>
        </w:tc>
        <w:tc>
          <w:tcPr>
            <w:tcW w:w="940" w:type="dxa"/>
            <w:vAlign w:val="bottom"/>
            <w:shd w:val="clear" w:color="auto" w:fill="C00000"/>
          </w:tcPr>
          <w:p>
            <w:pPr>
              <w:spacing w:after="0"/>
              <w:rPr>
                <w:sz w:val="17"/>
                <w:szCs w:val="17"/>
                <w:color w:val="auto"/>
              </w:rPr>
            </w:pPr>
          </w:p>
        </w:tc>
        <w:tc>
          <w:tcPr>
            <w:tcW w:w="1520" w:type="dxa"/>
            <w:vAlign w:val="bottom"/>
            <w:shd w:val="clear" w:color="auto" w:fill="C00000"/>
          </w:tcPr>
          <w:p>
            <w:pPr>
              <w:jc w:val="right"/>
              <w:ind w:right="705"/>
              <w:spacing w:after="0"/>
              <w:rPr>
                <w:sz w:val="20"/>
                <w:szCs w:val="20"/>
                <w:color w:val="auto"/>
              </w:rPr>
            </w:pPr>
            <w:r>
              <w:rPr>
                <w:rFonts w:ascii="Arial" w:cs="Arial" w:eastAsia="Arial" w:hAnsi="Arial"/>
                <w:sz w:val="11"/>
                <w:szCs w:val="11"/>
                <w:b w:val="1"/>
                <w:bCs w:val="1"/>
                <w:color w:val="FFFFFF"/>
              </w:rPr>
              <w:t>Stock Awards</w:t>
            </w:r>
          </w:p>
        </w:tc>
        <w:tc>
          <w:tcPr>
            <w:tcW w:w="1240" w:type="dxa"/>
            <w:vAlign w:val="bottom"/>
            <w:shd w:val="clear" w:color="auto" w:fill="C00000"/>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42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200" w:type="dxa"/>
            <w:vAlign w:val="bottom"/>
            <w:shd w:val="clear" w:color="auto" w:fill="C00000"/>
          </w:tcPr>
          <w:p>
            <w:pPr>
              <w:spacing w:after="0"/>
              <w:rPr>
                <w:sz w:val="11"/>
                <w:szCs w:val="11"/>
                <w:color w:val="auto"/>
              </w:rPr>
            </w:pPr>
          </w:p>
        </w:tc>
        <w:tc>
          <w:tcPr>
            <w:tcW w:w="1040" w:type="dxa"/>
            <w:vAlign w:val="bottom"/>
            <w:shd w:val="clear" w:color="auto" w:fill="C00000"/>
          </w:tcPr>
          <w:p>
            <w:pPr>
              <w:spacing w:after="0"/>
              <w:rPr>
                <w:sz w:val="11"/>
                <w:szCs w:val="11"/>
                <w:color w:val="auto"/>
              </w:rPr>
            </w:pPr>
          </w:p>
        </w:tc>
        <w:tc>
          <w:tcPr>
            <w:tcW w:w="1060" w:type="dxa"/>
            <w:vAlign w:val="bottom"/>
            <w:shd w:val="clear" w:color="auto" w:fill="C00000"/>
          </w:tcPr>
          <w:p>
            <w:pPr>
              <w:spacing w:after="0"/>
              <w:rPr>
                <w:sz w:val="11"/>
                <w:szCs w:val="11"/>
                <w:color w:val="auto"/>
              </w:rPr>
            </w:pPr>
          </w:p>
        </w:tc>
        <w:tc>
          <w:tcPr>
            <w:tcW w:w="1060" w:type="dxa"/>
            <w:vAlign w:val="bottom"/>
            <w:shd w:val="clear" w:color="auto" w:fill="C00000"/>
          </w:tcPr>
          <w:p>
            <w:pPr>
              <w:spacing w:after="0"/>
              <w:rPr>
                <w:sz w:val="11"/>
                <w:szCs w:val="11"/>
                <w:color w:val="auto"/>
              </w:rPr>
            </w:pPr>
          </w:p>
        </w:tc>
        <w:tc>
          <w:tcPr>
            <w:tcW w:w="1100" w:type="dxa"/>
            <w:vAlign w:val="bottom"/>
            <w:shd w:val="clear" w:color="auto" w:fill="C00000"/>
          </w:tcPr>
          <w:p>
            <w:pPr>
              <w:spacing w:after="0"/>
              <w:rPr>
                <w:sz w:val="11"/>
                <w:szCs w:val="11"/>
                <w:color w:val="auto"/>
              </w:rPr>
            </w:pPr>
          </w:p>
        </w:tc>
        <w:tc>
          <w:tcPr>
            <w:tcW w:w="940" w:type="dxa"/>
            <w:vAlign w:val="bottom"/>
            <w:shd w:val="clear" w:color="auto" w:fill="C00000"/>
          </w:tcPr>
          <w:p>
            <w:pPr>
              <w:spacing w:after="0"/>
              <w:rPr>
                <w:sz w:val="11"/>
                <w:szCs w:val="11"/>
                <w:color w:val="auto"/>
              </w:rPr>
            </w:pPr>
          </w:p>
        </w:tc>
        <w:tc>
          <w:tcPr>
            <w:tcW w:w="1520" w:type="dxa"/>
            <w:vAlign w:val="bottom"/>
            <w:shd w:val="clear" w:color="auto" w:fill="C00000"/>
          </w:tcPr>
          <w:p>
            <w:pPr>
              <w:spacing w:after="0"/>
              <w:rPr>
                <w:sz w:val="11"/>
                <w:szCs w:val="11"/>
                <w:color w:val="auto"/>
              </w:rPr>
            </w:pPr>
          </w:p>
        </w:tc>
        <w:tc>
          <w:tcPr>
            <w:tcW w:w="1240" w:type="dxa"/>
            <w:vAlign w:val="bottom"/>
            <w:shd w:val="clear" w:color="auto" w:fill="C00000"/>
          </w:tcPr>
          <w:p>
            <w:pPr>
              <w:jc w:val="center"/>
              <w:ind w:right="5"/>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840" w:type="dxa"/>
            <w:vAlign w:val="bottom"/>
            <w:shd w:val="clear" w:color="auto" w:fill="C00000"/>
          </w:tcPr>
          <w:p>
            <w:pPr>
              <w:spacing w:after="0"/>
              <w:rPr>
                <w:sz w:val="10"/>
                <w:szCs w:val="10"/>
                <w:color w:val="auto"/>
              </w:rPr>
            </w:pPr>
          </w:p>
        </w:tc>
        <w:tc>
          <w:tcPr>
            <w:tcW w:w="20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00" w:type="dxa"/>
            <w:vAlign w:val="bottom"/>
            <w:shd w:val="clear" w:color="auto" w:fill="C00000"/>
          </w:tcPr>
          <w:p>
            <w:pPr>
              <w:spacing w:after="0"/>
              <w:rPr>
                <w:sz w:val="10"/>
                <w:szCs w:val="10"/>
                <w:color w:val="auto"/>
              </w:rPr>
            </w:pPr>
          </w:p>
        </w:tc>
        <w:tc>
          <w:tcPr>
            <w:tcW w:w="940" w:type="dxa"/>
            <w:vAlign w:val="bottom"/>
            <w:shd w:val="clear" w:color="auto" w:fill="C00000"/>
          </w:tcPr>
          <w:p>
            <w:pPr>
              <w:spacing w:after="0"/>
              <w:rPr>
                <w:sz w:val="10"/>
                <w:szCs w:val="10"/>
                <w:color w:val="auto"/>
              </w:rPr>
            </w:pPr>
          </w:p>
        </w:tc>
        <w:tc>
          <w:tcPr>
            <w:tcW w:w="1520" w:type="dxa"/>
            <w:vAlign w:val="bottom"/>
            <w:shd w:val="clear" w:color="auto" w:fill="C00000"/>
          </w:tcPr>
          <w:p>
            <w:pPr>
              <w:jc w:val="center"/>
              <w:ind w:right="105"/>
              <w:spacing w:after="0" w:line="123" w:lineRule="exact"/>
              <w:rPr>
                <w:sz w:val="20"/>
                <w:szCs w:val="20"/>
                <w:color w:val="auto"/>
              </w:rPr>
            </w:pPr>
            <w:r>
              <w:rPr>
                <w:rFonts w:ascii="Arial" w:cs="Arial" w:eastAsia="Arial" w:hAnsi="Arial"/>
                <w:sz w:val="11"/>
                <w:szCs w:val="11"/>
                <w:b w:val="1"/>
                <w:bCs w:val="1"/>
                <w:color w:val="FFFFFF"/>
                <w:w w:val="95"/>
              </w:rPr>
              <w:t>Equity</w:t>
            </w:r>
          </w:p>
        </w:tc>
        <w:tc>
          <w:tcPr>
            <w:tcW w:w="1240" w:type="dxa"/>
            <w:vAlign w:val="bottom"/>
            <w:shd w:val="clear" w:color="auto" w:fill="C00000"/>
          </w:tcPr>
          <w:p>
            <w:pPr>
              <w:jc w:val="center"/>
              <w:ind w:right="5"/>
              <w:spacing w:after="0" w:line="123" w:lineRule="exact"/>
              <w:rPr>
                <w:sz w:val="20"/>
                <w:szCs w:val="20"/>
                <w:color w:val="auto"/>
              </w:rPr>
            </w:pPr>
            <w:r>
              <w:rPr>
                <w:rFonts w:ascii="Arial" w:cs="Arial" w:eastAsia="Arial" w:hAnsi="Arial"/>
                <w:sz w:val="11"/>
                <w:szCs w:val="11"/>
                <w:b w:val="1"/>
                <w:bCs w:val="1"/>
                <w:color w:val="FFFFFF"/>
                <w:w w:val="96"/>
              </w:rPr>
              <w:t>Incentive</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840" w:type="dxa"/>
            <w:vAlign w:val="bottom"/>
            <w:shd w:val="clear" w:color="auto" w:fill="C00000"/>
          </w:tcPr>
          <w:p>
            <w:pPr>
              <w:spacing w:after="0"/>
              <w:rPr>
                <w:sz w:val="10"/>
                <w:szCs w:val="10"/>
                <w:color w:val="auto"/>
              </w:rPr>
            </w:pPr>
          </w:p>
        </w:tc>
        <w:tc>
          <w:tcPr>
            <w:tcW w:w="20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00" w:type="dxa"/>
            <w:vAlign w:val="bottom"/>
            <w:shd w:val="clear" w:color="auto" w:fill="C00000"/>
          </w:tcPr>
          <w:p>
            <w:pPr>
              <w:spacing w:after="0"/>
              <w:rPr>
                <w:sz w:val="10"/>
                <w:szCs w:val="10"/>
                <w:color w:val="auto"/>
              </w:rPr>
            </w:pPr>
          </w:p>
        </w:tc>
        <w:tc>
          <w:tcPr>
            <w:tcW w:w="940" w:type="dxa"/>
            <w:vAlign w:val="bottom"/>
            <w:shd w:val="clear" w:color="auto" w:fill="C00000"/>
          </w:tcPr>
          <w:p>
            <w:pPr>
              <w:spacing w:after="0"/>
              <w:rPr>
                <w:sz w:val="10"/>
                <w:szCs w:val="10"/>
                <w:color w:val="auto"/>
              </w:rPr>
            </w:pPr>
          </w:p>
        </w:tc>
        <w:tc>
          <w:tcPr>
            <w:tcW w:w="1520" w:type="dxa"/>
            <w:vAlign w:val="bottom"/>
            <w:shd w:val="clear" w:color="auto" w:fill="C00000"/>
          </w:tcPr>
          <w:p>
            <w:pPr>
              <w:jc w:val="center"/>
              <w:ind w:right="85"/>
              <w:spacing w:after="0" w:line="123" w:lineRule="exact"/>
              <w:rPr>
                <w:sz w:val="20"/>
                <w:szCs w:val="20"/>
                <w:color w:val="auto"/>
              </w:rPr>
            </w:pPr>
            <w:r>
              <w:rPr>
                <w:rFonts w:ascii="Arial" w:cs="Arial" w:eastAsia="Arial" w:hAnsi="Arial"/>
                <w:sz w:val="11"/>
                <w:szCs w:val="11"/>
                <w:b w:val="1"/>
                <w:bCs w:val="1"/>
                <w:color w:val="FFFFFF"/>
                <w:w w:val="96"/>
              </w:rPr>
              <w:t>Incentive</w:t>
            </w:r>
          </w:p>
        </w:tc>
        <w:tc>
          <w:tcPr>
            <w:tcW w:w="1240" w:type="dxa"/>
            <w:vAlign w:val="bottom"/>
            <w:shd w:val="clear" w:color="auto" w:fill="C00000"/>
          </w:tcPr>
          <w:p>
            <w:pPr>
              <w:jc w:val="center"/>
              <w:ind w:right="5"/>
              <w:spacing w:after="0" w:line="123" w:lineRule="exact"/>
              <w:rPr>
                <w:sz w:val="20"/>
                <w:szCs w:val="20"/>
                <w:color w:val="auto"/>
              </w:rPr>
            </w:pPr>
            <w:r>
              <w:rPr>
                <w:rFonts w:ascii="Arial" w:cs="Arial" w:eastAsia="Arial" w:hAnsi="Arial"/>
                <w:sz w:val="11"/>
                <w:szCs w:val="11"/>
                <w:b w:val="1"/>
                <w:bCs w:val="1"/>
                <w:color w:val="FFFFFF"/>
                <w:w w:val="94"/>
              </w:rPr>
              <w:t>Plan Awards:</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840" w:type="dxa"/>
            <w:vAlign w:val="bottom"/>
            <w:shd w:val="clear" w:color="auto" w:fill="C00000"/>
          </w:tcPr>
          <w:p>
            <w:pPr>
              <w:spacing w:after="0"/>
              <w:rPr>
                <w:sz w:val="10"/>
                <w:szCs w:val="10"/>
                <w:color w:val="auto"/>
              </w:rPr>
            </w:pPr>
          </w:p>
        </w:tc>
        <w:tc>
          <w:tcPr>
            <w:tcW w:w="20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00" w:type="dxa"/>
            <w:vAlign w:val="bottom"/>
            <w:shd w:val="clear" w:color="auto" w:fill="C00000"/>
          </w:tcPr>
          <w:p>
            <w:pPr>
              <w:spacing w:after="0"/>
              <w:rPr>
                <w:sz w:val="10"/>
                <w:szCs w:val="10"/>
                <w:color w:val="auto"/>
              </w:rPr>
            </w:pPr>
          </w:p>
        </w:tc>
        <w:tc>
          <w:tcPr>
            <w:tcW w:w="940" w:type="dxa"/>
            <w:vAlign w:val="bottom"/>
            <w:shd w:val="clear" w:color="auto" w:fill="C00000"/>
          </w:tcPr>
          <w:p>
            <w:pPr>
              <w:jc w:val="center"/>
              <w:ind w:right="67"/>
              <w:spacing w:after="0" w:line="123" w:lineRule="exact"/>
              <w:rPr>
                <w:sz w:val="20"/>
                <w:szCs w:val="20"/>
                <w:color w:val="auto"/>
              </w:rPr>
            </w:pPr>
            <w:r>
              <w:rPr>
                <w:rFonts w:ascii="Arial" w:cs="Arial" w:eastAsia="Arial" w:hAnsi="Arial"/>
                <w:sz w:val="11"/>
                <w:szCs w:val="11"/>
                <w:b w:val="1"/>
                <w:bCs w:val="1"/>
                <w:color w:val="FFFFFF"/>
                <w:w w:val="95"/>
              </w:rPr>
              <w:t>Market</w:t>
            </w:r>
          </w:p>
        </w:tc>
        <w:tc>
          <w:tcPr>
            <w:tcW w:w="1520" w:type="dxa"/>
            <w:vAlign w:val="bottom"/>
            <w:shd w:val="clear" w:color="auto" w:fill="C00000"/>
          </w:tcPr>
          <w:p>
            <w:pPr>
              <w:jc w:val="center"/>
              <w:ind w:right="85"/>
              <w:spacing w:after="0" w:line="123" w:lineRule="exact"/>
              <w:rPr>
                <w:sz w:val="20"/>
                <w:szCs w:val="20"/>
                <w:color w:val="auto"/>
              </w:rPr>
            </w:pPr>
            <w:r>
              <w:rPr>
                <w:rFonts w:ascii="Arial" w:cs="Arial" w:eastAsia="Arial" w:hAnsi="Arial"/>
                <w:sz w:val="11"/>
                <w:szCs w:val="11"/>
                <w:b w:val="1"/>
                <w:bCs w:val="1"/>
                <w:color w:val="FFFFFF"/>
                <w:w w:val="94"/>
              </w:rPr>
              <w:t>Plan Awards:</w:t>
            </w:r>
          </w:p>
        </w:tc>
        <w:tc>
          <w:tcPr>
            <w:tcW w:w="1240" w:type="dxa"/>
            <w:vAlign w:val="bottom"/>
            <w:shd w:val="clear" w:color="auto" w:fill="C00000"/>
          </w:tcPr>
          <w:p>
            <w:pPr>
              <w:jc w:val="center"/>
              <w:ind w:right="25"/>
              <w:spacing w:after="0" w:line="123" w:lineRule="exact"/>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b w:val="1"/>
                <w:bCs w:val="1"/>
                <w:color w:val="FFFFFF"/>
                <w:w w:val="94"/>
              </w:rPr>
              <w:t>Number of</w:t>
            </w:r>
          </w:p>
        </w:tc>
        <w:tc>
          <w:tcPr>
            <w:tcW w:w="1040" w:type="dxa"/>
            <w:vAlign w:val="bottom"/>
            <w:shd w:val="clear" w:color="auto" w:fill="C00000"/>
          </w:tcPr>
          <w:p>
            <w:pPr>
              <w:jc w:val="center"/>
              <w:ind w:left="64"/>
              <w:spacing w:after="0" w:line="123" w:lineRule="exact"/>
              <w:rPr>
                <w:sz w:val="20"/>
                <w:szCs w:val="20"/>
                <w:color w:val="auto"/>
              </w:rPr>
            </w:pPr>
            <w:r>
              <w:rPr>
                <w:rFonts w:ascii="Arial" w:cs="Arial" w:eastAsia="Arial" w:hAnsi="Arial"/>
                <w:sz w:val="11"/>
                <w:szCs w:val="11"/>
                <w:b w:val="1"/>
                <w:bCs w:val="1"/>
                <w:color w:val="FFFFFF"/>
                <w:w w:val="94"/>
              </w:rPr>
              <w:t>Number of</w:t>
            </w:r>
          </w:p>
        </w:tc>
        <w:tc>
          <w:tcPr>
            <w:tcW w:w="106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00" w:type="dxa"/>
            <w:vAlign w:val="bottom"/>
            <w:shd w:val="clear" w:color="auto" w:fill="C00000"/>
          </w:tcPr>
          <w:p>
            <w:pPr>
              <w:spacing w:after="0"/>
              <w:rPr>
                <w:sz w:val="10"/>
                <w:szCs w:val="10"/>
                <w:color w:val="auto"/>
              </w:rPr>
            </w:pPr>
          </w:p>
        </w:tc>
        <w:tc>
          <w:tcPr>
            <w:tcW w:w="940" w:type="dxa"/>
            <w:vAlign w:val="bottom"/>
            <w:shd w:val="clear" w:color="auto" w:fill="C00000"/>
          </w:tcPr>
          <w:p>
            <w:pPr>
              <w:jc w:val="center"/>
              <w:ind w:right="47"/>
              <w:spacing w:after="0" w:line="123" w:lineRule="exact"/>
              <w:rPr>
                <w:sz w:val="20"/>
                <w:szCs w:val="20"/>
                <w:color w:val="auto"/>
              </w:rPr>
            </w:pPr>
            <w:r>
              <w:rPr>
                <w:rFonts w:ascii="Arial" w:cs="Arial" w:eastAsia="Arial" w:hAnsi="Arial"/>
                <w:sz w:val="11"/>
                <w:szCs w:val="11"/>
                <w:b w:val="1"/>
                <w:bCs w:val="1"/>
                <w:color w:val="FFFFFF"/>
                <w:w w:val="93"/>
              </w:rPr>
              <w:t>Value of</w:t>
            </w:r>
          </w:p>
        </w:tc>
        <w:tc>
          <w:tcPr>
            <w:tcW w:w="1520" w:type="dxa"/>
            <w:vAlign w:val="bottom"/>
            <w:shd w:val="clear" w:color="auto" w:fill="C00000"/>
          </w:tcPr>
          <w:p>
            <w:pPr>
              <w:jc w:val="center"/>
              <w:ind w:right="85"/>
              <w:spacing w:after="0" w:line="123" w:lineRule="exact"/>
              <w:rPr>
                <w:sz w:val="20"/>
                <w:szCs w:val="20"/>
                <w:color w:val="auto"/>
              </w:rPr>
            </w:pPr>
            <w:r>
              <w:rPr>
                <w:rFonts w:ascii="Arial" w:cs="Arial" w:eastAsia="Arial" w:hAnsi="Arial"/>
                <w:sz w:val="11"/>
                <w:szCs w:val="11"/>
                <w:b w:val="1"/>
                <w:bCs w:val="1"/>
                <w:color w:val="FFFFFF"/>
                <w:w w:val="98"/>
              </w:rPr>
              <w:t>Number of</w:t>
            </w:r>
          </w:p>
        </w:tc>
        <w:tc>
          <w:tcPr>
            <w:tcW w:w="1240" w:type="dxa"/>
            <w:vAlign w:val="bottom"/>
            <w:shd w:val="clear" w:color="auto" w:fill="C00000"/>
          </w:tcPr>
          <w:p>
            <w:pPr>
              <w:jc w:val="center"/>
              <w:ind w:right="5"/>
              <w:spacing w:after="0" w:line="123" w:lineRule="exact"/>
              <w:rPr>
                <w:sz w:val="20"/>
                <w:szCs w:val="20"/>
                <w:color w:val="auto"/>
              </w:rPr>
            </w:pPr>
            <w:r>
              <w:rPr>
                <w:rFonts w:ascii="Arial" w:cs="Arial" w:eastAsia="Arial" w:hAnsi="Arial"/>
                <w:sz w:val="11"/>
                <w:szCs w:val="11"/>
                <w:b w:val="1"/>
                <w:bCs w:val="1"/>
                <w:color w:val="FFFFFF"/>
                <w:w w:val="95"/>
              </w:rPr>
              <w:t>Payout Value</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b w:val="1"/>
                <w:bCs w:val="1"/>
                <w:color w:val="FFFFFF"/>
                <w:w w:val="98"/>
              </w:rPr>
              <w:t>Securities</w:t>
            </w:r>
          </w:p>
        </w:tc>
        <w:tc>
          <w:tcPr>
            <w:tcW w:w="1040" w:type="dxa"/>
            <w:vAlign w:val="bottom"/>
            <w:shd w:val="clear" w:color="auto" w:fill="C00000"/>
          </w:tcPr>
          <w:p>
            <w:pPr>
              <w:jc w:val="center"/>
              <w:ind w:left="64"/>
              <w:spacing w:after="0" w:line="123" w:lineRule="exact"/>
              <w:rPr>
                <w:sz w:val="20"/>
                <w:szCs w:val="20"/>
                <w:color w:val="auto"/>
              </w:rPr>
            </w:pPr>
            <w:r>
              <w:rPr>
                <w:rFonts w:ascii="Arial" w:cs="Arial" w:eastAsia="Arial" w:hAnsi="Arial"/>
                <w:sz w:val="11"/>
                <w:szCs w:val="11"/>
                <w:b w:val="1"/>
                <w:bCs w:val="1"/>
                <w:color w:val="FFFFFF"/>
                <w:w w:val="98"/>
              </w:rPr>
              <w:t>Securities</w:t>
            </w:r>
          </w:p>
        </w:tc>
        <w:tc>
          <w:tcPr>
            <w:tcW w:w="106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0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8"/>
              </w:rPr>
              <w:t>Number of</w:t>
            </w:r>
          </w:p>
        </w:tc>
        <w:tc>
          <w:tcPr>
            <w:tcW w:w="940" w:type="dxa"/>
            <w:vAlign w:val="bottom"/>
            <w:shd w:val="clear" w:color="auto" w:fill="C00000"/>
          </w:tcPr>
          <w:p>
            <w:pPr>
              <w:jc w:val="center"/>
              <w:ind w:right="67"/>
              <w:spacing w:after="0" w:line="123" w:lineRule="exact"/>
              <w:rPr>
                <w:sz w:val="20"/>
                <w:szCs w:val="20"/>
                <w:color w:val="auto"/>
              </w:rPr>
            </w:pPr>
            <w:r>
              <w:rPr>
                <w:rFonts w:ascii="Arial" w:cs="Arial" w:eastAsia="Arial" w:hAnsi="Arial"/>
                <w:sz w:val="11"/>
                <w:szCs w:val="11"/>
                <w:b w:val="1"/>
                <w:bCs w:val="1"/>
                <w:color w:val="FFFFFF"/>
                <w:w w:val="98"/>
              </w:rPr>
              <w:t>Shares or</w:t>
            </w:r>
          </w:p>
        </w:tc>
        <w:tc>
          <w:tcPr>
            <w:tcW w:w="1520" w:type="dxa"/>
            <w:vAlign w:val="bottom"/>
            <w:shd w:val="clear" w:color="auto" w:fill="C00000"/>
          </w:tcPr>
          <w:p>
            <w:pPr>
              <w:jc w:val="center"/>
              <w:ind w:right="85"/>
              <w:spacing w:after="0" w:line="123" w:lineRule="exact"/>
              <w:rPr>
                <w:sz w:val="20"/>
                <w:szCs w:val="20"/>
                <w:color w:val="auto"/>
              </w:rPr>
            </w:pPr>
            <w:r>
              <w:rPr>
                <w:rFonts w:ascii="Arial" w:cs="Arial" w:eastAsia="Arial" w:hAnsi="Arial"/>
                <w:sz w:val="11"/>
                <w:szCs w:val="11"/>
                <w:b w:val="1"/>
                <w:bCs w:val="1"/>
                <w:color w:val="FFFFFF"/>
                <w:w w:val="98"/>
              </w:rPr>
              <w:t>Unearned</w:t>
            </w:r>
          </w:p>
        </w:tc>
        <w:tc>
          <w:tcPr>
            <w:tcW w:w="1240" w:type="dxa"/>
            <w:vAlign w:val="bottom"/>
            <w:shd w:val="clear" w:color="auto" w:fill="C00000"/>
          </w:tcPr>
          <w:p>
            <w:pPr>
              <w:jc w:val="center"/>
              <w:ind w:right="5"/>
              <w:spacing w:after="0" w:line="123" w:lineRule="exact"/>
              <w:rPr>
                <w:sz w:val="20"/>
                <w:szCs w:val="20"/>
                <w:color w:val="auto"/>
              </w:rPr>
            </w:pPr>
            <w:r>
              <w:rPr>
                <w:rFonts w:ascii="Arial" w:cs="Arial" w:eastAsia="Arial" w:hAnsi="Arial"/>
                <w:sz w:val="11"/>
                <w:szCs w:val="11"/>
                <w:b w:val="1"/>
                <w:bCs w:val="1"/>
                <w:color w:val="FFFFFF"/>
                <w:w w:val="96"/>
              </w:rPr>
              <w:t>of Unearned</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b w:val="1"/>
                <w:bCs w:val="1"/>
                <w:color w:val="FFFFFF"/>
                <w:w w:val="97"/>
              </w:rPr>
              <w:t>Underlying</w:t>
            </w:r>
          </w:p>
        </w:tc>
        <w:tc>
          <w:tcPr>
            <w:tcW w:w="1040" w:type="dxa"/>
            <w:vAlign w:val="bottom"/>
            <w:shd w:val="clear" w:color="auto" w:fill="C00000"/>
          </w:tcPr>
          <w:p>
            <w:pPr>
              <w:jc w:val="center"/>
              <w:ind w:left="64"/>
              <w:spacing w:after="0" w:line="123" w:lineRule="exact"/>
              <w:rPr>
                <w:sz w:val="20"/>
                <w:szCs w:val="20"/>
                <w:color w:val="auto"/>
              </w:rPr>
            </w:pPr>
            <w:r>
              <w:rPr>
                <w:rFonts w:ascii="Arial" w:cs="Arial" w:eastAsia="Arial" w:hAnsi="Arial"/>
                <w:sz w:val="11"/>
                <w:szCs w:val="11"/>
                <w:b w:val="1"/>
                <w:bCs w:val="1"/>
                <w:color w:val="FFFFFF"/>
                <w:w w:val="97"/>
              </w:rPr>
              <w:t>Underlying</w:t>
            </w:r>
          </w:p>
        </w:tc>
        <w:tc>
          <w:tcPr>
            <w:tcW w:w="1060" w:type="dxa"/>
            <w:vAlign w:val="bottom"/>
            <w:shd w:val="clear" w:color="auto" w:fill="C00000"/>
          </w:tcPr>
          <w:p>
            <w:pPr>
              <w:spacing w:after="0"/>
              <w:rPr>
                <w:sz w:val="10"/>
                <w:szCs w:val="10"/>
                <w:color w:val="auto"/>
              </w:rPr>
            </w:pPr>
          </w:p>
        </w:tc>
        <w:tc>
          <w:tcPr>
            <w:tcW w:w="1060" w:type="dxa"/>
            <w:vAlign w:val="bottom"/>
            <w:shd w:val="clear" w:color="auto" w:fill="C00000"/>
          </w:tcPr>
          <w:p>
            <w:pPr>
              <w:spacing w:after="0"/>
              <w:rPr>
                <w:sz w:val="10"/>
                <w:szCs w:val="10"/>
                <w:color w:val="auto"/>
              </w:rPr>
            </w:pPr>
          </w:p>
        </w:tc>
        <w:tc>
          <w:tcPr>
            <w:tcW w:w="110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8"/>
              </w:rPr>
              <w:t>Shares or</w:t>
            </w:r>
          </w:p>
        </w:tc>
        <w:tc>
          <w:tcPr>
            <w:tcW w:w="940" w:type="dxa"/>
            <w:vAlign w:val="bottom"/>
            <w:shd w:val="clear" w:color="auto" w:fill="C00000"/>
          </w:tcPr>
          <w:p>
            <w:pPr>
              <w:jc w:val="center"/>
              <w:ind w:right="47"/>
              <w:spacing w:after="0" w:line="123" w:lineRule="exact"/>
              <w:rPr>
                <w:sz w:val="20"/>
                <w:szCs w:val="20"/>
                <w:color w:val="auto"/>
              </w:rPr>
            </w:pPr>
            <w:r>
              <w:rPr>
                <w:rFonts w:ascii="Arial" w:cs="Arial" w:eastAsia="Arial" w:hAnsi="Arial"/>
                <w:sz w:val="11"/>
                <w:szCs w:val="11"/>
                <w:b w:val="1"/>
                <w:bCs w:val="1"/>
                <w:color w:val="FFFFFF"/>
                <w:w w:val="97"/>
              </w:rPr>
              <w:t>Units of</w:t>
            </w:r>
          </w:p>
        </w:tc>
        <w:tc>
          <w:tcPr>
            <w:tcW w:w="1520" w:type="dxa"/>
            <w:vAlign w:val="bottom"/>
            <w:shd w:val="clear" w:color="auto" w:fill="C00000"/>
          </w:tcPr>
          <w:p>
            <w:pPr>
              <w:jc w:val="center"/>
              <w:ind w:right="105"/>
              <w:spacing w:after="0" w:line="123" w:lineRule="exact"/>
              <w:rPr>
                <w:sz w:val="20"/>
                <w:szCs w:val="20"/>
                <w:color w:val="auto"/>
              </w:rPr>
            </w:pPr>
            <w:r>
              <w:rPr>
                <w:rFonts w:ascii="Arial" w:cs="Arial" w:eastAsia="Arial" w:hAnsi="Arial"/>
                <w:sz w:val="11"/>
                <w:szCs w:val="11"/>
                <w:b w:val="1"/>
                <w:bCs w:val="1"/>
                <w:color w:val="FFFFFF"/>
                <w:w w:val="96"/>
              </w:rPr>
              <w:t>Shares, Units</w:t>
            </w:r>
          </w:p>
        </w:tc>
        <w:tc>
          <w:tcPr>
            <w:tcW w:w="1240" w:type="dxa"/>
            <w:vAlign w:val="bottom"/>
            <w:shd w:val="clear" w:color="auto" w:fill="C00000"/>
          </w:tcPr>
          <w:p>
            <w:pPr>
              <w:jc w:val="center"/>
              <w:ind w:right="25"/>
              <w:spacing w:after="0" w:line="123" w:lineRule="exact"/>
              <w:rPr>
                <w:sz w:val="20"/>
                <w:szCs w:val="20"/>
                <w:color w:val="auto"/>
              </w:rPr>
            </w:pPr>
            <w:r>
              <w:rPr>
                <w:rFonts w:ascii="Arial" w:cs="Arial" w:eastAsia="Arial" w:hAnsi="Arial"/>
                <w:sz w:val="11"/>
                <w:szCs w:val="11"/>
                <w:b w:val="1"/>
                <w:bCs w:val="1"/>
                <w:color w:val="FFFFFF"/>
                <w:w w:val="96"/>
              </w:rPr>
              <w:t>Shares, Units</w:t>
            </w:r>
          </w:p>
        </w:tc>
        <w:tc>
          <w:tcPr>
            <w:tcW w:w="0" w:type="dxa"/>
            <w:vAlign w:val="bottom"/>
          </w:tcPr>
          <w:p>
            <w:pPr>
              <w:spacing w:after="0"/>
              <w:rPr>
                <w:sz w:val="1"/>
                <w:szCs w:val="1"/>
                <w:color w:val="auto"/>
              </w:rPr>
            </w:pPr>
          </w:p>
        </w:tc>
      </w:tr>
      <w:tr>
        <w:trPr>
          <w:trHeight w:val="123"/>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63"/>
              <w:spacing w:after="0" w:line="123" w:lineRule="exact"/>
              <w:rPr>
                <w:sz w:val="20"/>
                <w:szCs w:val="20"/>
                <w:color w:val="auto"/>
              </w:rPr>
            </w:pPr>
            <w:r>
              <w:rPr>
                <w:rFonts w:ascii="Arial" w:cs="Arial" w:eastAsia="Arial" w:hAnsi="Arial"/>
                <w:sz w:val="11"/>
                <w:szCs w:val="11"/>
                <w:b w:val="1"/>
                <w:bCs w:val="1"/>
                <w:color w:val="FFFFFF"/>
                <w:w w:val="97"/>
              </w:rPr>
              <w:t>Unexercised</w:t>
            </w:r>
          </w:p>
        </w:tc>
        <w:tc>
          <w:tcPr>
            <w:tcW w:w="1040" w:type="dxa"/>
            <w:vAlign w:val="bottom"/>
            <w:shd w:val="clear" w:color="auto" w:fill="C00000"/>
          </w:tcPr>
          <w:p>
            <w:pPr>
              <w:jc w:val="center"/>
              <w:ind w:left="64"/>
              <w:spacing w:after="0" w:line="123" w:lineRule="exact"/>
              <w:rPr>
                <w:sz w:val="20"/>
                <w:szCs w:val="20"/>
                <w:color w:val="auto"/>
              </w:rPr>
            </w:pPr>
            <w:r>
              <w:rPr>
                <w:rFonts w:ascii="Arial" w:cs="Arial" w:eastAsia="Arial" w:hAnsi="Arial"/>
                <w:sz w:val="11"/>
                <w:szCs w:val="11"/>
                <w:b w:val="1"/>
                <w:bCs w:val="1"/>
                <w:color w:val="FFFFFF"/>
                <w:w w:val="97"/>
              </w:rPr>
              <w:t>Unexercised</w:t>
            </w:r>
          </w:p>
        </w:tc>
        <w:tc>
          <w:tcPr>
            <w:tcW w:w="1060" w:type="dxa"/>
            <w:vAlign w:val="bottom"/>
            <w:shd w:val="clear" w:color="auto" w:fill="C00000"/>
          </w:tcPr>
          <w:p>
            <w:pPr>
              <w:jc w:val="center"/>
              <w:ind w:left="63"/>
              <w:spacing w:after="0" w:line="123" w:lineRule="exact"/>
              <w:rPr>
                <w:sz w:val="20"/>
                <w:szCs w:val="20"/>
                <w:color w:val="auto"/>
              </w:rPr>
            </w:pPr>
            <w:r>
              <w:rPr>
                <w:rFonts w:ascii="Arial" w:cs="Arial" w:eastAsia="Arial" w:hAnsi="Arial"/>
                <w:sz w:val="11"/>
                <w:szCs w:val="11"/>
                <w:b w:val="1"/>
                <w:bCs w:val="1"/>
                <w:color w:val="FFFFFF"/>
                <w:w w:val="95"/>
              </w:rPr>
              <w:t>Option</w:t>
            </w:r>
          </w:p>
        </w:tc>
        <w:tc>
          <w:tcPr>
            <w:tcW w:w="1060" w:type="dxa"/>
            <w:vAlign w:val="bottom"/>
            <w:shd w:val="clear" w:color="auto" w:fill="C00000"/>
          </w:tcPr>
          <w:p>
            <w:pPr>
              <w:spacing w:after="0"/>
              <w:rPr>
                <w:sz w:val="10"/>
                <w:szCs w:val="10"/>
                <w:color w:val="auto"/>
              </w:rPr>
            </w:pPr>
          </w:p>
        </w:tc>
        <w:tc>
          <w:tcPr>
            <w:tcW w:w="1100" w:type="dxa"/>
            <w:vAlign w:val="bottom"/>
            <w:shd w:val="clear" w:color="auto" w:fill="C00000"/>
          </w:tcPr>
          <w:p>
            <w:pPr>
              <w:jc w:val="center"/>
              <w:spacing w:after="0" w:line="123" w:lineRule="exact"/>
              <w:rPr>
                <w:sz w:val="20"/>
                <w:szCs w:val="20"/>
                <w:color w:val="auto"/>
              </w:rPr>
            </w:pPr>
            <w:r>
              <w:rPr>
                <w:rFonts w:ascii="Arial" w:cs="Arial" w:eastAsia="Arial" w:hAnsi="Arial"/>
                <w:sz w:val="11"/>
                <w:szCs w:val="11"/>
                <w:b w:val="1"/>
                <w:bCs w:val="1"/>
                <w:color w:val="FFFFFF"/>
                <w:w w:val="98"/>
              </w:rPr>
              <w:t>Units that</w:t>
            </w:r>
          </w:p>
        </w:tc>
        <w:tc>
          <w:tcPr>
            <w:tcW w:w="940" w:type="dxa"/>
            <w:vAlign w:val="bottom"/>
            <w:shd w:val="clear" w:color="auto" w:fill="C00000"/>
          </w:tcPr>
          <w:p>
            <w:pPr>
              <w:jc w:val="center"/>
              <w:ind w:right="47"/>
              <w:spacing w:after="0" w:line="123" w:lineRule="exact"/>
              <w:rPr>
                <w:sz w:val="20"/>
                <w:szCs w:val="20"/>
                <w:color w:val="auto"/>
              </w:rPr>
            </w:pPr>
            <w:r>
              <w:rPr>
                <w:rFonts w:ascii="Arial" w:cs="Arial" w:eastAsia="Arial" w:hAnsi="Arial"/>
                <w:sz w:val="11"/>
                <w:szCs w:val="11"/>
                <w:b w:val="1"/>
                <w:bCs w:val="1"/>
                <w:color w:val="FFFFFF"/>
                <w:w w:val="97"/>
              </w:rPr>
              <w:t>Stock that</w:t>
            </w:r>
          </w:p>
        </w:tc>
        <w:tc>
          <w:tcPr>
            <w:tcW w:w="1520" w:type="dxa"/>
            <w:vAlign w:val="bottom"/>
            <w:shd w:val="clear" w:color="auto" w:fill="C00000"/>
          </w:tcPr>
          <w:p>
            <w:pPr>
              <w:jc w:val="center"/>
              <w:ind w:right="85"/>
              <w:spacing w:after="0" w:line="123" w:lineRule="exact"/>
              <w:rPr>
                <w:sz w:val="20"/>
                <w:szCs w:val="20"/>
                <w:color w:val="auto"/>
              </w:rPr>
            </w:pPr>
            <w:r>
              <w:rPr>
                <w:rFonts w:ascii="Arial" w:cs="Arial" w:eastAsia="Arial" w:hAnsi="Arial"/>
                <w:sz w:val="11"/>
                <w:szCs w:val="11"/>
                <w:b w:val="1"/>
                <w:bCs w:val="1"/>
                <w:color w:val="FFFFFF"/>
                <w:w w:val="96"/>
              </w:rPr>
              <w:t>or Other Rights</w:t>
            </w:r>
          </w:p>
        </w:tc>
        <w:tc>
          <w:tcPr>
            <w:tcW w:w="1240" w:type="dxa"/>
            <w:vAlign w:val="bottom"/>
            <w:shd w:val="clear" w:color="auto" w:fill="C00000"/>
          </w:tcPr>
          <w:p>
            <w:pPr>
              <w:jc w:val="center"/>
              <w:ind w:right="5"/>
              <w:spacing w:after="0" w:line="123" w:lineRule="exact"/>
              <w:rPr>
                <w:sz w:val="20"/>
                <w:szCs w:val="20"/>
                <w:color w:val="auto"/>
              </w:rPr>
            </w:pPr>
            <w:r>
              <w:rPr>
                <w:rFonts w:ascii="Arial" w:cs="Arial" w:eastAsia="Arial" w:hAnsi="Arial"/>
                <w:sz w:val="11"/>
                <w:szCs w:val="11"/>
                <w:b w:val="1"/>
                <w:bCs w:val="1"/>
                <w:color w:val="FFFFFF"/>
                <w:w w:val="96"/>
              </w:rPr>
              <w:t>or Other Rights</w:t>
            </w:r>
          </w:p>
        </w:tc>
        <w:tc>
          <w:tcPr>
            <w:tcW w:w="0" w:type="dxa"/>
            <w:vAlign w:val="bottom"/>
          </w:tcPr>
          <w:p>
            <w:pPr>
              <w:spacing w:after="0"/>
              <w:rPr>
                <w:sz w:val="1"/>
                <w:szCs w:val="1"/>
                <w:color w:val="auto"/>
              </w:rPr>
            </w:pPr>
          </w:p>
        </w:tc>
      </w:tr>
      <w:tr>
        <w:trPr>
          <w:trHeight w:val="114"/>
        </w:trPr>
        <w:tc>
          <w:tcPr>
            <w:tcW w:w="2420" w:type="dxa"/>
            <w:vAlign w:val="bottom"/>
            <w:shd w:val="clear" w:color="auto" w:fill="C00000"/>
          </w:tcPr>
          <w:p>
            <w:pPr>
              <w:spacing w:after="0"/>
              <w:rPr>
                <w:sz w:val="9"/>
                <w:szCs w:val="9"/>
                <w:color w:val="auto"/>
              </w:rPr>
            </w:pPr>
          </w:p>
        </w:tc>
        <w:tc>
          <w:tcPr>
            <w:tcW w:w="1040" w:type="dxa"/>
            <w:vAlign w:val="bottom"/>
            <w:gridSpan w:val="2"/>
            <w:shd w:val="clear" w:color="auto" w:fill="C00000"/>
          </w:tcPr>
          <w:p>
            <w:pPr>
              <w:jc w:val="center"/>
              <w:ind w:left="63"/>
              <w:spacing w:after="0" w:line="115" w:lineRule="exact"/>
              <w:rPr>
                <w:sz w:val="20"/>
                <w:szCs w:val="20"/>
                <w:color w:val="auto"/>
              </w:rPr>
            </w:pPr>
            <w:r>
              <w:rPr>
                <w:rFonts w:ascii="Arial" w:cs="Arial" w:eastAsia="Arial" w:hAnsi="Arial"/>
                <w:sz w:val="11"/>
                <w:szCs w:val="11"/>
                <w:b w:val="1"/>
                <w:bCs w:val="1"/>
                <w:color w:val="FFFFFF"/>
                <w:w w:val="96"/>
              </w:rPr>
              <w:t>Options</w:t>
            </w:r>
          </w:p>
        </w:tc>
        <w:tc>
          <w:tcPr>
            <w:tcW w:w="1040" w:type="dxa"/>
            <w:vAlign w:val="bottom"/>
            <w:shd w:val="clear" w:color="auto" w:fill="C00000"/>
          </w:tcPr>
          <w:p>
            <w:pPr>
              <w:jc w:val="center"/>
              <w:ind w:left="64"/>
              <w:spacing w:after="0" w:line="115" w:lineRule="exact"/>
              <w:rPr>
                <w:sz w:val="20"/>
                <w:szCs w:val="20"/>
                <w:color w:val="auto"/>
              </w:rPr>
            </w:pPr>
            <w:r>
              <w:rPr>
                <w:rFonts w:ascii="Arial" w:cs="Arial" w:eastAsia="Arial" w:hAnsi="Arial"/>
                <w:sz w:val="11"/>
                <w:szCs w:val="11"/>
                <w:b w:val="1"/>
                <w:bCs w:val="1"/>
                <w:color w:val="FFFFFF"/>
                <w:w w:val="96"/>
              </w:rPr>
              <w:t>Options</w:t>
            </w:r>
          </w:p>
        </w:tc>
        <w:tc>
          <w:tcPr>
            <w:tcW w:w="1060" w:type="dxa"/>
            <w:vAlign w:val="bottom"/>
            <w:shd w:val="clear" w:color="auto" w:fill="C00000"/>
          </w:tcPr>
          <w:p>
            <w:pPr>
              <w:jc w:val="center"/>
              <w:ind w:left="63"/>
              <w:spacing w:after="0" w:line="115" w:lineRule="exact"/>
              <w:rPr>
                <w:sz w:val="20"/>
                <w:szCs w:val="20"/>
                <w:color w:val="auto"/>
              </w:rPr>
            </w:pPr>
            <w:r>
              <w:rPr>
                <w:rFonts w:ascii="Arial" w:cs="Arial" w:eastAsia="Arial" w:hAnsi="Arial"/>
                <w:sz w:val="11"/>
                <w:szCs w:val="11"/>
                <w:b w:val="1"/>
                <w:bCs w:val="1"/>
                <w:color w:val="FFFFFF"/>
                <w:w w:val="92"/>
              </w:rPr>
              <w:t>Exercise</w:t>
            </w:r>
          </w:p>
        </w:tc>
        <w:tc>
          <w:tcPr>
            <w:tcW w:w="1060" w:type="dxa"/>
            <w:vAlign w:val="bottom"/>
            <w:shd w:val="clear" w:color="auto" w:fill="C00000"/>
          </w:tcPr>
          <w:p>
            <w:pPr>
              <w:ind w:left="420"/>
              <w:spacing w:after="0" w:line="115" w:lineRule="exact"/>
              <w:rPr>
                <w:sz w:val="20"/>
                <w:szCs w:val="20"/>
                <w:color w:val="auto"/>
              </w:rPr>
            </w:pPr>
            <w:r>
              <w:rPr>
                <w:rFonts w:ascii="Arial" w:cs="Arial" w:eastAsia="Arial" w:hAnsi="Arial"/>
                <w:sz w:val="11"/>
                <w:szCs w:val="11"/>
                <w:b w:val="1"/>
                <w:bCs w:val="1"/>
                <w:color w:val="FFFFFF"/>
              </w:rPr>
              <w:t>Option</w:t>
            </w:r>
          </w:p>
        </w:tc>
        <w:tc>
          <w:tcPr>
            <w:tcW w:w="1100" w:type="dxa"/>
            <w:vAlign w:val="bottom"/>
            <w:shd w:val="clear" w:color="auto" w:fill="C00000"/>
          </w:tcPr>
          <w:p>
            <w:pPr>
              <w:jc w:val="center"/>
              <w:spacing w:after="0" w:line="115" w:lineRule="exact"/>
              <w:rPr>
                <w:sz w:val="20"/>
                <w:szCs w:val="20"/>
                <w:color w:val="auto"/>
              </w:rPr>
            </w:pPr>
            <w:r>
              <w:rPr>
                <w:rFonts w:ascii="Arial" w:cs="Arial" w:eastAsia="Arial" w:hAnsi="Arial"/>
                <w:sz w:val="11"/>
                <w:szCs w:val="11"/>
                <w:b w:val="1"/>
                <w:bCs w:val="1"/>
                <w:color w:val="FFFFFF"/>
                <w:w w:val="96"/>
              </w:rPr>
              <w:t>Have Not</w:t>
            </w:r>
          </w:p>
        </w:tc>
        <w:tc>
          <w:tcPr>
            <w:tcW w:w="940" w:type="dxa"/>
            <w:vAlign w:val="bottom"/>
            <w:shd w:val="clear" w:color="auto" w:fill="C00000"/>
          </w:tcPr>
          <w:p>
            <w:pPr>
              <w:jc w:val="center"/>
              <w:ind w:right="67"/>
              <w:spacing w:after="0" w:line="115" w:lineRule="exact"/>
              <w:rPr>
                <w:sz w:val="20"/>
                <w:szCs w:val="20"/>
                <w:color w:val="auto"/>
              </w:rPr>
            </w:pPr>
            <w:r>
              <w:rPr>
                <w:rFonts w:ascii="Arial" w:cs="Arial" w:eastAsia="Arial" w:hAnsi="Arial"/>
                <w:sz w:val="11"/>
                <w:szCs w:val="11"/>
                <w:b w:val="1"/>
                <w:bCs w:val="1"/>
                <w:color w:val="FFFFFF"/>
                <w:w w:val="96"/>
              </w:rPr>
              <w:t>Have Not</w:t>
            </w:r>
          </w:p>
        </w:tc>
        <w:tc>
          <w:tcPr>
            <w:tcW w:w="1520" w:type="dxa"/>
            <w:vAlign w:val="bottom"/>
            <w:shd w:val="clear" w:color="auto" w:fill="C00000"/>
          </w:tcPr>
          <w:p>
            <w:pPr>
              <w:jc w:val="center"/>
              <w:ind w:right="85"/>
              <w:spacing w:after="0" w:line="115" w:lineRule="exact"/>
              <w:rPr>
                <w:sz w:val="20"/>
                <w:szCs w:val="20"/>
                <w:color w:val="auto"/>
              </w:rPr>
            </w:pPr>
            <w:r>
              <w:rPr>
                <w:rFonts w:ascii="Arial" w:cs="Arial" w:eastAsia="Arial" w:hAnsi="Arial"/>
                <w:sz w:val="11"/>
                <w:szCs w:val="11"/>
                <w:b w:val="1"/>
                <w:bCs w:val="1"/>
                <w:color w:val="FFFFFF"/>
                <w:w w:val="95"/>
              </w:rPr>
              <w:t>That Have</w:t>
            </w:r>
          </w:p>
        </w:tc>
        <w:tc>
          <w:tcPr>
            <w:tcW w:w="1240" w:type="dxa"/>
            <w:vAlign w:val="bottom"/>
            <w:shd w:val="clear" w:color="auto" w:fill="C00000"/>
          </w:tcPr>
          <w:p>
            <w:pPr>
              <w:jc w:val="center"/>
              <w:ind w:right="5"/>
              <w:spacing w:after="0" w:line="115" w:lineRule="exact"/>
              <w:rPr>
                <w:sz w:val="20"/>
                <w:szCs w:val="20"/>
                <w:color w:val="auto"/>
              </w:rPr>
            </w:pPr>
            <w:r>
              <w:rPr>
                <w:rFonts w:ascii="Arial" w:cs="Arial" w:eastAsia="Arial" w:hAnsi="Arial"/>
                <w:sz w:val="11"/>
                <w:szCs w:val="11"/>
                <w:b w:val="1"/>
                <w:bCs w:val="1"/>
                <w:color w:val="FFFFFF"/>
                <w:w w:val="95"/>
              </w:rPr>
              <w:t>That Have</w:t>
            </w:r>
          </w:p>
        </w:tc>
        <w:tc>
          <w:tcPr>
            <w:tcW w:w="0" w:type="dxa"/>
            <w:vAlign w:val="bottom"/>
          </w:tcPr>
          <w:p>
            <w:pPr>
              <w:spacing w:after="0"/>
              <w:rPr>
                <w:sz w:val="1"/>
                <w:szCs w:val="1"/>
                <w:color w:val="auto"/>
              </w:rPr>
            </w:pPr>
          </w:p>
        </w:tc>
      </w:tr>
      <w:tr>
        <w:trPr>
          <w:trHeight w:val="131"/>
        </w:trPr>
        <w:tc>
          <w:tcPr>
            <w:tcW w:w="2420" w:type="dxa"/>
            <w:vAlign w:val="bottom"/>
            <w:shd w:val="clear" w:color="auto" w:fill="C00000"/>
          </w:tcPr>
          <w:p>
            <w:pPr>
              <w:spacing w:after="0"/>
              <w:rPr>
                <w:sz w:val="11"/>
                <w:szCs w:val="11"/>
                <w:color w:val="auto"/>
              </w:rPr>
            </w:pPr>
          </w:p>
        </w:tc>
        <w:tc>
          <w:tcPr>
            <w:tcW w:w="1040" w:type="dxa"/>
            <w:vAlign w:val="bottom"/>
            <w:gridSpan w:val="2"/>
            <w:shd w:val="clear" w:color="auto" w:fill="C00000"/>
          </w:tcPr>
          <w:p>
            <w:pPr>
              <w:jc w:val="center"/>
              <w:ind w:left="63"/>
              <w:spacing w:after="0"/>
              <w:rPr>
                <w:sz w:val="20"/>
                <w:szCs w:val="20"/>
                <w:color w:val="auto"/>
              </w:rPr>
            </w:pPr>
            <w:r>
              <w:rPr>
                <w:rFonts w:ascii="Arial" w:cs="Arial" w:eastAsia="Arial" w:hAnsi="Arial"/>
                <w:sz w:val="11"/>
                <w:szCs w:val="11"/>
                <w:b w:val="1"/>
                <w:bCs w:val="1"/>
                <w:color w:val="FFFFFF"/>
                <w:w w:val="98"/>
              </w:rPr>
              <w:t>Exercisable</w:t>
            </w:r>
          </w:p>
        </w:tc>
        <w:tc>
          <w:tcPr>
            <w:tcW w:w="1040" w:type="dxa"/>
            <w:vAlign w:val="bottom"/>
            <w:shd w:val="clear" w:color="auto" w:fill="C00000"/>
          </w:tcPr>
          <w:p>
            <w:pPr>
              <w:jc w:val="center"/>
              <w:ind w:left="64"/>
              <w:spacing w:after="0" w:line="131" w:lineRule="exact"/>
              <w:rPr>
                <w:sz w:val="20"/>
                <w:szCs w:val="20"/>
                <w:color w:val="auto"/>
              </w:rPr>
            </w:pPr>
            <w:r>
              <w:rPr>
                <w:rFonts w:ascii="Arial" w:cs="Arial" w:eastAsia="Arial" w:hAnsi="Arial"/>
                <w:sz w:val="9"/>
                <w:szCs w:val="9"/>
                <w:b w:val="1"/>
                <w:bCs w:val="1"/>
                <w:color w:val="FFFFFF"/>
              </w:rPr>
              <w:t>Unexercisable</w:t>
            </w:r>
            <w:r>
              <w:rPr>
                <w:rFonts w:ascii="Arial" w:cs="Arial" w:eastAsia="Arial" w:hAnsi="Arial"/>
                <w:sz w:val="15"/>
                <w:szCs w:val="15"/>
                <w:b w:val="1"/>
                <w:bCs w:val="1"/>
                <w:color w:val="FFFFFF"/>
                <w:vertAlign w:val="superscript"/>
              </w:rPr>
              <w:t>(1)</w:t>
            </w:r>
          </w:p>
        </w:tc>
        <w:tc>
          <w:tcPr>
            <w:tcW w:w="1060" w:type="dxa"/>
            <w:vAlign w:val="bottom"/>
            <w:shd w:val="clear" w:color="auto" w:fill="C00000"/>
          </w:tcPr>
          <w:p>
            <w:pPr>
              <w:jc w:val="center"/>
              <w:ind w:left="63"/>
              <w:spacing w:after="0"/>
              <w:rPr>
                <w:sz w:val="20"/>
                <w:szCs w:val="20"/>
                <w:color w:val="auto"/>
              </w:rPr>
            </w:pPr>
            <w:r>
              <w:rPr>
                <w:rFonts w:ascii="Arial" w:cs="Arial" w:eastAsia="Arial" w:hAnsi="Arial"/>
                <w:sz w:val="11"/>
                <w:szCs w:val="11"/>
                <w:b w:val="1"/>
                <w:bCs w:val="1"/>
                <w:color w:val="FFFFFF"/>
                <w:w w:val="96"/>
              </w:rPr>
              <w:t>Price</w:t>
            </w:r>
          </w:p>
        </w:tc>
        <w:tc>
          <w:tcPr>
            <w:tcW w:w="1060" w:type="dxa"/>
            <w:vAlign w:val="bottom"/>
            <w:shd w:val="clear" w:color="auto" w:fill="C00000"/>
          </w:tcPr>
          <w:p>
            <w:pPr>
              <w:ind w:left="320"/>
              <w:spacing w:after="0"/>
              <w:rPr>
                <w:sz w:val="20"/>
                <w:szCs w:val="20"/>
                <w:color w:val="auto"/>
              </w:rPr>
            </w:pPr>
            <w:r>
              <w:rPr>
                <w:rFonts w:ascii="Arial" w:cs="Arial" w:eastAsia="Arial" w:hAnsi="Arial"/>
                <w:sz w:val="11"/>
                <w:szCs w:val="11"/>
                <w:b w:val="1"/>
                <w:bCs w:val="1"/>
                <w:color w:val="FFFFFF"/>
              </w:rPr>
              <w:t>Expiration</w:t>
            </w:r>
          </w:p>
        </w:tc>
        <w:tc>
          <w:tcPr>
            <w:tcW w:w="1100" w:type="dxa"/>
            <w:vAlign w:val="bottom"/>
            <w:shd w:val="clear" w:color="auto" w:fill="C00000"/>
          </w:tcPr>
          <w:p>
            <w:pPr>
              <w:jc w:val="center"/>
              <w:spacing w:after="0" w:line="131" w:lineRule="exact"/>
              <w:rPr>
                <w:sz w:val="20"/>
                <w:szCs w:val="20"/>
                <w:color w:val="auto"/>
              </w:rPr>
            </w:pPr>
            <w:r>
              <w:rPr>
                <w:rFonts w:ascii="Arial" w:cs="Arial" w:eastAsia="Arial" w:hAnsi="Arial"/>
                <w:sz w:val="9"/>
                <w:szCs w:val="9"/>
                <w:b w:val="1"/>
                <w:bCs w:val="1"/>
                <w:color w:val="FFFFFF"/>
              </w:rPr>
              <w:t>Vested</w:t>
            </w:r>
            <w:r>
              <w:rPr>
                <w:rFonts w:ascii="Arial" w:cs="Arial" w:eastAsia="Arial" w:hAnsi="Arial"/>
                <w:sz w:val="15"/>
                <w:szCs w:val="15"/>
                <w:b w:val="1"/>
                <w:bCs w:val="1"/>
                <w:color w:val="FFFFFF"/>
                <w:vertAlign w:val="superscript"/>
              </w:rPr>
              <w:t>(2)</w:t>
            </w:r>
          </w:p>
        </w:tc>
        <w:tc>
          <w:tcPr>
            <w:tcW w:w="940" w:type="dxa"/>
            <w:vAlign w:val="bottom"/>
            <w:shd w:val="clear" w:color="auto" w:fill="C00000"/>
          </w:tcPr>
          <w:p>
            <w:pPr>
              <w:jc w:val="center"/>
              <w:ind w:right="67"/>
              <w:spacing w:after="0" w:line="131" w:lineRule="exact"/>
              <w:rPr>
                <w:sz w:val="20"/>
                <w:szCs w:val="20"/>
                <w:color w:val="auto"/>
              </w:rPr>
            </w:pPr>
            <w:r>
              <w:rPr>
                <w:rFonts w:ascii="Arial" w:cs="Arial" w:eastAsia="Arial" w:hAnsi="Arial"/>
                <w:sz w:val="9"/>
                <w:szCs w:val="9"/>
                <w:b w:val="1"/>
                <w:bCs w:val="1"/>
                <w:color w:val="FFFFFF"/>
              </w:rPr>
              <w:t>Vested</w:t>
            </w:r>
            <w:r>
              <w:rPr>
                <w:rFonts w:ascii="Arial" w:cs="Arial" w:eastAsia="Arial" w:hAnsi="Arial"/>
                <w:sz w:val="15"/>
                <w:szCs w:val="15"/>
                <w:b w:val="1"/>
                <w:bCs w:val="1"/>
                <w:color w:val="FFFFFF"/>
                <w:vertAlign w:val="superscript"/>
              </w:rPr>
              <w:t>(3)</w:t>
            </w:r>
          </w:p>
        </w:tc>
        <w:tc>
          <w:tcPr>
            <w:tcW w:w="1520" w:type="dxa"/>
            <w:vAlign w:val="bottom"/>
            <w:shd w:val="clear" w:color="auto" w:fill="C00000"/>
          </w:tcPr>
          <w:p>
            <w:pPr>
              <w:jc w:val="center"/>
              <w:ind w:right="85"/>
              <w:spacing w:after="0" w:line="131" w:lineRule="exact"/>
              <w:rPr>
                <w:sz w:val="20"/>
                <w:szCs w:val="20"/>
                <w:color w:val="auto"/>
              </w:rPr>
            </w:pPr>
            <w:r>
              <w:rPr>
                <w:rFonts w:ascii="Arial" w:cs="Arial" w:eastAsia="Arial" w:hAnsi="Arial"/>
                <w:sz w:val="9"/>
                <w:szCs w:val="9"/>
                <w:b w:val="1"/>
                <w:bCs w:val="1"/>
                <w:color w:val="FFFFFF"/>
              </w:rPr>
              <w:t>Not Vested</w:t>
            </w:r>
            <w:r>
              <w:rPr>
                <w:rFonts w:ascii="Arial" w:cs="Arial" w:eastAsia="Arial" w:hAnsi="Arial"/>
                <w:sz w:val="15"/>
                <w:szCs w:val="15"/>
                <w:b w:val="1"/>
                <w:bCs w:val="1"/>
                <w:color w:val="FFFFFF"/>
                <w:vertAlign w:val="superscript"/>
              </w:rPr>
              <w:t>(4)</w:t>
            </w:r>
          </w:p>
        </w:tc>
        <w:tc>
          <w:tcPr>
            <w:tcW w:w="1240" w:type="dxa"/>
            <w:vAlign w:val="bottom"/>
            <w:shd w:val="clear" w:color="auto" w:fill="C00000"/>
          </w:tcPr>
          <w:p>
            <w:pPr>
              <w:jc w:val="center"/>
              <w:ind w:right="5"/>
              <w:spacing w:after="0" w:line="131" w:lineRule="exact"/>
              <w:rPr>
                <w:sz w:val="20"/>
                <w:szCs w:val="20"/>
                <w:color w:val="auto"/>
              </w:rPr>
            </w:pPr>
            <w:r>
              <w:rPr>
                <w:rFonts w:ascii="Arial" w:cs="Arial" w:eastAsia="Arial" w:hAnsi="Arial"/>
                <w:sz w:val="9"/>
                <w:szCs w:val="9"/>
                <w:b w:val="1"/>
                <w:bCs w:val="1"/>
                <w:color w:val="FFFFFF"/>
              </w:rPr>
              <w:t>Not Vested</w:t>
            </w:r>
            <w:r>
              <w:rPr>
                <w:rFonts w:ascii="Arial" w:cs="Arial" w:eastAsia="Arial" w:hAnsi="Arial"/>
                <w:sz w:val="15"/>
                <w:szCs w:val="15"/>
                <w:b w:val="1"/>
                <w:bCs w:val="1"/>
                <w:color w:val="FFFFFF"/>
                <w:vertAlign w:val="superscript"/>
              </w:rPr>
              <w:t>(5)</w:t>
            </w:r>
          </w:p>
        </w:tc>
        <w:tc>
          <w:tcPr>
            <w:tcW w:w="0" w:type="dxa"/>
            <w:vAlign w:val="bottom"/>
          </w:tcPr>
          <w:p>
            <w:pPr>
              <w:spacing w:after="0"/>
              <w:rPr>
                <w:sz w:val="1"/>
                <w:szCs w:val="1"/>
                <w:color w:val="auto"/>
              </w:rPr>
            </w:pPr>
          </w:p>
        </w:tc>
      </w:tr>
      <w:tr>
        <w:trPr>
          <w:trHeight w:val="133"/>
        </w:trPr>
        <w:tc>
          <w:tcPr>
            <w:tcW w:w="2420" w:type="dxa"/>
            <w:vAlign w:val="bottom"/>
            <w:shd w:val="clear" w:color="auto" w:fill="C00000"/>
          </w:tcPr>
          <w:p>
            <w:pPr>
              <w:spacing w:after="0"/>
              <w:rPr>
                <w:sz w:val="20"/>
                <w:szCs w:val="20"/>
                <w:color w:val="auto"/>
              </w:rPr>
            </w:pPr>
            <w:r>
              <w:rPr>
                <w:rFonts w:ascii="Arial" w:cs="Arial" w:eastAsia="Arial" w:hAnsi="Arial"/>
                <w:sz w:val="11"/>
                <w:szCs w:val="11"/>
                <w:b w:val="1"/>
                <w:bCs w:val="1"/>
                <w:color w:val="FFFFFF"/>
              </w:rPr>
              <w:t>Name</w:t>
            </w:r>
          </w:p>
        </w:tc>
        <w:tc>
          <w:tcPr>
            <w:tcW w:w="840" w:type="dxa"/>
            <w:vAlign w:val="bottom"/>
            <w:shd w:val="clear" w:color="auto" w:fill="C00000"/>
          </w:tcPr>
          <w:p>
            <w:pPr>
              <w:jc w:val="center"/>
              <w:ind w:left="263"/>
              <w:spacing w:after="0"/>
              <w:rPr>
                <w:sz w:val="20"/>
                <w:szCs w:val="20"/>
                <w:color w:val="auto"/>
              </w:rPr>
            </w:pPr>
            <w:r>
              <w:rPr>
                <w:rFonts w:ascii="Arial" w:cs="Arial" w:eastAsia="Arial" w:hAnsi="Arial"/>
                <w:sz w:val="11"/>
                <w:szCs w:val="11"/>
                <w:b w:val="1"/>
                <w:bCs w:val="1"/>
                <w:color w:val="FFFFFF"/>
                <w:w w:val="88"/>
              </w:rPr>
              <w:t>(#)</w:t>
            </w:r>
          </w:p>
        </w:tc>
        <w:tc>
          <w:tcPr>
            <w:tcW w:w="200" w:type="dxa"/>
            <w:vAlign w:val="bottom"/>
            <w:shd w:val="clear" w:color="auto" w:fill="C00000"/>
          </w:tcPr>
          <w:p>
            <w:pPr>
              <w:spacing w:after="0"/>
              <w:rPr>
                <w:sz w:val="11"/>
                <w:szCs w:val="11"/>
                <w:color w:val="auto"/>
              </w:rPr>
            </w:pPr>
          </w:p>
        </w:tc>
        <w:tc>
          <w:tcPr>
            <w:tcW w:w="1040" w:type="dxa"/>
            <w:vAlign w:val="bottom"/>
            <w:shd w:val="clear" w:color="auto" w:fill="C00000"/>
          </w:tcPr>
          <w:p>
            <w:pPr>
              <w:jc w:val="center"/>
              <w:ind w:left="64"/>
              <w:spacing w:after="0"/>
              <w:rPr>
                <w:sz w:val="20"/>
                <w:szCs w:val="20"/>
                <w:color w:val="auto"/>
              </w:rPr>
            </w:pPr>
            <w:r>
              <w:rPr>
                <w:rFonts w:ascii="Arial" w:cs="Arial" w:eastAsia="Arial" w:hAnsi="Arial"/>
                <w:sz w:val="11"/>
                <w:szCs w:val="11"/>
                <w:b w:val="1"/>
                <w:bCs w:val="1"/>
                <w:color w:val="FFFFFF"/>
                <w:w w:val="88"/>
              </w:rPr>
              <w:t>(#)</w:t>
            </w:r>
          </w:p>
        </w:tc>
        <w:tc>
          <w:tcPr>
            <w:tcW w:w="1060" w:type="dxa"/>
            <w:vAlign w:val="bottom"/>
            <w:shd w:val="clear" w:color="auto" w:fill="C00000"/>
          </w:tcPr>
          <w:p>
            <w:pPr>
              <w:jc w:val="center"/>
              <w:ind w:left="63"/>
              <w:spacing w:after="0"/>
              <w:rPr>
                <w:sz w:val="20"/>
                <w:szCs w:val="20"/>
                <w:color w:val="auto"/>
              </w:rPr>
            </w:pPr>
            <w:r>
              <w:rPr>
                <w:rFonts w:ascii="Arial" w:cs="Arial" w:eastAsia="Arial" w:hAnsi="Arial"/>
                <w:sz w:val="11"/>
                <w:szCs w:val="11"/>
                <w:b w:val="1"/>
                <w:bCs w:val="1"/>
                <w:color w:val="FFFFFF"/>
              </w:rPr>
              <w:t>($)</w:t>
            </w:r>
          </w:p>
        </w:tc>
        <w:tc>
          <w:tcPr>
            <w:tcW w:w="1060" w:type="dxa"/>
            <w:vAlign w:val="bottom"/>
            <w:shd w:val="clear" w:color="auto" w:fill="C00000"/>
          </w:tcPr>
          <w:p>
            <w:pPr>
              <w:ind w:left="460"/>
              <w:spacing w:after="0"/>
              <w:rPr>
                <w:sz w:val="20"/>
                <w:szCs w:val="20"/>
                <w:color w:val="auto"/>
              </w:rPr>
            </w:pPr>
            <w:r>
              <w:rPr>
                <w:rFonts w:ascii="Arial" w:cs="Arial" w:eastAsia="Arial" w:hAnsi="Arial"/>
                <w:sz w:val="11"/>
                <w:szCs w:val="11"/>
                <w:b w:val="1"/>
                <w:bCs w:val="1"/>
                <w:color w:val="FFFFFF"/>
              </w:rPr>
              <w:t>Date</w:t>
            </w:r>
          </w:p>
        </w:tc>
        <w:tc>
          <w:tcPr>
            <w:tcW w:w="110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w:t>
            </w:r>
          </w:p>
        </w:tc>
        <w:tc>
          <w:tcPr>
            <w:tcW w:w="940" w:type="dxa"/>
            <w:vAlign w:val="bottom"/>
            <w:shd w:val="clear" w:color="auto" w:fill="C00000"/>
          </w:tcPr>
          <w:p>
            <w:pPr>
              <w:jc w:val="center"/>
              <w:ind w:right="67"/>
              <w:spacing w:after="0"/>
              <w:rPr>
                <w:sz w:val="20"/>
                <w:szCs w:val="20"/>
                <w:color w:val="auto"/>
              </w:rPr>
            </w:pPr>
            <w:r>
              <w:rPr>
                <w:rFonts w:ascii="Arial" w:cs="Arial" w:eastAsia="Arial" w:hAnsi="Arial"/>
                <w:sz w:val="11"/>
                <w:szCs w:val="11"/>
                <w:b w:val="1"/>
                <w:bCs w:val="1"/>
                <w:color w:val="FFFFFF"/>
              </w:rPr>
              <w:t>($)</w:t>
            </w:r>
          </w:p>
        </w:tc>
        <w:tc>
          <w:tcPr>
            <w:tcW w:w="1520" w:type="dxa"/>
            <w:vAlign w:val="bottom"/>
            <w:shd w:val="clear" w:color="auto" w:fill="C00000"/>
          </w:tcPr>
          <w:p>
            <w:pPr>
              <w:jc w:val="center"/>
              <w:ind w:right="85"/>
              <w:spacing w:after="0"/>
              <w:rPr>
                <w:sz w:val="20"/>
                <w:szCs w:val="20"/>
                <w:color w:val="auto"/>
              </w:rPr>
            </w:pPr>
            <w:r>
              <w:rPr>
                <w:rFonts w:ascii="Arial" w:cs="Arial" w:eastAsia="Arial" w:hAnsi="Arial"/>
                <w:sz w:val="11"/>
                <w:szCs w:val="11"/>
                <w:b w:val="1"/>
                <w:bCs w:val="1"/>
                <w:color w:val="FFFFFF"/>
              </w:rPr>
              <w:t>(#)</w:t>
            </w:r>
          </w:p>
        </w:tc>
        <w:tc>
          <w:tcPr>
            <w:tcW w:w="1240" w:type="dxa"/>
            <w:vAlign w:val="bottom"/>
            <w:shd w:val="clear" w:color="auto" w:fill="C00000"/>
          </w:tcPr>
          <w:p>
            <w:pPr>
              <w:jc w:val="center"/>
              <w:ind w:right="5"/>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20"/>
                <w:szCs w:val="20"/>
                <w:color w:val="auto"/>
              </w:rPr>
            </w:pPr>
            <w:r>
              <w:rPr>
                <w:rFonts w:ascii="Arial" w:cs="Arial" w:eastAsia="Arial" w:hAnsi="Arial"/>
                <w:sz w:val="11"/>
                <w:szCs w:val="11"/>
                <w:color w:val="auto"/>
              </w:rPr>
              <w:t>Richard M. Olson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rPr>
                <w:sz w:val="20"/>
                <w:szCs w:val="20"/>
                <w:color w:val="auto"/>
              </w:rPr>
            </w:pPr>
            <w:r>
              <w:rPr>
                <w:rFonts w:ascii="Arial" w:cs="Arial" w:eastAsia="Arial" w:hAnsi="Arial"/>
                <w:sz w:val="11"/>
                <w:szCs w:val="11"/>
                <w:color w:val="auto"/>
              </w:rPr>
              <w:t>Stock Options</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13,200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15.8800</w:t>
            </w:r>
          </w:p>
        </w:tc>
        <w:tc>
          <w:tcPr>
            <w:tcW w:w="1060" w:type="dxa"/>
            <w:vAlign w:val="bottom"/>
          </w:tcPr>
          <w:p>
            <w:pPr>
              <w:ind w:left="480"/>
              <w:spacing w:after="0"/>
              <w:rPr>
                <w:sz w:val="20"/>
                <w:szCs w:val="20"/>
                <w:color w:val="auto"/>
              </w:rPr>
            </w:pPr>
            <w:r>
              <w:rPr>
                <w:rFonts w:ascii="Arial" w:cs="Arial" w:eastAsia="Arial" w:hAnsi="Arial"/>
                <w:sz w:val="11"/>
                <w:szCs w:val="11"/>
                <w:color w:val="auto"/>
              </w:rPr>
              <w:t>12/08/2020</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14,000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14.1125</w:t>
            </w:r>
          </w:p>
        </w:tc>
        <w:tc>
          <w:tcPr>
            <w:tcW w:w="1060" w:type="dxa"/>
            <w:vAlign w:val="bottom"/>
          </w:tcPr>
          <w:p>
            <w:pPr>
              <w:ind w:left="480"/>
              <w:spacing w:after="0"/>
              <w:rPr>
                <w:sz w:val="20"/>
                <w:szCs w:val="20"/>
                <w:color w:val="auto"/>
              </w:rPr>
            </w:pPr>
            <w:r>
              <w:rPr>
                <w:rFonts w:ascii="Arial" w:cs="Arial" w:eastAsia="Arial" w:hAnsi="Arial"/>
                <w:sz w:val="11"/>
                <w:szCs w:val="11"/>
                <w:color w:val="auto"/>
              </w:rPr>
              <w:t>12/07/2021</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12,600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21.0300</w:t>
            </w:r>
          </w:p>
        </w:tc>
        <w:tc>
          <w:tcPr>
            <w:tcW w:w="1060" w:type="dxa"/>
            <w:vAlign w:val="bottom"/>
          </w:tcPr>
          <w:p>
            <w:pPr>
              <w:ind w:left="480"/>
              <w:spacing w:after="0"/>
              <w:rPr>
                <w:sz w:val="20"/>
                <w:szCs w:val="20"/>
                <w:color w:val="auto"/>
              </w:rPr>
            </w:pPr>
            <w:r>
              <w:rPr>
                <w:rFonts w:ascii="Arial" w:cs="Arial" w:eastAsia="Arial" w:hAnsi="Arial"/>
                <w:sz w:val="11"/>
                <w:szCs w:val="11"/>
                <w:color w:val="auto"/>
              </w:rPr>
              <w:t>12/11/2022</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12,000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29.7500</w:t>
            </w:r>
          </w:p>
        </w:tc>
        <w:tc>
          <w:tcPr>
            <w:tcW w:w="1060" w:type="dxa"/>
            <w:vAlign w:val="bottom"/>
          </w:tcPr>
          <w:p>
            <w:pPr>
              <w:ind w:left="480"/>
              <w:spacing w:after="0"/>
              <w:rPr>
                <w:sz w:val="20"/>
                <w:szCs w:val="20"/>
                <w:color w:val="auto"/>
              </w:rPr>
            </w:pPr>
            <w:r>
              <w:rPr>
                <w:rFonts w:ascii="Arial" w:cs="Arial" w:eastAsia="Arial" w:hAnsi="Arial"/>
                <w:sz w:val="11"/>
                <w:szCs w:val="11"/>
                <w:color w:val="auto"/>
              </w:rPr>
              <w:t>12/06/2023</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20,000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31.3750</w:t>
            </w:r>
          </w:p>
        </w:tc>
        <w:tc>
          <w:tcPr>
            <w:tcW w:w="1060" w:type="dxa"/>
            <w:vAlign w:val="bottom"/>
          </w:tcPr>
          <w:p>
            <w:pPr>
              <w:ind w:left="480"/>
              <w:spacing w:after="0"/>
              <w:rPr>
                <w:sz w:val="20"/>
                <w:szCs w:val="20"/>
                <w:color w:val="auto"/>
              </w:rPr>
            </w:pPr>
            <w:r>
              <w:rPr>
                <w:rFonts w:ascii="Arial" w:cs="Arial" w:eastAsia="Arial" w:hAnsi="Arial"/>
                <w:sz w:val="11"/>
                <w:szCs w:val="11"/>
                <w:color w:val="auto"/>
              </w:rPr>
              <w:t>12/05/2024</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44,400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38.8200</w:t>
            </w:r>
          </w:p>
        </w:tc>
        <w:tc>
          <w:tcPr>
            <w:tcW w:w="1060" w:type="dxa"/>
            <w:vAlign w:val="bottom"/>
          </w:tcPr>
          <w:p>
            <w:pPr>
              <w:ind w:left="480"/>
              <w:spacing w:after="0"/>
              <w:rPr>
                <w:sz w:val="20"/>
                <w:szCs w:val="20"/>
                <w:color w:val="auto"/>
              </w:rPr>
            </w:pPr>
            <w:r>
              <w:rPr>
                <w:rFonts w:ascii="Arial" w:cs="Arial" w:eastAsia="Arial" w:hAnsi="Arial"/>
                <w:sz w:val="11"/>
                <w:szCs w:val="11"/>
                <w:color w:val="auto"/>
              </w:rPr>
              <w:t>12/04/2025</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79,600</w:t>
            </w:r>
          </w:p>
        </w:tc>
        <w:tc>
          <w:tcPr>
            <w:tcW w:w="1040" w:type="dxa"/>
            <w:vAlign w:val="bottom"/>
          </w:tcPr>
          <w:p>
            <w:pPr>
              <w:jc w:val="right"/>
              <w:spacing w:after="0"/>
              <w:rPr>
                <w:sz w:val="20"/>
                <w:szCs w:val="20"/>
                <w:color w:val="auto"/>
              </w:rPr>
            </w:pPr>
            <w:r>
              <w:rPr>
                <w:rFonts w:ascii="Arial" w:cs="Arial" w:eastAsia="Arial" w:hAnsi="Arial"/>
                <w:sz w:val="11"/>
                <w:szCs w:val="11"/>
                <w:color w:val="auto"/>
              </w:rPr>
              <w:t>39,800</w:t>
            </w:r>
          </w:p>
        </w:tc>
        <w:tc>
          <w:tcPr>
            <w:tcW w:w="1060" w:type="dxa"/>
            <w:vAlign w:val="bottom"/>
          </w:tcPr>
          <w:p>
            <w:pPr>
              <w:jc w:val="right"/>
              <w:spacing w:after="0"/>
              <w:rPr>
                <w:sz w:val="20"/>
                <w:szCs w:val="20"/>
                <w:color w:val="auto"/>
              </w:rPr>
            </w:pPr>
            <w:r>
              <w:rPr>
                <w:rFonts w:ascii="Arial" w:cs="Arial" w:eastAsia="Arial" w:hAnsi="Arial"/>
                <w:sz w:val="11"/>
                <w:szCs w:val="11"/>
                <w:color w:val="auto"/>
              </w:rPr>
              <w:t>56.5400</w:t>
            </w:r>
          </w:p>
        </w:tc>
        <w:tc>
          <w:tcPr>
            <w:tcW w:w="1060" w:type="dxa"/>
            <w:vAlign w:val="bottom"/>
          </w:tcPr>
          <w:p>
            <w:pPr>
              <w:ind w:left="480"/>
              <w:spacing w:after="0"/>
              <w:rPr>
                <w:sz w:val="20"/>
                <w:szCs w:val="20"/>
                <w:color w:val="auto"/>
              </w:rPr>
            </w:pPr>
            <w:r>
              <w:rPr>
                <w:rFonts w:ascii="Arial" w:cs="Arial" w:eastAsia="Arial" w:hAnsi="Arial"/>
                <w:sz w:val="11"/>
                <w:szCs w:val="11"/>
                <w:color w:val="auto"/>
              </w:rPr>
              <w:t>12/09/2026</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34,133</w:t>
            </w:r>
          </w:p>
        </w:tc>
        <w:tc>
          <w:tcPr>
            <w:tcW w:w="1040" w:type="dxa"/>
            <w:vAlign w:val="bottom"/>
          </w:tcPr>
          <w:p>
            <w:pPr>
              <w:jc w:val="right"/>
              <w:spacing w:after="0"/>
              <w:rPr>
                <w:sz w:val="20"/>
                <w:szCs w:val="20"/>
                <w:color w:val="auto"/>
              </w:rPr>
            </w:pPr>
            <w:r>
              <w:rPr>
                <w:rFonts w:ascii="Arial" w:cs="Arial" w:eastAsia="Arial" w:hAnsi="Arial"/>
                <w:sz w:val="11"/>
                <w:szCs w:val="11"/>
                <w:color w:val="auto"/>
              </w:rPr>
              <w:t>68,267</w:t>
            </w:r>
          </w:p>
        </w:tc>
        <w:tc>
          <w:tcPr>
            <w:tcW w:w="1060" w:type="dxa"/>
            <w:vAlign w:val="bottom"/>
          </w:tcPr>
          <w:p>
            <w:pPr>
              <w:jc w:val="right"/>
              <w:spacing w:after="0"/>
              <w:rPr>
                <w:sz w:val="20"/>
                <w:szCs w:val="20"/>
                <w:color w:val="auto"/>
              </w:rPr>
            </w:pPr>
            <w:r>
              <w:rPr>
                <w:rFonts w:ascii="Arial" w:cs="Arial" w:eastAsia="Arial" w:hAnsi="Arial"/>
                <w:sz w:val="11"/>
                <w:szCs w:val="11"/>
                <w:color w:val="auto"/>
              </w:rPr>
              <w:t>65.9300</w:t>
            </w:r>
          </w:p>
        </w:tc>
        <w:tc>
          <w:tcPr>
            <w:tcW w:w="1060" w:type="dxa"/>
            <w:vAlign w:val="bottom"/>
          </w:tcPr>
          <w:p>
            <w:pPr>
              <w:ind w:left="480"/>
              <w:spacing w:after="0"/>
              <w:rPr>
                <w:sz w:val="20"/>
                <w:szCs w:val="20"/>
                <w:color w:val="auto"/>
              </w:rPr>
            </w:pPr>
            <w:r>
              <w:rPr>
                <w:rFonts w:ascii="Arial" w:cs="Arial" w:eastAsia="Arial" w:hAnsi="Arial"/>
                <w:sz w:val="11"/>
                <w:szCs w:val="11"/>
                <w:color w:val="auto"/>
              </w:rPr>
              <w:t>12/08/2027</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vMerge w:val="restart"/>
          </w:tcPr>
          <w:p>
            <w:pPr>
              <w:ind w:left="100"/>
              <w:spacing w:after="0"/>
              <w:rPr>
                <w:sz w:val="20"/>
                <w:szCs w:val="20"/>
                <w:color w:val="auto"/>
              </w:rPr>
            </w:pPr>
            <w:r>
              <w:rPr>
                <w:rFonts w:ascii="Arial" w:cs="Arial" w:eastAsia="Arial" w:hAnsi="Arial"/>
                <w:sz w:val="11"/>
                <w:szCs w:val="11"/>
                <w:color w:val="auto"/>
              </w:rPr>
              <w:t>F’18-F’20 Performance Shares</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1040" w:type="dxa"/>
            <w:vAlign w:val="bottom"/>
          </w:tcPr>
          <w:p>
            <w:pPr>
              <w:jc w:val="right"/>
              <w:spacing w:after="0"/>
              <w:rPr>
                <w:sz w:val="20"/>
                <w:szCs w:val="20"/>
                <w:color w:val="auto"/>
              </w:rPr>
            </w:pPr>
            <w:r>
              <w:rPr>
                <w:rFonts w:ascii="Arial" w:cs="Arial" w:eastAsia="Arial" w:hAnsi="Arial"/>
                <w:sz w:val="11"/>
                <w:szCs w:val="11"/>
                <w:color w:val="auto"/>
              </w:rPr>
              <w:t>137,100</w:t>
            </w:r>
          </w:p>
        </w:tc>
        <w:tc>
          <w:tcPr>
            <w:tcW w:w="1060" w:type="dxa"/>
            <w:vAlign w:val="bottom"/>
          </w:tcPr>
          <w:p>
            <w:pPr>
              <w:jc w:val="right"/>
              <w:spacing w:after="0"/>
              <w:rPr>
                <w:sz w:val="20"/>
                <w:szCs w:val="20"/>
                <w:color w:val="auto"/>
              </w:rPr>
            </w:pPr>
            <w:r>
              <w:rPr>
                <w:rFonts w:ascii="Arial" w:cs="Arial" w:eastAsia="Arial" w:hAnsi="Arial"/>
                <w:sz w:val="11"/>
                <w:szCs w:val="11"/>
                <w:color w:val="auto"/>
              </w:rPr>
              <w:t>58.5300</w:t>
            </w:r>
          </w:p>
        </w:tc>
        <w:tc>
          <w:tcPr>
            <w:tcW w:w="1060" w:type="dxa"/>
            <w:vAlign w:val="bottom"/>
          </w:tcPr>
          <w:p>
            <w:pPr>
              <w:ind w:left="480"/>
              <w:spacing w:after="0"/>
              <w:rPr>
                <w:sz w:val="20"/>
                <w:szCs w:val="20"/>
                <w:color w:val="auto"/>
              </w:rPr>
            </w:pPr>
            <w:r>
              <w:rPr>
                <w:rFonts w:ascii="Arial" w:cs="Arial" w:eastAsia="Arial" w:hAnsi="Arial"/>
                <w:sz w:val="11"/>
                <w:szCs w:val="11"/>
                <w:color w:val="auto"/>
              </w:rPr>
              <w:t>12/07/2028</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vMerge w:val="restart"/>
          </w:tcPr>
          <w:p>
            <w:pPr>
              <w:jc w:val="right"/>
              <w:ind w:right="145"/>
              <w:spacing w:after="0"/>
              <w:rPr>
                <w:sz w:val="20"/>
                <w:szCs w:val="20"/>
                <w:color w:val="auto"/>
              </w:rPr>
            </w:pPr>
            <w:r>
              <w:rPr>
                <w:rFonts w:ascii="Arial" w:cs="Arial" w:eastAsia="Arial" w:hAnsi="Arial"/>
                <w:sz w:val="11"/>
                <w:szCs w:val="11"/>
                <w:color w:val="auto"/>
              </w:rPr>
              <w:t>20,870</w:t>
            </w:r>
          </w:p>
        </w:tc>
        <w:tc>
          <w:tcPr>
            <w:tcW w:w="1240" w:type="dxa"/>
            <w:vAlign w:val="bottom"/>
            <w:vMerge w:val="restart"/>
          </w:tcPr>
          <w:p>
            <w:pPr>
              <w:jc w:val="right"/>
              <w:spacing w:after="0"/>
              <w:rPr>
                <w:sz w:val="20"/>
                <w:szCs w:val="20"/>
                <w:color w:val="auto"/>
              </w:rPr>
            </w:pPr>
            <w:r>
              <w:rPr>
                <w:rFonts w:ascii="Arial" w:cs="Arial" w:eastAsia="Arial" w:hAnsi="Arial"/>
                <w:sz w:val="11"/>
                <w:szCs w:val="11"/>
                <w:color w:val="auto"/>
              </w:rPr>
              <w:t>1,609,703</w:t>
            </w:r>
          </w:p>
        </w:tc>
        <w:tc>
          <w:tcPr>
            <w:tcW w:w="0" w:type="dxa"/>
            <w:vAlign w:val="bottom"/>
          </w:tcPr>
          <w:p>
            <w:pPr>
              <w:spacing w:after="0"/>
              <w:rPr>
                <w:sz w:val="1"/>
                <w:szCs w:val="1"/>
                <w:color w:val="auto"/>
              </w:rPr>
            </w:pPr>
          </w:p>
        </w:tc>
      </w:tr>
      <w:tr>
        <w:trPr>
          <w:trHeight w:val="132"/>
        </w:trPr>
        <w:tc>
          <w:tcPr>
            <w:tcW w:w="2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20" w:type="dxa"/>
            <w:vAlign w:val="bottom"/>
          </w:tcPr>
          <w:p>
            <w:pPr>
              <w:ind w:left="100"/>
              <w:spacing w:after="0"/>
              <w:rPr>
                <w:sz w:val="20"/>
                <w:szCs w:val="20"/>
                <w:color w:val="auto"/>
              </w:rPr>
            </w:pPr>
            <w:r>
              <w:rPr>
                <w:rFonts w:ascii="Arial" w:cs="Arial" w:eastAsia="Arial" w:hAnsi="Arial"/>
                <w:sz w:val="11"/>
                <w:szCs w:val="11"/>
                <w:color w:val="auto"/>
              </w:rPr>
              <w:t>F’19-F’21 Performance Shares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jc w:val="right"/>
              <w:ind w:right="145"/>
              <w:spacing w:after="0"/>
              <w:rPr>
                <w:sz w:val="20"/>
                <w:szCs w:val="20"/>
                <w:color w:val="auto"/>
              </w:rPr>
            </w:pPr>
            <w:r>
              <w:rPr>
                <w:rFonts w:ascii="Arial" w:cs="Arial" w:eastAsia="Arial" w:hAnsi="Arial"/>
                <w:sz w:val="11"/>
                <w:szCs w:val="11"/>
                <w:color w:val="auto"/>
              </w:rPr>
              <w:t>31,232</w:t>
            </w:r>
          </w:p>
        </w:tc>
        <w:tc>
          <w:tcPr>
            <w:tcW w:w="1240" w:type="dxa"/>
            <w:vAlign w:val="bottom"/>
          </w:tcPr>
          <w:p>
            <w:pPr>
              <w:jc w:val="right"/>
              <w:spacing w:after="0"/>
              <w:rPr>
                <w:sz w:val="20"/>
                <w:szCs w:val="20"/>
                <w:color w:val="auto"/>
              </w:rPr>
            </w:pPr>
            <w:r>
              <w:rPr>
                <w:rFonts w:ascii="Arial" w:cs="Arial" w:eastAsia="Arial" w:hAnsi="Arial"/>
                <w:sz w:val="11"/>
                <w:szCs w:val="11"/>
                <w:color w:val="auto"/>
              </w:rPr>
              <w:t>2,408,924</w:t>
            </w: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20"/>
                <w:szCs w:val="20"/>
                <w:color w:val="auto"/>
              </w:rPr>
            </w:pPr>
            <w:r>
              <w:rPr>
                <w:rFonts w:ascii="Arial" w:cs="Arial" w:eastAsia="Arial" w:hAnsi="Arial"/>
                <w:sz w:val="11"/>
                <w:szCs w:val="11"/>
                <w:color w:val="auto"/>
              </w:rPr>
              <w:t>Renee J. Peterson</w:t>
            </w:r>
          </w:p>
        </w:tc>
        <w:tc>
          <w:tcPr>
            <w:tcW w:w="84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Stock Options</w:t>
            </w: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38,800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29.7500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12/06/2023</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38,000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31.3750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12/05/2024</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39,400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38.8200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12/04/2025</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24,200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12,100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56.5400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12/09/2026</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9,466</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18,934</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65.9300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12/08/2027</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vMerge w:val="restart"/>
            <w:shd w:val="clear" w:color="auto" w:fill="D9D9D9"/>
          </w:tcPr>
          <w:p>
            <w:pPr>
              <w:ind w:left="100"/>
              <w:spacing w:after="0"/>
              <w:rPr>
                <w:sz w:val="20"/>
                <w:szCs w:val="20"/>
                <w:color w:val="auto"/>
              </w:rPr>
            </w:pPr>
            <w:r>
              <w:rPr>
                <w:rFonts w:ascii="Arial" w:cs="Arial" w:eastAsia="Arial" w:hAnsi="Arial"/>
                <w:sz w:val="11"/>
                <w:szCs w:val="11"/>
                <w:color w:val="auto"/>
              </w:rPr>
              <w:t>F’18-F’20 Performance Shares</w:t>
            </w: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33,400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58.5300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12/07/2028</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vMerge w:val="restart"/>
            <w:shd w:val="clear" w:color="auto" w:fill="D9D9D9"/>
          </w:tcPr>
          <w:p>
            <w:pPr>
              <w:jc w:val="right"/>
              <w:ind w:right="145"/>
              <w:spacing w:after="0"/>
              <w:rPr>
                <w:sz w:val="20"/>
                <w:szCs w:val="20"/>
                <w:color w:val="auto"/>
              </w:rPr>
            </w:pPr>
            <w:r>
              <w:rPr>
                <w:rFonts w:ascii="Arial" w:cs="Arial" w:eastAsia="Arial" w:hAnsi="Arial"/>
                <w:sz w:val="11"/>
                <w:szCs w:val="11"/>
                <w:color w:val="auto"/>
              </w:rPr>
              <w:t>5,802</w:t>
            </w:r>
          </w:p>
        </w:tc>
        <w:tc>
          <w:tcPr>
            <w:tcW w:w="124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447,508</w:t>
            </w:r>
          </w:p>
        </w:tc>
        <w:tc>
          <w:tcPr>
            <w:tcW w:w="0" w:type="dxa"/>
            <w:vAlign w:val="bottom"/>
          </w:tcPr>
          <w:p>
            <w:pPr>
              <w:spacing w:after="0"/>
              <w:rPr>
                <w:sz w:val="1"/>
                <w:szCs w:val="1"/>
                <w:color w:val="auto"/>
              </w:rPr>
            </w:pPr>
          </w:p>
        </w:tc>
      </w:tr>
      <w:tr>
        <w:trPr>
          <w:trHeight w:val="135"/>
        </w:trPr>
        <w:tc>
          <w:tcPr>
            <w:tcW w:w="2420" w:type="dxa"/>
            <w:vAlign w:val="bottom"/>
            <w:vMerge w:val="continue"/>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vMerge w:val="continue"/>
            <w:shd w:val="clear" w:color="auto" w:fill="D9D9D9"/>
          </w:tcPr>
          <w:p>
            <w:pPr>
              <w:spacing w:after="0"/>
              <w:rPr>
                <w:sz w:val="11"/>
                <w:szCs w:val="11"/>
                <w:color w:val="auto"/>
              </w:rPr>
            </w:pPr>
          </w:p>
        </w:tc>
        <w:tc>
          <w:tcPr>
            <w:tcW w:w="124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F’19-F’21 Performance Shares</w:t>
            </w:r>
          </w:p>
        </w:tc>
        <w:tc>
          <w:tcPr>
            <w:tcW w:w="84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jc w:val="right"/>
              <w:ind w:right="145"/>
              <w:spacing w:after="0"/>
              <w:rPr>
                <w:sz w:val="20"/>
                <w:szCs w:val="20"/>
                <w:color w:val="auto"/>
              </w:rPr>
            </w:pPr>
            <w:r>
              <w:rPr>
                <w:rFonts w:ascii="Arial" w:cs="Arial" w:eastAsia="Arial" w:hAnsi="Arial"/>
                <w:sz w:val="11"/>
                <w:szCs w:val="11"/>
                <w:color w:val="auto"/>
              </w:rPr>
              <w:t>7,612</w:t>
            </w:r>
          </w:p>
        </w:tc>
        <w:tc>
          <w:tcPr>
            <w:tcW w:w="12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587,114</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20"/>
                <w:szCs w:val="20"/>
                <w:color w:val="auto"/>
              </w:rPr>
            </w:pPr>
            <w:r>
              <w:rPr>
                <w:rFonts w:ascii="Arial" w:cs="Arial" w:eastAsia="Arial" w:hAnsi="Arial"/>
                <w:sz w:val="11"/>
                <w:szCs w:val="11"/>
                <w:color w:val="auto"/>
              </w:rPr>
              <w:t>Timothy P. Dordell</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rPr>
                <w:sz w:val="20"/>
                <w:szCs w:val="20"/>
                <w:color w:val="auto"/>
              </w:rPr>
            </w:pPr>
            <w:r>
              <w:rPr>
                <w:rFonts w:ascii="Arial" w:cs="Arial" w:eastAsia="Arial" w:hAnsi="Arial"/>
                <w:sz w:val="11"/>
                <w:szCs w:val="11"/>
                <w:color w:val="auto"/>
              </w:rPr>
              <w:t>Stock Options</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31,000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21.0300</w:t>
            </w:r>
          </w:p>
        </w:tc>
        <w:tc>
          <w:tcPr>
            <w:tcW w:w="1060" w:type="dxa"/>
            <w:vAlign w:val="bottom"/>
          </w:tcPr>
          <w:p>
            <w:pPr>
              <w:ind w:left="480"/>
              <w:spacing w:after="0"/>
              <w:rPr>
                <w:sz w:val="20"/>
                <w:szCs w:val="20"/>
                <w:color w:val="auto"/>
              </w:rPr>
            </w:pPr>
            <w:r>
              <w:rPr>
                <w:rFonts w:ascii="Arial" w:cs="Arial" w:eastAsia="Arial" w:hAnsi="Arial"/>
                <w:sz w:val="11"/>
                <w:szCs w:val="11"/>
                <w:color w:val="auto"/>
              </w:rPr>
              <w:t>12/11/2022</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24,000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29.7500</w:t>
            </w:r>
          </w:p>
        </w:tc>
        <w:tc>
          <w:tcPr>
            <w:tcW w:w="1060" w:type="dxa"/>
            <w:vAlign w:val="bottom"/>
          </w:tcPr>
          <w:p>
            <w:pPr>
              <w:ind w:left="480"/>
              <w:spacing w:after="0"/>
              <w:rPr>
                <w:sz w:val="20"/>
                <w:szCs w:val="20"/>
                <w:color w:val="auto"/>
              </w:rPr>
            </w:pPr>
            <w:r>
              <w:rPr>
                <w:rFonts w:ascii="Arial" w:cs="Arial" w:eastAsia="Arial" w:hAnsi="Arial"/>
                <w:sz w:val="11"/>
                <w:szCs w:val="11"/>
                <w:color w:val="auto"/>
              </w:rPr>
              <w:t>12/06/2023</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23,800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31.3750</w:t>
            </w:r>
          </w:p>
        </w:tc>
        <w:tc>
          <w:tcPr>
            <w:tcW w:w="1060" w:type="dxa"/>
            <w:vAlign w:val="bottom"/>
          </w:tcPr>
          <w:p>
            <w:pPr>
              <w:ind w:left="480"/>
              <w:spacing w:after="0"/>
              <w:rPr>
                <w:sz w:val="20"/>
                <w:szCs w:val="20"/>
                <w:color w:val="auto"/>
              </w:rPr>
            </w:pPr>
            <w:r>
              <w:rPr>
                <w:rFonts w:ascii="Arial" w:cs="Arial" w:eastAsia="Arial" w:hAnsi="Arial"/>
                <w:sz w:val="11"/>
                <w:szCs w:val="11"/>
                <w:color w:val="auto"/>
              </w:rPr>
              <w:t>12/05/2024</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23,400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38.8200</w:t>
            </w:r>
          </w:p>
        </w:tc>
        <w:tc>
          <w:tcPr>
            <w:tcW w:w="1060" w:type="dxa"/>
            <w:vAlign w:val="bottom"/>
          </w:tcPr>
          <w:p>
            <w:pPr>
              <w:ind w:left="480"/>
              <w:spacing w:after="0"/>
              <w:rPr>
                <w:sz w:val="20"/>
                <w:szCs w:val="20"/>
                <w:color w:val="auto"/>
              </w:rPr>
            </w:pPr>
            <w:r>
              <w:rPr>
                <w:rFonts w:ascii="Arial" w:cs="Arial" w:eastAsia="Arial" w:hAnsi="Arial"/>
                <w:sz w:val="11"/>
                <w:szCs w:val="11"/>
                <w:color w:val="auto"/>
              </w:rPr>
              <w:t>12/04/2025</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16,200</w:t>
            </w:r>
          </w:p>
        </w:tc>
        <w:tc>
          <w:tcPr>
            <w:tcW w:w="1040" w:type="dxa"/>
            <w:vAlign w:val="bottom"/>
          </w:tcPr>
          <w:p>
            <w:pPr>
              <w:jc w:val="right"/>
              <w:spacing w:after="0"/>
              <w:rPr>
                <w:sz w:val="20"/>
                <w:szCs w:val="20"/>
                <w:color w:val="auto"/>
              </w:rPr>
            </w:pPr>
            <w:r>
              <w:rPr>
                <w:rFonts w:ascii="Arial" w:cs="Arial" w:eastAsia="Arial" w:hAnsi="Arial"/>
                <w:sz w:val="11"/>
                <w:szCs w:val="11"/>
                <w:color w:val="auto"/>
              </w:rPr>
              <w:t>8,100</w:t>
            </w:r>
          </w:p>
        </w:tc>
        <w:tc>
          <w:tcPr>
            <w:tcW w:w="1060" w:type="dxa"/>
            <w:vAlign w:val="bottom"/>
          </w:tcPr>
          <w:p>
            <w:pPr>
              <w:jc w:val="right"/>
              <w:spacing w:after="0"/>
              <w:rPr>
                <w:sz w:val="20"/>
                <w:szCs w:val="20"/>
                <w:color w:val="auto"/>
              </w:rPr>
            </w:pPr>
            <w:r>
              <w:rPr>
                <w:rFonts w:ascii="Arial" w:cs="Arial" w:eastAsia="Arial" w:hAnsi="Arial"/>
                <w:sz w:val="11"/>
                <w:szCs w:val="11"/>
                <w:color w:val="auto"/>
              </w:rPr>
              <w:t>56.5400</w:t>
            </w:r>
          </w:p>
        </w:tc>
        <w:tc>
          <w:tcPr>
            <w:tcW w:w="1060" w:type="dxa"/>
            <w:vAlign w:val="bottom"/>
          </w:tcPr>
          <w:p>
            <w:pPr>
              <w:ind w:left="480"/>
              <w:spacing w:after="0"/>
              <w:rPr>
                <w:sz w:val="20"/>
                <w:szCs w:val="20"/>
                <w:color w:val="auto"/>
              </w:rPr>
            </w:pPr>
            <w:r>
              <w:rPr>
                <w:rFonts w:ascii="Arial" w:cs="Arial" w:eastAsia="Arial" w:hAnsi="Arial"/>
                <w:sz w:val="11"/>
                <w:szCs w:val="11"/>
                <w:color w:val="auto"/>
              </w:rPr>
              <w:t>12/09/2026</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6,333</w:t>
            </w:r>
          </w:p>
        </w:tc>
        <w:tc>
          <w:tcPr>
            <w:tcW w:w="1040" w:type="dxa"/>
            <w:vAlign w:val="bottom"/>
          </w:tcPr>
          <w:p>
            <w:pPr>
              <w:jc w:val="right"/>
              <w:spacing w:after="0"/>
              <w:rPr>
                <w:sz w:val="20"/>
                <w:szCs w:val="20"/>
                <w:color w:val="auto"/>
              </w:rPr>
            </w:pPr>
            <w:r>
              <w:rPr>
                <w:rFonts w:ascii="Arial" w:cs="Arial" w:eastAsia="Arial" w:hAnsi="Arial"/>
                <w:sz w:val="11"/>
                <w:szCs w:val="11"/>
                <w:color w:val="auto"/>
              </w:rPr>
              <w:t>12,667</w:t>
            </w:r>
          </w:p>
        </w:tc>
        <w:tc>
          <w:tcPr>
            <w:tcW w:w="1060" w:type="dxa"/>
            <w:vAlign w:val="bottom"/>
          </w:tcPr>
          <w:p>
            <w:pPr>
              <w:jc w:val="right"/>
              <w:spacing w:after="0"/>
              <w:rPr>
                <w:sz w:val="20"/>
                <w:szCs w:val="20"/>
                <w:color w:val="auto"/>
              </w:rPr>
            </w:pPr>
            <w:r>
              <w:rPr>
                <w:rFonts w:ascii="Arial" w:cs="Arial" w:eastAsia="Arial" w:hAnsi="Arial"/>
                <w:sz w:val="11"/>
                <w:szCs w:val="11"/>
                <w:color w:val="auto"/>
              </w:rPr>
              <w:t>65.9300</w:t>
            </w:r>
          </w:p>
        </w:tc>
        <w:tc>
          <w:tcPr>
            <w:tcW w:w="1060" w:type="dxa"/>
            <w:vAlign w:val="bottom"/>
          </w:tcPr>
          <w:p>
            <w:pPr>
              <w:ind w:left="480"/>
              <w:spacing w:after="0"/>
              <w:rPr>
                <w:sz w:val="20"/>
                <w:szCs w:val="20"/>
                <w:color w:val="auto"/>
              </w:rPr>
            </w:pPr>
            <w:r>
              <w:rPr>
                <w:rFonts w:ascii="Arial" w:cs="Arial" w:eastAsia="Arial" w:hAnsi="Arial"/>
                <w:sz w:val="11"/>
                <w:szCs w:val="11"/>
                <w:color w:val="auto"/>
              </w:rPr>
              <w:t>12/08/2027</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vMerge w:val="restart"/>
          </w:tcPr>
          <w:p>
            <w:pPr>
              <w:ind w:left="100"/>
              <w:spacing w:after="0"/>
              <w:rPr>
                <w:sz w:val="20"/>
                <w:szCs w:val="20"/>
                <w:color w:val="auto"/>
              </w:rPr>
            </w:pPr>
            <w:r>
              <w:rPr>
                <w:rFonts w:ascii="Arial" w:cs="Arial" w:eastAsia="Arial" w:hAnsi="Arial"/>
                <w:sz w:val="11"/>
                <w:szCs w:val="11"/>
                <w:color w:val="auto"/>
              </w:rPr>
              <w:t>F’18-F’20 Performance Shares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21,600</w:t>
            </w:r>
          </w:p>
        </w:tc>
        <w:tc>
          <w:tcPr>
            <w:tcW w:w="1060" w:type="dxa"/>
            <w:vAlign w:val="bottom"/>
          </w:tcPr>
          <w:p>
            <w:pPr>
              <w:jc w:val="right"/>
              <w:spacing w:after="0"/>
              <w:rPr>
                <w:sz w:val="20"/>
                <w:szCs w:val="20"/>
                <w:color w:val="auto"/>
              </w:rPr>
            </w:pPr>
            <w:r>
              <w:rPr>
                <w:rFonts w:ascii="Arial" w:cs="Arial" w:eastAsia="Arial" w:hAnsi="Arial"/>
                <w:sz w:val="11"/>
                <w:szCs w:val="11"/>
                <w:color w:val="auto"/>
              </w:rPr>
              <w:t>58.5300</w:t>
            </w:r>
          </w:p>
        </w:tc>
        <w:tc>
          <w:tcPr>
            <w:tcW w:w="1060" w:type="dxa"/>
            <w:vAlign w:val="bottom"/>
          </w:tcPr>
          <w:p>
            <w:pPr>
              <w:ind w:left="480"/>
              <w:spacing w:after="0"/>
              <w:rPr>
                <w:sz w:val="20"/>
                <w:szCs w:val="20"/>
                <w:color w:val="auto"/>
              </w:rPr>
            </w:pPr>
            <w:r>
              <w:rPr>
                <w:rFonts w:ascii="Arial" w:cs="Arial" w:eastAsia="Arial" w:hAnsi="Arial"/>
                <w:sz w:val="11"/>
                <w:szCs w:val="11"/>
                <w:color w:val="auto"/>
              </w:rPr>
              <w:t>12/07/2028</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vMerge w:val="restart"/>
          </w:tcPr>
          <w:p>
            <w:pPr>
              <w:jc w:val="right"/>
              <w:ind w:right="145"/>
              <w:spacing w:after="0"/>
              <w:rPr>
                <w:sz w:val="20"/>
                <w:szCs w:val="20"/>
                <w:color w:val="auto"/>
              </w:rPr>
            </w:pPr>
            <w:r>
              <w:rPr>
                <w:rFonts w:ascii="Arial" w:cs="Arial" w:eastAsia="Arial" w:hAnsi="Arial"/>
                <w:sz w:val="11"/>
                <w:szCs w:val="11"/>
                <w:color w:val="auto"/>
              </w:rPr>
              <w:t>3,897</w:t>
            </w:r>
          </w:p>
        </w:tc>
        <w:tc>
          <w:tcPr>
            <w:tcW w:w="1240" w:type="dxa"/>
            <w:vAlign w:val="bottom"/>
            <w:vMerge w:val="restart"/>
          </w:tcPr>
          <w:p>
            <w:pPr>
              <w:jc w:val="right"/>
              <w:spacing w:after="0"/>
              <w:rPr>
                <w:sz w:val="20"/>
                <w:szCs w:val="20"/>
                <w:color w:val="auto"/>
              </w:rPr>
            </w:pPr>
            <w:r>
              <w:rPr>
                <w:rFonts w:ascii="Arial" w:cs="Arial" w:eastAsia="Arial" w:hAnsi="Arial"/>
                <w:sz w:val="11"/>
                <w:szCs w:val="11"/>
                <w:color w:val="auto"/>
              </w:rPr>
              <w:t>300,576</w:t>
            </w:r>
          </w:p>
        </w:tc>
        <w:tc>
          <w:tcPr>
            <w:tcW w:w="0" w:type="dxa"/>
            <w:vAlign w:val="bottom"/>
          </w:tcPr>
          <w:p>
            <w:pPr>
              <w:spacing w:after="0"/>
              <w:rPr>
                <w:sz w:val="1"/>
                <w:szCs w:val="1"/>
                <w:color w:val="auto"/>
              </w:rPr>
            </w:pPr>
          </w:p>
        </w:tc>
      </w:tr>
      <w:tr>
        <w:trPr>
          <w:trHeight w:val="132"/>
        </w:trPr>
        <w:tc>
          <w:tcPr>
            <w:tcW w:w="2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20" w:type="dxa"/>
            <w:vAlign w:val="bottom"/>
          </w:tcPr>
          <w:p>
            <w:pPr>
              <w:ind w:left="100"/>
              <w:spacing w:after="0"/>
              <w:rPr>
                <w:sz w:val="20"/>
                <w:szCs w:val="20"/>
                <w:color w:val="auto"/>
              </w:rPr>
            </w:pPr>
            <w:r>
              <w:rPr>
                <w:rFonts w:ascii="Arial" w:cs="Arial" w:eastAsia="Arial" w:hAnsi="Arial"/>
                <w:sz w:val="11"/>
                <w:szCs w:val="11"/>
                <w:color w:val="auto"/>
              </w:rPr>
              <w:t>F’19-F’21 Performance Shares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jc w:val="right"/>
              <w:ind w:right="145"/>
              <w:spacing w:after="0"/>
              <w:rPr>
                <w:sz w:val="20"/>
                <w:szCs w:val="20"/>
                <w:color w:val="auto"/>
              </w:rPr>
            </w:pPr>
            <w:r>
              <w:rPr>
                <w:rFonts w:ascii="Arial" w:cs="Arial" w:eastAsia="Arial" w:hAnsi="Arial"/>
                <w:sz w:val="11"/>
                <w:szCs w:val="11"/>
                <w:color w:val="auto"/>
              </w:rPr>
              <w:t>4,880</w:t>
            </w:r>
          </w:p>
        </w:tc>
        <w:tc>
          <w:tcPr>
            <w:tcW w:w="1240" w:type="dxa"/>
            <w:vAlign w:val="bottom"/>
          </w:tcPr>
          <w:p>
            <w:pPr>
              <w:jc w:val="right"/>
              <w:spacing w:after="0"/>
              <w:rPr>
                <w:sz w:val="20"/>
                <w:szCs w:val="20"/>
                <w:color w:val="auto"/>
              </w:rPr>
            </w:pPr>
            <w:r>
              <w:rPr>
                <w:rFonts w:ascii="Arial" w:cs="Arial" w:eastAsia="Arial" w:hAnsi="Arial"/>
                <w:sz w:val="11"/>
                <w:szCs w:val="11"/>
                <w:color w:val="auto"/>
              </w:rPr>
              <w:t>376,394</w:t>
            </w: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20"/>
                <w:szCs w:val="20"/>
                <w:color w:val="auto"/>
              </w:rPr>
            </w:pPr>
            <w:r>
              <w:rPr>
                <w:rFonts w:ascii="Arial" w:cs="Arial" w:eastAsia="Arial" w:hAnsi="Arial"/>
                <w:sz w:val="11"/>
                <w:szCs w:val="11"/>
                <w:color w:val="auto"/>
              </w:rPr>
              <w:t>Bradley A. Hamilton</w:t>
            </w:r>
          </w:p>
        </w:tc>
        <w:tc>
          <w:tcPr>
            <w:tcW w:w="84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Stock Options</w:t>
            </w: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3,480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14.1125</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12/07/2021</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2,600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21.0300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12/11/2022</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1,940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29.7500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12/06/2023</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2,230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31.3750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12/05/2024</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10,800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38.8200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12/04/2025</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6,800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3,400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56.5400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12/09/2026</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4,733</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9,467</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65.9300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12/08/2027</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vMerge w:val="restart"/>
            <w:shd w:val="clear" w:color="auto" w:fill="D9D9D9"/>
          </w:tcPr>
          <w:p>
            <w:pPr>
              <w:ind w:left="100"/>
              <w:spacing w:after="0"/>
              <w:rPr>
                <w:sz w:val="20"/>
                <w:szCs w:val="20"/>
                <w:color w:val="auto"/>
              </w:rPr>
            </w:pPr>
            <w:r>
              <w:rPr>
                <w:rFonts w:ascii="Arial" w:cs="Arial" w:eastAsia="Arial" w:hAnsi="Arial"/>
                <w:sz w:val="11"/>
                <w:szCs w:val="11"/>
                <w:color w:val="auto"/>
              </w:rPr>
              <w:t>F’18-F’20 Performance Shares</w:t>
            </w:r>
          </w:p>
        </w:tc>
        <w:tc>
          <w:tcPr>
            <w:tcW w:w="1040" w:type="dxa"/>
            <w:vAlign w:val="bottom"/>
            <w:gridSpan w:val="2"/>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21,600</w:t>
            </w:r>
          </w:p>
        </w:tc>
        <w:tc>
          <w:tcPr>
            <w:tcW w:w="106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58.5300</w:t>
            </w:r>
          </w:p>
        </w:tc>
        <w:tc>
          <w:tcPr>
            <w:tcW w:w="1060" w:type="dxa"/>
            <w:vAlign w:val="bottom"/>
            <w:shd w:val="clear" w:color="auto" w:fill="D9D9D9"/>
          </w:tcPr>
          <w:p>
            <w:pPr>
              <w:ind w:left="480"/>
              <w:spacing w:after="0"/>
              <w:rPr>
                <w:sz w:val="20"/>
                <w:szCs w:val="20"/>
                <w:color w:val="auto"/>
              </w:rPr>
            </w:pPr>
            <w:r>
              <w:rPr>
                <w:rFonts w:ascii="Arial" w:cs="Arial" w:eastAsia="Arial" w:hAnsi="Arial"/>
                <w:sz w:val="11"/>
                <w:szCs w:val="11"/>
                <w:color w:val="auto"/>
              </w:rPr>
              <w:t>12/07/2028</w:t>
            </w: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vMerge w:val="restart"/>
            <w:shd w:val="clear" w:color="auto" w:fill="D9D9D9"/>
          </w:tcPr>
          <w:p>
            <w:pPr>
              <w:jc w:val="right"/>
              <w:ind w:right="145"/>
              <w:spacing w:after="0"/>
              <w:rPr>
                <w:sz w:val="20"/>
                <w:szCs w:val="20"/>
                <w:color w:val="auto"/>
              </w:rPr>
            </w:pPr>
            <w:r>
              <w:rPr>
                <w:rFonts w:ascii="Arial" w:cs="Arial" w:eastAsia="Arial" w:hAnsi="Arial"/>
                <w:sz w:val="11"/>
                <w:szCs w:val="11"/>
                <w:color w:val="auto"/>
              </w:rPr>
              <w:t>2,857</w:t>
            </w:r>
          </w:p>
        </w:tc>
        <w:tc>
          <w:tcPr>
            <w:tcW w:w="1240" w:type="dxa"/>
            <w:vAlign w:val="bottom"/>
            <w:vMerge w:val="restart"/>
            <w:shd w:val="clear" w:color="auto" w:fill="D9D9D9"/>
          </w:tcPr>
          <w:p>
            <w:pPr>
              <w:jc w:val="right"/>
              <w:spacing w:after="0"/>
              <w:rPr>
                <w:sz w:val="20"/>
                <w:szCs w:val="20"/>
                <w:color w:val="auto"/>
              </w:rPr>
            </w:pPr>
            <w:r>
              <w:rPr>
                <w:rFonts w:ascii="Arial" w:cs="Arial" w:eastAsia="Arial" w:hAnsi="Arial"/>
                <w:sz w:val="11"/>
                <w:szCs w:val="11"/>
                <w:color w:val="auto"/>
              </w:rPr>
              <w:t>220,360</w:t>
            </w:r>
          </w:p>
        </w:tc>
        <w:tc>
          <w:tcPr>
            <w:tcW w:w="0" w:type="dxa"/>
            <w:vAlign w:val="bottom"/>
          </w:tcPr>
          <w:p>
            <w:pPr>
              <w:spacing w:after="0"/>
              <w:rPr>
                <w:sz w:val="1"/>
                <w:szCs w:val="1"/>
                <w:color w:val="auto"/>
              </w:rPr>
            </w:pPr>
          </w:p>
        </w:tc>
      </w:tr>
      <w:tr>
        <w:trPr>
          <w:trHeight w:val="135"/>
        </w:trPr>
        <w:tc>
          <w:tcPr>
            <w:tcW w:w="2420" w:type="dxa"/>
            <w:vAlign w:val="bottom"/>
            <w:vMerge w:val="continue"/>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vMerge w:val="continue"/>
            <w:shd w:val="clear" w:color="auto" w:fill="D9D9D9"/>
          </w:tcPr>
          <w:p>
            <w:pPr>
              <w:spacing w:after="0"/>
              <w:rPr>
                <w:sz w:val="11"/>
                <w:szCs w:val="11"/>
                <w:color w:val="auto"/>
              </w:rPr>
            </w:pPr>
          </w:p>
        </w:tc>
        <w:tc>
          <w:tcPr>
            <w:tcW w:w="124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D9D9D9"/>
          </w:tcPr>
          <w:p>
            <w:pPr>
              <w:ind w:left="100"/>
              <w:spacing w:after="0"/>
              <w:rPr>
                <w:sz w:val="20"/>
                <w:szCs w:val="20"/>
                <w:color w:val="auto"/>
              </w:rPr>
            </w:pPr>
            <w:r>
              <w:rPr>
                <w:rFonts w:ascii="Arial" w:cs="Arial" w:eastAsia="Arial" w:hAnsi="Arial"/>
                <w:sz w:val="11"/>
                <w:szCs w:val="11"/>
                <w:color w:val="auto"/>
              </w:rPr>
              <w:t>F’19-F’21 Performance Shares</w:t>
            </w:r>
          </w:p>
        </w:tc>
        <w:tc>
          <w:tcPr>
            <w:tcW w:w="84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104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060" w:type="dxa"/>
            <w:vAlign w:val="bottom"/>
            <w:shd w:val="clear" w:color="auto" w:fill="D9D9D9"/>
          </w:tcPr>
          <w:p>
            <w:pPr>
              <w:spacing w:after="0"/>
              <w:rPr>
                <w:sz w:val="11"/>
                <w:szCs w:val="11"/>
                <w:color w:val="auto"/>
              </w:rPr>
            </w:pPr>
          </w:p>
        </w:tc>
        <w:tc>
          <w:tcPr>
            <w:tcW w:w="110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1520" w:type="dxa"/>
            <w:vAlign w:val="bottom"/>
            <w:shd w:val="clear" w:color="auto" w:fill="D9D9D9"/>
          </w:tcPr>
          <w:p>
            <w:pPr>
              <w:jc w:val="right"/>
              <w:ind w:right="145"/>
              <w:spacing w:after="0"/>
              <w:rPr>
                <w:sz w:val="20"/>
                <w:szCs w:val="20"/>
                <w:color w:val="auto"/>
              </w:rPr>
            </w:pPr>
            <w:r>
              <w:rPr>
                <w:rFonts w:ascii="Arial" w:cs="Arial" w:eastAsia="Arial" w:hAnsi="Arial"/>
                <w:sz w:val="11"/>
                <w:szCs w:val="11"/>
                <w:color w:val="auto"/>
              </w:rPr>
              <w:t>4,880</w:t>
            </w:r>
          </w:p>
        </w:tc>
        <w:tc>
          <w:tcPr>
            <w:tcW w:w="12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376,394</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20"/>
                <w:szCs w:val="20"/>
                <w:color w:val="auto"/>
              </w:rPr>
            </w:pPr>
            <w:r>
              <w:rPr>
                <w:rFonts w:ascii="Arial" w:cs="Arial" w:eastAsia="Arial" w:hAnsi="Arial"/>
                <w:sz w:val="11"/>
                <w:szCs w:val="11"/>
                <w:color w:val="auto"/>
              </w:rPr>
              <w:t>Richard W. Rodier</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rPr>
                <w:sz w:val="20"/>
                <w:szCs w:val="20"/>
                <w:color w:val="auto"/>
              </w:rPr>
            </w:pPr>
            <w:r>
              <w:rPr>
                <w:rFonts w:ascii="Arial" w:cs="Arial" w:eastAsia="Arial" w:hAnsi="Arial"/>
                <w:sz w:val="11"/>
                <w:szCs w:val="11"/>
                <w:color w:val="auto"/>
              </w:rPr>
              <w:t>Stock Options</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3,400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15.8800</w:t>
            </w:r>
          </w:p>
        </w:tc>
        <w:tc>
          <w:tcPr>
            <w:tcW w:w="1060" w:type="dxa"/>
            <w:vAlign w:val="bottom"/>
          </w:tcPr>
          <w:p>
            <w:pPr>
              <w:ind w:left="480"/>
              <w:spacing w:after="0"/>
              <w:rPr>
                <w:sz w:val="20"/>
                <w:szCs w:val="20"/>
                <w:color w:val="auto"/>
              </w:rPr>
            </w:pPr>
            <w:r>
              <w:rPr>
                <w:rFonts w:ascii="Arial" w:cs="Arial" w:eastAsia="Arial" w:hAnsi="Arial"/>
                <w:sz w:val="11"/>
                <w:szCs w:val="11"/>
                <w:color w:val="auto"/>
              </w:rPr>
              <w:t>12/08/2020</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8,400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14.1125</w:t>
            </w:r>
          </w:p>
        </w:tc>
        <w:tc>
          <w:tcPr>
            <w:tcW w:w="1060" w:type="dxa"/>
            <w:vAlign w:val="bottom"/>
          </w:tcPr>
          <w:p>
            <w:pPr>
              <w:ind w:left="480"/>
              <w:spacing w:after="0"/>
              <w:rPr>
                <w:sz w:val="20"/>
                <w:szCs w:val="20"/>
                <w:color w:val="auto"/>
              </w:rPr>
            </w:pPr>
            <w:r>
              <w:rPr>
                <w:rFonts w:ascii="Arial" w:cs="Arial" w:eastAsia="Arial" w:hAnsi="Arial"/>
                <w:sz w:val="11"/>
                <w:szCs w:val="11"/>
                <w:color w:val="auto"/>
              </w:rPr>
              <w:t>12/07/2021</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7,200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21.0300</w:t>
            </w:r>
          </w:p>
        </w:tc>
        <w:tc>
          <w:tcPr>
            <w:tcW w:w="1060" w:type="dxa"/>
            <w:vAlign w:val="bottom"/>
          </w:tcPr>
          <w:p>
            <w:pPr>
              <w:ind w:left="480"/>
              <w:spacing w:after="0"/>
              <w:rPr>
                <w:sz w:val="20"/>
                <w:szCs w:val="20"/>
                <w:color w:val="auto"/>
              </w:rPr>
            </w:pPr>
            <w:r>
              <w:rPr>
                <w:rFonts w:ascii="Arial" w:cs="Arial" w:eastAsia="Arial" w:hAnsi="Arial"/>
                <w:sz w:val="11"/>
                <w:szCs w:val="11"/>
                <w:color w:val="auto"/>
              </w:rPr>
              <w:t>12/11/2022</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6,000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29.7500</w:t>
            </w:r>
          </w:p>
        </w:tc>
        <w:tc>
          <w:tcPr>
            <w:tcW w:w="1060" w:type="dxa"/>
            <w:vAlign w:val="bottom"/>
          </w:tcPr>
          <w:p>
            <w:pPr>
              <w:ind w:left="480"/>
              <w:spacing w:after="0"/>
              <w:rPr>
                <w:sz w:val="20"/>
                <w:szCs w:val="20"/>
                <w:color w:val="auto"/>
              </w:rPr>
            </w:pPr>
            <w:r>
              <w:rPr>
                <w:rFonts w:ascii="Arial" w:cs="Arial" w:eastAsia="Arial" w:hAnsi="Arial"/>
                <w:sz w:val="11"/>
                <w:szCs w:val="11"/>
                <w:color w:val="auto"/>
              </w:rPr>
              <w:t>12/06/2023</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6,400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31.3750</w:t>
            </w:r>
          </w:p>
        </w:tc>
        <w:tc>
          <w:tcPr>
            <w:tcW w:w="1060" w:type="dxa"/>
            <w:vAlign w:val="bottom"/>
          </w:tcPr>
          <w:p>
            <w:pPr>
              <w:ind w:left="480"/>
              <w:spacing w:after="0"/>
              <w:rPr>
                <w:sz w:val="20"/>
                <w:szCs w:val="20"/>
                <w:color w:val="auto"/>
              </w:rPr>
            </w:pPr>
            <w:r>
              <w:rPr>
                <w:rFonts w:ascii="Arial" w:cs="Arial" w:eastAsia="Arial" w:hAnsi="Arial"/>
                <w:sz w:val="11"/>
                <w:szCs w:val="11"/>
                <w:color w:val="auto"/>
              </w:rPr>
              <w:t>12/05/2024</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7,400</w:t>
            </w:r>
          </w:p>
        </w:tc>
        <w:tc>
          <w:tcPr>
            <w:tcW w:w="1040" w:type="dxa"/>
            <w:vAlign w:val="bottom"/>
          </w:tcPr>
          <w:p>
            <w:pPr>
              <w:jc w:val="right"/>
              <w:spacing w:after="0"/>
              <w:rPr>
                <w:sz w:val="20"/>
                <w:szCs w:val="20"/>
                <w:color w:val="auto"/>
              </w:rPr>
            </w:pPr>
            <w:r>
              <w:rPr>
                <w:rFonts w:ascii="Arial" w:cs="Arial" w:eastAsia="Arial" w:hAnsi="Arial"/>
                <w:sz w:val="11"/>
                <w:szCs w:val="11"/>
                <w:color w:val="auto"/>
              </w:rPr>
              <w:t>0</w:t>
            </w:r>
          </w:p>
        </w:tc>
        <w:tc>
          <w:tcPr>
            <w:tcW w:w="1060" w:type="dxa"/>
            <w:vAlign w:val="bottom"/>
          </w:tcPr>
          <w:p>
            <w:pPr>
              <w:jc w:val="right"/>
              <w:spacing w:after="0"/>
              <w:rPr>
                <w:sz w:val="20"/>
                <w:szCs w:val="20"/>
                <w:color w:val="auto"/>
              </w:rPr>
            </w:pPr>
            <w:r>
              <w:rPr>
                <w:rFonts w:ascii="Arial" w:cs="Arial" w:eastAsia="Arial" w:hAnsi="Arial"/>
                <w:sz w:val="11"/>
                <w:szCs w:val="11"/>
                <w:color w:val="auto"/>
              </w:rPr>
              <w:t>38.8200</w:t>
            </w:r>
          </w:p>
        </w:tc>
        <w:tc>
          <w:tcPr>
            <w:tcW w:w="1060" w:type="dxa"/>
            <w:vAlign w:val="bottom"/>
          </w:tcPr>
          <w:p>
            <w:pPr>
              <w:ind w:left="480"/>
              <w:spacing w:after="0"/>
              <w:rPr>
                <w:sz w:val="20"/>
                <w:szCs w:val="20"/>
                <w:color w:val="auto"/>
              </w:rPr>
            </w:pPr>
            <w:r>
              <w:rPr>
                <w:rFonts w:ascii="Arial" w:cs="Arial" w:eastAsia="Arial" w:hAnsi="Arial"/>
                <w:sz w:val="11"/>
                <w:szCs w:val="11"/>
                <w:color w:val="auto"/>
              </w:rPr>
              <w:t>12/04/2025</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4,266</w:t>
            </w:r>
          </w:p>
        </w:tc>
        <w:tc>
          <w:tcPr>
            <w:tcW w:w="1040" w:type="dxa"/>
            <w:vAlign w:val="bottom"/>
          </w:tcPr>
          <w:p>
            <w:pPr>
              <w:jc w:val="right"/>
              <w:spacing w:after="0"/>
              <w:rPr>
                <w:sz w:val="20"/>
                <w:szCs w:val="20"/>
                <w:color w:val="auto"/>
              </w:rPr>
            </w:pPr>
            <w:r>
              <w:rPr>
                <w:rFonts w:ascii="Arial" w:cs="Arial" w:eastAsia="Arial" w:hAnsi="Arial"/>
                <w:sz w:val="11"/>
                <w:szCs w:val="11"/>
                <w:color w:val="auto"/>
              </w:rPr>
              <w:t>2,134</w:t>
            </w:r>
          </w:p>
        </w:tc>
        <w:tc>
          <w:tcPr>
            <w:tcW w:w="1060" w:type="dxa"/>
            <w:vAlign w:val="bottom"/>
          </w:tcPr>
          <w:p>
            <w:pPr>
              <w:jc w:val="right"/>
              <w:spacing w:after="0"/>
              <w:rPr>
                <w:sz w:val="20"/>
                <w:szCs w:val="20"/>
                <w:color w:val="auto"/>
              </w:rPr>
            </w:pPr>
            <w:r>
              <w:rPr>
                <w:rFonts w:ascii="Arial" w:cs="Arial" w:eastAsia="Arial" w:hAnsi="Arial"/>
                <w:sz w:val="11"/>
                <w:szCs w:val="11"/>
                <w:color w:val="auto"/>
              </w:rPr>
              <w:t>56.5400</w:t>
            </w:r>
          </w:p>
        </w:tc>
        <w:tc>
          <w:tcPr>
            <w:tcW w:w="1060" w:type="dxa"/>
            <w:vAlign w:val="bottom"/>
          </w:tcPr>
          <w:p>
            <w:pPr>
              <w:ind w:left="480"/>
              <w:spacing w:after="0"/>
              <w:rPr>
                <w:sz w:val="20"/>
                <w:szCs w:val="20"/>
                <w:color w:val="auto"/>
              </w:rPr>
            </w:pPr>
            <w:r>
              <w:rPr>
                <w:rFonts w:ascii="Arial" w:cs="Arial" w:eastAsia="Arial" w:hAnsi="Arial"/>
                <w:sz w:val="11"/>
                <w:szCs w:val="11"/>
                <w:color w:val="auto"/>
              </w:rPr>
              <w:t>12/09/2026</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2,200</w:t>
            </w:r>
          </w:p>
        </w:tc>
        <w:tc>
          <w:tcPr>
            <w:tcW w:w="1040" w:type="dxa"/>
            <w:vAlign w:val="bottom"/>
          </w:tcPr>
          <w:p>
            <w:pPr>
              <w:jc w:val="right"/>
              <w:spacing w:after="0"/>
              <w:rPr>
                <w:sz w:val="20"/>
                <w:szCs w:val="20"/>
                <w:color w:val="auto"/>
              </w:rPr>
            </w:pPr>
            <w:r>
              <w:rPr>
                <w:rFonts w:ascii="Arial" w:cs="Arial" w:eastAsia="Arial" w:hAnsi="Arial"/>
                <w:sz w:val="11"/>
                <w:szCs w:val="11"/>
                <w:color w:val="auto"/>
              </w:rPr>
              <w:t>4,400</w:t>
            </w:r>
          </w:p>
        </w:tc>
        <w:tc>
          <w:tcPr>
            <w:tcW w:w="1060" w:type="dxa"/>
            <w:vAlign w:val="bottom"/>
          </w:tcPr>
          <w:p>
            <w:pPr>
              <w:jc w:val="right"/>
              <w:spacing w:after="0"/>
              <w:rPr>
                <w:sz w:val="20"/>
                <w:szCs w:val="20"/>
                <w:color w:val="auto"/>
              </w:rPr>
            </w:pPr>
            <w:r>
              <w:rPr>
                <w:rFonts w:ascii="Arial" w:cs="Arial" w:eastAsia="Arial" w:hAnsi="Arial"/>
                <w:sz w:val="11"/>
                <w:szCs w:val="11"/>
                <w:color w:val="auto"/>
              </w:rPr>
              <w:t>65.9300</w:t>
            </w:r>
          </w:p>
        </w:tc>
        <w:tc>
          <w:tcPr>
            <w:tcW w:w="1060" w:type="dxa"/>
            <w:vAlign w:val="bottom"/>
          </w:tcPr>
          <w:p>
            <w:pPr>
              <w:ind w:left="480"/>
              <w:spacing w:after="0"/>
              <w:rPr>
                <w:sz w:val="20"/>
                <w:szCs w:val="20"/>
                <w:color w:val="auto"/>
              </w:rPr>
            </w:pPr>
            <w:r>
              <w:rPr>
                <w:rFonts w:ascii="Arial" w:cs="Arial" w:eastAsia="Arial" w:hAnsi="Arial"/>
                <w:sz w:val="11"/>
                <w:szCs w:val="11"/>
                <w:color w:val="auto"/>
              </w:rPr>
              <w:t>12/08/2027</w:t>
            </w: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vMerge w:val="restart"/>
          </w:tcPr>
          <w:p>
            <w:pPr>
              <w:ind w:left="100"/>
              <w:spacing w:after="0"/>
              <w:rPr>
                <w:sz w:val="20"/>
                <w:szCs w:val="20"/>
                <w:color w:val="auto"/>
              </w:rPr>
            </w:pPr>
            <w:r>
              <w:rPr>
                <w:rFonts w:ascii="Arial" w:cs="Arial" w:eastAsia="Arial" w:hAnsi="Arial"/>
                <w:sz w:val="11"/>
                <w:szCs w:val="11"/>
                <w:color w:val="auto"/>
              </w:rPr>
              <w:t>Restricted Stock Units</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1040" w:type="dxa"/>
            <w:vAlign w:val="bottom"/>
          </w:tcPr>
          <w:p>
            <w:pPr>
              <w:jc w:val="right"/>
              <w:spacing w:after="0"/>
              <w:rPr>
                <w:sz w:val="20"/>
                <w:szCs w:val="20"/>
                <w:color w:val="auto"/>
              </w:rPr>
            </w:pPr>
            <w:r>
              <w:rPr>
                <w:rFonts w:ascii="Arial" w:cs="Arial" w:eastAsia="Arial" w:hAnsi="Arial"/>
                <w:sz w:val="11"/>
                <w:szCs w:val="11"/>
                <w:color w:val="auto"/>
              </w:rPr>
              <w:t>9,000</w:t>
            </w:r>
          </w:p>
        </w:tc>
        <w:tc>
          <w:tcPr>
            <w:tcW w:w="1060" w:type="dxa"/>
            <w:vAlign w:val="bottom"/>
          </w:tcPr>
          <w:p>
            <w:pPr>
              <w:jc w:val="right"/>
              <w:spacing w:after="0"/>
              <w:rPr>
                <w:sz w:val="20"/>
                <w:szCs w:val="20"/>
                <w:color w:val="auto"/>
              </w:rPr>
            </w:pPr>
            <w:r>
              <w:rPr>
                <w:rFonts w:ascii="Arial" w:cs="Arial" w:eastAsia="Arial" w:hAnsi="Arial"/>
                <w:sz w:val="11"/>
                <w:szCs w:val="11"/>
                <w:color w:val="auto"/>
              </w:rPr>
              <w:t>58.5300</w:t>
            </w:r>
          </w:p>
        </w:tc>
        <w:tc>
          <w:tcPr>
            <w:tcW w:w="1060" w:type="dxa"/>
            <w:vAlign w:val="bottom"/>
          </w:tcPr>
          <w:p>
            <w:pPr>
              <w:ind w:left="480"/>
              <w:spacing w:after="0"/>
              <w:rPr>
                <w:sz w:val="20"/>
                <w:szCs w:val="20"/>
                <w:color w:val="auto"/>
              </w:rPr>
            </w:pPr>
            <w:r>
              <w:rPr>
                <w:rFonts w:ascii="Arial" w:cs="Arial" w:eastAsia="Arial" w:hAnsi="Arial"/>
                <w:sz w:val="11"/>
                <w:szCs w:val="11"/>
                <w:color w:val="auto"/>
              </w:rPr>
              <w:t>12/07/2028</w:t>
            </w:r>
          </w:p>
        </w:tc>
        <w:tc>
          <w:tcPr>
            <w:tcW w:w="1100" w:type="dxa"/>
            <w:vAlign w:val="bottom"/>
            <w:vMerge w:val="restart"/>
          </w:tcPr>
          <w:p>
            <w:pPr>
              <w:jc w:val="right"/>
              <w:ind w:right="107"/>
              <w:spacing w:after="0"/>
              <w:rPr>
                <w:sz w:val="20"/>
                <w:szCs w:val="20"/>
                <w:color w:val="auto"/>
              </w:rPr>
            </w:pPr>
            <w:r>
              <w:rPr>
                <w:rFonts w:ascii="Arial" w:cs="Arial" w:eastAsia="Arial" w:hAnsi="Arial"/>
                <w:sz w:val="11"/>
                <w:szCs w:val="11"/>
                <w:color w:val="auto"/>
              </w:rPr>
              <w:t>3,875</w:t>
            </w:r>
          </w:p>
        </w:tc>
        <w:tc>
          <w:tcPr>
            <w:tcW w:w="940" w:type="dxa"/>
            <w:vAlign w:val="bottom"/>
            <w:vMerge w:val="restart"/>
          </w:tcPr>
          <w:p>
            <w:pPr>
              <w:jc w:val="right"/>
              <w:ind w:right="27"/>
              <w:spacing w:after="0"/>
              <w:rPr>
                <w:sz w:val="20"/>
                <w:szCs w:val="20"/>
                <w:color w:val="auto"/>
              </w:rPr>
            </w:pPr>
            <w:r>
              <w:rPr>
                <w:rFonts w:ascii="Arial" w:cs="Arial" w:eastAsia="Arial" w:hAnsi="Arial"/>
                <w:sz w:val="11"/>
                <w:szCs w:val="11"/>
                <w:color w:val="auto"/>
              </w:rPr>
              <w:t>298,879</w:t>
            </w: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00"/>
              <w:spacing w:after="0"/>
              <w:rPr>
                <w:sz w:val="20"/>
                <w:szCs w:val="20"/>
                <w:color w:val="auto"/>
              </w:rPr>
            </w:pPr>
            <w:r>
              <w:rPr>
                <w:rFonts w:ascii="Arial" w:cs="Arial" w:eastAsia="Arial" w:hAnsi="Arial"/>
                <w:sz w:val="11"/>
                <w:szCs w:val="11"/>
                <w:color w:val="auto"/>
              </w:rPr>
              <w:t>F’18-F’20 Performance Shares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jc w:val="right"/>
              <w:ind w:right="145"/>
              <w:spacing w:after="0"/>
              <w:rPr>
                <w:sz w:val="20"/>
                <w:szCs w:val="20"/>
                <w:color w:val="auto"/>
              </w:rPr>
            </w:pPr>
            <w:r>
              <w:rPr>
                <w:rFonts w:ascii="Arial" w:cs="Arial" w:eastAsia="Arial" w:hAnsi="Arial"/>
                <w:sz w:val="11"/>
                <w:szCs w:val="11"/>
                <w:color w:val="auto"/>
              </w:rPr>
              <w:t>1,385</w:t>
            </w:r>
          </w:p>
        </w:tc>
        <w:tc>
          <w:tcPr>
            <w:tcW w:w="1240" w:type="dxa"/>
            <w:vAlign w:val="bottom"/>
          </w:tcPr>
          <w:p>
            <w:pPr>
              <w:jc w:val="right"/>
              <w:spacing w:after="0"/>
              <w:rPr>
                <w:sz w:val="20"/>
                <w:szCs w:val="20"/>
                <w:color w:val="auto"/>
              </w:rPr>
            </w:pPr>
            <w:r>
              <w:rPr>
                <w:rFonts w:ascii="Arial" w:cs="Arial" w:eastAsia="Arial" w:hAnsi="Arial"/>
                <w:sz w:val="11"/>
                <w:szCs w:val="11"/>
                <w:color w:val="auto"/>
              </w:rPr>
              <w:t>106,825</w:t>
            </w:r>
          </w:p>
        </w:tc>
        <w:tc>
          <w:tcPr>
            <w:tcW w:w="0" w:type="dxa"/>
            <w:vAlign w:val="bottom"/>
          </w:tcPr>
          <w:p>
            <w:pPr>
              <w:spacing w:after="0"/>
              <w:rPr>
                <w:sz w:val="1"/>
                <w:szCs w:val="1"/>
                <w:color w:val="auto"/>
              </w:rPr>
            </w:pPr>
          </w:p>
        </w:tc>
      </w:tr>
      <w:tr>
        <w:trPr>
          <w:trHeight w:val="137"/>
        </w:trPr>
        <w:tc>
          <w:tcPr>
            <w:tcW w:w="2420" w:type="dxa"/>
            <w:vAlign w:val="bottom"/>
          </w:tcPr>
          <w:p>
            <w:pPr>
              <w:ind w:left="100"/>
              <w:spacing w:after="0"/>
              <w:rPr>
                <w:sz w:val="20"/>
                <w:szCs w:val="20"/>
                <w:color w:val="auto"/>
              </w:rPr>
            </w:pPr>
            <w:r>
              <w:rPr>
                <w:rFonts w:ascii="Arial" w:cs="Arial" w:eastAsia="Arial" w:hAnsi="Arial"/>
                <w:sz w:val="11"/>
                <w:szCs w:val="11"/>
                <w:color w:val="auto"/>
              </w:rPr>
              <w:t>F’19-F’21 Performance Shares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jc w:val="right"/>
              <w:ind w:right="145"/>
              <w:spacing w:after="0"/>
              <w:rPr>
                <w:sz w:val="20"/>
                <w:szCs w:val="20"/>
                <w:color w:val="auto"/>
              </w:rPr>
            </w:pPr>
            <w:r>
              <w:rPr>
                <w:rFonts w:ascii="Arial" w:cs="Arial" w:eastAsia="Arial" w:hAnsi="Arial"/>
                <w:sz w:val="11"/>
                <w:szCs w:val="11"/>
                <w:color w:val="auto"/>
              </w:rPr>
              <w:t>2,049</w:t>
            </w:r>
          </w:p>
        </w:tc>
        <w:tc>
          <w:tcPr>
            <w:tcW w:w="1240" w:type="dxa"/>
            <w:vAlign w:val="bottom"/>
          </w:tcPr>
          <w:p>
            <w:pPr>
              <w:jc w:val="right"/>
              <w:spacing w:after="0"/>
              <w:rPr>
                <w:sz w:val="20"/>
                <w:szCs w:val="20"/>
                <w:color w:val="auto"/>
              </w:rPr>
            </w:pPr>
            <w:r>
              <w:rPr>
                <w:rFonts w:ascii="Arial" w:cs="Arial" w:eastAsia="Arial" w:hAnsi="Arial"/>
                <w:sz w:val="11"/>
                <w:szCs w:val="11"/>
                <w:color w:val="auto"/>
              </w:rPr>
              <w:t>158,039</w:t>
            </w:r>
          </w:p>
        </w:tc>
        <w:tc>
          <w:tcPr>
            <w:tcW w:w="0" w:type="dxa"/>
            <w:vAlign w:val="bottom"/>
          </w:tcPr>
          <w:p>
            <w:pPr>
              <w:spacing w:after="0"/>
              <w:rPr>
                <w:sz w:val="1"/>
                <w:szCs w:val="1"/>
                <w:color w:val="auto"/>
              </w:rPr>
            </w:pPr>
          </w:p>
        </w:tc>
      </w:tr>
      <w:tr>
        <w:trPr>
          <w:trHeight w:val="89"/>
        </w:trPr>
        <w:tc>
          <w:tcPr>
            <w:tcW w:w="2420" w:type="dxa"/>
            <w:vAlign w:val="bottom"/>
            <w:tcBorders>
              <w:bottom w:val="single" w:sz="8" w:color="C00000"/>
            </w:tcBorders>
          </w:tcPr>
          <w:p>
            <w:pPr>
              <w:spacing w:after="0"/>
              <w:rPr>
                <w:sz w:val="7"/>
                <w:szCs w:val="7"/>
                <w:color w:val="auto"/>
              </w:rPr>
            </w:pPr>
          </w:p>
        </w:tc>
        <w:tc>
          <w:tcPr>
            <w:tcW w:w="840" w:type="dxa"/>
            <w:vAlign w:val="bottom"/>
            <w:tcBorders>
              <w:bottom w:val="single" w:sz="8" w:color="C00000"/>
            </w:tcBorders>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-5648325</wp:posOffset>
            </wp:positionV>
            <wp:extent cx="564070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40705" cy="762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0" w:name="page61"/>
    <w:bookmarkEnd w:id="60"/>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36" w:lineRule="exact"/>
        <w:rPr>
          <w:sz w:val="20"/>
          <w:szCs w:val="20"/>
          <w:color w:val="auto"/>
        </w:rPr>
      </w:pPr>
    </w:p>
    <w:p>
      <w:pPr>
        <w:ind w:left="402" w:right="140" w:hanging="402"/>
        <w:spacing w:after="0" w:line="245" w:lineRule="auto"/>
        <w:tabs>
          <w:tab w:leader="none" w:pos="402" w:val="left"/>
        </w:tabs>
        <w:numPr>
          <w:ilvl w:val="0"/>
          <w:numId w:val="57"/>
        </w:numPr>
        <w:rPr>
          <w:rFonts w:ascii="Arial" w:cs="Arial" w:eastAsia="Arial" w:hAnsi="Arial"/>
          <w:sz w:val="15"/>
          <w:szCs w:val="15"/>
          <w:color w:val="auto"/>
        </w:rPr>
      </w:pPr>
      <w:r>
        <w:rPr>
          <w:rFonts w:ascii="Arial" w:cs="Arial" w:eastAsia="Arial" w:hAnsi="Arial"/>
          <w:sz w:val="15"/>
          <w:szCs w:val="15"/>
          <w:color w:val="auto"/>
        </w:rPr>
        <w:t>Stock options have a ten-year term and vest ratably in three equal installments on each of the first, second and third year anniversaries of the date of grant. The vesting schedule for options unexercisable as of October 31, 2018 is as follows:</w:t>
      </w:r>
    </w:p>
    <w:p>
      <w:pPr>
        <w:spacing w:after="0" w:line="98" w:lineRule="exact"/>
        <w:rPr>
          <w:sz w:val="20"/>
          <w:szCs w:val="20"/>
          <w:color w:val="auto"/>
        </w:rPr>
      </w:pPr>
    </w:p>
    <w:tbl>
      <w:tblPr>
        <w:tblLayout w:type="fixed"/>
        <w:tblInd w:w="442" w:type="dxa"/>
        <w:tblCellMar>
          <w:top w:w="0" w:type="dxa"/>
          <w:left w:w="0" w:type="dxa"/>
          <w:bottom w:w="0" w:type="dxa"/>
          <w:right w:w="0" w:type="dxa"/>
        </w:tblCellMar>
      </w:tblPr>
      <w:tr>
        <w:trPr>
          <w:trHeight w:val="149"/>
        </w:trPr>
        <w:tc>
          <w:tcPr>
            <w:tcW w:w="1920" w:type="dxa"/>
            <w:vAlign w:val="bottom"/>
            <w:shd w:val="clear" w:color="auto" w:fill="C00000"/>
          </w:tcPr>
          <w:p>
            <w:pPr>
              <w:spacing w:after="0"/>
              <w:rPr>
                <w:sz w:val="13"/>
                <w:szCs w:val="13"/>
                <w:color w:val="auto"/>
              </w:rPr>
            </w:pPr>
          </w:p>
        </w:tc>
        <w:tc>
          <w:tcPr>
            <w:tcW w:w="1200" w:type="dxa"/>
            <w:vAlign w:val="bottom"/>
            <w:shd w:val="clear" w:color="auto" w:fill="C00000"/>
          </w:tcPr>
          <w:p>
            <w:pPr>
              <w:spacing w:after="0"/>
              <w:rPr>
                <w:sz w:val="13"/>
                <w:szCs w:val="13"/>
                <w:color w:val="auto"/>
              </w:rPr>
            </w:pPr>
          </w:p>
        </w:tc>
        <w:tc>
          <w:tcPr>
            <w:tcW w:w="1060" w:type="dxa"/>
            <w:vAlign w:val="bottom"/>
            <w:shd w:val="clear" w:color="auto" w:fill="C00000"/>
          </w:tcPr>
          <w:p>
            <w:pPr>
              <w:spacing w:after="0"/>
              <w:rPr>
                <w:sz w:val="13"/>
                <w:szCs w:val="13"/>
                <w:color w:val="auto"/>
              </w:rPr>
            </w:pPr>
          </w:p>
        </w:tc>
        <w:tc>
          <w:tcPr>
            <w:tcW w:w="1060" w:type="dxa"/>
            <w:vAlign w:val="bottom"/>
            <w:shd w:val="clear" w:color="auto" w:fill="C00000"/>
          </w:tcPr>
          <w:p>
            <w:pPr>
              <w:spacing w:after="0"/>
              <w:rPr>
                <w:sz w:val="13"/>
                <w:szCs w:val="13"/>
                <w:color w:val="auto"/>
              </w:rPr>
            </w:pPr>
          </w:p>
        </w:tc>
        <w:tc>
          <w:tcPr>
            <w:tcW w:w="1080" w:type="dxa"/>
            <w:vAlign w:val="bottom"/>
            <w:shd w:val="clear" w:color="auto" w:fill="C00000"/>
          </w:tcPr>
          <w:p>
            <w:pPr>
              <w:spacing w:after="0"/>
              <w:rPr>
                <w:sz w:val="13"/>
                <w:szCs w:val="13"/>
                <w:color w:val="auto"/>
              </w:rPr>
            </w:pPr>
          </w:p>
        </w:tc>
        <w:tc>
          <w:tcPr>
            <w:tcW w:w="1080" w:type="dxa"/>
            <w:vAlign w:val="bottom"/>
            <w:shd w:val="clear" w:color="auto" w:fill="C00000"/>
          </w:tcPr>
          <w:p>
            <w:pPr>
              <w:spacing w:after="0"/>
              <w:rPr>
                <w:sz w:val="13"/>
                <w:szCs w:val="13"/>
                <w:color w:val="auto"/>
              </w:rPr>
            </w:pPr>
          </w:p>
        </w:tc>
        <w:tc>
          <w:tcPr>
            <w:tcW w:w="1080" w:type="dxa"/>
            <w:vAlign w:val="bottom"/>
            <w:shd w:val="clear" w:color="auto" w:fill="C00000"/>
          </w:tcPr>
          <w:p>
            <w:pPr>
              <w:spacing w:after="0"/>
              <w:rPr>
                <w:sz w:val="13"/>
                <w:szCs w:val="13"/>
                <w:color w:val="auto"/>
              </w:rPr>
            </w:pPr>
          </w:p>
        </w:tc>
        <w:tc>
          <w:tcPr>
            <w:tcW w:w="1080" w:type="dxa"/>
            <w:vAlign w:val="bottom"/>
            <w:shd w:val="clear" w:color="auto" w:fill="C00000"/>
          </w:tcPr>
          <w:p>
            <w:pPr>
              <w:spacing w:after="0"/>
              <w:rPr>
                <w:sz w:val="13"/>
                <w:szCs w:val="13"/>
                <w:color w:val="auto"/>
              </w:rPr>
            </w:pPr>
          </w:p>
        </w:tc>
        <w:tc>
          <w:tcPr>
            <w:tcW w:w="9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Option</w:t>
            </w:r>
          </w:p>
        </w:tc>
      </w:tr>
      <w:tr>
        <w:trPr>
          <w:trHeight w:val="147"/>
        </w:trPr>
        <w:tc>
          <w:tcPr>
            <w:tcW w:w="1920" w:type="dxa"/>
            <w:vAlign w:val="bottom"/>
            <w:shd w:val="clear" w:color="auto" w:fill="C00000"/>
          </w:tcPr>
          <w:p>
            <w:pPr>
              <w:spacing w:after="0"/>
              <w:rPr>
                <w:sz w:val="12"/>
                <w:szCs w:val="12"/>
                <w:color w:val="auto"/>
              </w:rPr>
            </w:pPr>
          </w:p>
        </w:tc>
        <w:tc>
          <w:tcPr>
            <w:tcW w:w="1200" w:type="dxa"/>
            <w:vAlign w:val="bottom"/>
            <w:shd w:val="clear" w:color="auto" w:fill="C00000"/>
          </w:tcPr>
          <w:p>
            <w:pPr>
              <w:spacing w:after="0"/>
              <w:rPr>
                <w:sz w:val="12"/>
                <w:szCs w:val="12"/>
                <w:color w:val="auto"/>
              </w:rPr>
            </w:pPr>
          </w:p>
        </w:tc>
        <w:tc>
          <w:tcPr>
            <w:tcW w:w="1060" w:type="dxa"/>
            <w:vAlign w:val="bottom"/>
            <w:shd w:val="clear" w:color="auto" w:fill="C00000"/>
          </w:tcPr>
          <w:p>
            <w:pPr>
              <w:spacing w:after="0"/>
              <w:rPr>
                <w:sz w:val="12"/>
                <w:szCs w:val="12"/>
                <w:color w:val="auto"/>
              </w:rPr>
            </w:pPr>
          </w:p>
        </w:tc>
        <w:tc>
          <w:tcPr>
            <w:tcW w:w="1060" w:type="dxa"/>
            <w:vAlign w:val="bottom"/>
            <w:shd w:val="clear" w:color="auto" w:fill="C00000"/>
          </w:tcPr>
          <w:p>
            <w:pPr>
              <w:spacing w:after="0"/>
              <w:rPr>
                <w:sz w:val="12"/>
                <w:szCs w:val="12"/>
                <w:color w:val="auto"/>
              </w:rPr>
            </w:pPr>
          </w:p>
        </w:tc>
        <w:tc>
          <w:tcPr>
            <w:tcW w:w="1080" w:type="dxa"/>
            <w:vAlign w:val="bottom"/>
            <w:shd w:val="clear" w:color="auto" w:fill="C00000"/>
          </w:tcPr>
          <w:p>
            <w:pPr>
              <w:spacing w:after="0"/>
              <w:rPr>
                <w:sz w:val="12"/>
                <w:szCs w:val="12"/>
                <w:color w:val="auto"/>
              </w:rPr>
            </w:pPr>
          </w:p>
        </w:tc>
        <w:tc>
          <w:tcPr>
            <w:tcW w:w="1080" w:type="dxa"/>
            <w:vAlign w:val="bottom"/>
            <w:shd w:val="clear" w:color="auto" w:fill="C00000"/>
          </w:tcPr>
          <w:p>
            <w:pPr>
              <w:spacing w:after="0"/>
              <w:rPr>
                <w:sz w:val="12"/>
                <w:szCs w:val="12"/>
                <w:color w:val="auto"/>
              </w:rPr>
            </w:pPr>
          </w:p>
        </w:tc>
        <w:tc>
          <w:tcPr>
            <w:tcW w:w="1080" w:type="dxa"/>
            <w:vAlign w:val="bottom"/>
            <w:shd w:val="clear" w:color="auto" w:fill="C00000"/>
          </w:tcPr>
          <w:p>
            <w:pPr>
              <w:spacing w:after="0"/>
              <w:rPr>
                <w:sz w:val="12"/>
                <w:szCs w:val="12"/>
                <w:color w:val="auto"/>
              </w:rPr>
            </w:pPr>
          </w:p>
        </w:tc>
        <w:tc>
          <w:tcPr>
            <w:tcW w:w="1080" w:type="dxa"/>
            <w:vAlign w:val="bottom"/>
            <w:shd w:val="clear" w:color="auto" w:fill="C00000"/>
          </w:tcPr>
          <w:p>
            <w:pPr>
              <w:spacing w:after="0"/>
              <w:rPr>
                <w:sz w:val="12"/>
                <w:szCs w:val="12"/>
                <w:color w:val="auto"/>
              </w:rPr>
            </w:pPr>
          </w:p>
        </w:tc>
        <w:tc>
          <w:tcPr>
            <w:tcW w:w="96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b w:val="1"/>
                <w:bCs w:val="1"/>
                <w:color w:val="FFFFFF"/>
              </w:rPr>
              <w:t>Expiration</w:t>
            </w:r>
          </w:p>
        </w:tc>
      </w:tr>
      <w:tr>
        <w:trPr>
          <w:trHeight w:val="159"/>
        </w:trPr>
        <w:tc>
          <w:tcPr>
            <w:tcW w:w="192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1200" w:type="dxa"/>
            <w:vAlign w:val="bottom"/>
            <w:shd w:val="clear" w:color="auto" w:fill="C00000"/>
          </w:tcPr>
          <w:p>
            <w:pPr>
              <w:jc w:val="right"/>
              <w:ind w:right="215"/>
              <w:spacing w:after="0"/>
              <w:rPr>
                <w:sz w:val="20"/>
                <w:szCs w:val="20"/>
                <w:color w:val="auto"/>
              </w:rPr>
            </w:pPr>
            <w:r>
              <w:rPr>
                <w:rFonts w:ascii="Arial" w:cs="Arial" w:eastAsia="Arial" w:hAnsi="Arial"/>
                <w:sz w:val="13"/>
                <w:szCs w:val="13"/>
                <w:b w:val="1"/>
                <w:bCs w:val="1"/>
                <w:color w:val="FFFFFF"/>
              </w:rPr>
              <w:t>Grant Date</w:t>
            </w:r>
          </w:p>
        </w:tc>
        <w:tc>
          <w:tcPr>
            <w:tcW w:w="1060" w:type="dxa"/>
            <w:vAlign w:val="bottom"/>
            <w:shd w:val="clear" w:color="auto" w:fill="C00000"/>
          </w:tcPr>
          <w:p>
            <w:pPr>
              <w:jc w:val="right"/>
              <w:ind w:right="215"/>
              <w:spacing w:after="0"/>
              <w:rPr>
                <w:sz w:val="20"/>
                <w:szCs w:val="20"/>
                <w:color w:val="auto"/>
              </w:rPr>
            </w:pPr>
            <w:r>
              <w:rPr>
                <w:rFonts w:ascii="Arial" w:cs="Arial" w:eastAsia="Arial" w:hAnsi="Arial"/>
                <w:sz w:val="13"/>
                <w:szCs w:val="13"/>
                <w:b w:val="1"/>
                <w:bCs w:val="1"/>
                <w:color w:val="FFFFFF"/>
              </w:rPr>
              <w:t>12/07/2019</w:t>
            </w:r>
          </w:p>
        </w:tc>
        <w:tc>
          <w:tcPr>
            <w:tcW w:w="1060" w:type="dxa"/>
            <w:vAlign w:val="bottom"/>
            <w:shd w:val="clear" w:color="auto" w:fill="C00000"/>
          </w:tcPr>
          <w:p>
            <w:pPr>
              <w:jc w:val="right"/>
              <w:ind w:right="215"/>
              <w:spacing w:after="0"/>
              <w:rPr>
                <w:sz w:val="20"/>
                <w:szCs w:val="20"/>
                <w:color w:val="auto"/>
              </w:rPr>
            </w:pPr>
            <w:r>
              <w:rPr>
                <w:rFonts w:ascii="Arial" w:cs="Arial" w:eastAsia="Arial" w:hAnsi="Arial"/>
                <w:sz w:val="13"/>
                <w:szCs w:val="13"/>
                <w:b w:val="1"/>
                <w:bCs w:val="1"/>
                <w:color w:val="FFFFFF"/>
              </w:rPr>
              <w:t>12/08/2019</w:t>
            </w:r>
          </w:p>
        </w:tc>
        <w:tc>
          <w:tcPr>
            <w:tcW w:w="1080" w:type="dxa"/>
            <w:vAlign w:val="bottom"/>
            <w:shd w:val="clear" w:color="auto" w:fill="C00000"/>
          </w:tcPr>
          <w:p>
            <w:pPr>
              <w:jc w:val="right"/>
              <w:ind w:right="215"/>
              <w:spacing w:after="0"/>
              <w:rPr>
                <w:sz w:val="20"/>
                <w:szCs w:val="20"/>
                <w:color w:val="auto"/>
              </w:rPr>
            </w:pPr>
            <w:r>
              <w:rPr>
                <w:rFonts w:ascii="Arial" w:cs="Arial" w:eastAsia="Arial" w:hAnsi="Arial"/>
                <w:sz w:val="13"/>
                <w:szCs w:val="13"/>
                <w:b w:val="1"/>
                <w:bCs w:val="1"/>
                <w:color w:val="FFFFFF"/>
              </w:rPr>
              <w:t>12/09/2019</w:t>
            </w:r>
          </w:p>
        </w:tc>
        <w:tc>
          <w:tcPr>
            <w:tcW w:w="1080" w:type="dxa"/>
            <w:vAlign w:val="bottom"/>
            <w:shd w:val="clear" w:color="auto" w:fill="C00000"/>
          </w:tcPr>
          <w:p>
            <w:pPr>
              <w:jc w:val="right"/>
              <w:ind w:right="235"/>
              <w:spacing w:after="0"/>
              <w:rPr>
                <w:sz w:val="20"/>
                <w:szCs w:val="20"/>
                <w:color w:val="auto"/>
              </w:rPr>
            </w:pPr>
            <w:r>
              <w:rPr>
                <w:rFonts w:ascii="Arial" w:cs="Arial" w:eastAsia="Arial" w:hAnsi="Arial"/>
                <w:sz w:val="13"/>
                <w:szCs w:val="13"/>
                <w:b w:val="1"/>
                <w:bCs w:val="1"/>
                <w:color w:val="FFFFFF"/>
              </w:rPr>
              <w:t>12/07/2020</w:t>
            </w:r>
          </w:p>
        </w:tc>
        <w:tc>
          <w:tcPr>
            <w:tcW w:w="1080" w:type="dxa"/>
            <w:vAlign w:val="bottom"/>
            <w:shd w:val="clear" w:color="auto" w:fill="C00000"/>
          </w:tcPr>
          <w:p>
            <w:pPr>
              <w:jc w:val="right"/>
              <w:ind w:right="235"/>
              <w:spacing w:after="0"/>
              <w:rPr>
                <w:sz w:val="20"/>
                <w:szCs w:val="20"/>
                <w:color w:val="auto"/>
              </w:rPr>
            </w:pPr>
            <w:r>
              <w:rPr>
                <w:rFonts w:ascii="Arial" w:cs="Arial" w:eastAsia="Arial" w:hAnsi="Arial"/>
                <w:sz w:val="13"/>
                <w:szCs w:val="13"/>
                <w:b w:val="1"/>
                <w:bCs w:val="1"/>
                <w:color w:val="FFFFFF"/>
              </w:rPr>
              <w:t>12/08/2020</w:t>
            </w:r>
          </w:p>
        </w:tc>
        <w:tc>
          <w:tcPr>
            <w:tcW w:w="1080" w:type="dxa"/>
            <w:vAlign w:val="bottom"/>
            <w:shd w:val="clear" w:color="auto" w:fill="C00000"/>
          </w:tcPr>
          <w:p>
            <w:pPr>
              <w:jc w:val="right"/>
              <w:ind w:right="235"/>
              <w:spacing w:after="0"/>
              <w:rPr>
                <w:sz w:val="20"/>
                <w:szCs w:val="20"/>
                <w:color w:val="auto"/>
              </w:rPr>
            </w:pPr>
            <w:r>
              <w:rPr>
                <w:rFonts w:ascii="Arial" w:cs="Arial" w:eastAsia="Arial" w:hAnsi="Arial"/>
                <w:sz w:val="13"/>
                <w:szCs w:val="13"/>
                <w:b w:val="1"/>
                <w:bCs w:val="1"/>
                <w:color w:val="FFFFFF"/>
              </w:rPr>
              <w:t>12/07/2021</w:t>
            </w:r>
          </w:p>
        </w:tc>
        <w:tc>
          <w:tcPr>
            <w:tcW w:w="9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9"/>
              </w:rPr>
              <w:t>Date</w:t>
            </w:r>
          </w:p>
        </w:tc>
      </w:tr>
      <w:tr>
        <w:trPr>
          <w:trHeight w:val="173"/>
        </w:trPr>
        <w:tc>
          <w:tcPr>
            <w:tcW w:w="1920" w:type="dxa"/>
            <w:vAlign w:val="bottom"/>
          </w:tcPr>
          <w:p>
            <w:pPr>
              <w:spacing w:after="0"/>
              <w:rPr>
                <w:sz w:val="20"/>
                <w:szCs w:val="20"/>
                <w:color w:val="auto"/>
              </w:rPr>
            </w:pPr>
            <w:r>
              <w:rPr>
                <w:rFonts w:ascii="Arial" w:cs="Arial" w:eastAsia="Arial" w:hAnsi="Arial"/>
                <w:sz w:val="13"/>
                <w:szCs w:val="13"/>
                <w:color w:val="auto"/>
              </w:rPr>
              <w:t>Mr. Olson</w:t>
            </w:r>
          </w:p>
        </w:tc>
        <w:tc>
          <w:tcPr>
            <w:tcW w:w="1200" w:type="dxa"/>
            <w:vAlign w:val="bottom"/>
          </w:tcPr>
          <w:p>
            <w:pPr>
              <w:jc w:val="right"/>
              <w:ind w:right="75"/>
              <w:spacing w:after="0"/>
              <w:rPr>
                <w:sz w:val="20"/>
                <w:szCs w:val="20"/>
                <w:color w:val="auto"/>
              </w:rPr>
            </w:pPr>
            <w:r>
              <w:rPr>
                <w:rFonts w:ascii="Arial" w:cs="Arial" w:eastAsia="Arial" w:hAnsi="Arial"/>
                <w:sz w:val="13"/>
                <w:szCs w:val="13"/>
                <w:color w:val="auto"/>
              </w:rPr>
              <w:t>12/09/2016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right"/>
              <w:ind w:right="75"/>
              <w:spacing w:after="0"/>
              <w:rPr>
                <w:sz w:val="20"/>
                <w:szCs w:val="20"/>
                <w:color w:val="auto"/>
              </w:rPr>
            </w:pPr>
            <w:r>
              <w:rPr>
                <w:rFonts w:ascii="Arial" w:cs="Arial" w:eastAsia="Arial" w:hAnsi="Arial"/>
                <w:sz w:val="13"/>
                <w:szCs w:val="13"/>
                <w:color w:val="auto"/>
              </w:rPr>
              <w:t>39,800</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12/09/2026</w:t>
            </w:r>
          </w:p>
        </w:tc>
      </w:tr>
      <w:tr>
        <w:trPr>
          <w:trHeight w:val="159"/>
        </w:trPr>
        <w:tc>
          <w:tcPr>
            <w:tcW w:w="1920" w:type="dxa"/>
            <w:vAlign w:val="bottom"/>
          </w:tcPr>
          <w:p>
            <w:pPr>
              <w:spacing w:after="0"/>
              <w:rPr>
                <w:sz w:val="13"/>
                <w:szCs w:val="13"/>
                <w:color w:val="auto"/>
              </w:rPr>
            </w:pPr>
          </w:p>
        </w:tc>
        <w:tc>
          <w:tcPr>
            <w:tcW w:w="1200" w:type="dxa"/>
            <w:vAlign w:val="bottom"/>
          </w:tcPr>
          <w:p>
            <w:pPr>
              <w:jc w:val="right"/>
              <w:ind w:right="75"/>
              <w:spacing w:after="0"/>
              <w:rPr>
                <w:sz w:val="20"/>
                <w:szCs w:val="20"/>
                <w:color w:val="auto"/>
              </w:rPr>
            </w:pPr>
            <w:r>
              <w:rPr>
                <w:rFonts w:ascii="Arial" w:cs="Arial" w:eastAsia="Arial" w:hAnsi="Arial"/>
                <w:sz w:val="13"/>
                <w:szCs w:val="13"/>
                <w:color w:val="auto"/>
              </w:rPr>
              <w:t>12/08/2017</w:t>
            </w:r>
          </w:p>
        </w:tc>
        <w:tc>
          <w:tcPr>
            <w:tcW w:w="1060" w:type="dxa"/>
            <w:vAlign w:val="bottom"/>
          </w:tcPr>
          <w:p>
            <w:pPr>
              <w:spacing w:after="0"/>
              <w:rPr>
                <w:sz w:val="13"/>
                <w:szCs w:val="13"/>
                <w:color w:val="auto"/>
              </w:rPr>
            </w:pPr>
          </w:p>
        </w:tc>
        <w:tc>
          <w:tcPr>
            <w:tcW w:w="1060" w:type="dxa"/>
            <w:vAlign w:val="bottom"/>
          </w:tcPr>
          <w:p>
            <w:pPr>
              <w:jc w:val="right"/>
              <w:ind w:right="75"/>
              <w:spacing w:after="0"/>
              <w:rPr>
                <w:sz w:val="20"/>
                <w:szCs w:val="20"/>
                <w:color w:val="auto"/>
              </w:rPr>
            </w:pPr>
            <w:r>
              <w:rPr>
                <w:rFonts w:ascii="Arial" w:cs="Arial" w:eastAsia="Arial" w:hAnsi="Arial"/>
                <w:sz w:val="13"/>
                <w:szCs w:val="13"/>
                <w:color w:val="auto"/>
              </w:rPr>
              <w:t>34,133</w:t>
            </w: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jc w:val="right"/>
              <w:ind w:right="75"/>
              <w:spacing w:after="0"/>
              <w:rPr>
                <w:sz w:val="20"/>
                <w:szCs w:val="20"/>
                <w:color w:val="auto"/>
              </w:rPr>
            </w:pPr>
            <w:r>
              <w:rPr>
                <w:rFonts w:ascii="Arial" w:cs="Arial" w:eastAsia="Arial" w:hAnsi="Arial"/>
                <w:sz w:val="13"/>
                <w:szCs w:val="13"/>
                <w:color w:val="auto"/>
              </w:rPr>
              <w:t>34,134</w:t>
            </w:r>
          </w:p>
        </w:tc>
        <w:tc>
          <w:tcPr>
            <w:tcW w:w="10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12/08/2027</w:t>
            </w:r>
          </w:p>
        </w:tc>
      </w:tr>
      <w:tr>
        <w:trPr>
          <w:trHeight w:val="146"/>
        </w:trPr>
        <w:tc>
          <w:tcPr>
            <w:tcW w:w="1920" w:type="dxa"/>
            <w:vAlign w:val="bottom"/>
          </w:tcPr>
          <w:p>
            <w:pPr>
              <w:spacing w:after="0"/>
              <w:rPr>
                <w:sz w:val="12"/>
                <w:szCs w:val="12"/>
                <w:color w:val="auto"/>
              </w:rPr>
            </w:pPr>
          </w:p>
        </w:tc>
        <w:tc>
          <w:tcPr>
            <w:tcW w:w="12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12/07/2018</w:t>
            </w:r>
          </w:p>
        </w:tc>
        <w:tc>
          <w:tcPr>
            <w:tcW w:w="1060" w:type="dxa"/>
            <w:vAlign w:val="bottom"/>
          </w:tcPr>
          <w:p>
            <w:pPr>
              <w:jc w:val="right"/>
              <w:ind w:right="75"/>
              <w:spacing w:after="0" w:line="146" w:lineRule="exact"/>
              <w:rPr>
                <w:sz w:val="20"/>
                <w:szCs w:val="20"/>
                <w:color w:val="auto"/>
              </w:rPr>
            </w:pPr>
            <w:r>
              <w:rPr>
                <w:rFonts w:ascii="Arial" w:cs="Arial" w:eastAsia="Arial" w:hAnsi="Arial"/>
                <w:sz w:val="13"/>
                <w:szCs w:val="13"/>
                <w:color w:val="auto"/>
              </w:rPr>
              <w:t>45,700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right"/>
              <w:ind w:right="75"/>
              <w:spacing w:after="0" w:line="146" w:lineRule="exact"/>
              <w:rPr>
                <w:sz w:val="20"/>
                <w:szCs w:val="20"/>
                <w:color w:val="auto"/>
              </w:rPr>
            </w:pPr>
            <w:r>
              <w:rPr>
                <w:rFonts w:ascii="Arial" w:cs="Arial" w:eastAsia="Arial" w:hAnsi="Arial"/>
                <w:sz w:val="13"/>
                <w:szCs w:val="13"/>
                <w:color w:val="auto"/>
              </w:rPr>
              <w:t>45,700</w:t>
            </w:r>
          </w:p>
        </w:tc>
        <w:tc>
          <w:tcPr>
            <w:tcW w:w="1080" w:type="dxa"/>
            <w:vAlign w:val="bottom"/>
          </w:tcPr>
          <w:p>
            <w:pPr>
              <w:spacing w:after="0"/>
              <w:rPr>
                <w:sz w:val="12"/>
                <w:szCs w:val="12"/>
                <w:color w:val="auto"/>
              </w:rPr>
            </w:pPr>
          </w:p>
        </w:tc>
        <w:tc>
          <w:tcPr>
            <w:tcW w:w="1080" w:type="dxa"/>
            <w:vAlign w:val="bottom"/>
          </w:tcPr>
          <w:p>
            <w:pPr>
              <w:jc w:val="right"/>
              <w:ind w:right="95"/>
              <w:spacing w:after="0" w:line="146" w:lineRule="exact"/>
              <w:rPr>
                <w:sz w:val="20"/>
                <w:szCs w:val="20"/>
                <w:color w:val="auto"/>
              </w:rPr>
            </w:pPr>
            <w:r>
              <w:rPr>
                <w:rFonts w:ascii="Arial" w:cs="Arial" w:eastAsia="Arial" w:hAnsi="Arial"/>
                <w:sz w:val="13"/>
                <w:szCs w:val="13"/>
                <w:color w:val="auto"/>
              </w:rPr>
              <w:t>45,700</w:t>
            </w:r>
          </w:p>
        </w:tc>
        <w:tc>
          <w:tcPr>
            <w:tcW w:w="960" w:type="dxa"/>
            <w:vAlign w:val="bottom"/>
          </w:tcPr>
          <w:p>
            <w:pPr>
              <w:jc w:val="right"/>
              <w:spacing w:after="0" w:line="146" w:lineRule="exact"/>
              <w:rPr>
                <w:sz w:val="20"/>
                <w:szCs w:val="20"/>
                <w:color w:val="auto"/>
              </w:rPr>
            </w:pPr>
            <w:r>
              <w:rPr>
                <w:rFonts w:ascii="Arial" w:cs="Arial" w:eastAsia="Arial" w:hAnsi="Arial"/>
                <w:sz w:val="13"/>
                <w:szCs w:val="13"/>
                <w:color w:val="auto"/>
              </w:rPr>
              <w:t>12/07/2028</w:t>
            </w:r>
          </w:p>
        </w:tc>
      </w:tr>
      <w:tr>
        <w:trPr>
          <w:trHeight w:val="159"/>
        </w:trPr>
        <w:tc>
          <w:tcPr>
            <w:tcW w:w="1920" w:type="dxa"/>
            <w:vAlign w:val="bottom"/>
            <w:shd w:val="clear" w:color="auto" w:fill="D9D9D9"/>
          </w:tcPr>
          <w:p>
            <w:pPr>
              <w:spacing w:after="0"/>
              <w:rPr>
                <w:sz w:val="20"/>
                <w:szCs w:val="20"/>
                <w:color w:val="auto"/>
              </w:rPr>
            </w:pPr>
            <w:r>
              <w:rPr>
                <w:rFonts w:ascii="Arial" w:cs="Arial" w:eastAsia="Arial" w:hAnsi="Arial"/>
                <w:sz w:val="13"/>
                <w:szCs w:val="13"/>
                <w:color w:val="auto"/>
              </w:rPr>
              <w:t>Ms. Peterson</w:t>
            </w:r>
          </w:p>
        </w:tc>
        <w:tc>
          <w:tcPr>
            <w:tcW w:w="120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12/09/2016</w:t>
            </w:r>
          </w:p>
        </w:tc>
        <w:tc>
          <w:tcPr>
            <w:tcW w:w="1060" w:type="dxa"/>
            <w:vAlign w:val="bottom"/>
            <w:shd w:val="clear" w:color="auto" w:fill="D9D9D9"/>
          </w:tcPr>
          <w:p>
            <w:pPr>
              <w:spacing w:after="0"/>
              <w:rPr>
                <w:sz w:val="13"/>
                <w:szCs w:val="13"/>
                <w:color w:val="auto"/>
              </w:rPr>
            </w:pPr>
          </w:p>
        </w:tc>
        <w:tc>
          <w:tcPr>
            <w:tcW w:w="1060" w:type="dxa"/>
            <w:vAlign w:val="bottom"/>
            <w:shd w:val="clear" w:color="auto" w:fill="D9D9D9"/>
          </w:tcPr>
          <w:p>
            <w:pPr>
              <w:spacing w:after="0"/>
              <w:rPr>
                <w:sz w:val="13"/>
                <w:szCs w:val="13"/>
                <w:color w:val="auto"/>
              </w:rPr>
            </w:pPr>
          </w:p>
        </w:tc>
        <w:tc>
          <w:tcPr>
            <w:tcW w:w="108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12,100</w:t>
            </w: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12/09/2026</w:t>
            </w:r>
          </w:p>
        </w:tc>
      </w:tr>
      <w:tr>
        <w:trPr>
          <w:trHeight w:val="159"/>
        </w:trPr>
        <w:tc>
          <w:tcPr>
            <w:tcW w:w="1920" w:type="dxa"/>
            <w:vAlign w:val="bottom"/>
            <w:shd w:val="clear" w:color="auto" w:fill="D9D9D9"/>
          </w:tcPr>
          <w:p>
            <w:pPr>
              <w:spacing w:after="0"/>
              <w:rPr>
                <w:sz w:val="13"/>
                <w:szCs w:val="13"/>
                <w:color w:val="auto"/>
              </w:rPr>
            </w:pPr>
          </w:p>
        </w:tc>
        <w:tc>
          <w:tcPr>
            <w:tcW w:w="120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12/08/2017</w:t>
            </w:r>
          </w:p>
        </w:tc>
        <w:tc>
          <w:tcPr>
            <w:tcW w:w="1060" w:type="dxa"/>
            <w:vAlign w:val="bottom"/>
            <w:shd w:val="clear" w:color="auto" w:fill="D9D9D9"/>
          </w:tcPr>
          <w:p>
            <w:pPr>
              <w:spacing w:after="0"/>
              <w:rPr>
                <w:sz w:val="13"/>
                <w:szCs w:val="13"/>
                <w:color w:val="auto"/>
              </w:rPr>
            </w:pPr>
          </w:p>
        </w:tc>
        <w:tc>
          <w:tcPr>
            <w:tcW w:w="10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9,467</w:t>
            </w: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9,467</w:t>
            </w:r>
          </w:p>
        </w:tc>
        <w:tc>
          <w:tcPr>
            <w:tcW w:w="1080" w:type="dxa"/>
            <w:vAlign w:val="bottom"/>
            <w:shd w:val="clear" w:color="auto" w:fill="D9D9D9"/>
          </w:tcPr>
          <w:p>
            <w:pPr>
              <w:spacing w:after="0"/>
              <w:rPr>
                <w:sz w:val="13"/>
                <w:szCs w:val="13"/>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12/08/2027</w:t>
            </w:r>
          </w:p>
        </w:tc>
      </w:tr>
      <w:tr>
        <w:trPr>
          <w:trHeight w:val="159"/>
        </w:trPr>
        <w:tc>
          <w:tcPr>
            <w:tcW w:w="1920" w:type="dxa"/>
            <w:vAlign w:val="bottom"/>
            <w:shd w:val="clear" w:color="auto" w:fill="D9D9D9"/>
          </w:tcPr>
          <w:p>
            <w:pPr>
              <w:spacing w:after="0"/>
              <w:rPr>
                <w:sz w:val="13"/>
                <w:szCs w:val="13"/>
                <w:color w:val="auto"/>
              </w:rPr>
            </w:pPr>
          </w:p>
        </w:tc>
        <w:tc>
          <w:tcPr>
            <w:tcW w:w="120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12/07/2018</w:t>
            </w:r>
          </w:p>
        </w:tc>
        <w:tc>
          <w:tcPr>
            <w:tcW w:w="10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11,133</w:t>
            </w:r>
          </w:p>
        </w:tc>
        <w:tc>
          <w:tcPr>
            <w:tcW w:w="106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11,133</w:t>
            </w: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11,134</w:t>
            </w:r>
          </w:p>
        </w:tc>
        <w:tc>
          <w:tcPr>
            <w:tcW w:w="9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12/07/2028</w:t>
            </w:r>
          </w:p>
        </w:tc>
      </w:tr>
      <w:tr>
        <w:trPr>
          <w:trHeight w:val="173"/>
        </w:trPr>
        <w:tc>
          <w:tcPr>
            <w:tcW w:w="1920" w:type="dxa"/>
            <w:vAlign w:val="bottom"/>
          </w:tcPr>
          <w:p>
            <w:pPr>
              <w:spacing w:after="0"/>
              <w:rPr>
                <w:sz w:val="20"/>
                <w:szCs w:val="20"/>
                <w:color w:val="auto"/>
              </w:rPr>
            </w:pPr>
            <w:r>
              <w:rPr>
                <w:rFonts w:ascii="Arial" w:cs="Arial" w:eastAsia="Arial" w:hAnsi="Arial"/>
                <w:sz w:val="13"/>
                <w:szCs w:val="13"/>
                <w:color w:val="auto"/>
              </w:rPr>
              <w:t>Mr. Dordell</w:t>
            </w:r>
          </w:p>
        </w:tc>
        <w:tc>
          <w:tcPr>
            <w:tcW w:w="1200" w:type="dxa"/>
            <w:vAlign w:val="bottom"/>
          </w:tcPr>
          <w:p>
            <w:pPr>
              <w:jc w:val="right"/>
              <w:ind w:right="75"/>
              <w:spacing w:after="0"/>
              <w:rPr>
                <w:sz w:val="20"/>
                <w:szCs w:val="20"/>
                <w:color w:val="auto"/>
              </w:rPr>
            </w:pPr>
            <w:r>
              <w:rPr>
                <w:rFonts w:ascii="Arial" w:cs="Arial" w:eastAsia="Arial" w:hAnsi="Arial"/>
                <w:sz w:val="13"/>
                <w:szCs w:val="13"/>
                <w:color w:val="auto"/>
              </w:rPr>
              <w:t>12/09/2016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right"/>
              <w:ind w:right="75"/>
              <w:spacing w:after="0"/>
              <w:rPr>
                <w:sz w:val="20"/>
                <w:szCs w:val="20"/>
                <w:color w:val="auto"/>
              </w:rPr>
            </w:pPr>
            <w:r>
              <w:rPr>
                <w:rFonts w:ascii="Arial" w:cs="Arial" w:eastAsia="Arial" w:hAnsi="Arial"/>
                <w:sz w:val="13"/>
                <w:szCs w:val="13"/>
                <w:color w:val="auto"/>
              </w:rPr>
              <w:t>8,100</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12/09/2026</w:t>
            </w:r>
          </w:p>
        </w:tc>
      </w:tr>
      <w:tr>
        <w:trPr>
          <w:trHeight w:val="159"/>
        </w:trPr>
        <w:tc>
          <w:tcPr>
            <w:tcW w:w="1920" w:type="dxa"/>
            <w:vAlign w:val="bottom"/>
          </w:tcPr>
          <w:p>
            <w:pPr>
              <w:spacing w:after="0"/>
              <w:rPr>
                <w:sz w:val="13"/>
                <w:szCs w:val="13"/>
                <w:color w:val="auto"/>
              </w:rPr>
            </w:pPr>
          </w:p>
        </w:tc>
        <w:tc>
          <w:tcPr>
            <w:tcW w:w="1200" w:type="dxa"/>
            <w:vAlign w:val="bottom"/>
          </w:tcPr>
          <w:p>
            <w:pPr>
              <w:jc w:val="right"/>
              <w:ind w:right="75"/>
              <w:spacing w:after="0"/>
              <w:rPr>
                <w:sz w:val="20"/>
                <w:szCs w:val="20"/>
                <w:color w:val="auto"/>
              </w:rPr>
            </w:pPr>
            <w:r>
              <w:rPr>
                <w:rFonts w:ascii="Arial" w:cs="Arial" w:eastAsia="Arial" w:hAnsi="Arial"/>
                <w:sz w:val="13"/>
                <w:szCs w:val="13"/>
                <w:color w:val="auto"/>
              </w:rPr>
              <w:t>12/08/2017</w:t>
            </w:r>
          </w:p>
        </w:tc>
        <w:tc>
          <w:tcPr>
            <w:tcW w:w="1060" w:type="dxa"/>
            <w:vAlign w:val="bottom"/>
          </w:tcPr>
          <w:p>
            <w:pPr>
              <w:spacing w:after="0"/>
              <w:rPr>
                <w:sz w:val="13"/>
                <w:szCs w:val="13"/>
                <w:color w:val="auto"/>
              </w:rPr>
            </w:pPr>
          </w:p>
        </w:tc>
        <w:tc>
          <w:tcPr>
            <w:tcW w:w="1060" w:type="dxa"/>
            <w:vAlign w:val="bottom"/>
          </w:tcPr>
          <w:p>
            <w:pPr>
              <w:jc w:val="right"/>
              <w:ind w:right="75"/>
              <w:spacing w:after="0"/>
              <w:rPr>
                <w:sz w:val="20"/>
                <w:szCs w:val="20"/>
                <w:color w:val="auto"/>
              </w:rPr>
            </w:pPr>
            <w:r>
              <w:rPr>
                <w:rFonts w:ascii="Arial" w:cs="Arial" w:eastAsia="Arial" w:hAnsi="Arial"/>
                <w:sz w:val="13"/>
                <w:szCs w:val="13"/>
                <w:color w:val="auto"/>
              </w:rPr>
              <w:t>6,333</w:t>
            </w: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jc w:val="right"/>
              <w:ind w:right="75"/>
              <w:spacing w:after="0"/>
              <w:rPr>
                <w:sz w:val="20"/>
                <w:szCs w:val="20"/>
                <w:color w:val="auto"/>
              </w:rPr>
            </w:pPr>
            <w:r>
              <w:rPr>
                <w:rFonts w:ascii="Arial" w:cs="Arial" w:eastAsia="Arial" w:hAnsi="Arial"/>
                <w:sz w:val="13"/>
                <w:szCs w:val="13"/>
                <w:color w:val="auto"/>
              </w:rPr>
              <w:t>6,334</w:t>
            </w:r>
          </w:p>
        </w:tc>
        <w:tc>
          <w:tcPr>
            <w:tcW w:w="10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12/08/2027</w:t>
            </w:r>
          </w:p>
        </w:tc>
      </w:tr>
      <w:tr>
        <w:trPr>
          <w:trHeight w:val="146"/>
        </w:trPr>
        <w:tc>
          <w:tcPr>
            <w:tcW w:w="1920" w:type="dxa"/>
            <w:vAlign w:val="bottom"/>
          </w:tcPr>
          <w:p>
            <w:pPr>
              <w:spacing w:after="0"/>
              <w:rPr>
                <w:sz w:val="12"/>
                <w:szCs w:val="12"/>
                <w:color w:val="auto"/>
              </w:rPr>
            </w:pPr>
          </w:p>
        </w:tc>
        <w:tc>
          <w:tcPr>
            <w:tcW w:w="1200" w:type="dxa"/>
            <w:vAlign w:val="bottom"/>
          </w:tcPr>
          <w:p>
            <w:pPr>
              <w:jc w:val="right"/>
              <w:ind w:right="75"/>
              <w:spacing w:after="0" w:line="146" w:lineRule="exact"/>
              <w:rPr>
                <w:sz w:val="20"/>
                <w:szCs w:val="20"/>
                <w:color w:val="auto"/>
              </w:rPr>
            </w:pPr>
            <w:r>
              <w:rPr>
                <w:rFonts w:ascii="Arial" w:cs="Arial" w:eastAsia="Arial" w:hAnsi="Arial"/>
                <w:sz w:val="13"/>
                <w:szCs w:val="13"/>
                <w:color w:val="auto"/>
              </w:rPr>
              <w:t>12/07/2018</w:t>
            </w:r>
          </w:p>
        </w:tc>
        <w:tc>
          <w:tcPr>
            <w:tcW w:w="1060" w:type="dxa"/>
            <w:vAlign w:val="bottom"/>
          </w:tcPr>
          <w:p>
            <w:pPr>
              <w:jc w:val="right"/>
              <w:ind w:right="75"/>
              <w:spacing w:after="0" w:line="146" w:lineRule="exact"/>
              <w:rPr>
                <w:sz w:val="20"/>
                <w:szCs w:val="20"/>
                <w:color w:val="auto"/>
              </w:rPr>
            </w:pPr>
            <w:r>
              <w:rPr>
                <w:rFonts w:ascii="Arial" w:cs="Arial" w:eastAsia="Arial" w:hAnsi="Arial"/>
                <w:sz w:val="13"/>
                <w:szCs w:val="13"/>
                <w:color w:val="auto"/>
              </w:rPr>
              <w:t>7,200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right"/>
              <w:ind w:right="75"/>
              <w:spacing w:after="0" w:line="146" w:lineRule="exact"/>
              <w:rPr>
                <w:sz w:val="20"/>
                <w:szCs w:val="20"/>
                <w:color w:val="auto"/>
              </w:rPr>
            </w:pPr>
            <w:r>
              <w:rPr>
                <w:rFonts w:ascii="Arial" w:cs="Arial" w:eastAsia="Arial" w:hAnsi="Arial"/>
                <w:sz w:val="13"/>
                <w:szCs w:val="13"/>
                <w:color w:val="auto"/>
              </w:rPr>
              <w:t>7,200</w:t>
            </w:r>
          </w:p>
        </w:tc>
        <w:tc>
          <w:tcPr>
            <w:tcW w:w="1080" w:type="dxa"/>
            <w:vAlign w:val="bottom"/>
          </w:tcPr>
          <w:p>
            <w:pPr>
              <w:spacing w:after="0"/>
              <w:rPr>
                <w:sz w:val="12"/>
                <w:szCs w:val="12"/>
                <w:color w:val="auto"/>
              </w:rPr>
            </w:pPr>
          </w:p>
        </w:tc>
        <w:tc>
          <w:tcPr>
            <w:tcW w:w="1080" w:type="dxa"/>
            <w:vAlign w:val="bottom"/>
          </w:tcPr>
          <w:p>
            <w:pPr>
              <w:jc w:val="right"/>
              <w:ind w:right="95"/>
              <w:spacing w:after="0" w:line="146" w:lineRule="exact"/>
              <w:rPr>
                <w:sz w:val="20"/>
                <w:szCs w:val="20"/>
                <w:color w:val="auto"/>
              </w:rPr>
            </w:pPr>
            <w:r>
              <w:rPr>
                <w:rFonts w:ascii="Arial" w:cs="Arial" w:eastAsia="Arial" w:hAnsi="Arial"/>
                <w:sz w:val="13"/>
                <w:szCs w:val="13"/>
                <w:color w:val="auto"/>
              </w:rPr>
              <w:t>7,200</w:t>
            </w:r>
          </w:p>
        </w:tc>
        <w:tc>
          <w:tcPr>
            <w:tcW w:w="960" w:type="dxa"/>
            <w:vAlign w:val="bottom"/>
          </w:tcPr>
          <w:p>
            <w:pPr>
              <w:jc w:val="right"/>
              <w:spacing w:after="0" w:line="146" w:lineRule="exact"/>
              <w:rPr>
                <w:sz w:val="20"/>
                <w:szCs w:val="20"/>
                <w:color w:val="auto"/>
              </w:rPr>
            </w:pPr>
            <w:r>
              <w:rPr>
                <w:rFonts w:ascii="Arial" w:cs="Arial" w:eastAsia="Arial" w:hAnsi="Arial"/>
                <w:sz w:val="13"/>
                <w:szCs w:val="13"/>
                <w:color w:val="auto"/>
              </w:rPr>
              <w:t>12/07/2028</w:t>
            </w:r>
          </w:p>
        </w:tc>
      </w:tr>
      <w:tr>
        <w:trPr>
          <w:trHeight w:val="159"/>
        </w:trPr>
        <w:tc>
          <w:tcPr>
            <w:tcW w:w="1920" w:type="dxa"/>
            <w:vAlign w:val="bottom"/>
            <w:shd w:val="clear" w:color="auto" w:fill="D9D9D9"/>
          </w:tcPr>
          <w:p>
            <w:pPr>
              <w:spacing w:after="0"/>
              <w:rPr>
                <w:sz w:val="20"/>
                <w:szCs w:val="20"/>
                <w:color w:val="auto"/>
              </w:rPr>
            </w:pPr>
            <w:r>
              <w:rPr>
                <w:rFonts w:ascii="Arial" w:cs="Arial" w:eastAsia="Arial" w:hAnsi="Arial"/>
                <w:sz w:val="13"/>
                <w:szCs w:val="13"/>
                <w:color w:val="auto"/>
              </w:rPr>
              <w:t>Mr. Hamilton</w:t>
            </w:r>
          </w:p>
        </w:tc>
        <w:tc>
          <w:tcPr>
            <w:tcW w:w="120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12/09/2016</w:t>
            </w:r>
          </w:p>
        </w:tc>
        <w:tc>
          <w:tcPr>
            <w:tcW w:w="1060" w:type="dxa"/>
            <w:vAlign w:val="bottom"/>
            <w:shd w:val="clear" w:color="auto" w:fill="D9D9D9"/>
          </w:tcPr>
          <w:p>
            <w:pPr>
              <w:spacing w:after="0"/>
              <w:rPr>
                <w:sz w:val="13"/>
                <w:szCs w:val="13"/>
                <w:color w:val="auto"/>
              </w:rPr>
            </w:pPr>
          </w:p>
        </w:tc>
        <w:tc>
          <w:tcPr>
            <w:tcW w:w="1060" w:type="dxa"/>
            <w:vAlign w:val="bottom"/>
            <w:shd w:val="clear" w:color="auto" w:fill="D9D9D9"/>
          </w:tcPr>
          <w:p>
            <w:pPr>
              <w:spacing w:after="0"/>
              <w:rPr>
                <w:sz w:val="13"/>
                <w:szCs w:val="13"/>
                <w:color w:val="auto"/>
              </w:rPr>
            </w:pPr>
          </w:p>
        </w:tc>
        <w:tc>
          <w:tcPr>
            <w:tcW w:w="108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3,400</w:t>
            </w: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12/09/2026</w:t>
            </w:r>
          </w:p>
        </w:tc>
      </w:tr>
      <w:tr>
        <w:trPr>
          <w:trHeight w:val="159"/>
        </w:trPr>
        <w:tc>
          <w:tcPr>
            <w:tcW w:w="1920" w:type="dxa"/>
            <w:vAlign w:val="bottom"/>
            <w:shd w:val="clear" w:color="auto" w:fill="D9D9D9"/>
          </w:tcPr>
          <w:p>
            <w:pPr>
              <w:spacing w:after="0"/>
              <w:rPr>
                <w:sz w:val="13"/>
                <w:szCs w:val="13"/>
                <w:color w:val="auto"/>
              </w:rPr>
            </w:pPr>
          </w:p>
        </w:tc>
        <w:tc>
          <w:tcPr>
            <w:tcW w:w="120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12/08/2017</w:t>
            </w:r>
          </w:p>
        </w:tc>
        <w:tc>
          <w:tcPr>
            <w:tcW w:w="1060" w:type="dxa"/>
            <w:vAlign w:val="bottom"/>
            <w:shd w:val="clear" w:color="auto" w:fill="D9D9D9"/>
          </w:tcPr>
          <w:p>
            <w:pPr>
              <w:spacing w:after="0"/>
              <w:rPr>
                <w:sz w:val="13"/>
                <w:szCs w:val="13"/>
                <w:color w:val="auto"/>
              </w:rPr>
            </w:pPr>
          </w:p>
        </w:tc>
        <w:tc>
          <w:tcPr>
            <w:tcW w:w="10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4,733</w:t>
            </w: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4,734</w:t>
            </w:r>
          </w:p>
        </w:tc>
        <w:tc>
          <w:tcPr>
            <w:tcW w:w="1080" w:type="dxa"/>
            <w:vAlign w:val="bottom"/>
            <w:shd w:val="clear" w:color="auto" w:fill="D9D9D9"/>
          </w:tcPr>
          <w:p>
            <w:pPr>
              <w:spacing w:after="0"/>
              <w:rPr>
                <w:sz w:val="13"/>
                <w:szCs w:val="13"/>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12/08/2027</w:t>
            </w:r>
          </w:p>
        </w:tc>
      </w:tr>
      <w:tr>
        <w:trPr>
          <w:trHeight w:val="159"/>
        </w:trPr>
        <w:tc>
          <w:tcPr>
            <w:tcW w:w="1920" w:type="dxa"/>
            <w:vAlign w:val="bottom"/>
            <w:shd w:val="clear" w:color="auto" w:fill="D9D9D9"/>
          </w:tcPr>
          <w:p>
            <w:pPr>
              <w:spacing w:after="0"/>
              <w:rPr>
                <w:sz w:val="13"/>
                <w:szCs w:val="13"/>
                <w:color w:val="auto"/>
              </w:rPr>
            </w:pPr>
          </w:p>
        </w:tc>
        <w:tc>
          <w:tcPr>
            <w:tcW w:w="120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12/07/2018</w:t>
            </w:r>
          </w:p>
        </w:tc>
        <w:tc>
          <w:tcPr>
            <w:tcW w:w="106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7,200</w:t>
            </w:r>
          </w:p>
        </w:tc>
        <w:tc>
          <w:tcPr>
            <w:tcW w:w="1060" w:type="dxa"/>
            <w:vAlign w:val="bottom"/>
            <w:shd w:val="clear" w:color="auto" w:fill="D9D9D9"/>
          </w:tcPr>
          <w:p>
            <w:pPr>
              <w:spacing w:after="0"/>
              <w:rPr>
                <w:sz w:val="13"/>
                <w:szCs w:val="13"/>
                <w:color w:val="auto"/>
              </w:rPr>
            </w:pP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jc w:val="right"/>
              <w:ind w:right="75"/>
              <w:spacing w:after="0"/>
              <w:rPr>
                <w:sz w:val="20"/>
                <w:szCs w:val="20"/>
                <w:color w:val="auto"/>
              </w:rPr>
            </w:pPr>
            <w:r>
              <w:rPr>
                <w:rFonts w:ascii="Arial" w:cs="Arial" w:eastAsia="Arial" w:hAnsi="Arial"/>
                <w:sz w:val="13"/>
                <w:szCs w:val="13"/>
                <w:color w:val="auto"/>
              </w:rPr>
              <w:t>7,200</w:t>
            </w:r>
          </w:p>
        </w:tc>
        <w:tc>
          <w:tcPr>
            <w:tcW w:w="1080" w:type="dxa"/>
            <w:vAlign w:val="bottom"/>
            <w:shd w:val="clear" w:color="auto" w:fill="D9D9D9"/>
          </w:tcPr>
          <w:p>
            <w:pPr>
              <w:spacing w:after="0"/>
              <w:rPr>
                <w:sz w:val="13"/>
                <w:szCs w:val="13"/>
                <w:color w:val="auto"/>
              </w:rPr>
            </w:pPr>
          </w:p>
        </w:tc>
        <w:tc>
          <w:tcPr>
            <w:tcW w:w="1080" w:type="dxa"/>
            <w:vAlign w:val="bottom"/>
            <w:shd w:val="clear" w:color="auto" w:fill="D9D9D9"/>
          </w:tcPr>
          <w:p>
            <w:pPr>
              <w:jc w:val="right"/>
              <w:ind w:right="95"/>
              <w:spacing w:after="0"/>
              <w:rPr>
                <w:sz w:val="20"/>
                <w:szCs w:val="20"/>
                <w:color w:val="auto"/>
              </w:rPr>
            </w:pPr>
            <w:r>
              <w:rPr>
                <w:rFonts w:ascii="Arial" w:cs="Arial" w:eastAsia="Arial" w:hAnsi="Arial"/>
                <w:sz w:val="13"/>
                <w:szCs w:val="13"/>
                <w:color w:val="auto"/>
              </w:rPr>
              <w:t>7,200</w:t>
            </w:r>
          </w:p>
        </w:tc>
        <w:tc>
          <w:tcPr>
            <w:tcW w:w="9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12/07/2028</w:t>
            </w:r>
          </w:p>
        </w:tc>
      </w:tr>
      <w:tr>
        <w:trPr>
          <w:trHeight w:val="173"/>
        </w:trPr>
        <w:tc>
          <w:tcPr>
            <w:tcW w:w="1920" w:type="dxa"/>
            <w:vAlign w:val="bottom"/>
          </w:tcPr>
          <w:p>
            <w:pPr>
              <w:spacing w:after="0"/>
              <w:rPr>
                <w:sz w:val="20"/>
                <w:szCs w:val="20"/>
                <w:color w:val="auto"/>
              </w:rPr>
            </w:pPr>
            <w:r>
              <w:rPr>
                <w:rFonts w:ascii="Arial" w:cs="Arial" w:eastAsia="Arial" w:hAnsi="Arial"/>
                <w:sz w:val="13"/>
                <w:szCs w:val="13"/>
                <w:color w:val="auto"/>
              </w:rPr>
              <w:t>Mr. Rodier</w:t>
            </w:r>
          </w:p>
        </w:tc>
        <w:tc>
          <w:tcPr>
            <w:tcW w:w="1200" w:type="dxa"/>
            <w:vAlign w:val="bottom"/>
          </w:tcPr>
          <w:p>
            <w:pPr>
              <w:jc w:val="right"/>
              <w:ind w:right="75"/>
              <w:spacing w:after="0"/>
              <w:rPr>
                <w:sz w:val="20"/>
                <w:szCs w:val="20"/>
                <w:color w:val="auto"/>
              </w:rPr>
            </w:pPr>
            <w:r>
              <w:rPr>
                <w:rFonts w:ascii="Arial" w:cs="Arial" w:eastAsia="Arial" w:hAnsi="Arial"/>
                <w:sz w:val="13"/>
                <w:szCs w:val="13"/>
                <w:color w:val="auto"/>
              </w:rPr>
              <w:t>12/09/2016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right"/>
              <w:ind w:right="75"/>
              <w:spacing w:after="0"/>
              <w:rPr>
                <w:sz w:val="20"/>
                <w:szCs w:val="20"/>
                <w:color w:val="auto"/>
              </w:rPr>
            </w:pPr>
            <w:r>
              <w:rPr>
                <w:rFonts w:ascii="Arial" w:cs="Arial" w:eastAsia="Arial" w:hAnsi="Arial"/>
                <w:sz w:val="13"/>
                <w:szCs w:val="13"/>
                <w:color w:val="auto"/>
              </w:rPr>
              <w:t>2,134</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12/09/2026</w:t>
            </w:r>
          </w:p>
        </w:tc>
      </w:tr>
      <w:tr>
        <w:trPr>
          <w:trHeight w:val="159"/>
        </w:trPr>
        <w:tc>
          <w:tcPr>
            <w:tcW w:w="1920" w:type="dxa"/>
            <w:vAlign w:val="bottom"/>
          </w:tcPr>
          <w:p>
            <w:pPr>
              <w:spacing w:after="0"/>
              <w:rPr>
                <w:sz w:val="13"/>
                <w:szCs w:val="13"/>
                <w:color w:val="auto"/>
              </w:rPr>
            </w:pPr>
          </w:p>
        </w:tc>
        <w:tc>
          <w:tcPr>
            <w:tcW w:w="1200" w:type="dxa"/>
            <w:vAlign w:val="bottom"/>
          </w:tcPr>
          <w:p>
            <w:pPr>
              <w:jc w:val="right"/>
              <w:ind w:right="75"/>
              <w:spacing w:after="0"/>
              <w:rPr>
                <w:sz w:val="20"/>
                <w:szCs w:val="20"/>
                <w:color w:val="auto"/>
              </w:rPr>
            </w:pPr>
            <w:r>
              <w:rPr>
                <w:rFonts w:ascii="Arial" w:cs="Arial" w:eastAsia="Arial" w:hAnsi="Arial"/>
                <w:sz w:val="13"/>
                <w:szCs w:val="13"/>
                <w:color w:val="auto"/>
              </w:rPr>
              <w:t>12/08/2017</w:t>
            </w:r>
          </w:p>
        </w:tc>
        <w:tc>
          <w:tcPr>
            <w:tcW w:w="1060" w:type="dxa"/>
            <w:vAlign w:val="bottom"/>
          </w:tcPr>
          <w:p>
            <w:pPr>
              <w:spacing w:after="0"/>
              <w:rPr>
                <w:sz w:val="13"/>
                <w:szCs w:val="13"/>
                <w:color w:val="auto"/>
              </w:rPr>
            </w:pPr>
          </w:p>
        </w:tc>
        <w:tc>
          <w:tcPr>
            <w:tcW w:w="1060" w:type="dxa"/>
            <w:vAlign w:val="bottom"/>
          </w:tcPr>
          <w:p>
            <w:pPr>
              <w:jc w:val="right"/>
              <w:ind w:right="75"/>
              <w:spacing w:after="0"/>
              <w:rPr>
                <w:sz w:val="20"/>
                <w:szCs w:val="20"/>
                <w:color w:val="auto"/>
              </w:rPr>
            </w:pPr>
            <w:r>
              <w:rPr>
                <w:rFonts w:ascii="Arial" w:cs="Arial" w:eastAsia="Arial" w:hAnsi="Arial"/>
                <w:sz w:val="13"/>
                <w:szCs w:val="13"/>
                <w:color w:val="auto"/>
              </w:rPr>
              <w:t>2,200</w:t>
            </w: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jc w:val="right"/>
              <w:ind w:right="75"/>
              <w:spacing w:after="0"/>
              <w:rPr>
                <w:sz w:val="20"/>
                <w:szCs w:val="20"/>
                <w:color w:val="auto"/>
              </w:rPr>
            </w:pPr>
            <w:r>
              <w:rPr>
                <w:rFonts w:ascii="Arial" w:cs="Arial" w:eastAsia="Arial" w:hAnsi="Arial"/>
                <w:sz w:val="13"/>
                <w:szCs w:val="13"/>
                <w:color w:val="auto"/>
              </w:rPr>
              <w:t>2,200</w:t>
            </w:r>
          </w:p>
        </w:tc>
        <w:tc>
          <w:tcPr>
            <w:tcW w:w="10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12/08/2027</w:t>
            </w:r>
          </w:p>
        </w:tc>
      </w:tr>
      <w:tr>
        <w:trPr>
          <w:trHeight w:val="159"/>
        </w:trPr>
        <w:tc>
          <w:tcPr>
            <w:tcW w:w="1920" w:type="dxa"/>
            <w:vAlign w:val="bottom"/>
          </w:tcPr>
          <w:p>
            <w:pPr>
              <w:spacing w:after="0"/>
              <w:rPr>
                <w:sz w:val="13"/>
                <w:szCs w:val="13"/>
                <w:color w:val="auto"/>
              </w:rPr>
            </w:pPr>
          </w:p>
        </w:tc>
        <w:tc>
          <w:tcPr>
            <w:tcW w:w="1200" w:type="dxa"/>
            <w:vAlign w:val="bottom"/>
          </w:tcPr>
          <w:p>
            <w:pPr>
              <w:jc w:val="right"/>
              <w:ind w:right="75"/>
              <w:spacing w:after="0"/>
              <w:rPr>
                <w:sz w:val="20"/>
                <w:szCs w:val="20"/>
                <w:color w:val="auto"/>
              </w:rPr>
            </w:pPr>
            <w:r>
              <w:rPr>
                <w:rFonts w:ascii="Arial" w:cs="Arial" w:eastAsia="Arial" w:hAnsi="Arial"/>
                <w:sz w:val="13"/>
                <w:szCs w:val="13"/>
                <w:color w:val="auto"/>
              </w:rPr>
              <w:t>12/07/2018</w:t>
            </w:r>
          </w:p>
        </w:tc>
        <w:tc>
          <w:tcPr>
            <w:tcW w:w="1060" w:type="dxa"/>
            <w:vAlign w:val="bottom"/>
          </w:tcPr>
          <w:p>
            <w:pPr>
              <w:jc w:val="right"/>
              <w:ind w:right="75"/>
              <w:spacing w:after="0"/>
              <w:rPr>
                <w:sz w:val="20"/>
                <w:szCs w:val="20"/>
                <w:color w:val="auto"/>
              </w:rPr>
            </w:pPr>
            <w:r>
              <w:rPr>
                <w:rFonts w:ascii="Arial" w:cs="Arial" w:eastAsia="Arial" w:hAnsi="Arial"/>
                <w:sz w:val="13"/>
                <w:szCs w:val="13"/>
                <w:color w:val="auto"/>
              </w:rPr>
              <w:t>3,000</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jc w:val="right"/>
              <w:ind w:right="75"/>
              <w:spacing w:after="0"/>
              <w:rPr>
                <w:sz w:val="20"/>
                <w:szCs w:val="20"/>
                <w:color w:val="auto"/>
              </w:rPr>
            </w:pPr>
            <w:r>
              <w:rPr>
                <w:rFonts w:ascii="Arial" w:cs="Arial" w:eastAsia="Arial" w:hAnsi="Arial"/>
                <w:sz w:val="13"/>
                <w:szCs w:val="13"/>
                <w:color w:val="auto"/>
              </w:rPr>
              <w:t>3,000</w:t>
            </w:r>
          </w:p>
        </w:tc>
        <w:tc>
          <w:tcPr>
            <w:tcW w:w="1080" w:type="dxa"/>
            <w:vAlign w:val="bottom"/>
          </w:tcPr>
          <w:p>
            <w:pPr>
              <w:spacing w:after="0"/>
              <w:rPr>
                <w:sz w:val="13"/>
                <w:szCs w:val="13"/>
                <w:color w:val="auto"/>
              </w:rPr>
            </w:pPr>
          </w:p>
        </w:tc>
        <w:tc>
          <w:tcPr>
            <w:tcW w:w="1080" w:type="dxa"/>
            <w:vAlign w:val="bottom"/>
          </w:tcPr>
          <w:p>
            <w:pPr>
              <w:jc w:val="right"/>
              <w:ind w:right="95"/>
              <w:spacing w:after="0"/>
              <w:rPr>
                <w:sz w:val="20"/>
                <w:szCs w:val="20"/>
                <w:color w:val="auto"/>
              </w:rPr>
            </w:pPr>
            <w:r>
              <w:rPr>
                <w:rFonts w:ascii="Arial" w:cs="Arial" w:eastAsia="Arial" w:hAnsi="Arial"/>
                <w:sz w:val="13"/>
                <w:szCs w:val="13"/>
                <w:color w:val="auto"/>
              </w:rPr>
              <w:t>3,000</w:t>
            </w:r>
          </w:p>
        </w:tc>
        <w:tc>
          <w:tcPr>
            <w:tcW w:w="960" w:type="dxa"/>
            <w:vAlign w:val="bottom"/>
          </w:tcPr>
          <w:p>
            <w:pPr>
              <w:jc w:val="right"/>
              <w:spacing w:after="0"/>
              <w:rPr>
                <w:sz w:val="20"/>
                <w:szCs w:val="20"/>
                <w:color w:val="auto"/>
              </w:rPr>
            </w:pPr>
            <w:r>
              <w:rPr>
                <w:rFonts w:ascii="Arial" w:cs="Arial" w:eastAsia="Arial" w:hAnsi="Arial"/>
                <w:sz w:val="13"/>
                <w:szCs w:val="13"/>
                <w:color w:val="auto"/>
              </w:rPr>
              <w:t>12/07/2028</w:t>
            </w:r>
          </w:p>
        </w:tc>
      </w:tr>
    </w:tbl>
    <w:p>
      <w:pPr>
        <w:spacing w:after="0" w:line="35" w:lineRule="exact"/>
        <w:rPr>
          <w:sz w:val="20"/>
          <w:szCs w:val="20"/>
          <w:color w:val="auto"/>
        </w:rPr>
      </w:pPr>
    </w:p>
    <w:p>
      <w:pPr>
        <w:ind w:left="402" w:right="220" w:hanging="402"/>
        <w:spacing w:after="0" w:line="255" w:lineRule="auto"/>
        <w:tabs>
          <w:tab w:leader="none" w:pos="4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Amount reported represents the number of restricted stock units granted to Mr. Rodier on April 1, 2019 in connection with his promotion to Group Vice President, Construction Businesses, along with dividend equivalents earned on those restricted stock units.</w:t>
      </w:r>
    </w:p>
    <w:p>
      <w:pPr>
        <w:spacing w:after="0" w:line="25" w:lineRule="exact"/>
        <w:rPr>
          <w:rFonts w:ascii="Arial" w:cs="Arial" w:eastAsia="Arial" w:hAnsi="Arial"/>
          <w:sz w:val="16"/>
          <w:szCs w:val="16"/>
          <w:color w:val="auto"/>
        </w:rPr>
      </w:pPr>
    </w:p>
    <w:p>
      <w:pPr>
        <w:ind w:left="402" w:right="160" w:hanging="402"/>
        <w:spacing w:after="0" w:line="255" w:lineRule="auto"/>
        <w:tabs>
          <w:tab w:leader="none" w:pos="4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Amount reported represents the value of unvested restricted stock units based on the closing price of our common stock, as reported on the NYSE, on October 31, 2019, the last day of fiscal 2019, of $77.13 per share.</w:t>
      </w:r>
    </w:p>
    <w:p>
      <w:pPr>
        <w:spacing w:after="0" w:line="25" w:lineRule="exact"/>
        <w:rPr>
          <w:rFonts w:ascii="Arial" w:cs="Arial" w:eastAsia="Arial" w:hAnsi="Arial"/>
          <w:sz w:val="16"/>
          <w:szCs w:val="16"/>
          <w:color w:val="auto"/>
        </w:rPr>
      </w:pPr>
    </w:p>
    <w:p>
      <w:pPr>
        <w:ind w:left="402" w:right="60" w:hanging="402"/>
        <w:spacing w:after="0" w:line="243" w:lineRule="auto"/>
        <w:tabs>
          <w:tab w:leader="none" w:pos="4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Amounts reported represent the number of performance share awards that were in progress based on actual levels of performance for fiscal 2019 and financial plan levels of performance for fiscal 2020 and fiscal 2021. The fiscal 2018 to fiscal 2020 performance share awards will vest solely based on the accomplishment of the performance goals established for the three-year performance period, which will end on October 31, 2020. The fiscal 2019 to fiscal 2021 performance share awards will vest solely based on the accomplishment of the performance goals established for the three-year performance period, which will end on October 31, 2021.</w:t>
      </w:r>
    </w:p>
    <w:p>
      <w:pPr>
        <w:spacing w:after="0" w:line="36" w:lineRule="exact"/>
        <w:rPr>
          <w:rFonts w:ascii="Arial" w:cs="Arial" w:eastAsia="Arial" w:hAnsi="Arial"/>
          <w:sz w:val="16"/>
          <w:szCs w:val="16"/>
          <w:color w:val="auto"/>
        </w:rPr>
      </w:pPr>
    </w:p>
    <w:p>
      <w:pPr>
        <w:ind w:left="402" w:right="120" w:hanging="402"/>
        <w:spacing w:after="0" w:line="255" w:lineRule="auto"/>
        <w:tabs>
          <w:tab w:leader="none" w:pos="4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Amounts reported represent the value of performance share awards that were in progress based on the closing price of our common stock, as reported on the NYSE, on October 31, 2019, the last day of fiscal 2019, of $77.13 per share.</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Option Exercises and Stock Vested for Fiscal 2019</w:t>
      </w:r>
    </w:p>
    <w:p>
      <w:pPr>
        <w:spacing w:after="0" w:line="112" w:lineRule="exact"/>
        <w:rPr>
          <w:sz w:val="20"/>
          <w:szCs w:val="20"/>
          <w:color w:val="auto"/>
        </w:rPr>
      </w:pPr>
    </w:p>
    <w:p>
      <w:pPr>
        <w:ind w:left="2" w:firstLine="408"/>
        <w:spacing w:after="0" w:line="255" w:lineRule="auto"/>
        <w:rPr>
          <w:sz w:val="20"/>
          <w:szCs w:val="20"/>
          <w:color w:val="auto"/>
        </w:rPr>
      </w:pPr>
      <w:r>
        <w:rPr>
          <w:rFonts w:ascii="Arial" w:cs="Arial" w:eastAsia="Arial" w:hAnsi="Arial"/>
          <w:sz w:val="16"/>
          <w:szCs w:val="16"/>
          <w:color w:val="auto"/>
        </w:rPr>
        <w:t>The following table summarizes all of the stock options exercised during fiscal 2019 and performance share awards that were paid out or deferred by our named executive officers for the fiscal 2017 to fiscal 2019 performance period.</w:t>
      </w:r>
    </w:p>
    <w:p>
      <w:pPr>
        <w:spacing w:after="0" w:line="19" w:lineRule="exact"/>
        <w:rPr>
          <w:sz w:val="20"/>
          <w:szCs w:val="20"/>
          <w:color w:val="auto"/>
        </w:rPr>
      </w:pPr>
    </w:p>
    <w:tbl>
      <w:tblPr>
        <w:tblLayout w:type="fixed"/>
        <w:tblInd w:w="2" w:type="dxa"/>
        <w:tblCellMar>
          <w:top w:w="0" w:type="dxa"/>
          <w:left w:w="0" w:type="dxa"/>
          <w:bottom w:w="0" w:type="dxa"/>
          <w:right w:w="0" w:type="dxa"/>
        </w:tblCellMar>
      </w:tblPr>
      <w:tr>
        <w:trPr>
          <w:trHeight w:val="253"/>
        </w:trPr>
        <w:tc>
          <w:tcPr>
            <w:tcW w:w="3260" w:type="dxa"/>
            <w:vAlign w:val="bottom"/>
            <w:shd w:val="clear" w:color="auto" w:fill="C00000"/>
          </w:tcPr>
          <w:p>
            <w:pPr>
              <w:spacing w:after="0"/>
              <w:rPr>
                <w:sz w:val="21"/>
                <w:szCs w:val="21"/>
                <w:color w:val="auto"/>
              </w:rPr>
            </w:pPr>
          </w:p>
        </w:tc>
        <w:tc>
          <w:tcPr>
            <w:tcW w:w="2500" w:type="dxa"/>
            <w:vAlign w:val="bottom"/>
            <w:shd w:val="clear" w:color="auto" w:fill="C00000"/>
          </w:tcPr>
          <w:p>
            <w:pPr>
              <w:spacing w:after="0"/>
              <w:rPr>
                <w:sz w:val="21"/>
                <w:szCs w:val="21"/>
                <w:color w:val="auto"/>
              </w:rPr>
            </w:pPr>
          </w:p>
        </w:tc>
        <w:tc>
          <w:tcPr>
            <w:tcW w:w="3040" w:type="dxa"/>
            <w:vAlign w:val="bottom"/>
            <w:gridSpan w:val="2"/>
            <w:shd w:val="clear" w:color="auto" w:fill="C00000"/>
          </w:tcPr>
          <w:p>
            <w:pPr>
              <w:jc w:val="right"/>
              <w:ind w:right="955"/>
              <w:spacing w:after="0"/>
              <w:rPr>
                <w:sz w:val="20"/>
                <w:szCs w:val="20"/>
                <w:color w:val="auto"/>
              </w:rPr>
            </w:pPr>
            <w:r>
              <w:rPr>
                <w:rFonts w:ascii="Arial" w:cs="Arial" w:eastAsia="Arial" w:hAnsi="Arial"/>
                <w:sz w:val="13"/>
                <w:szCs w:val="13"/>
                <w:b w:val="1"/>
                <w:bCs w:val="1"/>
                <w:color w:val="FFFFFF"/>
              </w:rPr>
              <w:t>Option Awards</w:t>
            </w:r>
            <w:r>
              <w:rPr>
                <w:rFonts w:ascii="Arial" w:cs="Arial" w:eastAsia="Arial" w:hAnsi="Arial"/>
                <w:sz w:val="22"/>
                <w:szCs w:val="22"/>
                <w:b w:val="1"/>
                <w:bCs w:val="1"/>
                <w:color w:val="FFFFFF"/>
                <w:vertAlign w:val="superscript"/>
              </w:rPr>
              <w:t>(1)</w:t>
            </w:r>
          </w:p>
        </w:tc>
        <w:tc>
          <w:tcPr>
            <w:tcW w:w="2620" w:type="dxa"/>
            <w:vAlign w:val="bottom"/>
            <w:gridSpan w:val="2"/>
            <w:shd w:val="clear" w:color="auto" w:fill="C00000"/>
          </w:tcPr>
          <w:p>
            <w:pPr>
              <w:jc w:val="right"/>
              <w:ind w:right="795"/>
              <w:spacing w:after="0"/>
              <w:rPr>
                <w:sz w:val="20"/>
                <w:szCs w:val="20"/>
                <w:color w:val="auto"/>
              </w:rPr>
            </w:pPr>
            <w:r>
              <w:rPr>
                <w:rFonts w:ascii="Arial" w:cs="Arial" w:eastAsia="Arial" w:hAnsi="Arial"/>
                <w:sz w:val="13"/>
                <w:szCs w:val="13"/>
                <w:b w:val="1"/>
                <w:bCs w:val="1"/>
                <w:color w:val="FFFFFF"/>
              </w:rPr>
              <w:t>Stock Awards</w:t>
            </w:r>
            <w:r>
              <w:rPr>
                <w:rFonts w:ascii="Arial" w:cs="Arial" w:eastAsia="Arial" w:hAnsi="Arial"/>
                <w:sz w:val="22"/>
                <w:szCs w:val="22"/>
                <w:b w:val="1"/>
                <w:bCs w:val="1"/>
                <w:color w:val="FFFFFF"/>
                <w:vertAlign w:val="superscript"/>
              </w:rPr>
              <w:t>(2)</w:t>
            </w:r>
          </w:p>
        </w:tc>
      </w:tr>
      <w:tr>
        <w:trPr>
          <w:trHeight w:val="160"/>
        </w:trPr>
        <w:tc>
          <w:tcPr>
            <w:tcW w:w="3260" w:type="dxa"/>
            <w:vAlign w:val="bottom"/>
            <w:shd w:val="clear" w:color="auto" w:fill="C00000"/>
          </w:tcPr>
          <w:p>
            <w:pPr>
              <w:spacing w:after="0"/>
              <w:rPr>
                <w:sz w:val="13"/>
                <w:szCs w:val="13"/>
                <w:color w:val="auto"/>
              </w:rPr>
            </w:pPr>
          </w:p>
        </w:tc>
        <w:tc>
          <w:tcPr>
            <w:tcW w:w="2500" w:type="dxa"/>
            <w:vAlign w:val="bottom"/>
            <w:shd w:val="clear" w:color="auto" w:fill="C00000"/>
          </w:tcPr>
          <w:p>
            <w:pPr>
              <w:spacing w:after="0"/>
              <w:rPr>
                <w:sz w:val="13"/>
                <w:szCs w:val="13"/>
                <w:color w:val="auto"/>
              </w:rPr>
            </w:pPr>
          </w:p>
        </w:tc>
        <w:tc>
          <w:tcPr>
            <w:tcW w:w="160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Number of</w:t>
            </w:r>
          </w:p>
        </w:tc>
        <w:tc>
          <w:tcPr>
            <w:tcW w:w="1440" w:type="dxa"/>
            <w:vAlign w:val="bottom"/>
            <w:shd w:val="clear" w:color="auto" w:fill="C00000"/>
          </w:tcPr>
          <w:p>
            <w:pPr>
              <w:spacing w:after="0"/>
              <w:rPr>
                <w:sz w:val="13"/>
                <w:szCs w:val="13"/>
                <w:color w:val="auto"/>
              </w:rPr>
            </w:pPr>
          </w:p>
        </w:tc>
        <w:tc>
          <w:tcPr>
            <w:tcW w:w="1400" w:type="dxa"/>
            <w:vAlign w:val="bottom"/>
            <w:shd w:val="clear" w:color="auto" w:fill="C00000"/>
          </w:tcPr>
          <w:p>
            <w:pPr>
              <w:jc w:val="center"/>
              <w:ind w:right="215"/>
              <w:spacing w:after="0"/>
              <w:rPr>
                <w:sz w:val="20"/>
                <w:szCs w:val="20"/>
                <w:color w:val="auto"/>
              </w:rPr>
            </w:pPr>
            <w:r>
              <w:rPr>
                <w:rFonts w:ascii="Arial" w:cs="Arial" w:eastAsia="Arial" w:hAnsi="Arial"/>
                <w:sz w:val="13"/>
                <w:szCs w:val="13"/>
                <w:b w:val="1"/>
                <w:bCs w:val="1"/>
                <w:color w:val="FFFFFF"/>
                <w:w w:val="98"/>
              </w:rPr>
              <w:t>Number of</w:t>
            </w:r>
          </w:p>
        </w:tc>
        <w:tc>
          <w:tcPr>
            <w:tcW w:w="1220" w:type="dxa"/>
            <w:vAlign w:val="bottom"/>
            <w:shd w:val="clear" w:color="auto" w:fill="C00000"/>
          </w:tcPr>
          <w:p>
            <w:pPr>
              <w:spacing w:after="0"/>
              <w:rPr>
                <w:sz w:val="13"/>
                <w:szCs w:val="13"/>
                <w:color w:val="auto"/>
              </w:rPr>
            </w:pPr>
          </w:p>
        </w:tc>
      </w:tr>
      <w:tr>
        <w:trPr>
          <w:trHeight w:val="147"/>
        </w:trPr>
        <w:tc>
          <w:tcPr>
            <w:tcW w:w="3260" w:type="dxa"/>
            <w:vAlign w:val="bottom"/>
            <w:shd w:val="clear" w:color="auto" w:fill="C00000"/>
          </w:tcPr>
          <w:p>
            <w:pPr>
              <w:spacing w:after="0"/>
              <w:rPr>
                <w:sz w:val="12"/>
                <w:szCs w:val="12"/>
                <w:color w:val="auto"/>
              </w:rPr>
            </w:pPr>
          </w:p>
        </w:tc>
        <w:tc>
          <w:tcPr>
            <w:tcW w:w="2500" w:type="dxa"/>
            <w:vAlign w:val="bottom"/>
            <w:shd w:val="clear" w:color="auto" w:fill="C00000"/>
          </w:tcPr>
          <w:p>
            <w:pPr>
              <w:spacing w:after="0"/>
              <w:rPr>
                <w:sz w:val="12"/>
                <w:szCs w:val="12"/>
                <w:color w:val="auto"/>
              </w:rPr>
            </w:pPr>
          </w:p>
        </w:tc>
        <w:tc>
          <w:tcPr>
            <w:tcW w:w="160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b w:val="1"/>
                <w:bCs w:val="1"/>
                <w:color w:val="FFFFFF"/>
              </w:rPr>
              <w:t>Shares</w:t>
            </w:r>
          </w:p>
        </w:tc>
        <w:tc>
          <w:tcPr>
            <w:tcW w:w="1440" w:type="dxa"/>
            <w:vAlign w:val="bottom"/>
            <w:shd w:val="clear" w:color="auto" w:fill="C00000"/>
          </w:tcPr>
          <w:p>
            <w:pPr>
              <w:jc w:val="center"/>
              <w:ind w:right="195"/>
              <w:spacing w:after="0" w:line="148" w:lineRule="exact"/>
              <w:rPr>
                <w:sz w:val="20"/>
                <w:szCs w:val="20"/>
                <w:color w:val="auto"/>
              </w:rPr>
            </w:pPr>
            <w:r>
              <w:rPr>
                <w:rFonts w:ascii="Arial" w:cs="Arial" w:eastAsia="Arial" w:hAnsi="Arial"/>
                <w:sz w:val="13"/>
                <w:szCs w:val="13"/>
                <w:b w:val="1"/>
                <w:bCs w:val="1"/>
                <w:color w:val="FFFFFF"/>
                <w:w w:val="97"/>
              </w:rPr>
              <w:t>Value</w:t>
            </w:r>
          </w:p>
        </w:tc>
        <w:tc>
          <w:tcPr>
            <w:tcW w:w="1400" w:type="dxa"/>
            <w:vAlign w:val="bottom"/>
            <w:shd w:val="clear" w:color="auto" w:fill="C00000"/>
          </w:tcPr>
          <w:p>
            <w:pPr>
              <w:jc w:val="center"/>
              <w:ind w:right="215"/>
              <w:spacing w:after="0" w:line="148" w:lineRule="exact"/>
              <w:rPr>
                <w:sz w:val="20"/>
                <w:szCs w:val="20"/>
                <w:color w:val="auto"/>
              </w:rPr>
            </w:pPr>
            <w:r>
              <w:rPr>
                <w:rFonts w:ascii="Arial" w:cs="Arial" w:eastAsia="Arial" w:hAnsi="Arial"/>
                <w:sz w:val="13"/>
                <w:szCs w:val="13"/>
                <w:b w:val="1"/>
                <w:bCs w:val="1"/>
                <w:color w:val="FFFFFF"/>
              </w:rPr>
              <w:t>Shares</w:t>
            </w:r>
          </w:p>
        </w:tc>
        <w:tc>
          <w:tcPr>
            <w:tcW w:w="122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b w:val="1"/>
                <w:bCs w:val="1"/>
                <w:color w:val="FFFFFF"/>
                <w:w w:val="97"/>
              </w:rPr>
              <w:t>Value</w:t>
            </w:r>
          </w:p>
        </w:tc>
      </w:tr>
      <w:tr>
        <w:trPr>
          <w:trHeight w:val="147"/>
        </w:trPr>
        <w:tc>
          <w:tcPr>
            <w:tcW w:w="3260" w:type="dxa"/>
            <w:vAlign w:val="bottom"/>
            <w:shd w:val="clear" w:color="auto" w:fill="C00000"/>
          </w:tcPr>
          <w:p>
            <w:pPr>
              <w:spacing w:after="0"/>
              <w:rPr>
                <w:sz w:val="12"/>
                <w:szCs w:val="12"/>
                <w:color w:val="auto"/>
              </w:rPr>
            </w:pPr>
          </w:p>
        </w:tc>
        <w:tc>
          <w:tcPr>
            <w:tcW w:w="2500" w:type="dxa"/>
            <w:vAlign w:val="bottom"/>
            <w:shd w:val="clear" w:color="auto" w:fill="C00000"/>
          </w:tcPr>
          <w:p>
            <w:pPr>
              <w:spacing w:after="0"/>
              <w:rPr>
                <w:sz w:val="12"/>
                <w:szCs w:val="12"/>
                <w:color w:val="auto"/>
              </w:rPr>
            </w:pPr>
          </w:p>
        </w:tc>
        <w:tc>
          <w:tcPr>
            <w:tcW w:w="160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b w:val="1"/>
                <w:bCs w:val="1"/>
                <w:color w:val="FFFFFF"/>
                <w:w w:val="99"/>
              </w:rPr>
              <w:t>Acquired</w:t>
            </w:r>
          </w:p>
        </w:tc>
        <w:tc>
          <w:tcPr>
            <w:tcW w:w="1440" w:type="dxa"/>
            <w:vAlign w:val="bottom"/>
            <w:shd w:val="clear" w:color="auto" w:fill="C00000"/>
          </w:tcPr>
          <w:p>
            <w:pPr>
              <w:jc w:val="center"/>
              <w:ind w:right="215"/>
              <w:spacing w:after="0" w:line="148" w:lineRule="exact"/>
              <w:rPr>
                <w:sz w:val="20"/>
                <w:szCs w:val="20"/>
                <w:color w:val="auto"/>
              </w:rPr>
            </w:pPr>
            <w:r>
              <w:rPr>
                <w:rFonts w:ascii="Arial" w:cs="Arial" w:eastAsia="Arial" w:hAnsi="Arial"/>
                <w:sz w:val="13"/>
                <w:szCs w:val="13"/>
                <w:b w:val="1"/>
                <w:bCs w:val="1"/>
                <w:color w:val="FFFFFF"/>
                <w:w w:val="98"/>
              </w:rPr>
              <w:t>Realized</w:t>
            </w:r>
          </w:p>
        </w:tc>
        <w:tc>
          <w:tcPr>
            <w:tcW w:w="1400" w:type="dxa"/>
            <w:vAlign w:val="bottom"/>
            <w:shd w:val="clear" w:color="auto" w:fill="C00000"/>
          </w:tcPr>
          <w:p>
            <w:pPr>
              <w:jc w:val="center"/>
              <w:ind w:right="215"/>
              <w:spacing w:after="0" w:line="148" w:lineRule="exact"/>
              <w:rPr>
                <w:sz w:val="20"/>
                <w:szCs w:val="20"/>
                <w:color w:val="auto"/>
              </w:rPr>
            </w:pPr>
            <w:r>
              <w:rPr>
                <w:rFonts w:ascii="Arial" w:cs="Arial" w:eastAsia="Arial" w:hAnsi="Arial"/>
                <w:sz w:val="13"/>
                <w:szCs w:val="13"/>
                <w:b w:val="1"/>
                <w:bCs w:val="1"/>
                <w:color w:val="FFFFFF"/>
                <w:w w:val="99"/>
              </w:rPr>
              <w:t>Acquired</w:t>
            </w:r>
          </w:p>
        </w:tc>
        <w:tc>
          <w:tcPr>
            <w:tcW w:w="122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b w:val="1"/>
                <w:bCs w:val="1"/>
                <w:color w:val="FFFFFF"/>
                <w:w w:val="99"/>
              </w:rPr>
              <w:t>Realized on</w:t>
            </w:r>
          </w:p>
        </w:tc>
      </w:tr>
      <w:tr>
        <w:trPr>
          <w:trHeight w:val="147"/>
        </w:trPr>
        <w:tc>
          <w:tcPr>
            <w:tcW w:w="3260" w:type="dxa"/>
            <w:vAlign w:val="bottom"/>
            <w:shd w:val="clear" w:color="auto" w:fill="C00000"/>
          </w:tcPr>
          <w:p>
            <w:pPr>
              <w:spacing w:after="0"/>
              <w:rPr>
                <w:sz w:val="12"/>
                <w:szCs w:val="12"/>
                <w:color w:val="auto"/>
              </w:rPr>
            </w:pPr>
          </w:p>
        </w:tc>
        <w:tc>
          <w:tcPr>
            <w:tcW w:w="2500" w:type="dxa"/>
            <w:vAlign w:val="bottom"/>
            <w:shd w:val="clear" w:color="auto" w:fill="C00000"/>
          </w:tcPr>
          <w:p>
            <w:pPr>
              <w:spacing w:after="0"/>
              <w:rPr>
                <w:sz w:val="12"/>
                <w:szCs w:val="12"/>
                <w:color w:val="auto"/>
              </w:rPr>
            </w:pPr>
          </w:p>
        </w:tc>
        <w:tc>
          <w:tcPr>
            <w:tcW w:w="160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b w:val="1"/>
                <w:bCs w:val="1"/>
                <w:color w:val="FFFFFF"/>
              </w:rPr>
              <w:t>On Exercise</w:t>
            </w:r>
          </w:p>
        </w:tc>
        <w:tc>
          <w:tcPr>
            <w:tcW w:w="1440" w:type="dxa"/>
            <w:vAlign w:val="bottom"/>
            <w:shd w:val="clear" w:color="auto" w:fill="C00000"/>
          </w:tcPr>
          <w:p>
            <w:pPr>
              <w:jc w:val="center"/>
              <w:ind w:right="215"/>
              <w:spacing w:after="0" w:line="148" w:lineRule="exact"/>
              <w:rPr>
                <w:sz w:val="20"/>
                <w:szCs w:val="20"/>
                <w:color w:val="auto"/>
              </w:rPr>
            </w:pPr>
            <w:r>
              <w:rPr>
                <w:rFonts w:ascii="Arial" w:cs="Arial" w:eastAsia="Arial" w:hAnsi="Arial"/>
                <w:sz w:val="13"/>
                <w:szCs w:val="13"/>
                <w:b w:val="1"/>
                <w:bCs w:val="1"/>
                <w:color w:val="FFFFFF"/>
              </w:rPr>
              <w:t>On Exercise</w:t>
            </w:r>
          </w:p>
        </w:tc>
        <w:tc>
          <w:tcPr>
            <w:tcW w:w="1400" w:type="dxa"/>
            <w:vAlign w:val="bottom"/>
            <w:shd w:val="clear" w:color="auto" w:fill="C00000"/>
          </w:tcPr>
          <w:p>
            <w:pPr>
              <w:jc w:val="center"/>
              <w:ind w:right="235"/>
              <w:spacing w:after="0" w:line="148" w:lineRule="exact"/>
              <w:rPr>
                <w:sz w:val="20"/>
                <w:szCs w:val="20"/>
                <w:color w:val="auto"/>
              </w:rPr>
            </w:pPr>
            <w:r>
              <w:rPr>
                <w:rFonts w:ascii="Arial" w:cs="Arial" w:eastAsia="Arial" w:hAnsi="Arial"/>
                <w:sz w:val="13"/>
                <w:szCs w:val="13"/>
                <w:b w:val="1"/>
                <w:bCs w:val="1"/>
                <w:color w:val="FFFFFF"/>
                <w:w w:val="99"/>
              </w:rPr>
              <w:t>on Vesting</w:t>
            </w:r>
          </w:p>
        </w:tc>
        <w:tc>
          <w:tcPr>
            <w:tcW w:w="122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b w:val="1"/>
                <w:bCs w:val="1"/>
                <w:color w:val="FFFFFF"/>
              </w:rPr>
              <w:t>Vesting</w:t>
            </w:r>
          </w:p>
        </w:tc>
      </w:tr>
      <w:tr>
        <w:trPr>
          <w:trHeight w:val="159"/>
        </w:trPr>
        <w:tc>
          <w:tcPr>
            <w:tcW w:w="5760" w:type="dxa"/>
            <w:vAlign w:val="bottom"/>
            <w:gridSpan w:val="2"/>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160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c>
          <w:tcPr>
            <w:tcW w:w="1440" w:type="dxa"/>
            <w:vAlign w:val="bottom"/>
            <w:shd w:val="clear" w:color="auto" w:fill="C00000"/>
          </w:tcPr>
          <w:p>
            <w:pPr>
              <w:jc w:val="center"/>
              <w:ind w:right="215"/>
              <w:spacing w:after="0"/>
              <w:rPr>
                <w:sz w:val="20"/>
                <w:szCs w:val="20"/>
                <w:color w:val="auto"/>
              </w:rPr>
            </w:pPr>
            <w:r>
              <w:rPr>
                <w:rFonts w:ascii="Arial" w:cs="Arial" w:eastAsia="Arial" w:hAnsi="Arial"/>
                <w:sz w:val="13"/>
                <w:szCs w:val="13"/>
                <w:b w:val="1"/>
                <w:bCs w:val="1"/>
                <w:color w:val="FFFFFF"/>
              </w:rPr>
              <w:t>($)</w:t>
            </w:r>
          </w:p>
        </w:tc>
        <w:tc>
          <w:tcPr>
            <w:tcW w:w="1400" w:type="dxa"/>
            <w:vAlign w:val="bottom"/>
            <w:shd w:val="clear" w:color="auto" w:fill="C00000"/>
          </w:tcPr>
          <w:p>
            <w:pPr>
              <w:jc w:val="center"/>
              <w:ind w:right="215"/>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r>
      <w:tr>
        <w:trPr>
          <w:trHeight w:val="173"/>
        </w:trPr>
        <w:tc>
          <w:tcPr>
            <w:tcW w:w="5760" w:type="dxa"/>
            <w:vAlign w:val="bottom"/>
            <w:gridSpan w:val="2"/>
          </w:tcPr>
          <w:p>
            <w:pPr>
              <w:spacing w:after="0"/>
              <w:rPr>
                <w:sz w:val="20"/>
                <w:szCs w:val="20"/>
                <w:color w:val="auto"/>
              </w:rPr>
            </w:pPr>
            <w:r>
              <w:rPr>
                <w:rFonts w:ascii="Arial" w:cs="Arial" w:eastAsia="Arial" w:hAnsi="Arial"/>
                <w:sz w:val="13"/>
                <w:szCs w:val="13"/>
                <w:color w:val="auto"/>
              </w:rPr>
              <w:t>Richard M. Olson</w:t>
            </w:r>
          </w:p>
        </w:tc>
        <w:tc>
          <w:tcPr>
            <w:tcW w:w="1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9"/>
        </w:trPr>
        <w:tc>
          <w:tcPr>
            <w:tcW w:w="5760" w:type="dxa"/>
            <w:vAlign w:val="bottom"/>
            <w:gridSpan w:val="2"/>
          </w:tcPr>
          <w:p>
            <w:pPr>
              <w:ind w:left="220"/>
              <w:spacing w:after="0"/>
              <w:rPr>
                <w:sz w:val="20"/>
                <w:szCs w:val="20"/>
                <w:color w:val="auto"/>
              </w:rPr>
            </w:pPr>
            <w:r>
              <w:rPr>
                <w:rFonts w:ascii="Arial" w:cs="Arial" w:eastAsia="Arial" w:hAnsi="Arial"/>
                <w:sz w:val="13"/>
                <w:szCs w:val="13"/>
                <w:color w:val="auto"/>
              </w:rPr>
              <w:t>Stock Option Exercises</w:t>
            </w:r>
          </w:p>
        </w:tc>
        <w:tc>
          <w:tcPr>
            <w:tcW w:w="1600" w:type="dxa"/>
            <w:vAlign w:val="bottom"/>
          </w:tcPr>
          <w:p>
            <w:pPr>
              <w:jc w:val="right"/>
              <w:ind w:right="135"/>
              <w:spacing w:after="0"/>
              <w:rPr>
                <w:sz w:val="20"/>
                <w:szCs w:val="20"/>
                <w:color w:val="auto"/>
              </w:rPr>
            </w:pPr>
            <w:r>
              <w:rPr>
                <w:rFonts w:ascii="Arial" w:cs="Arial" w:eastAsia="Arial" w:hAnsi="Arial"/>
                <w:sz w:val="13"/>
                <w:szCs w:val="13"/>
                <w:color w:val="auto"/>
              </w:rPr>
              <w:t>7,780</w:t>
            </w:r>
          </w:p>
        </w:tc>
        <w:tc>
          <w:tcPr>
            <w:tcW w:w="1440" w:type="dxa"/>
            <w:vAlign w:val="bottom"/>
          </w:tcPr>
          <w:p>
            <w:pPr>
              <w:jc w:val="right"/>
              <w:ind w:right="155"/>
              <w:spacing w:after="0"/>
              <w:rPr>
                <w:sz w:val="20"/>
                <w:szCs w:val="20"/>
                <w:color w:val="auto"/>
              </w:rPr>
            </w:pPr>
            <w:r>
              <w:rPr>
                <w:rFonts w:ascii="Arial" w:cs="Arial" w:eastAsia="Arial" w:hAnsi="Arial"/>
                <w:sz w:val="13"/>
                <w:szCs w:val="13"/>
                <w:color w:val="auto"/>
              </w:rPr>
              <w:t>449,898</w:t>
            </w:r>
          </w:p>
        </w:tc>
        <w:tc>
          <w:tcPr>
            <w:tcW w:w="14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6"/>
        </w:trPr>
        <w:tc>
          <w:tcPr>
            <w:tcW w:w="5760" w:type="dxa"/>
            <w:vAlign w:val="bottom"/>
            <w:gridSpan w:val="2"/>
          </w:tcPr>
          <w:p>
            <w:pPr>
              <w:ind w:left="220"/>
              <w:spacing w:after="0" w:line="146" w:lineRule="exact"/>
              <w:rPr>
                <w:sz w:val="20"/>
                <w:szCs w:val="20"/>
                <w:color w:val="auto"/>
              </w:rPr>
            </w:pPr>
            <w:r>
              <w:rPr>
                <w:rFonts w:ascii="Arial" w:cs="Arial" w:eastAsia="Arial" w:hAnsi="Arial"/>
                <w:sz w:val="13"/>
                <w:szCs w:val="13"/>
                <w:color w:val="auto"/>
              </w:rPr>
              <w:t>F’17-F’19 Performance Share Award Payout</w:t>
            </w: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tcPr>
          <w:p>
            <w:pPr>
              <w:jc w:val="right"/>
              <w:ind w:right="135"/>
              <w:spacing w:after="0" w:line="146" w:lineRule="exact"/>
              <w:rPr>
                <w:sz w:val="20"/>
                <w:szCs w:val="20"/>
                <w:color w:val="auto"/>
              </w:rPr>
            </w:pPr>
            <w:r>
              <w:rPr>
                <w:rFonts w:ascii="Arial" w:cs="Arial" w:eastAsia="Arial" w:hAnsi="Arial"/>
                <w:sz w:val="13"/>
                <w:szCs w:val="13"/>
                <w:color w:val="auto"/>
              </w:rPr>
              <w:t>34,787</w:t>
            </w:r>
          </w:p>
        </w:tc>
        <w:tc>
          <w:tcPr>
            <w:tcW w:w="1220" w:type="dxa"/>
            <w:vAlign w:val="bottom"/>
          </w:tcPr>
          <w:p>
            <w:pPr>
              <w:jc w:val="right"/>
              <w:spacing w:after="0" w:line="146" w:lineRule="exact"/>
              <w:rPr>
                <w:sz w:val="20"/>
                <w:szCs w:val="20"/>
                <w:color w:val="auto"/>
              </w:rPr>
            </w:pPr>
            <w:r>
              <w:rPr>
                <w:rFonts w:ascii="Arial" w:cs="Arial" w:eastAsia="Arial" w:hAnsi="Arial"/>
                <w:sz w:val="13"/>
                <w:szCs w:val="13"/>
                <w:color w:val="auto"/>
              </w:rPr>
              <w:t>2,635,115</w:t>
            </w:r>
          </w:p>
        </w:tc>
      </w:tr>
      <w:tr>
        <w:trPr>
          <w:trHeight w:val="159"/>
        </w:trPr>
        <w:tc>
          <w:tcPr>
            <w:tcW w:w="5760" w:type="dxa"/>
            <w:vAlign w:val="bottom"/>
            <w:gridSpan w:val="2"/>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1600" w:type="dxa"/>
            <w:vAlign w:val="bottom"/>
            <w:shd w:val="clear" w:color="auto" w:fill="D9D9D9"/>
          </w:tcPr>
          <w:p>
            <w:pPr>
              <w:spacing w:after="0"/>
              <w:rPr>
                <w:sz w:val="13"/>
                <w:szCs w:val="13"/>
                <w:color w:val="auto"/>
              </w:rPr>
            </w:pPr>
          </w:p>
        </w:tc>
        <w:tc>
          <w:tcPr>
            <w:tcW w:w="1440" w:type="dxa"/>
            <w:vAlign w:val="bottom"/>
            <w:shd w:val="clear" w:color="auto" w:fill="D9D9D9"/>
          </w:tcPr>
          <w:p>
            <w:pPr>
              <w:spacing w:after="0"/>
              <w:rPr>
                <w:sz w:val="13"/>
                <w:szCs w:val="13"/>
                <w:color w:val="auto"/>
              </w:rPr>
            </w:pPr>
          </w:p>
        </w:tc>
        <w:tc>
          <w:tcPr>
            <w:tcW w:w="14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r>
      <w:tr>
        <w:trPr>
          <w:trHeight w:val="159"/>
        </w:trPr>
        <w:tc>
          <w:tcPr>
            <w:tcW w:w="5760" w:type="dxa"/>
            <w:vAlign w:val="bottom"/>
            <w:gridSpan w:val="2"/>
            <w:shd w:val="clear" w:color="auto" w:fill="D9D9D9"/>
          </w:tcPr>
          <w:p>
            <w:pPr>
              <w:ind w:left="220"/>
              <w:spacing w:after="0"/>
              <w:rPr>
                <w:sz w:val="20"/>
                <w:szCs w:val="20"/>
                <w:color w:val="auto"/>
              </w:rPr>
            </w:pPr>
            <w:r>
              <w:rPr>
                <w:rFonts w:ascii="Arial" w:cs="Arial" w:eastAsia="Arial" w:hAnsi="Arial"/>
                <w:sz w:val="13"/>
                <w:szCs w:val="13"/>
                <w:color w:val="auto"/>
              </w:rPr>
              <w:t>Stock Option Exercises</w:t>
            </w:r>
          </w:p>
        </w:tc>
        <w:tc>
          <w:tcPr>
            <w:tcW w:w="1600" w:type="dxa"/>
            <w:vAlign w:val="bottom"/>
            <w:shd w:val="clear" w:color="auto" w:fill="D9D9D9"/>
          </w:tcPr>
          <w:p>
            <w:pPr>
              <w:jc w:val="right"/>
              <w:ind w:right="135"/>
              <w:spacing w:after="0"/>
              <w:rPr>
                <w:sz w:val="20"/>
                <w:szCs w:val="20"/>
                <w:color w:val="auto"/>
              </w:rPr>
            </w:pPr>
            <w:r>
              <w:rPr>
                <w:rFonts w:ascii="Arial" w:cs="Arial" w:eastAsia="Arial" w:hAnsi="Arial"/>
                <w:sz w:val="13"/>
                <w:szCs w:val="13"/>
                <w:color w:val="auto"/>
              </w:rPr>
              <w:t>78,000</w:t>
            </w:r>
          </w:p>
        </w:tc>
        <w:tc>
          <w:tcPr>
            <w:tcW w:w="1440" w:type="dxa"/>
            <w:vAlign w:val="bottom"/>
            <w:shd w:val="clear" w:color="auto" w:fill="D9D9D9"/>
          </w:tcPr>
          <w:p>
            <w:pPr>
              <w:jc w:val="right"/>
              <w:ind w:right="155"/>
              <w:spacing w:after="0"/>
              <w:rPr>
                <w:sz w:val="20"/>
                <w:szCs w:val="20"/>
                <w:color w:val="auto"/>
              </w:rPr>
            </w:pPr>
            <w:r>
              <w:rPr>
                <w:rFonts w:ascii="Arial" w:cs="Arial" w:eastAsia="Arial" w:hAnsi="Arial"/>
                <w:sz w:val="13"/>
                <w:szCs w:val="13"/>
                <w:color w:val="auto"/>
              </w:rPr>
              <w:t>1,457,718</w:t>
            </w:r>
          </w:p>
        </w:tc>
        <w:tc>
          <w:tcPr>
            <w:tcW w:w="14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r>
      <w:tr>
        <w:trPr>
          <w:trHeight w:val="159"/>
        </w:trPr>
        <w:tc>
          <w:tcPr>
            <w:tcW w:w="5760" w:type="dxa"/>
            <w:vAlign w:val="bottom"/>
            <w:gridSpan w:val="2"/>
            <w:shd w:val="clear" w:color="auto" w:fill="D9D9D9"/>
          </w:tcPr>
          <w:p>
            <w:pPr>
              <w:ind w:left="220"/>
              <w:spacing w:after="0"/>
              <w:rPr>
                <w:sz w:val="20"/>
                <w:szCs w:val="20"/>
                <w:color w:val="auto"/>
              </w:rPr>
            </w:pPr>
            <w:r>
              <w:rPr>
                <w:rFonts w:ascii="Arial" w:cs="Arial" w:eastAsia="Arial" w:hAnsi="Arial"/>
                <w:sz w:val="13"/>
                <w:szCs w:val="13"/>
                <w:color w:val="auto"/>
              </w:rPr>
              <w:t>F’17-F’19 Performance Share Award Payout</w:t>
            </w:r>
          </w:p>
        </w:tc>
        <w:tc>
          <w:tcPr>
            <w:tcW w:w="1600" w:type="dxa"/>
            <w:vAlign w:val="bottom"/>
            <w:shd w:val="clear" w:color="auto" w:fill="D9D9D9"/>
          </w:tcPr>
          <w:p>
            <w:pPr>
              <w:spacing w:after="0"/>
              <w:rPr>
                <w:sz w:val="13"/>
                <w:szCs w:val="13"/>
                <w:color w:val="auto"/>
              </w:rPr>
            </w:pPr>
          </w:p>
        </w:tc>
        <w:tc>
          <w:tcPr>
            <w:tcW w:w="1440" w:type="dxa"/>
            <w:vAlign w:val="bottom"/>
            <w:shd w:val="clear" w:color="auto" w:fill="D9D9D9"/>
          </w:tcPr>
          <w:p>
            <w:pPr>
              <w:spacing w:after="0"/>
              <w:rPr>
                <w:sz w:val="13"/>
                <w:szCs w:val="13"/>
                <w:color w:val="auto"/>
              </w:rPr>
            </w:pPr>
          </w:p>
        </w:tc>
        <w:tc>
          <w:tcPr>
            <w:tcW w:w="1400" w:type="dxa"/>
            <w:vAlign w:val="bottom"/>
            <w:shd w:val="clear" w:color="auto" w:fill="D9D9D9"/>
          </w:tcPr>
          <w:p>
            <w:pPr>
              <w:jc w:val="right"/>
              <w:ind w:right="135"/>
              <w:spacing w:after="0"/>
              <w:rPr>
                <w:sz w:val="20"/>
                <w:szCs w:val="20"/>
                <w:color w:val="auto"/>
              </w:rPr>
            </w:pPr>
            <w:r>
              <w:rPr>
                <w:rFonts w:ascii="Arial" w:cs="Arial" w:eastAsia="Arial" w:hAnsi="Arial"/>
                <w:sz w:val="13"/>
                <w:szCs w:val="13"/>
                <w:color w:val="auto"/>
              </w:rPr>
              <w:t>10,619</w:t>
            </w:r>
          </w:p>
        </w:tc>
        <w:tc>
          <w:tcPr>
            <w:tcW w:w="1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804,389</w:t>
            </w:r>
          </w:p>
        </w:tc>
      </w:tr>
      <w:tr>
        <w:trPr>
          <w:trHeight w:val="173"/>
        </w:trPr>
        <w:tc>
          <w:tcPr>
            <w:tcW w:w="5760" w:type="dxa"/>
            <w:vAlign w:val="bottom"/>
            <w:gridSpan w:val="2"/>
          </w:tcPr>
          <w:p>
            <w:pPr>
              <w:spacing w:after="0"/>
              <w:rPr>
                <w:sz w:val="20"/>
                <w:szCs w:val="20"/>
                <w:color w:val="auto"/>
              </w:rPr>
            </w:pPr>
            <w:r>
              <w:rPr>
                <w:rFonts w:ascii="Arial" w:cs="Arial" w:eastAsia="Arial" w:hAnsi="Arial"/>
                <w:sz w:val="13"/>
                <w:szCs w:val="13"/>
                <w:color w:val="auto"/>
              </w:rPr>
              <w:t>Timothy P. Dordell</w:t>
            </w:r>
          </w:p>
        </w:tc>
        <w:tc>
          <w:tcPr>
            <w:tcW w:w="1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46"/>
        </w:trPr>
        <w:tc>
          <w:tcPr>
            <w:tcW w:w="5760" w:type="dxa"/>
            <w:vAlign w:val="bottom"/>
            <w:gridSpan w:val="2"/>
          </w:tcPr>
          <w:p>
            <w:pPr>
              <w:ind w:left="220"/>
              <w:spacing w:after="0" w:line="146" w:lineRule="exact"/>
              <w:rPr>
                <w:sz w:val="20"/>
                <w:szCs w:val="20"/>
                <w:color w:val="auto"/>
              </w:rPr>
            </w:pPr>
            <w:r>
              <w:rPr>
                <w:rFonts w:ascii="Arial" w:cs="Arial" w:eastAsia="Arial" w:hAnsi="Arial"/>
                <w:sz w:val="13"/>
                <w:szCs w:val="13"/>
                <w:color w:val="auto"/>
              </w:rPr>
              <w:t>F’17-F’19 Performance Share Award Payout</w:t>
            </w: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tcPr>
          <w:p>
            <w:pPr>
              <w:jc w:val="right"/>
              <w:ind w:right="135"/>
              <w:spacing w:after="0" w:line="146" w:lineRule="exact"/>
              <w:rPr>
                <w:sz w:val="20"/>
                <w:szCs w:val="20"/>
                <w:color w:val="auto"/>
              </w:rPr>
            </w:pPr>
            <w:r>
              <w:rPr>
                <w:rFonts w:ascii="Arial" w:cs="Arial" w:eastAsia="Arial" w:hAnsi="Arial"/>
                <w:sz w:val="13"/>
                <w:szCs w:val="13"/>
                <w:color w:val="auto"/>
              </w:rPr>
              <w:t>7,079</w:t>
            </w:r>
          </w:p>
        </w:tc>
        <w:tc>
          <w:tcPr>
            <w:tcW w:w="1220" w:type="dxa"/>
            <w:vAlign w:val="bottom"/>
          </w:tcPr>
          <w:p>
            <w:pPr>
              <w:jc w:val="right"/>
              <w:spacing w:after="0" w:line="146" w:lineRule="exact"/>
              <w:rPr>
                <w:sz w:val="20"/>
                <w:szCs w:val="20"/>
                <w:color w:val="auto"/>
              </w:rPr>
            </w:pPr>
            <w:r>
              <w:rPr>
                <w:rFonts w:ascii="Arial" w:cs="Arial" w:eastAsia="Arial" w:hAnsi="Arial"/>
                <w:sz w:val="13"/>
                <w:szCs w:val="13"/>
                <w:color w:val="auto"/>
              </w:rPr>
              <w:t>536,234</w:t>
            </w:r>
          </w:p>
        </w:tc>
      </w:tr>
      <w:tr>
        <w:trPr>
          <w:trHeight w:val="159"/>
        </w:trPr>
        <w:tc>
          <w:tcPr>
            <w:tcW w:w="5760" w:type="dxa"/>
            <w:vAlign w:val="bottom"/>
            <w:gridSpan w:val="2"/>
            <w:shd w:val="clear" w:color="auto" w:fill="D9D9D9"/>
          </w:tcPr>
          <w:p>
            <w:pPr>
              <w:spacing w:after="0"/>
              <w:rPr>
                <w:sz w:val="20"/>
                <w:szCs w:val="20"/>
                <w:color w:val="auto"/>
              </w:rPr>
            </w:pPr>
            <w:r>
              <w:rPr>
                <w:rFonts w:ascii="Arial" w:cs="Arial" w:eastAsia="Arial" w:hAnsi="Arial"/>
                <w:sz w:val="13"/>
                <w:szCs w:val="13"/>
                <w:color w:val="auto"/>
              </w:rPr>
              <w:t>Bradley A. Hamilton</w:t>
            </w:r>
          </w:p>
        </w:tc>
        <w:tc>
          <w:tcPr>
            <w:tcW w:w="1600" w:type="dxa"/>
            <w:vAlign w:val="bottom"/>
            <w:shd w:val="clear" w:color="auto" w:fill="D9D9D9"/>
          </w:tcPr>
          <w:p>
            <w:pPr>
              <w:spacing w:after="0"/>
              <w:rPr>
                <w:sz w:val="13"/>
                <w:szCs w:val="13"/>
                <w:color w:val="auto"/>
              </w:rPr>
            </w:pPr>
          </w:p>
        </w:tc>
        <w:tc>
          <w:tcPr>
            <w:tcW w:w="1440" w:type="dxa"/>
            <w:vAlign w:val="bottom"/>
            <w:shd w:val="clear" w:color="auto" w:fill="D9D9D9"/>
          </w:tcPr>
          <w:p>
            <w:pPr>
              <w:spacing w:after="0"/>
              <w:rPr>
                <w:sz w:val="13"/>
                <w:szCs w:val="13"/>
                <w:color w:val="auto"/>
              </w:rPr>
            </w:pPr>
          </w:p>
        </w:tc>
        <w:tc>
          <w:tcPr>
            <w:tcW w:w="14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r>
      <w:tr>
        <w:trPr>
          <w:trHeight w:val="159"/>
        </w:trPr>
        <w:tc>
          <w:tcPr>
            <w:tcW w:w="5760" w:type="dxa"/>
            <w:vAlign w:val="bottom"/>
            <w:gridSpan w:val="2"/>
            <w:shd w:val="clear" w:color="auto" w:fill="D9D9D9"/>
          </w:tcPr>
          <w:p>
            <w:pPr>
              <w:ind w:left="220"/>
              <w:spacing w:after="0"/>
              <w:rPr>
                <w:sz w:val="20"/>
                <w:szCs w:val="20"/>
                <w:color w:val="auto"/>
              </w:rPr>
            </w:pPr>
            <w:r>
              <w:rPr>
                <w:rFonts w:ascii="Arial" w:cs="Arial" w:eastAsia="Arial" w:hAnsi="Arial"/>
                <w:sz w:val="13"/>
                <w:szCs w:val="13"/>
                <w:color w:val="auto"/>
              </w:rPr>
              <w:t>Stock Option Exercises</w:t>
            </w:r>
          </w:p>
        </w:tc>
        <w:tc>
          <w:tcPr>
            <w:tcW w:w="1600" w:type="dxa"/>
            <w:vAlign w:val="bottom"/>
            <w:shd w:val="clear" w:color="auto" w:fill="D9D9D9"/>
          </w:tcPr>
          <w:p>
            <w:pPr>
              <w:jc w:val="right"/>
              <w:ind w:right="135"/>
              <w:spacing w:after="0"/>
              <w:rPr>
                <w:sz w:val="20"/>
                <w:szCs w:val="20"/>
                <w:color w:val="auto"/>
              </w:rPr>
            </w:pPr>
            <w:r>
              <w:rPr>
                <w:rFonts w:ascii="Arial" w:cs="Arial" w:eastAsia="Arial" w:hAnsi="Arial"/>
                <w:sz w:val="13"/>
                <w:szCs w:val="13"/>
                <w:color w:val="auto"/>
              </w:rPr>
              <w:t>6,680</w:t>
            </w:r>
          </w:p>
        </w:tc>
        <w:tc>
          <w:tcPr>
            <w:tcW w:w="1440" w:type="dxa"/>
            <w:vAlign w:val="bottom"/>
            <w:shd w:val="clear" w:color="auto" w:fill="D9D9D9"/>
          </w:tcPr>
          <w:p>
            <w:pPr>
              <w:jc w:val="right"/>
              <w:ind w:right="155"/>
              <w:spacing w:after="0"/>
              <w:rPr>
                <w:sz w:val="20"/>
                <w:szCs w:val="20"/>
                <w:color w:val="auto"/>
              </w:rPr>
            </w:pPr>
            <w:r>
              <w:rPr>
                <w:rFonts w:ascii="Arial" w:cs="Arial" w:eastAsia="Arial" w:hAnsi="Arial"/>
                <w:sz w:val="13"/>
                <w:szCs w:val="13"/>
                <w:color w:val="auto"/>
              </w:rPr>
              <w:t>106,078</w:t>
            </w:r>
          </w:p>
        </w:tc>
        <w:tc>
          <w:tcPr>
            <w:tcW w:w="1400" w:type="dxa"/>
            <w:vAlign w:val="bottom"/>
            <w:shd w:val="clear" w:color="auto" w:fill="D9D9D9"/>
          </w:tcPr>
          <w:p>
            <w:pPr>
              <w:spacing w:after="0"/>
              <w:rPr>
                <w:sz w:val="13"/>
                <w:szCs w:val="13"/>
                <w:color w:val="auto"/>
              </w:rPr>
            </w:pPr>
          </w:p>
        </w:tc>
        <w:tc>
          <w:tcPr>
            <w:tcW w:w="1220" w:type="dxa"/>
            <w:vAlign w:val="bottom"/>
            <w:shd w:val="clear" w:color="auto" w:fill="D9D9D9"/>
          </w:tcPr>
          <w:p>
            <w:pPr>
              <w:spacing w:after="0"/>
              <w:rPr>
                <w:sz w:val="13"/>
                <w:szCs w:val="13"/>
                <w:color w:val="auto"/>
              </w:rPr>
            </w:pPr>
          </w:p>
        </w:tc>
      </w:tr>
      <w:tr>
        <w:trPr>
          <w:trHeight w:val="159"/>
        </w:trPr>
        <w:tc>
          <w:tcPr>
            <w:tcW w:w="5760" w:type="dxa"/>
            <w:vAlign w:val="bottom"/>
            <w:gridSpan w:val="2"/>
            <w:shd w:val="clear" w:color="auto" w:fill="D9D9D9"/>
          </w:tcPr>
          <w:p>
            <w:pPr>
              <w:ind w:left="220"/>
              <w:spacing w:after="0"/>
              <w:rPr>
                <w:sz w:val="20"/>
                <w:szCs w:val="20"/>
                <w:color w:val="auto"/>
              </w:rPr>
            </w:pPr>
            <w:r>
              <w:rPr>
                <w:rFonts w:ascii="Arial" w:cs="Arial" w:eastAsia="Arial" w:hAnsi="Arial"/>
                <w:sz w:val="13"/>
                <w:szCs w:val="13"/>
                <w:color w:val="auto"/>
              </w:rPr>
              <w:t>F’17-F’19 Performance Share Award Payout</w:t>
            </w:r>
          </w:p>
        </w:tc>
        <w:tc>
          <w:tcPr>
            <w:tcW w:w="1600" w:type="dxa"/>
            <w:vAlign w:val="bottom"/>
            <w:shd w:val="clear" w:color="auto" w:fill="D9D9D9"/>
          </w:tcPr>
          <w:p>
            <w:pPr>
              <w:spacing w:after="0"/>
              <w:rPr>
                <w:sz w:val="13"/>
                <w:szCs w:val="13"/>
                <w:color w:val="auto"/>
              </w:rPr>
            </w:pPr>
          </w:p>
        </w:tc>
        <w:tc>
          <w:tcPr>
            <w:tcW w:w="1440" w:type="dxa"/>
            <w:vAlign w:val="bottom"/>
            <w:shd w:val="clear" w:color="auto" w:fill="D9D9D9"/>
          </w:tcPr>
          <w:p>
            <w:pPr>
              <w:spacing w:after="0"/>
              <w:rPr>
                <w:sz w:val="13"/>
                <w:szCs w:val="13"/>
                <w:color w:val="auto"/>
              </w:rPr>
            </w:pPr>
          </w:p>
        </w:tc>
        <w:tc>
          <w:tcPr>
            <w:tcW w:w="1400" w:type="dxa"/>
            <w:vAlign w:val="bottom"/>
            <w:shd w:val="clear" w:color="auto" w:fill="D9D9D9"/>
          </w:tcPr>
          <w:p>
            <w:pPr>
              <w:jc w:val="right"/>
              <w:ind w:right="135"/>
              <w:spacing w:after="0"/>
              <w:rPr>
                <w:sz w:val="20"/>
                <w:szCs w:val="20"/>
                <w:color w:val="auto"/>
              </w:rPr>
            </w:pPr>
            <w:r>
              <w:rPr>
                <w:rFonts w:ascii="Arial" w:cs="Arial" w:eastAsia="Arial" w:hAnsi="Arial"/>
                <w:sz w:val="13"/>
                <w:szCs w:val="13"/>
                <w:color w:val="auto"/>
              </w:rPr>
              <w:t>2,929</w:t>
            </w:r>
          </w:p>
        </w:tc>
        <w:tc>
          <w:tcPr>
            <w:tcW w:w="1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221,872</w:t>
            </w:r>
          </w:p>
        </w:tc>
      </w:tr>
      <w:tr>
        <w:trPr>
          <w:trHeight w:val="173"/>
        </w:trPr>
        <w:tc>
          <w:tcPr>
            <w:tcW w:w="5760" w:type="dxa"/>
            <w:vAlign w:val="bottom"/>
            <w:gridSpan w:val="2"/>
          </w:tcPr>
          <w:p>
            <w:pPr>
              <w:spacing w:after="0"/>
              <w:rPr>
                <w:sz w:val="20"/>
                <w:szCs w:val="20"/>
                <w:color w:val="auto"/>
              </w:rPr>
            </w:pPr>
            <w:r>
              <w:rPr>
                <w:rFonts w:ascii="Arial" w:cs="Arial" w:eastAsia="Arial" w:hAnsi="Arial"/>
                <w:sz w:val="13"/>
                <w:szCs w:val="13"/>
                <w:color w:val="auto"/>
              </w:rPr>
              <w:t>Richard W. Rodier</w:t>
            </w:r>
          </w:p>
        </w:tc>
        <w:tc>
          <w:tcPr>
            <w:tcW w:w="1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9"/>
        </w:trPr>
        <w:tc>
          <w:tcPr>
            <w:tcW w:w="5760" w:type="dxa"/>
            <w:vAlign w:val="bottom"/>
            <w:gridSpan w:val="2"/>
          </w:tcPr>
          <w:p>
            <w:pPr>
              <w:ind w:left="220"/>
              <w:spacing w:after="0"/>
              <w:rPr>
                <w:sz w:val="20"/>
                <w:szCs w:val="20"/>
                <w:color w:val="auto"/>
              </w:rPr>
            </w:pPr>
            <w:r>
              <w:rPr>
                <w:rFonts w:ascii="Arial" w:cs="Arial" w:eastAsia="Arial" w:hAnsi="Arial"/>
                <w:sz w:val="13"/>
                <w:szCs w:val="13"/>
                <w:color w:val="auto"/>
              </w:rPr>
              <w:t>Stock Option Exercises</w:t>
            </w:r>
          </w:p>
        </w:tc>
        <w:tc>
          <w:tcPr>
            <w:tcW w:w="1600" w:type="dxa"/>
            <w:vAlign w:val="bottom"/>
          </w:tcPr>
          <w:p>
            <w:pPr>
              <w:jc w:val="right"/>
              <w:ind w:right="135"/>
              <w:spacing w:after="0"/>
              <w:rPr>
                <w:sz w:val="20"/>
                <w:szCs w:val="20"/>
                <w:color w:val="auto"/>
              </w:rPr>
            </w:pPr>
            <w:r>
              <w:rPr>
                <w:rFonts w:ascii="Arial" w:cs="Arial" w:eastAsia="Arial" w:hAnsi="Arial"/>
                <w:sz w:val="13"/>
                <w:szCs w:val="13"/>
                <w:color w:val="auto"/>
              </w:rPr>
              <w:t>13,000</w:t>
            </w:r>
          </w:p>
        </w:tc>
        <w:tc>
          <w:tcPr>
            <w:tcW w:w="1440" w:type="dxa"/>
            <w:vAlign w:val="bottom"/>
          </w:tcPr>
          <w:p>
            <w:pPr>
              <w:jc w:val="right"/>
              <w:ind w:right="155"/>
              <w:spacing w:after="0"/>
              <w:rPr>
                <w:sz w:val="20"/>
                <w:szCs w:val="20"/>
                <w:color w:val="auto"/>
              </w:rPr>
            </w:pPr>
            <w:r>
              <w:rPr>
                <w:rFonts w:ascii="Arial" w:cs="Arial" w:eastAsia="Arial" w:hAnsi="Arial"/>
                <w:sz w:val="13"/>
                <w:szCs w:val="13"/>
                <w:color w:val="auto"/>
              </w:rPr>
              <w:t>160,860</w:t>
            </w:r>
          </w:p>
        </w:tc>
        <w:tc>
          <w:tcPr>
            <w:tcW w:w="14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5760" w:type="dxa"/>
            <w:vAlign w:val="bottom"/>
            <w:gridSpan w:val="2"/>
          </w:tcPr>
          <w:p>
            <w:pPr>
              <w:ind w:left="220"/>
              <w:spacing w:after="0"/>
              <w:rPr>
                <w:sz w:val="20"/>
                <w:szCs w:val="20"/>
                <w:color w:val="auto"/>
              </w:rPr>
            </w:pPr>
            <w:r>
              <w:rPr>
                <w:rFonts w:ascii="Arial" w:cs="Arial" w:eastAsia="Arial" w:hAnsi="Arial"/>
                <w:sz w:val="13"/>
                <w:szCs w:val="13"/>
                <w:color w:val="auto"/>
              </w:rPr>
              <w:t>F’17-F’19 Performance Share Award Payout</w:t>
            </w:r>
          </w:p>
        </w:tc>
        <w:tc>
          <w:tcPr>
            <w:tcW w:w="1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0" w:type="dxa"/>
            <w:vAlign w:val="bottom"/>
          </w:tcPr>
          <w:p>
            <w:pPr>
              <w:jc w:val="right"/>
              <w:ind w:right="135"/>
              <w:spacing w:after="0"/>
              <w:rPr>
                <w:sz w:val="20"/>
                <w:szCs w:val="20"/>
                <w:color w:val="auto"/>
              </w:rPr>
            </w:pPr>
            <w:r>
              <w:rPr>
                <w:rFonts w:ascii="Arial" w:cs="Arial" w:eastAsia="Arial" w:hAnsi="Arial"/>
                <w:sz w:val="13"/>
                <w:szCs w:val="13"/>
                <w:color w:val="auto"/>
              </w:rPr>
              <w:t>1,830</w:t>
            </w:r>
          </w:p>
        </w:tc>
        <w:tc>
          <w:tcPr>
            <w:tcW w:w="1220" w:type="dxa"/>
            <w:vAlign w:val="bottom"/>
          </w:tcPr>
          <w:p>
            <w:pPr>
              <w:jc w:val="right"/>
              <w:spacing w:after="0"/>
              <w:rPr>
                <w:sz w:val="20"/>
                <w:szCs w:val="20"/>
                <w:color w:val="auto"/>
              </w:rPr>
            </w:pPr>
            <w:r>
              <w:rPr>
                <w:rFonts w:ascii="Arial" w:cs="Arial" w:eastAsia="Arial" w:hAnsi="Arial"/>
                <w:sz w:val="13"/>
                <w:szCs w:val="13"/>
                <w:color w:val="auto"/>
              </w:rPr>
              <w:t>138,623</w:t>
            </w:r>
          </w:p>
        </w:tc>
      </w:tr>
      <w:tr>
        <w:trPr>
          <w:trHeight w:val="85"/>
        </w:trPr>
        <w:tc>
          <w:tcPr>
            <w:tcW w:w="3260" w:type="dxa"/>
            <w:vAlign w:val="bottom"/>
            <w:tcBorders>
              <w:bottom w:val="single" w:sz="8" w:color="C00000"/>
            </w:tcBorders>
          </w:tcPr>
          <w:p>
            <w:pPr>
              <w:spacing w:after="0"/>
              <w:rPr>
                <w:sz w:val="7"/>
                <w:szCs w:val="7"/>
                <w:color w:val="auto"/>
              </w:rPr>
            </w:pPr>
          </w:p>
        </w:tc>
        <w:tc>
          <w:tcPr>
            <w:tcW w:w="25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-1967865</wp:posOffset>
            </wp:positionV>
            <wp:extent cx="35090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09010" cy="7620"/>
                    </a:xfrm>
                    <a:prstGeom prst="rect">
                      <a:avLst/>
                    </a:prstGeom>
                    <a:noFill/>
                  </pic:spPr>
                </pic:pic>
              </a:graphicData>
            </a:graphic>
          </wp:anchor>
        </w:drawing>
      </w:r>
    </w:p>
    <w:p>
      <w:pPr>
        <w:spacing w:after="0" w:line="17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61" w:name="page62"/>
    <w:bookmarkEnd w:id="61"/>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46" w:lineRule="exact"/>
        <w:rPr>
          <w:sz w:val="20"/>
          <w:szCs w:val="20"/>
          <w:color w:val="auto"/>
        </w:rPr>
      </w:pPr>
    </w:p>
    <w:p>
      <w:pPr>
        <w:ind w:left="402" w:right="60" w:hanging="402"/>
        <w:spacing w:after="0" w:line="247" w:lineRule="auto"/>
        <w:tabs>
          <w:tab w:leader="none" w:pos="4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32" w:lineRule="exact"/>
        <w:rPr>
          <w:rFonts w:ascii="Arial" w:cs="Arial" w:eastAsia="Arial" w:hAnsi="Arial"/>
          <w:sz w:val="16"/>
          <w:szCs w:val="16"/>
          <w:color w:val="auto"/>
        </w:rPr>
      </w:pPr>
    </w:p>
    <w:p>
      <w:pPr>
        <w:ind w:left="402" w:hanging="402"/>
        <w:spacing w:after="0" w:line="242" w:lineRule="auto"/>
        <w:tabs>
          <w:tab w:leader="none" w:pos="4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number of shares acquired upon vesting reflects the gross number of shares acquired absent any netting of shares surrendered to satisfy tax withholding requirements. The value realized on vesting for performance share awards represents the gross number of shares acquired multiplied by the closing price of our common stock, as reported on the NYSE, on December 18, 2019 (the payout date for the fiscal 2017 to fiscal 2019 performance share awards) of $75.75 per share. Amounts are not reduced to reflect any elections by our named executive officers to defer receipt of performance share award payouts. Under the Deferred Plan for Officers, Messrs. Olson and Hamilton deferred receipt of 100% of their fiscal 2017 to fiscal 2019 performance share award payout. The material terms of the Deferred Plan for Officers are described under “Nonqualified Deferred Compensation for Fiscal 2019” set forth below.</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Nonqualified Deferred Compensation for Fiscal 2019</w:t>
      </w:r>
    </w:p>
    <w:p>
      <w:pPr>
        <w:spacing w:after="0" w:line="112" w:lineRule="exact"/>
        <w:rPr>
          <w:sz w:val="20"/>
          <w:szCs w:val="20"/>
          <w:color w:val="auto"/>
        </w:rPr>
      </w:pPr>
    </w:p>
    <w:p>
      <w:pPr>
        <w:ind w:left="402"/>
        <w:spacing w:after="0"/>
        <w:rPr>
          <w:sz w:val="20"/>
          <w:szCs w:val="20"/>
          <w:color w:val="auto"/>
        </w:rPr>
      </w:pPr>
      <w:r>
        <w:rPr>
          <w:rFonts w:ascii="Arial" w:cs="Arial" w:eastAsia="Arial" w:hAnsi="Arial"/>
          <w:sz w:val="16"/>
          <w:szCs w:val="16"/>
          <w:color w:val="auto"/>
        </w:rPr>
        <w:t>We maintain three nonqualified deferred compensation plans in which our named executive officers are eligible to participate.</w:t>
      </w:r>
    </w:p>
    <w:p>
      <w:pPr>
        <w:spacing w:after="0" w:line="78" w:lineRule="exact"/>
        <w:rPr>
          <w:sz w:val="20"/>
          <w:szCs w:val="20"/>
          <w:color w:val="auto"/>
        </w:rPr>
      </w:pPr>
    </w:p>
    <w:p>
      <w:pPr>
        <w:ind w:left="2" w:right="60" w:firstLine="408"/>
        <w:spacing w:after="0" w:line="246" w:lineRule="auto"/>
        <w:rPr>
          <w:sz w:val="20"/>
          <w:szCs w:val="20"/>
          <w:color w:val="auto"/>
        </w:rPr>
      </w:pPr>
      <w:r>
        <w:rPr>
          <w:rFonts w:ascii="Arial" w:cs="Arial" w:eastAsia="Arial" w:hAnsi="Arial"/>
          <w:sz w:val="16"/>
          <w:szCs w:val="16"/>
          <w:b w:val="1"/>
          <w:bCs w:val="1"/>
          <w:color w:val="auto"/>
        </w:rPr>
        <w:t xml:space="preserve">The Toro Company Deferred Compensation Plan. </w:t>
      </w:r>
      <w:r>
        <w:rPr>
          <w:rFonts w:ascii="Arial" w:cs="Arial" w:eastAsia="Arial" w:hAnsi="Arial"/>
          <w:sz w:val="16"/>
          <w:szCs w:val="16"/>
          <w:color w:val="auto"/>
        </w:rPr>
        <w:t>This plan allows a select group of management or highly compensated employees, including our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to defer on a pre-tax basis his or her calendar year base salary and/or fiscal year annual cash incentive payout to a date in the future. Participants can defer up to 50% of calendar year base salary and up to 100% of the fiscal year annual cash incentive award payout. Deferred amounts are placed into a participant’s account and the participant may invest such deferred amounts in an array of funds that are consistent with or comparable to funds provided in the Retirement Plan.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Participants are always 100% vested in their accounts.</w:t>
      </w:r>
    </w:p>
    <w:p>
      <w:pPr>
        <w:spacing w:after="0" w:line="64" w:lineRule="exact"/>
        <w:rPr>
          <w:sz w:val="20"/>
          <w:szCs w:val="20"/>
          <w:color w:val="auto"/>
        </w:rPr>
      </w:pPr>
    </w:p>
    <w:p>
      <w:pPr>
        <w:ind w:left="2" w:right="20" w:firstLine="408"/>
        <w:spacing w:after="0" w:line="248" w:lineRule="auto"/>
        <w:rPr>
          <w:sz w:val="20"/>
          <w:szCs w:val="20"/>
          <w:color w:val="auto"/>
        </w:rPr>
      </w:pPr>
      <w:r>
        <w:rPr>
          <w:rFonts w:ascii="Arial" w:cs="Arial" w:eastAsia="Arial" w:hAnsi="Arial"/>
          <w:sz w:val="16"/>
          <w:szCs w:val="16"/>
          <w:b w:val="1"/>
          <w:bCs w:val="1"/>
          <w:color w:val="auto"/>
        </w:rPr>
        <w:t xml:space="preserve">The Toro Company Deferred Compensation Plan for Officers. </w:t>
      </w:r>
      <w:r>
        <w:rPr>
          <w:rFonts w:ascii="Arial" w:cs="Arial" w:eastAsia="Arial" w:hAnsi="Arial"/>
          <w:sz w:val="16"/>
          <w:szCs w:val="16"/>
          <w:color w:val="auto"/>
        </w:rPr>
        <w:t>This plan allows key employees that receive performance share awards,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 officers, an opportunity to defer receipt of shares of our common stock paid out under such awards to a date in the future. Participants can defer up to 100% of the common stock payout. Each year, before the third fiscal year of the three-year performance period begins, participants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Participants are always 100% vested in their accounts.</w:t>
      </w:r>
    </w:p>
    <w:p>
      <w:pPr>
        <w:spacing w:after="0" w:line="60" w:lineRule="exact"/>
        <w:rPr>
          <w:sz w:val="20"/>
          <w:szCs w:val="20"/>
          <w:color w:val="auto"/>
        </w:rPr>
      </w:pPr>
    </w:p>
    <w:p>
      <w:pPr>
        <w:jc w:val="center"/>
        <w:ind w:right="18"/>
        <w:spacing w:after="0" w:line="252" w:lineRule="auto"/>
        <w:rPr>
          <w:sz w:val="20"/>
          <w:szCs w:val="20"/>
          <w:color w:val="auto"/>
        </w:rPr>
      </w:pPr>
      <w:r>
        <w:rPr>
          <w:rFonts w:ascii="Arial" w:cs="Arial" w:eastAsia="Arial" w:hAnsi="Arial"/>
          <w:sz w:val="16"/>
          <w:szCs w:val="16"/>
          <w:b w:val="1"/>
          <w:bCs w:val="1"/>
          <w:color w:val="auto"/>
        </w:rPr>
        <w:t xml:space="preserve">The Toro Company Supplemental Benefit Plan.  </w:t>
      </w:r>
      <w:r>
        <w:rPr>
          <w:rFonts w:ascii="Arial" w:cs="Arial" w:eastAsia="Arial" w:hAnsi="Arial"/>
          <w:sz w:val="16"/>
          <w:szCs w:val="16"/>
          <w:color w:val="auto"/>
        </w:rPr>
        <w:t>This plan is maintained for the purpose of providing to a select group of management or highly</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compensated employees, including our executive officers, benefits in excess of the limitations on benefits and contributions imposed by Code Sections 401(a)</w:t>
      </w:r>
    </w:p>
    <w:p>
      <w:pPr>
        <w:spacing w:after="0" w:line="1" w:lineRule="exact"/>
        <w:rPr>
          <w:sz w:val="20"/>
          <w:szCs w:val="20"/>
          <w:color w:val="auto"/>
        </w:rPr>
      </w:pPr>
    </w:p>
    <w:p>
      <w:pPr>
        <w:ind w:left="2" w:hanging="2"/>
        <w:spacing w:after="0" w:line="241" w:lineRule="auto"/>
        <w:tabs>
          <w:tab w:leader="none" w:pos="338"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and 415. Our contributions to this plan are made on a calendar year basis, usually in the first calendar quarter following the end of the prior calendar year. In calendar year 2018, for earnings above the compensation limit, we contributed the investment savings calculation and the ESOP fund calculation into this plan. For calendar year 2019, based on changes we made to the Retirement Plan, we revised the Supplemental Benefit Plan such that contributions would be made based on all forms of employer contributions, which may include Company matching, investment savings and ESOP. For calendar year 2019, employer matching contributions and an investment savings contribution were made, but not an ESOP contribution. Therefore, employer matching and an investment savings contribution were made to the Supplemental Benefit Plan. Amounts contributed are placed into a participant’s account and the participant may invest such deferred amounts in an array of funds that are consistent with or comparable to funds provided in the Retirement Plan. Participants elect the funds into which these contributions are allocated, as well as the frequency of payments and the number of payments to receive at the time of distribution. Participants are always 100% vested in their accounts.</w:t>
      </w:r>
    </w:p>
    <w:p>
      <w:pPr>
        <w:spacing w:after="0" w:line="18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2"/>
          </w:cols>
          <w:pgMar w:left="238" w:top="140" w:right="259" w:bottom="1440" w:gutter="0" w:footer="0" w:header="0"/>
        </w:sectPr>
      </w:pPr>
    </w:p>
    <w:bookmarkStart w:id="62" w:name="page63"/>
    <w:bookmarkEnd w:id="62"/>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7" w:lineRule="exact"/>
        <w:rPr>
          <w:sz w:val="20"/>
          <w:szCs w:val="20"/>
          <w:color w:val="auto"/>
        </w:rPr>
      </w:pPr>
    </w:p>
    <w:p>
      <w:pPr>
        <w:ind w:left="2" w:right="220" w:firstLine="408"/>
        <w:spacing w:after="0" w:line="281" w:lineRule="auto"/>
        <w:rPr>
          <w:sz w:val="20"/>
          <w:szCs w:val="20"/>
          <w:color w:val="auto"/>
        </w:rPr>
      </w:pPr>
      <w:r>
        <w:rPr>
          <w:rFonts w:ascii="Arial" w:cs="Arial" w:eastAsia="Arial" w:hAnsi="Arial"/>
          <w:sz w:val="16"/>
          <w:szCs w:val="16"/>
          <w:b w:val="1"/>
          <w:bCs w:val="1"/>
          <w:color w:val="auto"/>
        </w:rPr>
        <w:t xml:space="preserve">Nonqualified Deferred Compensation for Fiscal 2019 Table. </w:t>
      </w:r>
      <w:r>
        <w:rPr>
          <w:rFonts w:ascii="Arial" w:cs="Arial" w:eastAsia="Arial" w:hAnsi="Arial"/>
          <w:sz w:val="16"/>
          <w:szCs w:val="16"/>
          <w:color w:val="auto"/>
        </w:rPr>
        <w:t>The following table reflects any named executive officer contributions and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contributions for fiscal 2019 to our nonqualified deferred compensation plans.</w:t>
      </w:r>
    </w:p>
    <w:p>
      <w:pPr>
        <w:spacing w:after="0" w:line="54"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960" w:type="dxa"/>
            <w:vAlign w:val="bottom"/>
            <w:shd w:val="clear" w:color="auto" w:fill="C00000"/>
          </w:tcPr>
          <w:p>
            <w:pPr>
              <w:spacing w:after="0"/>
              <w:rPr>
                <w:sz w:val="13"/>
                <w:szCs w:val="13"/>
                <w:color w:val="auto"/>
              </w:rPr>
            </w:pPr>
          </w:p>
        </w:tc>
        <w:tc>
          <w:tcPr>
            <w:tcW w:w="1740" w:type="dxa"/>
            <w:vAlign w:val="bottom"/>
            <w:shd w:val="clear" w:color="auto" w:fill="C00000"/>
          </w:tcPr>
          <w:p>
            <w:pPr>
              <w:jc w:val="center"/>
              <w:ind w:left="115"/>
              <w:spacing w:after="0"/>
              <w:rPr>
                <w:sz w:val="20"/>
                <w:szCs w:val="20"/>
                <w:color w:val="auto"/>
              </w:rPr>
            </w:pPr>
            <w:r>
              <w:rPr>
                <w:rFonts w:ascii="Arial" w:cs="Arial" w:eastAsia="Arial" w:hAnsi="Arial"/>
                <w:sz w:val="13"/>
                <w:szCs w:val="13"/>
                <w:b w:val="1"/>
                <w:bCs w:val="1"/>
                <w:color w:val="FFFFFF"/>
                <w:w w:val="98"/>
              </w:rPr>
              <w:t>Executive</w:t>
            </w:r>
          </w:p>
        </w:tc>
        <w:tc>
          <w:tcPr>
            <w:tcW w:w="2040" w:type="dxa"/>
            <w:vAlign w:val="bottom"/>
            <w:shd w:val="clear" w:color="auto" w:fill="C00000"/>
          </w:tcPr>
          <w:p>
            <w:pPr>
              <w:jc w:val="center"/>
              <w:ind w:right="35"/>
              <w:spacing w:after="0"/>
              <w:rPr>
                <w:sz w:val="20"/>
                <w:szCs w:val="20"/>
                <w:color w:val="auto"/>
              </w:rPr>
            </w:pPr>
            <w:r>
              <w:rPr>
                <w:rFonts w:ascii="Arial" w:cs="Arial" w:eastAsia="Arial" w:hAnsi="Arial"/>
                <w:sz w:val="13"/>
                <w:szCs w:val="13"/>
                <w:b w:val="1"/>
                <w:bCs w:val="1"/>
                <w:color w:val="FFFFFF"/>
              </w:rPr>
              <w:t>Registrant</w:t>
            </w:r>
          </w:p>
        </w:tc>
        <w:tc>
          <w:tcPr>
            <w:tcW w:w="1620" w:type="dxa"/>
            <w:vAlign w:val="bottom"/>
            <w:shd w:val="clear" w:color="auto" w:fill="C00000"/>
          </w:tcPr>
          <w:p>
            <w:pPr>
              <w:jc w:val="center"/>
              <w:ind w:right="275"/>
              <w:spacing w:after="0"/>
              <w:rPr>
                <w:sz w:val="20"/>
                <w:szCs w:val="20"/>
                <w:color w:val="auto"/>
              </w:rPr>
            </w:pPr>
            <w:r>
              <w:rPr>
                <w:rFonts w:ascii="Arial" w:cs="Arial" w:eastAsia="Arial" w:hAnsi="Arial"/>
                <w:sz w:val="13"/>
                <w:szCs w:val="13"/>
                <w:b w:val="1"/>
                <w:bCs w:val="1"/>
                <w:color w:val="FFFFFF"/>
                <w:w w:val="99"/>
              </w:rPr>
              <w:t>Aggregate</w:t>
            </w:r>
          </w:p>
        </w:tc>
        <w:tc>
          <w:tcPr>
            <w:tcW w:w="1200" w:type="dxa"/>
            <w:vAlign w:val="bottom"/>
            <w:shd w:val="clear" w:color="auto" w:fill="C00000"/>
          </w:tcPr>
          <w:p>
            <w:pPr>
              <w:jc w:val="center"/>
              <w:ind w:left="75"/>
              <w:spacing w:after="0"/>
              <w:rPr>
                <w:sz w:val="20"/>
                <w:szCs w:val="20"/>
                <w:color w:val="auto"/>
              </w:rPr>
            </w:pPr>
            <w:r>
              <w:rPr>
                <w:rFonts w:ascii="Arial" w:cs="Arial" w:eastAsia="Arial" w:hAnsi="Arial"/>
                <w:sz w:val="13"/>
                <w:szCs w:val="13"/>
                <w:b w:val="1"/>
                <w:bCs w:val="1"/>
                <w:color w:val="FFFFFF"/>
              </w:rPr>
              <w:t>Aggregate</w:t>
            </w:r>
          </w:p>
        </w:tc>
        <w:tc>
          <w:tcPr>
            <w:tcW w:w="480" w:type="dxa"/>
            <w:vAlign w:val="bottom"/>
            <w:shd w:val="clear" w:color="auto" w:fill="C00000"/>
          </w:tcPr>
          <w:p>
            <w:pPr>
              <w:spacing w:after="0"/>
              <w:rPr>
                <w:sz w:val="13"/>
                <w:szCs w:val="13"/>
                <w:color w:val="auto"/>
              </w:rPr>
            </w:pPr>
          </w:p>
        </w:tc>
        <w:tc>
          <w:tcPr>
            <w:tcW w:w="1380" w:type="dxa"/>
            <w:vAlign w:val="bottom"/>
            <w:shd w:val="clear" w:color="auto" w:fill="C00000"/>
          </w:tcPr>
          <w:p>
            <w:pPr>
              <w:jc w:val="center"/>
              <w:ind w:right="15"/>
              <w:spacing w:after="0"/>
              <w:rPr>
                <w:sz w:val="20"/>
                <w:szCs w:val="20"/>
                <w:color w:val="auto"/>
              </w:rPr>
            </w:pPr>
            <w:r>
              <w:rPr>
                <w:rFonts w:ascii="Arial" w:cs="Arial" w:eastAsia="Arial" w:hAnsi="Arial"/>
                <w:sz w:val="13"/>
                <w:szCs w:val="13"/>
                <w:b w:val="1"/>
                <w:bCs w:val="1"/>
                <w:color w:val="FFFFFF"/>
              </w:rPr>
              <w:t>Aggregate</w:t>
            </w:r>
          </w:p>
        </w:tc>
      </w:tr>
      <w:tr>
        <w:trPr>
          <w:trHeight w:val="142"/>
        </w:trPr>
        <w:tc>
          <w:tcPr>
            <w:tcW w:w="2960" w:type="dxa"/>
            <w:vAlign w:val="bottom"/>
            <w:shd w:val="clear" w:color="auto" w:fill="C00000"/>
          </w:tcPr>
          <w:p>
            <w:pPr>
              <w:spacing w:after="0"/>
              <w:rPr>
                <w:sz w:val="12"/>
                <w:szCs w:val="12"/>
                <w:color w:val="auto"/>
              </w:rPr>
            </w:pPr>
          </w:p>
        </w:tc>
        <w:tc>
          <w:tcPr>
            <w:tcW w:w="1740" w:type="dxa"/>
            <w:vAlign w:val="bottom"/>
            <w:shd w:val="clear" w:color="auto" w:fill="C00000"/>
          </w:tcPr>
          <w:p>
            <w:pPr>
              <w:jc w:val="center"/>
              <w:ind w:left="115"/>
              <w:spacing w:after="0" w:line="143" w:lineRule="exact"/>
              <w:rPr>
                <w:sz w:val="20"/>
                <w:szCs w:val="20"/>
                <w:color w:val="auto"/>
              </w:rPr>
            </w:pPr>
            <w:r>
              <w:rPr>
                <w:rFonts w:ascii="Arial" w:cs="Arial" w:eastAsia="Arial" w:hAnsi="Arial"/>
                <w:sz w:val="13"/>
                <w:szCs w:val="13"/>
                <w:b w:val="1"/>
                <w:bCs w:val="1"/>
                <w:color w:val="FFFFFF"/>
                <w:w w:val="98"/>
              </w:rPr>
              <w:t>Contributions</w:t>
            </w:r>
          </w:p>
        </w:tc>
        <w:tc>
          <w:tcPr>
            <w:tcW w:w="2040" w:type="dxa"/>
            <w:vAlign w:val="bottom"/>
            <w:shd w:val="clear" w:color="auto" w:fill="C00000"/>
          </w:tcPr>
          <w:p>
            <w:pPr>
              <w:jc w:val="center"/>
              <w:ind w:right="35"/>
              <w:spacing w:after="0" w:line="143" w:lineRule="exact"/>
              <w:rPr>
                <w:sz w:val="20"/>
                <w:szCs w:val="20"/>
                <w:color w:val="auto"/>
              </w:rPr>
            </w:pPr>
            <w:r>
              <w:rPr>
                <w:rFonts w:ascii="Arial" w:cs="Arial" w:eastAsia="Arial" w:hAnsi="Arial"/>
                <w:sz w:val="13"/>
                <w:szCs w:val="13"/>
                <w:b w:val="1"/>
                <w:bCs w:val="1"/>
                <w:color w:val="FFFFFF"/>
              </w:rPr>
              <w:t>Contributions</w:t>
            </w:r>
          </w:p>
        </w:tc>
        <w:tc>
          <w:tcPr>
            <w:tcW w:w="1620" w:type="dxa"/>
            <w:vAlign w:val="bottom"/>
            <w:shd w:val="clear" w:color="auto" w:fill="C00000"/>
          </w:tcPr>
          <w:p>
            <w:pPr>
              <w:jc w:val="center"/>
              <w:ind w:right="295"/>
              <w:spacing w:after="0" w:line="143" w:lineRule="exact"/>
              <w:rPr>
                <w:sz w:val="20"/>
                <w:szCs w:val="20"/>
                <w:color w:val="auto"/>
              </w:rPr>
            </w:pPr>
            <w:r>
              <w:rPr>
                <w:rFonts w:ascii="Arial" w:cs="Arial" w:eastAsia="Arial" w:hAnsi="Arial"/>
                <w:sz w:val="13"/>
                <w:szCs w:val="13"/>
                <w:b w:val="1"/>
                <w:bCs w:val="1"/>
                <w:color w:val="FFFFFF"/>
                <w:w w:val="98"/>
              </w:rPr>
              <w:t>Earnings in</w:t>
            </w:r>
          </w:p>
        </w:tc>
        <w:tc>
          <w:tcPr>
            <w:tcW w:w="1200" w:type="dxa"/>
            <w:vAlign w:val="bottom"/>
            <w:shd w:val="clear" w:color="auto" w:fill="C00000"/>
          </w:tcPr>
          <w:p>
            <w:pPr>
              <w:jc w:val="center"/>
              <w:ind w:left="75"/>
              <w:spacing w:after="0" w:line="143" w:lineRule="exact"/>
              <w:rPr>
                <w:sz w:val="20"/>
                <w:szCs w:val="20"/>
                <w:color w:val="auto"/>
              </w:rPr>
            </w:pPr>
            <w:r>
              <w:rPr>
                <w:rFonts w:ascii="Arial" w:cs="Arial" w:eastAsia="Arial" w:hAnsi="Arial"/>
                <w:sz w:val="13"/>
                <w:szCs w:val="13"/>
                <w:b w:val="1"/>
                <w:bCs w:val="1"/>
                <w:color w:val="FFFFFF"/>
              </w:rPr>
              <w:t>Withdrawals/</w:t>
            </w:r>
          </w:p>
        </w:tc>
        <w:tc>
          <w:tcPr>
            <w:tcW w:w="480" w:type="dxa"/>
            <w:vAlign w:val="bottom"/>
            <w:shd w:val="clear" w:color="auto" w:fill="C00000"/>
          </w:tcPr>
          <w:p>
            <w:pPr>
              <w:spacing w:after="0"/>
              <w:rPr>
                <w:sz w:val="12"/>
                <w:szCs w:val="12"/>
                <w:color w:val="auto"/>
              </w:rPr>
            </w:pPr>
          </w:p>
        </w:tc>
        <w:tc>
          <w:tcPr>
            <w:tcW w:w="1380" w:type="dxa"/>
            <w:vAlign w:val="bottom"/>
            <w:shd w:val="clear" w:color="auto" w:fill="C00000"/>
          </w:tcPr>
          <w:p>
            <w:pPr>
              <w:jc w:val="center"/>
              <w:ind w:right="15"/>
              <w:spacing w:after="0" w:line="143" w:lineRule="exact"/>
              <w:rPr>
                <w:sz w:val="20"/>
                <w:szCs w:val="20"/>
                <w:color w:val="auto"/>
              </w:rPr>
            </w:pPr>
            <w:r>
              <w:rPr>
                <w:rFonts w:ascii="Arial" w:cs="Arial" w:eastAsia="Arial" w:hAnsi="Arial"/>
                <w:sz w:val="13"/>
                <w:szCs w:val="13"/>
                <w:b w:val="1"/>
                <w:bCs w:val="1"/>
                <w:color w:val="FFFFFF"/>
              </w:rPr>
              <w:t>Balance at</w:t>
            </w:r>
          </w:p>
        </w:tc>
      </w:tr>
      <w:tr>
        <w:trPr>
          <w:trHeight w:val="152"/>
        </w:trPr>
        <w:tc>
          <w:tcPr>
            <w:tcW w:w="2960" w:type="dxa"/>
            <w:vAlign w:val="bottom"/>
            <w:shd w:val="clear" w:color="auto" w:fill="C00000"/>
          </w:tcPr>
          <w:p>
            <w:pPr>
              <w:spacing w:after="0"/>
              <w:rPr>
                <w:sz w:val="13"/>
                <w:szCs w:val="13"/>
                <w:color w:val="auto"/>
              </w:rPr>
            </w:pPr>
          </w:p>
        </w:tc>
        <w:tc>
          <w:tcPr>
            <w:tcW w:w="1740" w:type="dxa"/>
            <w:vAlign w:val="bottom"/>
            <w:shd w:val="clear" w:color="auto" w:fill="C00000"/>
          </w:tcPr>
          <w:p>
            <w:pPr>
              <w:jc w:val="center"/>
              <w:ind w:left="115"/>
              <w:spacing w:after="0" w:line="152" w:lineRule="exact"/>
              <w:rPr>
                <w:sz w:val="20"/>
                <w:szCs w:val="20"/>
                <w:color w:val="auto"/>
              </w:rPr>
            </w:pPr>
            <w:r>
              <w:rPr>
                <w:rFonts w:ascii="Arial" w:cs="Arial" w:eastAsia="Arial" w:hAnsi="Arial"/>
                <w:sz w:val="11"/>
                <w:szCs w:val="11"/>
                <w:b w:val="1"/>
                <w:bCs w:val="1"/>
                <w:color w:val="FFFFFF"/>
              </w:rPr>
              <w:t>in Last FY</w:t>
            </w:r>
            <w:r>
              <w:rPr>
                <w:rFonts w:ascii="Arial" w:cs="Arial" w:eastAsia="Arial" w:hAnsi="Arial"/>
                <w:sz w:val="17"/>
                <w:szCs w:val="17"/>
                <w:b w:val="1"/>
                <w:bCs w:val="1"/>
                <w:color w:val="FFFFFF"/>
                <w:vertAlign w:val="superscript"/>
              </w:rPr>
              <w:t>(1)</w:t>
            </w:r>
          </w:p>
        </w:tc>
        <w:tc>
          <w:tcPr>
            <w:tcW w:w="2040" w:type="dxa"/>
            <w:vAlign w:val="bottom"/>
            <w:shd w:val="clear" w:color="auto" w:fill="C00000"/>
          </w:tcPr>
          <w:p>
            <w:pPr>
              <w:jc w:val="center"/>
              <w:ind w:right="15"/>
              <w:spacing w:after="0" w:line="152" w:lineRule="exact"/>
              <w:rPr>
                <w:sz w:val="20"/>
                <w:szCs w:val="20"/>
                <w:color w:val="auto"/>
              </w:rPr>
            </w:pPr>
            <w:r>
              <w:rPr>
                <w:rFonts w:ascii="Arial" w:cs="Arial" w:eastAsia="Arial" w:hAnsi="Arial"/>
                <w:sz w:val="11"/>
                <w:szCs w:val="11"/>
                <w:b w:val="1"/>
                <w:bCs w:val="1"/>
                <w:color w:val="FFFFFF"/>
              </w:rPr>
              <w:t>in Last FY</w:t>
            </w:r>
            <w:r>
              <w:rPr>
                <w:rFonts w:ascii="Arial" w:cs="Arial" w:eastAsia="Arial" w:hAnsi="Arial"/>
                <w:sz w:val="17"/>
                <w:szCs w:val="17"/>
                <w:b w:val="1"/>
                <w:bCs w:val="1"/>
                <w:color w:val="FFFFFF"/>
                <w:vertAlign w:val="superscript"/>
              </w:rPr>
              <w:t>(2)</w:t>
            </w:r>
          </w:p>
        </w:tc>
        <w:tc>
          <w:tcPr>
            <w:tcW w:w="1620" w:type="dxa"/>
            <w:vAlign w:val="bottom"/>
            <w:shd w:val="clear" w:color="auto" w:fill="C00000"/>
          </w:tcPr>
          <w:p>
            <w:pPr>
              <w:jc w:val="center"/>
              <w:ind w:right="275"/>
              <w:spacing w:after="0" w:line="152" w:lineRule="exact"/>
              <w:rPr>
                <w:sz w:val="20"/>
                <w:szCs w:val="20"/>
                <w:color w:val="auto"/>
              </w:rPr>
            </w:pPr>
            <w:r>
              <w:rPr>
                <w:rFonts w:ascii="Arial" w:cs="Arial" w:eastAsia="Arial" w:hAnsi="Arial"/>
                <w:sz w:val="11"/>
                <w:szCs w:val="11"/>
                <w:b w:val="1"/>
                <w:bCs w:val="1"/>
                <w:color w:val="FFFFFF"/>
              </w:rPr>
              <w:t>Last FY</w:t>
            </w:r>
            <w:r>
              <w:rPr>
                <w:rFonts w:ascii="Arial" w:cs="Arial" w:eastAsia="Arial" w:hAnsi="Arial"/>
                <w:sz w:val="17"/>
                <w:szCs w:val="17"/>
                <w:b w:val="1"/>
                <w:bCs w:val="1"/>
                <w:color w:val="FFFFFF"/>
                <w:vertAlign w:val="superscript"/>
              </w:rPr>
              <w:t>(3)</w:t>
            </w:r>
          </w:p>
        </w:tc>
        <w:tc>
          <w:tcPr>
            <w:tcW w:w="1200" w:type="dxa"/>
            <w:vAlign w:val="bottom"/>
            <w:shd w:val="clear" w:color="auto" w:fill="C00000"/>
          </w:tcPr>
          <w:p>
            <w:pPr>
              <w:jc w:val="center"/>
              <w:ind w:left="75"/>
              <w:spacing w:after="0"/>
              <w:rPr>
                <w:sz w:val="20"/>
                <w:szCs w:val="20"/>
                <w:color w:val="auto"/>
              </w:rPr>
            </w:pPr>
            <w:r>
              <w:rPr>
                <w:rFonts w:ascii="Arial" w:cs="Arial" w:eastAsia="Arial" w:hAnsi="Arial"/>
                <w:sz w:val="13"/>
                <w:szCs w:val="13"/>
                <w:b w:val="1"/>
                <w:bCs w:val="1"/>
                <w:color w:val="FFFFFF"/>
              </w:rPr>
              <w:t>Distributions</w:t>
            </w:r>
          </w:p>
        </w:tc>
        <w:tc>
          <w:tcPr>
            <w:tcW w:w="480" w:type="dxa"/>
            <w:vAlign w:val="bottom"/>
            <w:shd w:val="clear" w:color="auto" w:fill="C00000"/>
          </w:tcPr>
          <w:p>
            <w:pPr>
              <w:spacing w:after="0"/>
              <w:rPr>
                <w:sz w:val="13"/>
                <w:szCs w:val="13"/>
                <w:color w:val="auto"/>
              </w:rPr>
            </w:pPr>
          </w:p>
        </w:tc>
        <w:tc>
          <w:tcPr>
            <w:tcW w:w="1380" w:type="dxa"/>
            <w:vAlign w:val="bottom"/>
            <w:shd w:val="clear" w:color="auto" w:fill="C00000"/>
          </w:tcPr>
          <w:p>
            <w:pPr>
              <w:jc w:val="center"/>
              <w:ind w:right="15"/>
              <w:spacing w:after="0" w:line="152" w:lineRule="exact"/>
              <w:rPr>
                <w:sz w:val="20"/>
                <w:szCs w:val="20"/>
                <w:color w:val="auto"/>
              </w:rPr>
            </w:pPr>
            <w:r>
              <w:rPr>
                <w:rFonts w:ascii="Arial" w:cs="Arial" w:eastAsia="Arial" w:hAnsi="Arial"/>
                <w:sz w:val="11"/>
                <w:szCs w:val="11"/>
                <w:b w:val="1"/>
                <w:bCs w:val="1"/>
                <w:color w:val="FFFFFF"/>
              </w:rPr>
              <w:t>Last FYE</w:t>
            </w:r>
            <w:r>
              <w:rPr>
                <w:rFonts w:ascii="Arial" w:cs="Arial" w:eastAsia="Arial" w:hAnsi="Arial"/>
                <w:sz w:val="17"/>
                <w:szCs w:val="17"/>
                <w:b w:val="1"/>
                <w:bCs w:val="1"/>
                <w:color w:val="FFFFFF"/>
                <w:vertAlign w:val="superscript"/>
              </w:rPr>
              <w:t>(4)</w:t>
            </w:r>
          </w:p>
        </w:tc>
      </w:tr>
      <w:tr>
        <w:trPr>
          <w:trHeight w:val="159"/>
        </w:trPr>
        <w:tc>
          <w:tcPr>
            <w:tcW w:w="29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1740" w:type="dxa"/>
            <w:vAlign w:val="bottom"/>
            <w:shd w:val="clear" w:color="auto" w:fill="C00000"/>
          </w:tcPr>
          <w:p>
            <w:pPr>
              <w:jc w:val="center"/>
              <w:ind w:left="115"/>
              <w:spacing w:after="0"/>
              <w:rPr>
                <w:sz w:val="20"/>
                <w:szCs w:val="20"/>
                <w:color w:val="auto"/>
              </w:rPr>
            </w:pPr>
            <w:r>
              <w:rPr>
                <w:rFonts w:ascii="Arial" w:cs="Arial" w:eastAsia="Arial" w:hAnsi="Arial"/>
                <w:sz w:val="13"/>
                <w:szCs w:val="13"/>
                <w:b w:val="1"/>
                <w:bCs w:val="1"/>
                <w:color w:val="FFFFFF"/>
              </w:rPr>
              <w:t>($)</w:t>
            </w:r>
          </w:p>
        </w:tc>
        <w:tc>
          <w:tcPr>
            <w:tcW w:w="2040" w:type="dxa"/>
            <w:vAlign w:val="bottom"/>
            <w:shd w:val="clear" w:color="auto" w:fill="C00000"/>
          </w:tcPr>
          <w:p>
            <w:pPr>
              <w:jc w:val="center"/>
              <w:ind w:right="15"/>
              <w:spacing w:after="0"/>
              <w:rPr>
                <w:sz w:val="20"/>
                <w:szCs w:val="20"/>
                <w:color w:val="auto"/>
              </w:rPr>
            </w:pPr>
            <w:r>
              <w:rPr>
                <w:rFonts w:ascii="Arial" w:cs="Arial" w:eastAsia="Arial" w:hAnsi="Arial"/>
                <w:sz w:val="13"/>
                <w:szCs w:val="13"/>
                <w:b w:val="1"/>
                <w:bCs w:val="1"/>
                <w:color w:val="FFFFFF"/>
              </w:rPr>
              <w:t>($)</w:t>
            </w:r>
          </w:p>
        </w:tc>
        <w:tc>
          <w:tcPr>
            <w:tcW w:w="1620" w:type="dxa"/>
            <w:vAlign w:val="bottom"/>
            <w:shd w:val="clear" w:color="auto" w:fill="C00000"/>
          </w:tcPr>
          <w:p>
            <w:pPr>
              <w:jc w:val="center"/>
              <w:ind w:right="275"/>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C00000"/>
          </w:tcPr>
          <w:p>
            <w:pPr>
              <w:jc w:val="center"/>
              <w:ind w:left="55"/>
              <w:spacing w:after="0"/>
              <w:rPr>
                <w:sz w:val="20"/>
                <w:szCs w:val="20"/>
                <w:color w:val="auto"/>
              </w:rPr>
            </w:pPr>
            <w:r>
              <w:rPr>
                <w:rFonts w:ascii="Arial" w:cs="Arial" w:eastAsia="Arial" w:hAnsi="Arial"/>
                <w:sz w:val="13"/>
                <w:szCs w:val="13"/>
                <w:b w:val="1"/>
                <w:bCs w:val="1"/>
                <w:color w:val="FFFFFF"/>
              </w:rPr>
              <w:t>($)</w:t>
            </w:r>
          </w:p>
        </w:tc>
        <w:tc>
          <w:tcPr>
            <w:tcW w:w="480" w:type="dxa"/>
            <w:vAlign w:val="bottom"/>
            <w:shd w:val="clear" w:color="auto" w:fill="C00000"/>
          </w:tcPr>
          <w:p>
            <w:pPr>
              <w:spacing w:after="0"/>
              <w:rPr>
                <w:sz w:val="13"/>
                <w:szCs w:val="13"/>
                <w:color w:val="auto"/>
              </w:rPr>
            </w:pPr>
          </w:p>
        </w:tc>
        <w:tc>
          <w:tcPr>
            <w:tcW w:w="1380" w:type="dxa"/>
            <w:vAlign w:val="bottom"/>
            <w:shd w:val="clear" w:color="auto" w:fill="C00000"/>
          </w:tcPr>
          <w:p>
            <w:pPr>
              <w:jc w:val="center"/>
              <w:ind w:right="35"/>
              <w:spacing w:after="0"/>
              <w:rPr>
                <w:sz w:val="20"/>
                <w:szCs w:val="20"/>
                <w:color w:val="auto"/>
              </w:rPr>
            </w:pPr>
            <w:r>
              <w:rPr>
                <w:rFonts w:ascii="Arial" w:cs="Arial" w:eastAsia="Arial" w:hAnsi="Arial"/>
                <w:sz w:val="13"/>
                <w:szCs w:val="13"/>
                <w:b w:val="1"/>
                <w:bCs w:val="1"/>
                <w:color w:val="FFFFFF"/>
              </w:rPr>
              <w:t>($)</w:t>
            </w:r>
          </w:p>
        </w:tc>
      </w:tr>
      <w:tr>
        <w:trPr>
          <w:trHeight w:val="173"/>
        </w:trPr>
        <w:tc>
          <w:tcPr>
            <w:tcW w:w="2960" w:type="dxa"/>
            <w:vAlign w:val="bottom"/>
          </w:tcPr>
          <w:p>
            <w:pPr>
              <w:spacing w:after="0"/>
              <w:rPr>
                <w:sz w:val="20"/>
                <w:szCs w:val="20"/>
                <w:color w:val="auto"/>
              </w:rPr>
            </w:pPr>
            <w:r>
              <w:rPr>
                <w:rFonts w:ascii="Arial" w:cs="Arial" w:eastAsia="Arial" w:hAnsi="Arial"/>
                <w:sz w:val="13"/>
                <w:szCs w:val="13"/>
                <w:color w:val="auto"/>
              </w:rPr>
              <w:t>Richard M. Olson</w:t>
            </w: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59"/>
        </w:trPr>
        <w:tc>
          <w:tcPr>
            <w:tcW w:w="2960" w:type="dxa"/>
            <w:vAlign w:val="bottom"/>
          </w:tcPr>
          <w:p>
            <w:pPr>
              <w:ind w:left="220"/>
              <w:spacing w:after="0"/>
              <w:rPr>
                <w:sz w:val="20"/>
                <w:szCs w:val="20"/>
                <w:color w:val="auto"/>
              </w:rPr>
            </w:pPr>
            <w:r>
              <w:rPr>
                <w:rFonts w:ascii="Arial" w:cs="Arial" w:eastAsia="Arial" w:hAnsi="Arial"/>
                <w:sz w:val="13"/>
                <w:szCs w:val="13"/>
                <w:color w:val="auto"/>
              </w:rPr>
              <w:t>Deferred Plan</w:t>
            </w:r>
          </w:p>
        </w:tc>
        <w:tc>
          <w:tcPr>
            <w:tcW w:w="1740" w:type="dxa"/>
            <w:vAlign w:val="bottom"/>
          </w:tcPr>
          <w:p>
            <w:pPr>
              <w:jc w:val="right"/>
              <w:spacing w:after="0"/>
              <w:rPr>
                <w:sz w:val="20"/>
                <w:szCs w:val="20"/>
                <w:color w:val="auto"/>
              </w:rPr>
            </w:pPr>
            <w:r>
              <w:rPr>
                <w:rFonts w:ascii="Arial" w:cs="Arial" w:eastAsia="Arial" w:hAnsi="Arial"/>
                <w:sz w:val="13"/>
                <w:szCs w:val="13"/>
                <w:color w:val="auto"/>
              </w:rPr>
              <w:t>121,388</w:t>
            </w:r>
          </w:p>
        </w:tc>
        <w:tc>
          <w:tcPr>
            <w:tcW w:w="2040" w:type="dxa"/>
            <w:vAlign w:val="bottom"/>
          </w:tcPr>
          <w:p>
            <w:pPr>
              <w:jc w:val="right"/>
              <w:ind w:right="235"/>
              <w:spacing w:after="0"/>
              <w:rPr>
                <w:sz w:val="20"/>
                <w:szCs w:val="20"/>
                <w:color w:val="auto"/>
              </w:rPr>
            </w:pPr>
            <w:r>
              <w:rPr>
                <w:rFonts w:ascii="Arial" w:cs="Arial" w:eastAsia="Arial" w:hAnsi="Arial"/>
                <w:sz w:val="13"/>
                <w:szCs w:val="13"/>
                <w:color w:val="auto"/>
              </w:rPr>
              <w:t>0</w:t>
            </w:r>
          </w:p>
        </w:tc>
        <w:tc>
          <w:tcPr>
            <w:tcW w:w="1620" w:type="dxa"/>
            <w:vAlign w:val="bottom"/>
          </w:tcPr>
          <w:p>
            <w:pPr>
              <w:jc w:val="right"/>
              <w:ind w:right="195"/>
              <w:spacing w:after="0"/>
              <w:rPr>
                <w:sz w:val="20"/>
                <w:szCs w:val="20"/>
                <w:color w:val="auto"/>
              </w:rPr>
            </w:pPr>
            <w:r>
              <w:rPr>
                <w:rFonts w:ascii="Arial" w:cs="Arial" w:eastAsia="Arial" w:hAnsi="Arial"/>
                <w:sz w:val="13"/>
                <w:szCs w:val="13"/>
                <w:color w:val="auto"/>
              </w:rPr>
              <w:t>83,266</w:t>
            </w:r>
          </w:p>
        </w:tc>
        <w:tc>
          <w:tcPr>
            <w:tcW w:w="1200" w:type="dxa"/>
            <w:vAlign w:val="bottom"/>
          </w:tcPr>
          <w:p>
            <w:pPr>
              <w:spacing w:after="0"/>
              <w:rPr>
                <w:sz w:val="13"/>
                <w:szCs w:val="13"/>
                <w:color w:val="auto"/>
              </w:rPr>
            </w:pP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tcPr>
          <w:p>
            <w:pPr>
              <w:jc w:val="right"/>
              <w:spacing w:after="0"/>
              <w:rPr>
                <w:sz w:val="20"/>
                <w:szCs w:val="20"/>
                <w:color w:val="auto"/>
              </w:rPr>
            </w:pPr>
            <w:r>
              <w:rPr>
                <w:rFonts w:ascii="Arial" w:cs="Arial" w:eastAsia="Arial" w:hAnsi="Arial"/>
                <w:sz w:val="13"/>
                <w:szCs w:val="13"/>
                <w:color w:val="auto"/>
              </w:rPr>
              <w:t>758,083</w:t>
            </w:r>
          </w:p>
        </w:tc>
      </w:tr>
      <w:tr>
        <w:trPr>
          <w:trHeight w:val="159"/>
        </w:trPr>
        <w:tc>
          <w:tcPr>
            <w:tcW w:w="2960" w:type="dxa"/>
            <w:vAlign w:val="bottom"/>
          </w:tcPr>
          <w:p>
            <w:pPr>
              <w:ind w:left="220"/>
              <w:spacing w:after="0"/>
              <w:rPr>
                <w:sz w:val="20"/>
                <w:szCs w:val="20"/>
                <w:color w:val="auto"/>
              </w:rPr>
            </w:pPr>
            <w:r>
              <w:rPr>
                <w:rFonts w:ascii="Arial" w:cs="Arial" w:eastAsia="Arial" w:hAnsi="Arial"/>
                <w:sz w:val="13"/>
                <w:szCs w:val="13"/>
                <w:color w:val="auto"/>
              </w:rPr>
              <w:t>Deferred Plan for Officers</w:t>
            </w:r>
          </w:p>
        </w:tc>
        <w:tc>
          <w:tcPr>
            <w:tcW w:w="1740" w:type="dxa"/>
            <w:vAlign w:val="bottom"/>
          </w:tcPr>
          <w:p>
            <w:pPr>
              <w:jc w:val="right"/>
              <w:spacing w:after="0"/>
              <w:rPr>
                <w:sz w:val="20"/>
                <w:szCs w:val="20"/>
                <w:color w:val="auto"/>
              </w:rPr>
            </w:pPr>
            <w:r>
              <w:rPr>
                <w:rFonts w:ascii="Arial" w:cs="Arial" w:eastAsia="Arial" w:hAnsi="Arial"/>
                <w:sz w:val="13"/>
                <w:szCs w:val="13"/>
                <w:color w:val="auto"/>
              </w:rPr>
              <w:t>2,635,115</w:t>
            </w:r>
          </w:p>
        </w:tc>
        <w:tc>
          <w:tcPr>
            <w:tcW w:w="2040" w:type="dxa"/>
            <w:vAlign w:val="bottom"/>
          </w:tcPr>
          <w:p>
            <w:pPr>
              <w:jc w:val="right"/>
              <w:ind w:right="235"/>
              <w:spacing w:after="0"/>
              <w:rPr>
                <w:sz w:val="20"/>
                <w:szCs w:val="20"/>
                <w:color w:val="auto"/>
              </w:rPr>
            </w:pPr>
            <w:r>
              <w:rPr>
                <w:rFonts w:ascii="Arial" w:cs="Arial" w:eastAsia="Arial" w:hAnsi="Arial"/>
                <w:sz w:val="13"/>
                <w:szCs w:val="13"/>
                <w:color w:val="auto"/>
              </w:rPr>
              <w:t>0</w:t>
            </w:r>
          </w:p>
        </w:tc>
        <w:tc>
          <w:tcPr>
            <w:tcW w:w="1620" w:type="dxa"/>
            <w:vAlign w:val="bottom"/>
          </w:tcPr>
          <w:p>
            <w:pPr>
              <w:jc w:val="right"/>
              <w:ind w:right="195"/>
              <w:spacing w:after="0"/>
              <w:rPr>
                <w:sz w:val="20"/>
                <w:szCs w:val="20"/>
                <w:color w:val="auto"/>
              </w:rPr>
            </w:pPr>
            <w:r>
              <w:rPr>
                <w:rFonts w:ascii="Arial" w:cs="Arial" w:eastAsia="Arial" w:hAnsi="Arial"/>
                <w:sz w:val="13"/>
                <w:szCs w:val="13"/>
                <w:color w:val="auto"/>
              </w:rPr>
              <w:t>985,138</w:t>
            </w:r>
          </w:p>
        </w:tc>
        <w:tc>
          <w:tcPr>
            <w:tcW w:w="1200" w:type="dxa"/>
            <w:vAlign w:val="bottom"/>
          </w:tcPr>
          <w:p>
            <w:pPr>
              <w:spacing w:after="0"/>
              <w:rPr>
                <w:sz w:val="13"/>
                <w:szCs w:val="13"/>
                <w:color w:val="auto"/>
              </w:rPr>
            </w:pP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tcPr>
          <w:p>
            <w:pPr>
              <w:jc w:val="right"/>
              <w:spacing w:after="0"/>
              <w:rPr>
                <w:sz w:val="20"/>
                <w:szCs w:val="20"/>
                <w:color w:val="auto"/>
              </w:rPr>
            </w:pPr>
            <w:r>
              <w:rPr>
                <w:rFonts w:ascii="Arial" w:cs="Arial" w:eastAsia="Arial" w:hAnsi="Arial"/>
                <w:sz w:val="13"/>
                <w:szCs w:val="13"/>
                <w:color w:val="auto"/>
              </w:rPr>
              <w:t>6,257,663</w:t>
            </w:r>
          </w:p>
        </w:tc>
      </w:tr>
      <w:tr>
        <w:trPr>
          <w:trHeight w:val="146"/>
        </w:trPr>
        <w:tc>
          <w:tcPr>
            <w:tcW w:w="2960" w:type="dxa"/>
            <w:vAlign w:val="bottom"/>
          </w:tcPr>
          <w:p>
            <w:pPr>
              <w:ind w:left="220"/>
              <w:spacing w:after="0" w:line="146" w:lineRule="exact"/>
              <w:rPr>
                <w:sz w:val="20"/>
                <w:szCs w:val="20"/>
                <w:color w:val="auto"/>
              </w:rPr>
            </w:pPr>
            <w:r>
              <w:rPr>
                <w:rFonts w:ascii="Arial" w:cs="Arial" w:eastAsia="Arial" w:hAnsi="Arial"/>
                <w:sz w:val="13"/>
                <w:szCs w:val="13"/>
                <w:color w:val="auto"/>
              </w:rPr>
              <w:t>Supplemental Benefit Plan</w:t>
            </w:r>
          </w:p>
        </w:tc>
        <w:tc>
          <w:tcPr>
            <w:tcW w:w="174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20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137,923</w:t>
            </w:r>
          </w:p>
        </w:tc>
        <w:tc>
          <w:tcPr>
            <w:tcW w:w="162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49,626</w:t>
            </w:r>
          </w:p>
        </w:tc>
        <w:tc>
          <w:tcPr>
            <w:tcW w:w="1200" w:type="dxa"/>
            <w:vAlign w:val="bottom"/>
          </w:tcPr>
          <w:p>
            <w:pPr>
              <w:spacing w:after="0"/>
              <w:rPr>
                <w:sz w:val="12"/>
                <w:szCs w:val="12"/>
                <w:color w:val="auto"/>
              </w:rPr>
            </w:pPr>
          </w:p>
        </w:tc>
        <w:tc>
          <w:tcPr>
            <w:tcW w:w="480" w:type="dxa"/>
            <w:vAlign w:val="bottom"/>
          </w:tcPr>
          <w:p>
            <w:pPr>
              <w:jc w:val="right"/>
              <w:ind w:right="215"/>
              <w:spacing w:after="0" w:line="146" w:lineRule="exact"/>
              <w:rPr>
                <w:sz w:val="20"/>
                <w:szCs w:val="20"/>
                <w:color w:val="auto"/>
              </w:rPr>
            </w:pPr>
            <w:r>
              <w:rPr>
                <w:rFonts w:ascii="Arial" w:cs="Arial" w:eastAsia="Arial" w:hAnsi="Arial"/>
                <w:sz w:val="13"/>
                <w:szCs w:val="13"/>
                <w:color w:val="auto"/>
              </w:rPr>
              <w:t>0</w:t>
            </w:r>
          </w:p>
        </w:tc>
        <w:tc>
          <w:tcPr>
            <w:tcW w:w="1380" w:type="dxa"/>
            <w:vAlign w:val="bottom"/>
          </w:tcPr>
          <w:p>
            <w:pPr>
              <w:jc w:val="right"/>
              <w:spacing w:after="0" w:line="146" w:lineRule="exact"/>
              <w:rPr>
                <w:sz w:val="20"/>
                <w:szCs w:val="20"/>
                <w:color w:val="auto"/>
              </w:rPr>
            </w:pPr>
            <w:r>
              <w:rPr>
                <w:rFonts w:ascii="Arial" w:cs="Arial" w:eastAsia="Arial" w:hAnsi="Arial"/>
                <w:sz w:val="13"/>
                <w:szCs w:val="13"/>
                <w:color w:val="auto"/>
              </w:rPr>
              <w:t>628,006</w:t>
            </w:r>
          </w:p>
        </w:tc>
      </w:tr>
      <w:tr>
        <w:trPr>
          <w:trHeight w:val="159"/>
        </w:trPr>
        <w:tc>
          <w:tcPr>
            <w:tcW w:w="2960" w:type="dxa"/>
            <w:vAlign w:val="bottom"/>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1740" w:type="dxa"/>
            <w:vAlign w:val="bottom"/>
            <w:shd w:val="clear" w:color="auto" w:fill="D9D9D9"/>
          </w:tcPr>
          <w:p>
            <w:pPr>
              <w:spacing w:after="0"/>
              <w:rPr>
                <w:sz w:val="13"/>
                <w:szCs w:val="13"/>
                <w:color w:val="auto"/>
              </w:rPr>
            </w:pPr>
          </w:p>
        </w:tc>
        <w:tc>
          <w:tcPr>
            <w:tcW w:w="2040" w:type="dxa"/>
            <w:vAlign w:val="bottom"/>
            <w:shd w:val="clear" w:color="auto" w:fill="D9D9D9"/>
          </w:tcPr>
          <w:p>
            <w:pPr>
              <w:spacing w:after="0"/>
              <w:rPr>
                <w:sz w:val="13"/>
                <w:szCs w:val="13"/>
                <w:color w:val="auto"/>
              </w:rPr>
            </w:pPr>
          </w:p>
        </w:tc>
        <w:tc>
          <w:tcPr>
            <w:tcW w:w="1620" w:type="dxa"/>
            <w:vAlign w:val="bottom"/>
            <w:shd w:val="clear" w:color="auto" w:fill="D9D9D9"/>
          </w:tcPr>
          <w:p>
            <w:pPr>
              <w:spacing w:after="0"/>
              <w:rPr>
                <w:sz w:val="13"/>
                <w:szCs w:val="13"/>
                <w:color w:val="auto"/>
              </w:rPr>
            </w:pPr>
          </w:p>
        </w:tc>
        <w:tc>
          <w:tcPr>
            <w:tcW w:w="1200" w:type="dxa"/>
            <w:vAlign w:val="bottom"/>
            <w:shd w:val="clear" w:color="auto" w:fill="D9D9D9"/>
          </w:tcPr>
          <w:p>
            <w:pPr>
              <w:spacing w:after="0"/>
              <w:rPr>
                <w:sz w:val="13"/>
                <w:szCs w:val="13"/>
                <w:color w:val="auto"/>
              </w:rPr>
            </w:pPr>
          </w:p>
        </w:tc>
        <w:tc>
          <w:tcPr>
            <w:tcW w:w="480" w:type="dxa"/>
            <w:vAlign w:val="bottom"/>
            <w:shd w:val="clear" w:color="auto" w:fill="D9D9D9"/>
          </w:tcPr>
          <w:p>
            <w:pPr>
              <w:spacing w:after="0"/>
              <w:rPr>
                <w:sz w:val="13"/>
                <w:szCs w:val="13"/>
                <w:color w:val="auto"/>
              </w:rPr>
            </w:pPr>
          </w:p>
        </w:tc>
        <w:tc>
          <w:tcPr>
            <w:tcW w:w="1380" w:type="dxa"/>
            <w:vAlign w:val="bottom"/>
            <w:shd w:val="clear" w:color="auto" w:fill="D9D9D9"/>
          </w:tcPr>
          <w:p>
            <w:pPr>
              <w:spacing w:after="0"/>
              <w:rPr>
                <w:sz w:val="13"/>
                <w:szCs w:val="13"/>
                <w:color w:val="auto"/>
              </w:rPr>
            </w:pPr>
          </w:p>
        </w:tc>
      </w:tr>
      <w:tr>
        <w:trPr>
          <w:trHeight w:val="159"/>
        </w:trPr>
        <w:tc>
          <w:tcPr>
            <w:tcW w:w="2960" w:type="dxa"/>
            <w:vAlign w:val="bottom"/>
            <w:shd w:val="clear" w:color="auto" w:fill="D9D9D9"/>
          </w:tcPr>
          <w:p>
            <w:pPr>
              <w:ind w:left="220"/>
              <w:spacing w:after="0"/>
              <w:rPr>
                <w:sz w:val="20"/>
                <w:szCs w:val="20"/>
                <w:color w:val="auto"/>
              </w:rPr>
            </w:pPr>
            <w:r>
              <w:rPr>
                <w:rFonts w:ascii="Arial" w:cs="Arial" w:eastAsia="Arial" w:hAnsi="Arial"/>
                <w:sz w:val="13"/>
                <w:szCs w:val="13"/>
                <w:color w:val="auto"/>
              </w:rPr>
              <w:t>Deferred Plan</w:t>
            </w:r>
          </w:p>
        </w:tc>
        <w:tc>
          <w:tcPr>
            <w:tcW w:w="1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247,413</w:t>
            </w:r>
          </w:p>
        </w:tc>
        <w:tc>
          <w:tcPr>
            <w:tcW w:w="2040" w:type="dxa"/>
            <w:vAlign w:val="bottom"/>
            <w:shd w:val="clear" w:color="auto" w:fill="D9D9D9"/>
          </w:tcPr>
          <w:p>
            <w:pPr>
              <w:spacing w:after="0"/>
              <w:rPr>
                <w:sz w:val="13"/>
                <w:szCs w:val="13"/>
                <w:color w:val="auto"/>
              </w:rPr>
            </w:pPr>
          </w:p>
        </w:tc>
        <w:tc>
          <w:tcPr>
            <w:tcW w:w="1620" w:type="dxa"/>
            <w:vAlign w:val="bottom"/>
            <w:shd w:val="clear" w:color="auto" w:fill="D9D9D9"/>
          </w:tcPr>
          <w:p>
            <w:pPr>
              <w:jc w:val="right"/>
              <w:ind w:right="195"/>
              <w:spacing w:after="0"/>
              <w:rPr>
                <w:sz w:val="20"/>
                <w:szCs w:val="20"/>
                <w:color w:val="auto"/>
              </w:rPr>
            </w:pPr>
            <w:r>
              <w:rPr>
                <w:rFonts w:ascii="Arial" w:cs="Arial" w:eastAsia="Arial" w:hAnsi="Arial"/>
                <w:sz w:val="13"/>
                <w:szCs w:val="13"/>
                <w:color w:val="auto"/>
              </w:rPr>
              <w:t>249,505</w:t>
            </w:r>
          </w:p>
        </w:tc>
        <w:tc>
          <w:tcPr>
            <w:tcW w:w="1200" w:type="dxa"/>
            <w:vAlign w:val="bottom"/>
            <w:shd w:val="clear" w:color="auto" w:fill="D9D9D9"/>
          </w:tcPr>
          <w:p>
            <w:pPr>
              <w:spacing w:after="0"/>
              <w:rPr>
                <w:sz w:val="13"/>
                <w:szCs w:val="13"/>
                <w:color w:val="auto"/>
              </w:rPr>
            </w:pPr>
          </w:p>
        </w:tc>
        <w:tc>
          <w:tcPr>
            <w:tcW w:w="480" w:type="dxa"/>
            <w:vAlign w:val="bottom"/>
            <w:shd w:val="clear" w:color="auto" w:fill="D9D9D9"/>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2,522,331</w:t>
            </w:r>
          </w:p>
        </w:tc>
      </w:tr>
      <w:tr>
        <w:trPr>
          <w:trHeight w:val="159"/>
        </w:trPr>
        <w:tc>
          <w:tcPr>
            <w:tcW w:w="2960" w:type="dxa"/>
            <w:vAlign w:val="bottom"/>
            <w:shd w:val="clear" w:color="auto" w:fill="D9D9D9"/>
          </w:tcPr>
          <w:p>
            <w:pPr>
              <w:ind w:left="220"/>
              <w:spacing w:after="0"/>
              <w:rPr>
                <w:sz w:val="20"/>
                <w:szCs w:val="20"/>
                <w:color w:val="auto"/>
              </w:rPr>
            </w:pPr>
            <w:r>
              <w:rPr>
                <w:rFonts w:ascii="Arial" w:cs="Arial" w:eastAsia="Arial" w:hAnsi="Arial"/>
                <w:sz w:val="13"/>
                <w:szCs w:val="13"/>
                <w:color w:val="auto"/>
              </w:rPr>
              <w:t>Deferred Plan for Officers</w:t>
            </w:r>
          </w:p>
        </w:tc>
        <w:tc>
          <w:tcPr>
            <w:tcW w:w="1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040" w:type="dxa"/>
            <w:vAlign w:val="bottom"/>
            <w:shd w:val="clear" w:color="auto" w:fill="D9D9D9"/>
          </w:tcPr>
          <w:p>
            <w:pPr>
              <w:spacing w:after="0"/>
              <w:rPr>
                <w:sz w:val="13"/>
                <w:szCs w:val="13"/>
                <w:color w:val="auto"/>
              </w:rPr>
            </w:pPr>
          </w:p>
        </w:tc>
        <w:tc>
          <w:tcPr>
            <w:tcW w:w="1620" w:type="dxa"/>
            <w:vAlign w:val="bottom"/>
            <w:shd w:val="clear" w:color="auto" w:fill="D9D9D9"/>
          </w:tcPr>
          <w:p>
            <w:pPr>
              <w:jc w:val="right"/>
              <w:ind w:right="195"/>
              <w:spacing w:after="0"/>
              <w:rPr>
                <w:sz w:val="20"/>
                <w:szCs w:val="20"/>
                <w:color w:val="auto"/>
              </w:rPr>
            </w:pPr>
            <w:r>
              <w:rPr>
                <w:rFonts w:ascii="Arial" w:cs="Arial" w:eastAsia="Arial" w:hAnsi="Arial"/>
                <w:sz w:val="13"/>
                <w:szCs w:val="13"/>
                <w:color w:val="auto"/>
              </w:rPr>
              <w:t>1,806,908</w:t>
            </w:r>
          </w:p>
        </w:tc>
        <w:tc>
          <w:tcPr>
            <w:tcW w:w="1200" w:type="dxa"/>
            <w:vAlign w:val="bottom"/>
            <w:shd w:val="clear" w:color="auto" w:fill="D9D9D9"/>
          </w:tcPr>
          <w:p>
            <w:pPr>
              <w:spacing w:after="0"/>
              <w:rPr>
                <w:sz w:val="13"/>
                <w:szCs w:val="13"/>
                <w:color w:val="auto"/>
              </w:rPr>
            </w:pPr>
          </w:p>
        </w:tc>
        <w:tc>
          <w:tcPr>
            <w:tcW w:w="480" w:type="dxa"/>
            <w:vAlign w:val="bottom"/>
            <w:shd w:val="clear" w:color="auto" w:fill="D9D9D9"/>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6,466,698</w:t>
            </w:r>
          </w:p>
        </w:tc>
      </w:tr>
      <w:tr>
        <w:trPr>
          <w:trHeight w:val="159"/>
        </w:trPr>
        <w:tc>
          <w:tcPr>
            <w:tcW w:w="2960" w:type="dxa"/>
            <w:vAlign w:val="bottom"/>
            <w:shd w:val="clear" w:color="auto" w:fill="D9D9D9"/>
          </w:tcPr>
          <w:p>
            <w:pPr>
              <w:ind w:left="220"/>
              <w:spacing w:after="0"/>
              <w:rPr>
                <w:sz w:val="20"/>
                <w:szCs w:val="20"/>
                <w:color w:val="auto"/>
              </w:rPr>
            </w:pPr>
            <w:r>
              <w:rPr>
                <w:rFonts w:ascii="Arial" w:cs="Arial" w:eastAsia="Arial" w:hAnsi="Arial"/>
                <w:sz w:val="13"/>
                <w:szCs w:val="13"/>
                <w:color w:val="auto"/>
              </w:rPr>
              <w:t>Supplemental Benefit Plan</w:t>
            </w:r>
          </w:p>
        </w:tc>
        <w:tc>
          <w:tcPr>
            <w:tcW w:w="1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040" w:type="dxa"/>
            <w:vAlign w:val="bottom"/>
            <w:shd w:val="clear" w:color="auto" w:fill="D9D9D9"/>
          </w:tcPr>
          <w:p>
            <w:pPr>
              <w:jc w:val="right"/>
              <w:ind w:right="235"/>
              <w:spacing w:after="0"/>
              <w:rPr>
                <w:sz w:val="20"/>
                <w:szCs w:val="20"/>
                <w:color w:val="auto"/>
              </w:rPr>
            </w:pPr>
            <w:r>
              <w:rPr>
                <w:rFonts w:ascii="Arial" w:cs="Arial" w:eastAsia="Arial" w:hAnsi="Arial"/>
                <w:sz w:val="13"/>
                <w:szCs w:val="13"/>
                <w:color w:val="auto"/>
              </w:rPr>
              <w:t>54,415</w:t>
            </w:r>
          </w:p>
        </w:tc>
        <w:tc>
          <w:tcPr>
            <w:tcW w:w="1620" w:type="dxa"/>
            <w:vAlign w:val="bottom"/>
            <w:shd w:val="clear" w:color="auto" w:fill="D9D9D9"/>
          </w:tcPr>
          <w:p>
            <w:pPr>
              <w:jc w:val="right"/>
              <w:ind w:right="195"/>
              <w:spacing w:after="0"/>
              <w:rPr>
                <w:sz w:val="20"/>
                <w:szCs w:val="20"/>
                <w:color w:val="auto"/>
              </w:rPr>
            </w:pPr>
            <w:r>
              <w:rPr>
                <w:rFonts w:ascii="Arial" w:cs="Arial" w:eastAsia="Arial" w:hAnsi="Arial"/>
                <w:sz w:val="13"/>
                <w:szCs w:val="13"/>
                <w:color w:val="auto"/>
              </w:rPr>
              <w:t>44,361</w:t>
            </w:r>
          </w:p>
        </w:tc>
        <w:tc>
          <w:tcPr>
            <w:tcW w:w="1200" w:type="dxa"/>
            <w:vAlign w:val="bottom"/>
            <w:shd w:val="clear" w:color="auto" w:fill="D9D9D9"/>
          </w:tcPr>
          <w:p>
            <w:pPr>
              <w:spacing w:after="0"/>
              <w:rPr>
                <w:sz w:val="13"/>
                <w:szCs w:val="13"/>
                <w:color w:val="auto"/>
              </w:rPr>
            </w:pPr>
          </w:p>
        </w:tc>
        <w:tc>
          <w:tcPr>
            <w:tcW w:w="480" w:type="dxa"/>
            <w:vAlign w:val="bottom"/>
            <w:shd w:val="clear" w:color="auto" w:fill="D9D9D9"/>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485,332</w:t>
            </w:r>
          </w:p>
        </w:tc>
      </w:tr>
      <w:tr>
        <w:trPr>
          <w:trHeight w:val="173"/>
        </w:trPr>
        <w:tc>
          <w:tcPr>
            <w:tcW w:w="2960" w:type="dxa"/>
            <w:vAlign w:val="bottom"/>
          </w:tcPr>
          <w:p>
            <w:pPr>
              <w:spacing w:after="0"/>
              <w:rPr>
                <w:sz w:val="20"/>
                <w:szCs w:val="20"/>
                <w:color w:val="auto"/>
              </w:rPr>
            </w:pPr>
            <w:r>
              <w:rPr>
                <w:rFonts w:ascii="Arial" w:cs="Arial" w:eastAsia="Arial" w:hAnsi="Arial"/>
                <w:sz w:val="13"/>
                <w:szCs w:val="13"/>
                <w:color w:val="auto"/>
              </w:rPr>
              <w:t>Timothy P. Dordell</w:t>
            </w: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59"/>
        </w:trPr>
        <w:tc>
          <w:tcPr>
            <w:tcW w:w="2960" w:type="dxa"/>
            <w:vAlign w:val="bottom"/>
          </w:tcPr>
          <w:p>
            <w:pPr>
              <w:ind w:left="220"/>
              <w:spacing w:after="0"/>
              <w:rPr>
                <w:sz w:val="20"/>
                <w:szCs w:val="20"/>
                <w:color w:val="auto"/>
              </w:rPr>
            </w:pPr>
            <w:r>
              <w:rPr>
                <w:rFonts w:ascii="Arial" w:cs="Arial" w:eastAsia="Arial" w:hAnsi="Arial"/>
                <w:sz w:val="13"/>
                <w:szCs w:val="13"/>
                <w:color w:val="auto"/>
              </w:rPr>
              <w:t>Deferred Plan</w:t>
            </w:r>
          </w:p>
        </w:tc>
        <w:tc>
          <w:tcPr>
            <w:tcW w:w="1740" w:type="dxa"/>
            <w:vAlign w:val="bottom"/>
          </w:tcPr>
          <w:p>
            <w:pPr>
              <w:jc w:val="right"/>
              <w:spacing w:after="0"/>
              <w:rPr>
                <w:sz w:val="20"/>
                <w:szCs w:val="20"/>
                <w:color w:val="auto"/>
              </w:rPr>
            </w:pPr>
            <w:r>
              <w:rPr>
                <w:rFonts w:ascii="Arial" w:cs="Arial" w:eastAsia="Arial" w:hAnsi="Arial"/>
                <w:sz w:val="13"/>
                <w:szCs w:val="13"/>
                <w:color w:val="auto"/>
              </w:rPr>
              <w:t>33,825</w:t>
            </w:r>
          </w:p>
        </w:tc>
        <w:tc>
          <w:tcPr>
            <w:tcW w:w="2040" w:type="dxa"/>
            <w:vAlign w:val="bottom"/>
          </w:tcPr>
          <w:p>
            <w:pPr>
              <w:jc w:val="right"/>
              <w:ind w:right="235"/>
              <w:spacing w:after="0"/>
              <w:rPr>
                <w:sz w:val="20"/>
                <w:szCs w:val="20"/>
                <w:color w:val="auto"/>
              </w:rPr>
            </w:pPr>
            <w:r>
              <w:rPr>
                <w:rFonts w:ascii="Arial" w:cs="Arial" w:eastAsia="Arial" w:hAnsi="Arial"/>
                <w:sz w:val="13"/>
                <w:szCs w:val="13"/>
                <w:color w:val="auto"/>
              </w:rPr>
              <w:t>0</w:t>
            </w:r>
          </w:p>
        </w:tc>
        <w:tc>
          <w:tcPr>
            <w:tcW w:w="1620" w:type="dxa"/>
            <w:vAlign w:val="bottom"/>
          </w:tcPr>
          <w:p>
            <w:pPr>
              <w:jc w:val="right"/>
              <w:ind w:right="195"/>
              <w:spacing w:after="0"/>
              <w:rPr>
                <w:sz w:val="20"/>
                <w:szCs w:val="20"/>
                <w:color w:val="auto"/>
              </w:rPr>
            </w:pPr>
            <w:r>
              <w:rPr>
                <w:rFonts w:ascii="Arial" w:cs="Arial" w:eastAsia="Arial" w:hAnsi="Arial"/>
                <w:sz w:val="13"/>
                <w:szCs w:val="13"/>
                <w:color w:val="auto"/>
              </w:rPr>
              <w:t>407,311</w:t>
            </w:r>
          </w:p>
        </w:tc>
        <w:tc>
          <w:tcPr>
            <w:tcW w:w="1200" w:type="dxa"/>
            <w:vAlign w:val="bottom"/>
          </w:tcPr>
          <w:p>
            <w:pPr>
              <w:spacing w:after="0"/>
              <w:rPr>
                <w:sz w:val="13"/>
                <w:szCs w:val="13"/>
                <w:color w:val="auto"/>
              </w:rPr>
            </w:pP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tcPr>
          <w:p>
            <w:pPr>
              <w:jc w:val="right"/>
              <w:spacing w:after="0"/>
              <w:rPr>
                <w:sz w:val="20"/>
                <w:szCs w:val="20"/>
                <w:color w:val="auto"/>
              </w:rPr>
            </w:pPr>
            <w:r>
              <w:rPr>
                <w:rFonts w:ascii="Arial" w:cs="Arial" w:eastAsia="Arial" w:hAnsi="Arial"/>
                <w:sz w:val="13"/>
                <w:szCs w:val="13"/>
                <w:color w:val="auto"/>
              </w:rPr>
              <w:t>3,987,394</w:t>
            </w:r>
          </w:p>
        </w:tc>
      </w:tr>
      <w:tr>
        <w:trPr>
          <w:trHeight w:val="159"/>
        </w:trPr>
        <w:tc>
          <w:tcPr>
            <w:tcW w:w="2960" w:type="dxa"/>
            <w:vAlign w:val="bottom"/>
          </w:tcPr>
          <w:p>
            <w:pPr>
              <w:ind w:left="220"/>
              <w:spacing w:after="0"/>
              <w:rPr>
                <w:sz w:val="20"/>
                <w:szCs w:val="20"/>
                <w:color w:val="auto"/>
              </w:rPr>
            </w:pPr>
            <w:r>
              <w:rPr>
                <w:rFonts w:ascii="Arial" w:cs="Arial" w:eastAsia="Arial" w:hAnsi="Arial"/>
                <w:sz w:val="13"/>
                <w:szCs w:val="13"/>
                <w:color w:val="auto"/>
              </w:rPr>
              <w:t>Deferred Plan for Officers</w:t>
            </w:r>
          </w:p>
        </w:tc>
        <w:tc>
          <w:tcPr>
            <w:tcW w:w="1740" w:type="dxa"/>
            <w:vAlign w:val="bottom"/>
          </w:tcPr>
          <w:p>
            <w:pPr>
              <w:jc w:val="right"/>
              <w:spacing w:after="0"/>
              <w:rPr>
                <w:sz w:val="20"/>
                <w:szCs w:val="20"/>
                <w:color w:val="auto"/>
              </w:rPr>
            </w:pPr>
            <w:r>
              <w:rPr>
                <w:rFonts w:ascii="Arial" w:cs="Arial" w:eastAsia="Arial" w:hAnsi="Arial"/>
                <w:sz w:val="13"/>
                <w:szCs w:val="13"/>
                <w:color w:val="auto"/>
              </w:rPr>
              <w:t>0</w:t>
            </w:r>
          </w:p>
        </w:tc>
        <w:tc>
          <w:tcPr>
            <w:tcW w:w="2040" w:type="dxa"/>
            <w:vAlign w:val="bottom"/>
          </w:tcPr>
          <w:p>
            <w:pPr>
              <w:jc w:val="right"/>
              <w:ind w:right="235"/>
              <w:spacing w:after="0"/>
              <w:rPr>
                <w:sz w:val="20"/>
                <w:szCs w:val="20"/>
                <w:color w:val="auto"/>
              </w:rPr>
            </w:pPr>
            <w:r>
              <w:rPr>
                <w:rFonts w:ascii="Arial" w:cs="Arial" w:eastAsia="Arial" w:hAnsi="Arial"/>
                <w:sz w:val="13"/>
                <w:szCs w:val="13"/>
                <w:color w:val="auto"/>
              </w:rPr>
              <w:t>0</w:t>
            </w:r>
          </w:p>
        </w:tc>
        <w:tc>
          <w:tcPr>
            <w:tcW w:w="1620" w:type="dxa"/>
            <w:vAlign w:val="bottom"/>
          </w:tcPr>
          <w:p>
            <w:pPr>
              <w:jc w:val="right"/>
              <w:ind w:right="195"/>
              <w:spacing w:after="0"/>
              <w:rPr>
                <w:sz w:val="20"/>
                <w:szCs w:val="20"/>
                <w:color w:val="auto"/>
              </w:rPr>
            </w:pPr>
            <w:r>
              <w:rPr>
                <w:rFonts w:ascii="Arial" w:cs="Arial" w:eastAsia="Arial" w:hAnsi="Arial"/>
                <w:sz w:val="13"/>
                <w:szCs w:val="13"/>
                <w:color w:val="auto"/>
              </w:rPr>
              <w:t>2,352,294</w:t>
            </w:r>
          </w:p>
        </w:tc>
        <w:tc>
          <w:tcPr>
            <w:tcW w:w="1200" w:type="dxa"/>
            <w:vAlign w:val="bottom"/>
          </w:tcPr>
          <w:p>
            <w:pPr>
              <w:spacing w:after="0"/>
              <w:rPr>
                <w:sz w:val="13"/>
                <w:szCs w:val="13"/>
                <w:color w:val="auto"/>
              </w:rPr>
            </w:pP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tcPr>
          <w:p>
            <w:pPr>
              <w:jc w:val="right"/>
              <w:spacing w:after="0"/>
              <w:rPr>
                <w:sz w:val="20"/>
                <w:szCs w:val="20"/>
                <w:color w:val="auto"/>
              </w:rPr>
            </w:pPr>
            <w:r>
              <w:rPr>
                <w:rFonts w:ascii="Arial" w:cs="Arial" w:eastAsia="Arial" w:hAnsi="Arial"/>
                <w:sz w:val="13"/>
                <w:szCs w:val="13"/>
                <w:color w:val="auto"/>
              </w:rPr>
              <w:t>8,469,301</w:t>
            </w:r>
          </w:p>
        </w:tc>
      </w:tr>
      <w:tr>
        <w:trPr>
          <w:trHeight w:val="146"/>
        </w:trPr>
        <w:tc>
          <w:tcPr>
            <w:tcW w:w="2960" w:type="dxa"/>
            <w:vAlign w:val="bottom"/>
          </w:tcPr>
          <w:p>
            <w:pPr>
              <w:ind w:left="220"/>
              <w:spacing w:after="0" w:line="146" w:lineRule="exact"/>
              <w:rPr>
                <w:sz w:val="20"/>
                <w:szCs w:val="20"/>
                <w:color w:val="auto"/>
              </w:rPr>
            </w:pPr>
            <w:r>
              <w:rPr>
                <w:rFonts w:ascii="Arial" w:cs="Arial" w:eastAsia="Arial" w:hAnsi="Arial"/>
                <w:sz w:val="13"/>
                <w:szCs w:val="13"/>
                <w:color w:val="auto"/>
              </w:rPr>
              <w:t>Supplemental Benefit Plan</w:t>
            </w:r>
          </w:p>
        </w:tc>
        <w:tc>
          <w:tcPr>
            <w:tcW w:w="174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20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36,365</w:t>
            </w:r>
          </w:p>
        </w:tc>
        <w:tc>
          <w:tcPr>
            <w:tcW w:w="1620" w:type="dxa"/>
            <w:vAlign w:val="bottom"/>
          </w:tcPr>
          <w:p>
            <w:pPr>
              <w:jc w:val="right"/>
              <w:ind w:right="195"/>
              <w:spacing w:after="0" w:line="146" w:lineRule="exact"/>
              <w:rPr>
                <w:sz w:val="20"/>
                <w:szCs w:val="20"/>
                <w:color w:val="auto"/>
              </w:rPr>
            </w:pPr>
            <w:r>
              <w:rPr>
                <w:rFonts w:ascii="Arial" w:cs="Arial" w:eastAsia="Arial" w:hAnsi="Arial"/>
                <w:sz w:val="13"/>
                <w:szCs w:val="13"/>
                <w:color w:val="auto"/>
              </w:rPr>
              <w:t>41,250</w:t>
            </w:r>
          </w:p>
        </w:tc>
        <w:tc>
          <w:tcPr>
            <w:tcW w:w="1200" w:type="dxa"/>
            <w:vAlign w:val="bottom"/>
          </w:tcPr>
          <w:p>
            <w:pPr>
              <w:spacing w:after="0"/>
              <w:rPr>
                <w:sz w:val="12"/>
                <w:szCs w:val="12"/>
                <w:color w:val="auto"/>
              </w:rPr>
            </w:pPr>
          </w:p>
        </w:tc>
        <w:tc>
          <w:tcPr>
            <w:tcW w:w="480" w:type="dxa"/>
            <w:vAlign w:val="bottom"/>
          </w:tcPr>
          <w:p>
            <w:pPr>
              <w:jc w:val="right"/>
              <w:ind w:right="215"/>
              <w:spacing w:after="0" w:line="146" w:lineRule="exact"/>
              <w:rPr>
                <w:sz w:val="20"/>
                <w:szCs w:val="20"/>
                <w:color w:val="auto"/>
              </w:rPr>
            </w:pPr>
            <w:r>
              <w:rPr>
                <w:rFonts w:ascii="Arial" w:cs="Arial" w:eastAsia="Arial" w:hAnsi="Arial"/>
                <w:sz w:val="13"/>
                <w:szCs w:val="13"/>
                <w:color w:val="auto"/>
              </w:rPr>
              <w:t>0</w:t>
            </w:r>
          </w:p>
        </w:tc>
        <w:tc>
          <w:tcPr>
            <w:tcW w:w="1380" w:type="dxa"/>
            <w:vAlign w:val="bottom"/>
          </w:tcPr>
          <w:p>
            <w:pPr>
              <w:jc w:val="right"/>
              <w:spacing w:after="0" w:line="146" w:lineRule="exact"/>
              <w:rPr>
                <w:sz w:val="20"/>
                <w:szCs w:val="20"/>
                <w:color w:val="auto"/>
              </w:rPr>
            </w:pPr>
            <w:r>
              <w:rPr>
                <w:rFonts w:ascii="Arial" w:cs="Arial" w:eastAsia="Arial" w:hAnsi="Arial"/>
                <w:sz w:val="13"/>
                <w:szCs w:val="13"/>
                <w:color w:val="auto"/>
              </w:rPr>
              <w:t>466,211</w:t>
            </w:r>
          </w:p>
        </w:tc>
      </w:tr>
      <w:tr>
        <w:trPr>
          <w:trHeight w:val="159"/>
        </w:trPr>
        <w:tc>
          <w:tcPr>
            <w:tcW w:w="2960" w:type="dxa"/>
            <w:vAlign w:val="bottom"/>
            <w:shd w:val="clear" w:color="auto" w:fill="D9D9D9"/>
          </w:tcPr>
          <w:p>
            <w:pPr>
              <w:spacing w:after="0"/>
              <w:rPr>
                <w:sz w:val="20"/>
                <w:szCs w:val="20"/>
                <w:color w:val="auto"/>
              </w:rPr>
            </w:pPr>
            <w:r>
              <w:rPr>
                <w:rFonts w:ascii="Arial" w:cs="Arial" w:eastAsia="Arial" w:hAnsi="Arial"/>
                <w:sz w:val="13"/>
                <w:szCs w:val="13"/>
                <w:color w:val="auto"/>
              </w:rPr>
              <w:t>Bradley A. Hamilton</w:t>
            </w:r>
          </w:p>
        </w:tc>
        <w:tc>
          <w:tcPr>
            <w:tcW w:w="1740" w:type="dxa"/>
            <w:vAlign w:val="bottom"/>
            <w:shd w:val="clear" w:color="auto" w:fill="D9D9D9"/>
          </w:tcPr>
          <w:p>
            <w:pPr>
              <w:spacing w:after="0"/>
              <w:rPr>
                <w:sz w:val="13"/>
                <w:szCs w:val="13"/>
                <w:color w:val="auto"/>
              </w:rPr>
            </w:pPr>
          </w:p>
        </w:tc>
        <w:tc>
          <w:tcPr>
            <w:tcW w:w="2040" w:type="dxa"/>
            <w:vAlign w:val="bottom"/>
            <w:shd w:val="clear" w:color="auto" w:fill="D9D9D9"/>
          </w:tcPr>
          <w:p>
            <w:pPr>
              <w:spacing w:after="0"/>
              <w:rPr>
                <w:sz w:val="13"/>
                <w:szCs w:val="13"/>
                <w:color w:val="auto"/>
              </w:rPr>
            </w:pPr>
          </w:p>
        </w:tc>
        <w:tc>
          <w:tcPr>
            <w:tcW w:w="1620" w:type="dxa"/>
            <w:vAlign w:val="bottom"/>
            <w:shd w:val="clear" w:color="auto" w:fill="D9D9D9"/>
          </w:tcPr>
          <w:p>
            <w:pPr>
              <w:spacing w:after="0"/>
              <w:rPr>
                <w:sz w:val="13"/>
                <w:szCs w:val="13"/>
                <w:color w:val="auto"/>
              </w:rPr>
            </w:pPr>
          </w:p>
        </w:tc>
        <w:tc>
          <w:tcPr>
            <w:tcW w:w="1200" w:type="dxa"/>
            <w:vAlign w:val="bottom"/>
            <w:shd w:val="clear" w:color="auto" w:fill="D9D9D9"/>
          </w:tcPr>
          <w:p>
            <w:pPr>
              <w:spacing w:after="0"/>
              <w:rPr>
                <w:sz w:val="13"/>
                <w:szCs w:val="13"/>
                <w:color w:val="auto"/>
              </w:rPr>
            </w:pPr>
          </w:p>
        </w:tc>
        <w:tc>
          <w:tcPr>
            <w:tcW w:w="480" w:type="dxa"/>
            <w:vAlign w:val="bottom"/>
            <w:shd w:val="clear" w:color="auto" w:fill="D9D9D9"/>
          </w:tcPr>
          <w:p>
            <w:pPr>
              <w:spacing w:after="0"/>
              <w:rPr>
                <w:sz w:val="13"/>
                <w:szCs w:val="13"/>
                <w:color w:val="auto"/>
              </w:rPr>
            </w:pPr>
          </w:p>
        </w:tc>
        <w:tc>
          <w:tcPr>
            <w:tcW w:w="1380" w:type="dxa"/>
            <w:vAlign w:val="bottom"/>
            <w:shd w:val="clear" w:color="auto" w:fill="D9D9D9"/>
          </w:tcPr>
          <w:p>
            <w:pPr>
              <w:spacing w:after="0"/>
              <w:rPr>
                <w:sz w:val="13"/>
                <w:szCs w:val="13"/>
                <w:color w:val="auto"/>
              </w:rPr>
            </w:pPr>
          </w:p>
        </w:tc>
      </w:tr>
      <w:tr>
        <w:trPr>
          <w:trHeight w:val="159"/>
        </w:trPr>
        <w:tc>
          <w:tcPr>
            <w:tcW w:w="2960" w:type="dxa"/>
            <w:vAlign w:val="bottom"/>
            <w:shd w:val="clear" w:color="auto" w:fill="D9D9D9"/>
          </w:tcPr>
          <w:p>
            <w:pPr>
              <w:ind w:left="220"/>
              <w:spacing w:after="0"/>
              <w:rPr>
                <w:sz w:val="20"/>
                <w:szCs w:val="20"/>
                <w:color w:val="auto"/>
              </w:rPr>
            </w:pPr>
            <w:r>
              <w:rPr>
                <w:rFonts w:ascii="Arial" w:cs="Arial" w:eastAsia="Arial" w:hAnsi="Arial"/>
                <w:sz w:val="13"/>
                <w:szCs w:val="13"/>
                <w:color w:val="auto"/>
              </w:rPr>
              <w:t>Deferred Plan</w:t>
            </w:r>
          </w:p>
        </w:tc>
        <w:tc>
          <w:tcPr>
            <w:tcW w:w="1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128,246</w:t>
            </w:r>
          </w:p>
        </w:tc>
        <w:tc>
          <w:tcPr>
            <w:tcW w:w="2040" w:type="dxa"/>
            <w:vAlign w:val="bottom"/>
            <w:shd w:val="clear" w:color="auto" w:fill="D9D9D9"/>
          </w:tcPr>
          <w:p>
            <w:pPr>
              <w:spacing w:after="0"/>
              <w:rPr>
                <w:sz w:val="13"/>
                <w:szCs w:val="13"/>
                <w:color w:val="auto"/>
              </w:rPr>
            </w:pPr>
          </w:p>
        </w:tc>
        <w:tc>
          <w:tcPr>
            <w:tcW w:w="1620" w:type="dxa"/>
            <w:vAlign w:val="bottom"/>
            <w:shd w:val="clear" w:color="auto" w:fill="D9D9D9"/>
          </w:tcPr>
          <w:p>
            <w:pPr>
              <w:jc w:val="right"/>
              <w:ind w:right="195"/>
              <w:spacing w:after="0"/>
              <w:rPr>
                <w:sz w:val="20"/>
                <w:szCs w:val="20"/>
                <w:color w:val="auto"/>
              </w:rPr>
            </w:pPr>
            <w:r>
              <w:rPr>
                <w:rFonts w:ascii="Arial" w:cs="Arial" w:eastAsia="Arial" w:hAnsi="Arial"/>
                <w:sz w:val="13"/>
                <w:szCs w:val="13"/>
                <w:color w:val="auto"/>
              </w:rPr>
              <w:t>22,889</w:t>
            </w:r>
          </w:p>
        </w:tc>
        <w:tc>
          <w:tcPr>
            <w:tcW w:w="1200" w:type="dxa"/>
            <w:vAlign w:val="bottom"/>
            <w:shd w:val="clear" w:color="auto" w:fill="D9D9D9"/>
          </w:tcPr>
          <w:p>
            <w:pPr>
              <w:spacing w:after="0"/>
              <w:rPr>
                <w:sz w:val="13"/>
                <w:szCs w:val="13"/>
                <w:color w:val="auto"/>
              </w:rPr>
            </w:pPr>
          </w:p>
        </w:tc>
        <w:tc>
          <w:tcPr>
            <w:tcW w:w="480" w:type="dxa"/>
            <w:vAlign w:val="bottom"/>
            <w:shd w:val="clear" w:color="auto" w:fill="D9D9D9"/>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211,103</w:t>
            </w:r>
          </w:p>
        </w:tc>
      </w:tr>
      <w:tr>
        <w:trPr>
          <w:trHeight w:val="159"/>
        </w:trPr>
        <w:tc>
          <w:tcPr>
            <w:tcW w:w="2960" w:type="dxa"/>
            <w:vAlign w:val="bottom"/>
            <w:shd w:val="clear" w:color="auto" w:fill="D9D9D9"/>
          </w:tcPr>
          <w:p>
            <w:pPr>
              <w:ind w:left="220"/>
              <w:spacing w:after="0"/>
              <w:rPr>
                <w:sz w:val="20"/>
                <w:szCs w:val="20"/>
                <w:color w:val="auto"/>
              </w:rPr>
            </w:pPr>
            <w:r>
              <w:rPr>
                <w:rFonts w:ascii="Arial" w:cs="Arial" w:eastAsia="Arial" w:hAnsi="Arial"/>
                <w:sz w:val="13"/>
                <w:szCs w:val="13"/>
                <w:color w:val="auto"/>
              </w:rPr>
              <w:t>Deferred Plan for Officers</w:t>
            </w:r>
          </w:p>
        </w:tc>
        <w:tc>
          <w:tcPr>
            <w:tcW w:w="1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221,872</w:t>
            </w:r>
          </w:p>
        </w:tc>
        <w:tc>
          <w:tcPr>
            <w:tcW w:w="2040" w:type="dxa"/>
            <w:vAlign w:val="bottom"/>
            <w:shd w:val="clear" w:color="auto" w:fill="D9D9D9"/>
          </w:tcPr>
          <w:p>
            <w:pPr>
              <w:spacing w:after="0"/>
              <w:rPr>
                <w:sz w:val="13"/>
                <w:szCs w:val="13"/>
                <w:color w:val="auto"/>
              </w:rPr>
            </w:pPr>
          </w:p>
        </w:tc>
        <w:tc>
          <w:tcPr>
            <w:tcW w:w="1620" w:type="dxa"/>
            <w:vAlign w:val="bottom"/>
            <w:shd w:val="clear" w:color="auto" w:fill="D9D9D9"/>
          </w:tcPr>
          <w:p>
            <w:pPr>
              <w:jc w:val="right"/>
              <w:ind w:right="195"/>
              <w:spacing w:after="0"/>
              <w:rPr>
                <w:sz w:val="20"/>
                <w:szCs w:val="20"/>
                <w:color w:val="auto"/>
              </w:rPr>
            </w:pPr>
            <w:r>
              <w:rPr>
                <w:rFonts w:ascii="Arial" w:cs="Arial" w:eastAsia="Arial" w:hAnsi="Arial"/>
                <w:sz w:val="13"/>
                <w:szCs w:val="13"/>
                <w:color w:val="auto"/>
              </w:rPr>
              <w:t>70,881</w:t>
            </w:r>
          </w:p>
        </w:tc>
        <w:tc>
          <w:tcPr>
            <w:tcW w:w="1200" w:type="dxa"/>
            <w:vAlign w:val="bottom"/>
            <w:shd w:val="clear" w:color="auto" w:fill="D9D9D9"/>
          </w:tcPr>
          <w:p>
            <w:pPr>
              <w:spacing w:after="0"/>
              <w:rPr>
                <w:sz w:val="13"/>
                <w:szCs w:val="13"/>
                <w:color w:val="auto"/>
              </w:rPr>
            </w:pPr>
          </w:p>
        </w:tc>
        <w:tc>
          <w:tcPr>
            <w:tcW w:w="480" w:type="dxa"/>
            <w:vAlign w:val="bottom"/>
            <w:shd w:val="clear" w:color="auto" w:fill="D9D9D9"/>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498,604</w:t>
            </w:r>
          </w:p>
        </w:tc>
      </w:tr>
      <w:tr>
        <w:trPr>
          <w:trHeight w:val="159"/>
        </w:trPr>
        <w:tc>
          <w:tcPr>
            <w:tcW w:w="2960" w:type="dxa"/>
            <w:vAlign w:val="bottom"/>
            <w:shd w:val="clear" w:color="auto" w:fill="D9D9D9"/>
          </w:tcPr>
          <w:p>
            <w:pPr>
              <w:ind w:left="220"/>
              <w:spacing w:after="0"/>
              <w:rPr>
                <w:sz w:val="20"/>
                <w:szCs w:val="20"/>
                <w:color w:val="auto"/>
              </w:rPr>
            </w:pPr>
            <w:r>
              <w:rPr>
                <w:rFonts w:ascii="Arial" w:cs="Arial" w:eastAsia="Arial" w:hAnsi="Arial"/>
                <w:sz w:val="13"/>
                <w:szCs w:val="13"/>
                <w:color w:val="auto"/>
              </w:rPr>
              <w:t>Supplemental Benefit Plan</w:t>
            </w:r>
          </w:p>
        </w:tc>
        <w:tc>
          <w:tcPr>
            <w:tcW w:w="17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040" w:type="dxa"/>
            <w:vAlign w:val="bottom"/>
            <w:shd w:val="clear" w:color="auto" w:fill="D9D9D9"/>
          </w:tcPr>
          <w:p>
            <w:pPr>
              <w:jc w:val="right"/>
              <w:ind w:right="235"/>
              <w:spacing w:after="0"/>
              <w:rPr>
                <w:sz w:val="20"/>
                <w:szCs w:val="20"/>
                <w:color w:val="auto"/>
              </w:rPr>
            </w:pPr>
            <w:r>
              <w:rPr>
                <w:rFonts w:ascii="Arial" w:cs="Arial" w:eastAsia="Arial" w:hAnsi="Arial"/>
                <w:sz w:val="13"/>
                <w:szCs w:val="13"/>
                <w:color w:val="auto"/>
              </w:rPr>
              <w:t>28,269</w:t>
            </w:r>
          </w:p>
        </w:tc>
        <w:tc>
          <w:tcPr>
            <w:tcW w:w="1620" w:type="dxa"/>
            <w:vAlign w:val="bottom"/>
            <w:shd w:val="clear" w:color="auto" w:fill="D9D9D9"/>
          </w:tcPr>
          <w:p>
            <w:pPr>
              <w:jc w:val="right"/>
              <w:ind w:right="195"/>
              <w:spacing w:after="0"/>
              <w:rPr>
                <w:sz w:val="20"/>
                <w:szCs w:val="20"/>
                <w:color w:val="auto"/>
              </w:rPr>
            </w:pPr>
            <w:r>
              <w:rPr>
                <w:rFonts w:ascii="Arial" w:cs="Arial" w:eastAsia="Arial" w:hAnsi="Arial"/>
                <w:sz w:val="13"/>
                <w:szCs w:val="13"/>
                <w:color w:val="auto"/>
              </w:rPr>
              <w:t>7,355</w:t>
            </w:r>
          </w:p>
        </w:tc>
        <w:tc>
          <w:tcPr>
            <w:tcW w:w="1200" w:type="dxa"/>
            <w:vAlign w:val="bottom"/>
            <w:shd w:val="clear" w:color="auto" w:fill="D9D9D9"/>
          </w:tcPr>
          <w:p>
            <w:pPr>
              <w:spacing w:after="0"/>
              <w:rPr>
                <w:sz w:val="13"/>
                <w:szCs w:val="13"/>
                <w:color w:val="auto"/>
              </w:rPr>
            </w:pPr>
          </w:p>
        </w:tc>
        <w:tc>
          <w:tcPr>
            <w:tcW w:w="480" w:type="dxa"/>
            <w:vAlign w:val="bottom"/>
            <w:shd w:val="clear" w:color="auto" w:fill="D9D9D9"/>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229,242</w:t>
            </w:r>
          </w:p>
        </w:tc>
      </w:tr>
      <w:tr>
        <w:trPr>
          <w:trHeight w:val="173"/>
        </w:trPr>
        <w:tc>
          <w:tcPr>
            <w:tcW w:w="2960" w:type="dxa"/>
            <w:vAlign w:val="bottom"/>
          </w:tcPr>
          <w:p>
            <w:pPr>
              <w:spacing w:after="0"/>
              <w:rPr>
                <w:sz w:val="20"/>
                <w:szCs w:val="20"/>
                <w:color w:val="auto"/>
              </w:rPr>
            </w:pPr>
            <w:r>
              <w:rPr>
                <w:rFonts w:ascii="Arial" w:cs="Arial" w:eastAsia="Arial" w:hAnsi="Arial"/>
                <w:sz w:val="13"/>
                <w:szCs w:val="13"/>
                <w:color w:val="auto"/>
              </w:rPr>
              <w:t>Richard W. Rodier</w:t>
            </w: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59"/>
        </w:trPr>
        <w:tc>
          <w:tcPr>
            <w:tcW w:w="2960" w:type="dxa"/>
            <w:vAlign w:val="bottom"/>
          </w:tcPr>
          <w:p>
            <w:pPr>
              <w:ind w:left="220"/>
              <w:spacing w:after="0"/>
              <w:rPr>
                <w:sz w:val="20"/>
                <w:szCs w:val="20"/>
                <w:color w:val="auto"/>
              </w:rPr>
            </w:pPr>
            <w:r>
              <w:rPr>
                <w:rFonts w:ascii="Arial" w:cs="Arial" w:eastAsia="Arial" w:hAnsi="Arial"/>
                <w:sz w:val="13"/>
                <w:szCs w:val="13"/>
                <w:color w:val="auto"/>
              </w:rPr>
              <w:t>Deferred Plan</w:t>
            </w:r>
          </w:p>
        </w:tc>
        <w:tc>
          <w:tcPr>
            <w:tcW w:w="1740" w:type="dxa"/>
            <w:vAlign w:val="bottom"/>
          </w:tcPr>
          <w:p>
            <w:pPr>
              <w:jc w:val="right"/>
              <w:spacing w:after="0"/>
              <w:rPr>
                <w:sz w:val="20"/>
                <w:szCs w:val="20"/>
                <w:color w:val="auto"/>
              </w:rPr>
            </w:pPr>
            <w:r>
              <w:rPr>
                <w:rFonts w:ascii="Arial" w:cs="Arial" w:eastAsia="Arial" w:hAnsi="Arial"/>
                <w:sz w:val="13"/>
                <w:szCs w:val="13"/>
                <w:color w:val="auto"/>
              </w:rPr>
              <w:t>60,167</w:t>
            </w:r>
          </w:p>
        </w:tc>
        <w:tc>
          <w:tcPr>
            <w:tcW w:w="2040" w:type="dxa"/>
            <w:vAlign w:val="bottom"/>
          </w:tcPr>
          <w:p>
            <w:pPr>
              <w:jc w:val="right"/>
              <w:ind w:right="235"/>
              <w:spacing w:after="0"/>
              <w:rPr>
                <w:sz w:val="20"/>
                <w:szCs w:val="20"/>
                <w:color w:val="auto"/>
              </w:rPr>
            </w:pPr>
            <w:r>
              <w:rPr>
                <w:rFonts w:ascii="Arial" w:cs="Arial" w:eastAsia="Arial" w:hAnsi="Arial"/>
                <w:sz w:val="13"/>
                <w:szCs w:val="13"/>
                <w:color w:val="auto"/>
              </w:rPr>
              <w:t>0</w:t>
            </w:r>
          </w:p>
        </w:tc>
        <w:tc>
          <w:tcPr>
            <w:tcW w:w="1620" w:type="dxa"/>
            <w:vAlign w:val="bottom"/>
          </w:tcPr>
          <w:p>
            <w:pPr>
              <w:jc w:val="right"/>
              <w:ind w:right="195"/>
              <w:spacing w:after="0"/>
              <w:rPr>
                <w:sz w:val="20"/>
                <w:szCs w:val="20"/>
                <w:color w:val="auto"/>
              </w:rPr>
            </w:pPr>
            <w:r>
              <w:rPr>
                <w:rFonts w:ascii="Arial" w:cs="Arial" w:eastAsia="Arial" w:hAnsi="Arial"/>
                <w:sz w:val="13"/>
                <w:szCs w:val="13"/>
                <w:color w:val="auto"/>
              </w:rPr>
              <w:t>98,195</w:t>
            </w:r>
          </w:p>
        </w:tc>
        <w:tc>
          <w:tcPr>
            <w:tcW w:w="1200" w:type="dxa"/>
            <w:vAlign w:val="bottom"/>
          </w:tcPr>
          <w:p>
            <w:pPr>
              <w:spacing w:after="0"/>
              <w:rPr>
                <w:sz w:val="13"/>
                <w:szCs w:val="13"/>
                <w:color w:val="auto"/>
              </w:rPr>
            </w:pP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tcPr>
          <w:p>
            <w:pPr>
              <w:jc w:val="right"/>
              <w:spacing w:after="0"/>
              <w:rPr>
                <w:sz w:val="20"/>
                <w:szCs w:val="20"/>
                <w:color w:val="auto"/>
              </w:rPr>
            </w:pPr>
            <w:r>
              <w:rPr>
                <w:rFonts w:ascii="Arial" w:cs="Arial" w:eastAsia="Arial" w:hAnsi="Arial"/>
                <w:sz w:val="13"/>
                <w:szCs w:val="13"/>
                <w:color w:val="auto"/>
              </w:rPr>
              <w:t>336,899</w:t>
            </w:r>
          </w:p>
        </w:tc>
      </w:tr>
      <w:tr>
        <w:trPr>
          <w:trHeight w:val="159"/>
        </w:trPr>
        <w:tc>
          <w:tcPr>
            <w:tcW w:w="2960" w:type="dxa"/>
            <w:vAlign w:val="bottom"/>
          </w:tcPr>
          <w:p>
            <w:pPr>
              <w:ind w:left="220"/>
              <w:spacing w:after="0"/>
              <w:rPr>
                <w:sz w:val="20"/>
                <w:szCs w:val="20"/>
                <w:color w:val="auto"/>
              </w:rPr>
            </w:pPr>
            <w:r>
              <w:rPr>
                <w:rFonts w:ascii="Arial" w:cs="Arial" w:eastAsia="Arial" w:hAnsi="Arial"/>
                <w:sz w:val="13"/>
                <w:szCs w:val="13"/>
                <w:color w:val="auto"/>
              </w:rPr>
              <w:t>Deferred Plan for Officers</w:t>
            </w:r>
          </w:p>
        </w:tc>
        <w:tc>
          <w:tcPr>
            <w:tcW w:w="1740" w:type="dxa"/>
            <w:vAlign w:val="bottom"/>
          </w:tcPr>
          <w:p>
            <w:pPr>
              <w:jc w:val="right"/>
              <w:spacing w:after="0"/>
              <w:rPr>
                <w:sz w:val="20"/>
                <w:szCs w:val="20"/>
                <w:color w:val="auto"/>
              </w:rPr>
            </w:pPr>
            <w:r>
              <w:rPr>
                <w:rFonts w:ascii="Arial" w:cs="Arial" w:eastAsia="Arial" w:hAnsi="Arial"/>
                <w:sz w:val="13"/>
                <w:szCs w:val="13"/>
                <w:color w:val="auto"/>
              </w:rPr>
              <w:t>0</w:t>
            </w:r>
          </w:p>
        </w:tc>
        <w:tc>
          <w:tcPr>
            <w:tcW w:w="2040" w:type="dxa"/>
            <w:vAlign w:val="bottom"/>
          </w:tcPr>
          <w:p>
            <w:pPr>
              <w:jc w:val="right"/>
              <w:ind w:right="235"/>
              <w:spacing w:after="0"/>
              <w:rPr>
                <w:sz w:val="20"/>
                <w:szCs w:val="20"/>
                <w:color w:val="auto"/>
              </w:rPr>
            </w:pPr>
            <w:r>
              <w:rPr>
                <w:rFonts w:ascii="Arial" w:cs="Arial" w:eastAsia="Arial" w:hAnsi="Arial"/>
                <w:sz w:val="13"/>
                <w:szCs w:val="13"/>
                <w:color w:val="auto"/>
              </w:rPr>
              <w:t>0</w:t>
            </w:r>
          </w:p>
        </w:tc>
        <w:tc>
          <w:tcPr>
            <w:tcW w:w="1620" w:type="dxa"/>
            <w:vAlign w:val="bottom"/>
          </w:tcPr>
          <w:p>
            <w:pPr>
              <w:jc w:val="right"/>
              <w:ind w:right="195"/>
              <w:spacing w:after="0"/>
              <w:rPr>
                <w:sz w:val="20"/>
                <w:szCs w:val="20"/>
                <w:color w:val="auto"/>
              </w:rPr>
            </w:pPr>
            <w:r>
              <w:rPr>
                <w:rFonts w:ascii="Arial" w:cs="Arial" w:eastAsia="Arial" w:hAnsi="Arial"/>
                <w:sz w:val="13"/>
                <w:szCs w:val="13"/>
                <w:color w:val="auto"/>
              </w:rPr>
              <w:t>99,532</w:t>
            </w:r>
          </w:p>
        </w:tc>
        <w:tc>
          <w:tcPr>
            <w:tcW w:w="1200" w:type="dxa"/>
            <w:vAlign w:val="bottom"/>
          </w:tcPr>
          <w:p>
            <w:pPr>
              <w:spacing w:after="0"/>
              <w:rPr>
                <w:sz w:val="13"/>
                <w:szCs w:val="13"/>
                <w:color w:val="auto"/>
              </w:rPr>
            </w:pP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tcPr>
          <w:p>
            <w:pPr>
              <w:jc w:val="right"/>
              <w:spacing w:after="0"/>
              <w:rPr>
                <w:sz w:val="20"/>
                <w:szCs w:val="20"/>
                <w:color w:val="auto"/>
              </w:rPr>
            </w:pPr>
            <w:r>
              <w:rPr>
                <w:rFonts w:ascii="Arial" w:cs="Arial" w:eastAsia="Arial" w:hAnsi="Arial"/>
                <w:sz w:val="13"/>
                <w:szCs w:val="13"/>
                <w:color w:val="auto"/>
              </w:rPr>
              <w:t>373,123</w:t>
            </w:r>
          </w:p>
        </w:tc>
      </w:tr>
      <w:tr>
        <w:trPr>
          <w:trHeight w:val="159"/>
        </w:trPr>
        <w:tc>
          <w:tcPr>
            <w:tcW w:w="2960" w:type="dxa"/>
            <w:vAlign w:val="bottom"/>
          </w:tcPr>
          <w:p>
            <w:pPr>
              <w:ind w:left="220"/>
              <w:spacing w:after="0"/>
              <w:rPr>
                <w:sz w:val="20"/>
                <w:szCs w:val="20"/>
                <w:color w:val="auto"/>
              </w:rPr>
            </w:pPr>
            <w:r>
              <w:rPr>
                <w:rFonts w:ascii="Arial" w:cs="Arial" w:eastAsia="Arial" w:hAnsi="Arial"/>
                <w:sz w:val="13"/>
                <w:szCs w:val="13"/>
                <w:color w:val="auto"/>
              </w:rPr>
              <w:t>Supplemental Benefit Plan</w:t>
            </w:r>
          </w:p>
        </w:tc>
        <w:tc>
          <w:tcPr>
            <w:tcW w:w="1740" w:type="dxa"/>
            <w:vAlign w:val="bottom"/>
          </w:tcPr>
          <w:p>
            <w:pPr>
              <w:jc w:val="right"/>
              <w:spacing w:after="0"/>
              <w:rPr>
                <w:sz w:val="20"/>
                <w:szCs w:val="20"/>
                <w:color w:val="auto"/>
              </w:rPr>
            </w:pPr>
            <w:r>
              <w:rPr>
                <w:rFonts w:ascii="Arial" w:cs="Arial" w:eastAsia="Arial" w:hAnsi="Arial"/>
                <w:sz w:val="13"/>
                <w:szCs w:val="13"/>
                <w:color w:val="auto"/>
              </w:rPr>
              <w:t>0</w:t>
            </w:r>
          </w:p>
        </w:tc>
        <w:tc>
          <w:tcPr>
            <w:tcW w:w="2040" w:type="dxa"/>
            <w:vAlign w:val="bottom"/>
          </w:tcPr>
          <w:p>
            <w:pPr>
              <w:jc w:val="right"/>
              <w:ind w:right="235"/>
              <w:spacing w:after="0"/>
              <w:rPr>
                <w:sz w:val="20"/>
                <w:szCs w:val="20"/>
                <w:color w:val="auto"/>
              </w:rPr>
            </w:pPr>
            <w:r>
              <w:rPr>
                <w:rFonts w:ascii="Arial" w:cs="Arial" w:eastAsia="Arial" w:hAnsi="Arial"/>
                <w:sz w:val="13"/>
                <w:szCs w:val="13"/>
                <w:color w:val="auto"/>
              </w:rPr>
              <w:t>22,409</w:t>
            </w:r>
          </w:p>
        </w:tc>
        <w:tc>
          <w:tcPr>
            <w:tcW w:w="1620" w:type="dxa"/>
            <w:vAlign w:val="bottom"/>
          </w:tcPr>
          <w:p>
            <w:pPr>
              <w:jc w:val="right"/>
              <w:ind w:right="195"/>
              <w:spacing w:after="0"/>
              <w:rPr>
                <w:sz w:val="20"/>
                <w:szCs w:val="20"/>
                <w:color w:val="auto"/>
              </w:rPr>
            </w:pPr>
            <w:r>
              <w:rPr>
                <w:rFonts w:ascii="Arial" w:cs="Arial" w:eastAsia="Arial" w:hAnsi="Arial"/>
                <w:sz w:val="13"/>
                <w:szCs w:val="13"/>
                <w:color w:val="auto"/>
              </w:rPr>
              <w:t>13,501</w:t>
            </w:r>
          </w:p>
        </w:tc>
        <w:tc>
          <w:tcPr>
            <w:tcW w:w="1200" w:type="dxa"/>
            <w:vAlign w:val="bottom"/>
          </w:tcPr>
          <w:p>
            <w:pPr>
              <w:spacing w:after="0"/>
              <w:rPr>
                <w:sz w:val="13"/>
                <w:szCs w:val="13"/>
                <w:color w:val="auto"/>
              </w:rPr>
            </w:pP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0</w:t>
            </w:r>
          </w:p>
        </w:tc>
        <w:tc>
          <w:tcPr>
            <w:tcW w:w="1380" w:type="dxa"/>
            <w:vAlign w:val="bottom"/>
          </w:tcPr>
          <w:p>
            <w:pPr>
              <w:jc w:val="right"/>
              <w:spacing w:after="0"/>
              <w:rPr>
                <w:sz w:val="20"/>
                <w:szCs w:val="20"/>
                <w:color w:val="auto"/>
              </w:rPr>
            </w:pPr>
            <w:r>
              <w:rPr>
                <w:rFonts w:ascii="Arial" w:cs="Arial" w:eastAsia="Arial" w:hAnsi="Arial"/>
                <w:sz w:val="13"/>
                <w:szCs w:val="13"/>
                <w:color w:val="auto"/>
              </w:rPr>
              <w:t>159,596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207772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25" w:lineRule="exact"/>
        <w:rPr>
          <w:sz w:val="20"/>
          <w:szCs w:val="20"/>
          <w:color w:val="auto"/>
        </w:rPr>
      </w:pPr>
    </w:p>
    <w:p>
      <w:pPr>
        <w:ind w:left="402" w:right="100" w:hanging="402"/>
        <w:spacing w:after="0" w:line="239" w:lineRule="auto"/>
        <w:tabs>
          <w:tab w:leader="none" w:pos="402"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Executive contributions of base salary and annual cash incentive award payouts are included in the “Salary” column and the “Non-Equity Incentive Plan Compensation” column, respectively, of the “Summary Compensation Table” beginning on page 44. Executive contributions of the fiscal 2017 to fiscal 2019 performance share award payouts are included in the “Value Realized on Vesting” column of the “Option Exercises and Stock Vested for Fiscal 2019” table beginning on page 49, but are not included in the “Summary Compensation Table” as that table reflects the grant of the fiscal 2019 to fiscal</w:t>
      </w:r>
    </w:p>
    <w:p>
      <w:pPr>
        <w:spacing w:after="0" w:line="2" w:lineRule="exact"/>
        <w:rPr>
          <w:rFonts w:ascii="Arial" w:cs="Arial" w:eastAsia="Arial" w:hAnsi="Arial"/>
          <w:sz w:val="16"/>
          <w:szCs w:val="16"/>
          <w:color w:val="auto"/>
        </w:rPr>
      </w:pPr>
    </w:p>
    <w:p>
      <w:pPr>
        <w:ind w:left="402"/>
        <w:spacing w:after="0"/>
        <w:rPr>
          <w:rFonts w:ascii="Arial" w:cs="Arial" w:eastAsia="Arial" w:hAnsi="Arial"/>
          <w:sz w:val="16"/>
          <w:szCs w:val="16"/>
          <w:color w:val="auto"/>
        </w:rPr>
      </w:pPr>
      <w:r>
        <w:rPr>
          <w:rFonts w:ascii="Arial" w:cs="Arial" w:eastAsia="Arial" w:hAnsi="Arial"/>
          <w:sz w:val="16"/>
          <w:szCs w:val="16"/>
          <w:color w:val="auto"/>
        </w:rPr>
        <w:t>2021 performance share awards at target value. Our named executive officers deferred the following components of compensation during fiscal 2019:</w:t>
      </w:r>
    </w:p>
    <w:p>
      <w:pPr>
        <w:spacing w:after="0" w:line="50"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1780" w:type="dxa"/>
            <w:vAlign w:val="bottom"/>
            <w:shd w:val="clear" w:color="auto" w:fill="C00000"/>
          </w:tcPr>
          <w:p>
            <w:pPr>
              <w:spacing w:after="0"/>
              <w:rPr>
                <w:sz w:val="20"/>
                <w:szCs w:val="20"/>
                <w:color w:val="auto"/>
              </w:rPr>
            </w:pPr>
            <w:r>
              <w:rPr>
                <w:rFonts w:ascii="Arial" w:cs="Arial" w:eastAsia="Arial" w:hAnsi="Arial"/>
                <w:sz w:val="15"/>
                <w:szCs w:val="15"/>
                <w:b w:val="1"/>
                <w:bCs w:val="1"/>
                <w:color w:val="FFFFFF"/>
              </w:rPr>
              <w:t>Name</w:t>
            </w:r>
          </w:p>
        </w:tc>
        <w:tc>
          <w:tcPr>
            <w:tcW w:w="7100" w:type="dxa"/>
            <w:vAlign w:val="bottom"/>
            <w:shd w:val="clear" w:color="auto" w:fill="C00000"/>
          </w:tcPr>
          <w:p>
            <w:pPr>
              <w:ind w:left="200"/>
              <w:spacing w:after="0"/>
              <w:rPr>
                <w:sz w:val="20"/>
                <w:szCs w:val="20"/>
                <w:color w:val="auto"/>
              </w:rPr>
            </w:pPr>
            <w:r>
              <w:rPr>
                <w:rFonts w:ascii="Arial" w:cs="Arial" w:eastAsia="Arial" w:hAnsi="Arial"/>
                <w:sz w:val="15"/>
                <w:szCs w:val="15"/>
                <w:b w:val="1"/>
                <w:bCs w:val="1"/>
                <w:color w:val="FFFFFF"/>
              </w:rPr>
              <w:t>Deferrals</w:t>
            </w:r>
          </w:p>
        </w:tc>
        <w:tc>
          <w:tcPr>
            <w:tcW w:w="1640" w:type="dxa"/>
            <w:vAlign w:val="bottom"/>
            <w:shd w:val="clear" w:color="auto" w:fill="C00000"/>
          </w:tcPr>
          <w:p>
            <w:pPr>
              <w:jc w:val="right"/>
              <w:ind w:right="266"/>
              <w:spacing w:after="0"/>
              <w:rPr>
                <w:sz w:val="20"/>
                <w:szCs w:val="20"/>
                <w:color w:val="auto"/>
              </w:rPr>
            </w:pPr>
            <w:r>
              <w:rPr>
                <w:rFonts w:ascii="Arial" w:cs="Arial" w:eastAsia="Arial" w:hAnsi="Arial"/>
                <w:sz w:val="15"/>
                <w:szCs w:val="15"/>
                <w:b w:val="1"/>
                <w:bCs w:val="1"/>
                <w:color w:val="FFFFFF"/>
              </w:rPr>
              <w:t>Amount ($)</w:t>
            </w:r>
          </w:p>
        </w:tc>
      </w:tr>
      <w:tr>
        <w:trPr>
          <w:trHeight w:val="191"/>
        </w:trPr>
        <w:tc>
          <w:tcPr>
            <w:tcW w:w="1780" w:type="dxa"/>
            <w:vAlign w:val="bottom"/>
          </w:tcPr>
          <w:p>
            <w:pPr>
              <w:spacing w:after="0"/>
              <w:rPr>
                <w:sz w:val="20"/>
                <w:szCs w:val="20"/>
                <w:color w:val="auto"/>
              </w:rPr>
            </w:pPr>
            <w:r>
              <w:rPr>
                <w:rFonts w:ascii="Arial" w:cs="Arial" w:eastAsia="Arial" w:hAnsi="Arial"/>
                <w:sz w:val="15"/>
                <w:szCs w:val="15"/>
                <w:color w:val="auto"/>
              </w:rPr>
              <w:t>Mr. Olson</w:t>
            </w:r>
          </w:p>
        </w:tc>
        <w:tc>
          <w:tcPr>
            <w:tcW w:w="7100" w:type="dxa"/>
            <w:vAlign w:val="bottom"/>
          </w:tcPr>
          <w:p>
            <w:pPr>
              <w:ind w:left="200"/>
              <w:spacing w:after="0"/>
              <w:rPr>
                <w:sz w:val="20"/>
                <w:szCs w:val="20"/>
                <w:color w:val="auto"/>
              </w:rPr>
            </w:pPr>
            <w:r>
              <w:rPr>
                <w:rFonts w:ascii="Arial" w:cs="Arial" w:eastAsia="Arial" w:hAnsi="Arial"/>
                <w:sz w:val="15"/>
                <w:szCs w:val="15"/>
                <w:color w:val="auto"/>
              </w:rPr>
              <w:t>20% of the fiscal 2019 annual cash incentive award</w:t>
            </w:r>
          </w:p>
        </w:tc>
        <w:tc>
          <w:tcPr>
            <w:tcW w:w="1640" w:type="dxa"/>
            <w:vAlign w:val="bottom"/>
          </w:tcPr>
          <w:p>
            <w:pPr>
              <w:jc w:val="right"/>
              <w:spacing w:after="0"/>
              <w:rPr>
                <w:sz w:val="20"/>
                <w:szCs w:val="20"/>
                <w:color w:val="auto"/>
              </w:rPr>
            </w:pPr>
            <w:r>
              <w:rPr>
                <w:rFonts w:ascii="Arial" w:cs="Arial" w:eastAsia="Arial" w:hAnsi="Arial"/>
                <w:sz w:val="15"/>
                <w:szCs w:val="15"/>
                <w:color w:val="auto"/>
              </w:rPr>
              <w:t>121,388</w:t>
            </w:r>
          </w:p>
        </w:tc>
      </w:tr>
      <w:tr>
        <w:trPr>
          <w:trHeight w:val="177"/>
        </w:trPr>
        <w:tc>
          <w:tcPr>
            <w:tcW w:w="1780" w:type="dxa"/>
            <w:vAlign w:val="bottom"/>
          </w:tcPr>
          <w:p>
            <w:pPr>
              <w:spacing w:after="0"/>
              <w:rPr>
                <w:sz w:val="15"/>
                <w:szCs w:val="15"/>
                <w:color w:val="auto"/>
              </w:rPr>
            </w:pPr>
          </w:p>
        </w:tc>
        <w:tc>
          <w:tcPr>
            <w:tcW w:w="7100" w:type="dxa"/>
            <w:vAlign w:val="bottom"/>
          </w:tcPr>
          <w:p>
            <w:pPr>
              <w:ind w:left="200"/>
              <w:spacing w:after="0"/>
              <w:rPr>
                <w:sz w:val="20"/>
                <w:szCs w:val="20"/>
                <w:color w:val="auto"/>
              </w:rPr>
            </w:pPr>
            <w:r>
              <w:rPr>
                <w:rFonts w:ascii="Arial" w:cs="Arial" w:eastAsia="Arial" w:hAnsi="Arial"/>
                <w:sz w:val="15"/>
                <w:szCs w:val="15"/>
                <w:color w:val="auto"/>
              </w:rPr>
              <w:t>100% of the fiscal 2017 to 2019 performance share award</w:t>
            </w:r>
          </w:p>
        </w:tc>
        <w:tc>
          <w:tcPr>
            <w:tcW w:w="1640" w:type="dxa"/>
            <w:vAlign w:val="bottom"/>
          </w:tcPr>
          <w:p>
            <w:pPr>
              <w:jc w:val="right"/>
              <w:spacing w:after="0"/>
              <w:rPr>
                <w:sz w:val="20"/>
                <w:szCs w:val="20"/>
                <w:color w:val="auto"/>
              </w:rPr>
            </w:pPr>
            <w:r>
              <w:rPr>
                <w:rFonts w:ascii="Arial" w:cs="Arial" w:eastAsia="Arial" w:hAnsi="Arial"/>
                <w:sz w:val="15"/>
                <w:szCs w:val="15"/>
                <w:color w:val="auto"/>
              </w:rPr>
              <w:t>2,635,115</w:t>
            </w:r>
          </w:p>
        </w:tc>
      </w:tr>
      <w:tr>
        <w:trPr>
          <w:trHeight w:val="184"/>
        </w:trPr>
        <w:tc>
          <w:tcPr>
            <w:tcW w:w="1780" w:type="dxa"/>
            <w:vAlign w:val="bottom"/>
            <w:shd w:val="clear" w:color="auto" w:fill="D9D9D9"/>
          </w:tcPr>
          <w:p>
            <w:pPr>
              <w:spacing w:after="0"/>
              <w:rPr>
                <w:sz w:val="20"/>
                <w:szCs w:val="20"/>
                <w:color w:val="auto"/>
              </w:rPr>
            </w:pPr>
            <w:r>
              <w:rPr>
                <w:rFonts w:ascii="Arial" w:cs="Arial" w:eastAsia="Arial" w:hAnsi="Arial"/>
                <w:sz w:val="15"/>
                <w:szCs w:val="15"/>
                <w:color w:val="auto"/>
              </w:rPr>
              <w:t>Ms. Peterson</w:t>
            </w:r>
          </w:p>
        </w:tc>
        <w:tc>
          <w:tcPr>
            <w:tcW w:w="7100" w:type="dxa"/>
            <w:vAlign w:val="bottom"/>
            <w:shd w:val="clear" w:color="auto" w:fill="D9D9D9"/>
          </w:tcPr>
          <w:p>
            <w:pPr>
              <w:ind w:left="200"/>
              <w:spacing w:after="0"/>
              <w:rPr>
                <w:sz w:val="20"/>
                <w:szCs w:val="20"/>
                <w:color w:val="auto"/>
              </w:rPr>
            </w:pPr>
            <w:r>
              <w:rPr>
                <w:rFonts w:ascii="Arial" w:cs="Arial" w:eastAsia="Arial" w:hAnsi="Arial"/>
                <w:sz w:val="15"/>
                <w:szCs w:val="15"/>
                <w:color w:val="auto"/>
              </w:rPr>
              <w:t>23% of base salary from November through December 2018</w:t>
            </w:r>
          </w:p>
        </w:tc>
        <w:tc>
          <w:tcPr>
            <w:tcW w:w="16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20,528</w:t>
            </w:r>
          </w:p>
        </w:tc>
      </w:tr>
      <w:tr>
        <w:trPr>
          <w:trHeight w:val="184"/>
        </w:trPr>
        <w:tc>
          <w:tcPr>
            <w:tcW w:w="1780" w:type="dxa"/>
            <w:vAlign w:val="bottom"/>
            <w:shd w:val="clear" w:color="auto" w:fill="D9D9D9"/>
          </w:tcPr>
          <w:p>
            <w:pPr>
              <w:spacing w:after="0"/>
              <w:rPr>
                <w:sz w:val="15"/>
                <w:szCs w:val="15"/>
                <w:color w:val="auto"/>
              </w:rPr>
            </w:pPr>
          </w:p>
        </w:tc>
        <w:tc>
          <w:tcPr>
            <w:tcW w:w="7100" w:type="dxa"/>
            <w:vAlign w:val="bottom"/>
            <w:shd w:val="clear" w:color="auto" w:fill="D9D9D9"/>
          </w:tcPr>
          <w:p>
            <w:pPr>
              <w:ind w:left="200"/>
              <w:spacing w:after="0"/>
              <w:rPr>
                <w:sz w:val="20"/>
                <w:szCs w:val="20"/>
                <w:color w:val="auto"/>
              </w:rPr>
            </w:pPr>
            <w:r>
              <w:rPr>
                <w:rFonts w:ascii="Arial" w:cs="Arial" w:eastAsia="Arial" w:hAnsi="Arial"/>
                <w:sz w:val="15"/>
                <w:szCs w:val="15"/>
                <w:color w:val="auto"/>
              </w:rPr>
              <w:t>24% of base salary for January through October 2019</w:t>
            </w:r>
          </w:p>
        </w:tc>
        <w:tc>
          <w:tcPr>
            <w:tcW w:w="16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107,100</w:t>
            </w:r>
          </w:p>
        </w:tc>
      </w:tr>
      <w:tr>
        <w:trPr>
          <w:trHeight w:val="184"/>
        </w:trPr>
        <w:tc>
          <w:tcPr>
            <w:tcW w:w="1780" w:type="dxa"/>
            <w:vAlign w:val="bottom"/>
            <w:shd w:val="clear" w:color="auto" w:fill="D9D9D9"/>
          </w:tcPr>
          <w:p>
            <w:pPr>
              <w:spacing w:after="0"/>
              <w:rPr>
                <w:sz w:val="15"/>
                <w:szCs w:val="15"/>
                <w:color w:val="auto"/>
              </w:rPr>
            </w:pPr>
          </w:p>
        </w:tc>
        <w:tc>
          <w:tcPr>
            <w:tcW w:w="7100" w:type="dxa"/>
            <w:vAlign w:val="bottom"/>
            <w:shd w:val="clear" w:color="auto" w:fill="D9D9D9"/>
          </w:tcPr>
          <w:p>
            <w:pPr>
              <w:ind w:left="200"/>
              <w:spacing w:after="0"/>
              <w:rPr>
                <w:sz w:val="20"/>
                <w:szCs w:val="20"/>
                <w:color w:val="auto"/>
              </w:rPr>
            </w:pPr>
            <w:r>
              <w:rPr>
                <w:rFonts w:ascii="Arial" w:cs="Arial" w:eastAsia="Arial" w:hAnsi="Arial"/>
                <w:sz w:val="15"/>
                <w:szCs w:val="15"/>
                <w:color w:val="auto"/>
              </w:rPr>
              <w:t>50% of the fiscal 2019 annual cash incentive award</w:t>
            </w:r>
          </w:p>
        </w:tc>
        <w:tc>
          <w:tcPr>
            <w:tcW w:w="16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119,785</w:t>
            </w:r>
          </w:p>
        </w:tc>
      </w:tr>
      <w:tr>
        <w:trPr>
          <w:trHeight w:val="184"/>
        </w:trPr>
        <w:tc>
          <w:tcPr>
            <w:tcW w:w="1780" w:type="dxa"/>
            <w:vAlign w:val="bottom"/>
          </w:tcPr>
          <w:p>
            <w:pPr>
              <w:spacing w:after="0"/>
              <w:rPr>
                <w:sz w:val="20"/>
                <w:szCs w:val="20"/>
                <w:color w:val="auto"/>
              </w:rPr>
            </w:pPr>
            <w:r>
              <w:rPr>
                <w:rFonts w:ascii="Arial" w:cs="Arial" w:eastAsia="Arial" w:hAnsi="Arial"/>
                <w:sz w:val="15"/>
                <w:szCs w:val="15"/>
                <w:color w:val="auto"/>
              </w:rPr>
              <w:t>Mr. Dordell</w:t>
            </w:r>
          </w:p>
        </w:tc>
        <w:tc>
          <w:tcPr>
            <w:tcW w:w="7100" w:type="dxa"/>
            <w:vAlign w:val="bottom"/>
          </w:tcPr>
          <w:p>
            <w:pPr>
              <w:ind w:left="200"/>
              <w:spacing w:after="0"/>
              <w:rPr>
                <w:sz w:val="20"/>
                <w:szCs w:val="20"/>
                <w:color w:val="auto"/>
              </w:rPr>
            </w:pPr>
            <w:r>
              <w:rPr>
                <w:rFonts w:ascii="Arial" w:cs="Arial" w:eastAsia="Arial" w:hAnsi="Arial"/>
                <w:sz w:val="15"/>
                <w:szCs w:val="15"/>
                <w:color w:val="auto"/>
              </w:rPr>
              <w:t>45% of base salary from November through December 2018</w:t>
            </w:r>
          </w:p>
        </w:tc>
        <w:tc>
          <w:tcPr>
            <w:tcW w:w="1640" w:type="dxa"/>
            <w:vAlign w:val="bottom"/>
          </w:tcPr>
          <w:p>
            <w:pPr>
              <w:jc w:val="right"/>
              <w:spacing w:after="0"/>
              <w:rPr>
                <w:sz w:val="20"/>
                <w:szCs w:val="20"/>
                <w:color w:val="auto"/>
              </w:rPr>
            </w:pPr>
            <w:r>
              <w:rPr>
                <w:rFonts w:ascii="Arial" w:cs="Arial" w:eastAsia="Arial" w:hAnsi="Arial"/>
                <w:sz w:val="15"/>
                <w:szCs w:val="15"/>
                <w:color w:val="auto"/>
              </w:rPr>
              <w:t>33,825</w:t>
            </w:r>
          </w:p>
        </w:tc>
      </w:tr>
      <w:tr>
        <w:trPr>
          <w:trHeight w:val="184"/>
        </w:trPr>
        <w:tc>
          <w:tcPr>
            <w:tcW w:w="1780" w:type="dxa"/>
            <w:vAlign w:val="bottom"/>
            <w:shd w:val="clear" w:color="auto" w:fill="D9D9D9"/>
          </w:tcPr>
          <w:p>
            <w:pPr>
              <w:spacing w:after="0"/>
              <w:rPr>
                <w:sz w:val="20"/>
                <w:szCs w:val="20"/>
                <w:color w:val="auto"/>
              </w:rPr>
            </w:pPr>
            <w:r>
              <w:rPr>
                <w:rFonts w:ascii="Arial" w:cs="Arial" w:eastAsia="Arial" w:hAnsi="Arial"/>
                <w:sz w:val="15"/>
                <w:szCs w:val="15"/>
                <w:color w:val="auto"/>
              </w:rPr>
              <w:t>Mr. Hamilton</w:t>
            </w:r>
          </w:p>
        </w:tc>
        <w:tc>
          <w:tcPr>
            <w:tcW w:w="7100" w:type="dxa"/>
            <w:vAlign w:val="bottom"/>
            <w:shd w:val="clear" w:color="auto" w:fill="D9D9D9"/>
          </w:tcPr>
          <w:p>
            <w:pPr>
              <w:ind w:left="200"/>
              <w:spacing w:after="0"/>
              <w:rPr>
                <w:sz w:val="20"/>
                <w:szCs w:val="20"/>
                <w:color w:val="auto"/>
              </w:rPr>
            </w:pPr>
            <w:r>
              <w:rPr>
                <w:rFonts w:ascii="Arial" w:cs="Arial" w:eastAsia="Arial" w:hAnsi="Arial"/>
                <w:sz w:val="15"/>
                <w:szCs w:val="15"/>
                <w:color w:val="auto"/>
              </w:rPr>
              <w:t>10% of base salary from November through December 2018</w:t>
            </w:r>
          </w:p>
        </w:tc>
        <w:tc>
          <w:tcPr>
            <w:tcW w:w="16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6,666</w:t>
            </w:r>
          </w:p>
        </w:tc>
      </w:tr>
      <w:tr>
        <w:trPr>
          <w:trHeight w:val="184"/>
        </w:trPr>
        <w:tc>
          <w:tcPr>
            <w:tcW w:w="1780" w:type="dxa"/>
            <w:vAlign w:val="bottom"/>
            <w:shd w:val="clear" w:color="auto" w:fill="D9D9D9"/>
          </w:tcPr>
          <w:p>
            <w:pPr>
              <w:spacing w:after="0"/>
              <w:rPr>
                <w:sz w:val="15"/>
                <w:szCs w:val="15"/>
                <w:color w:val="auto"/>
              </w:rPr>
            </w:pPr>
          </w:p>
        </w:tc>
        <w:tc>
          <w:tcPr>
            <w:tcW w:w="7100" w:type="dxa"/>
            <w:vAlign w:val="bottom"/>
            <w:shd w:val="clear" w:color="auto" w:fill="D9D9D9"/>
          </w:tcPr>
          <w:p>
            <w:pPr>
              <w:ind w:left="200"/>
              <w:spacing w:after="0"/>
              <w:rPr>
                <w:sz w:val="20"/>
                <w:szCs w:val="20"/>
                <w:color w:val="auto"/>
              </w:rPr>
            </w:pPr>
            <w:r>
              <w:rPr>
                <w:rFonts w:ascii="Arial" w:cs="Arial" w:eastAsia="Arial" w:hAnsi="Arial"/>
                <w:sz w:val="15"/>
                <w:szCs w:val="15"/>
                <w:color w:val="auto"/>
              </w:rPr>
              <w:t>15% of base salary from January through October 2019</w:t>
            </w:r>
          </w:p>
        </w:tc>
        <w:tc>
          <w:tcPr>
            <w:tcW w:w="16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50,000</w:t>
            </w:r>
          </w:p>
        </w:tc>
      </w:tr>
      <w:tr>
        <w:trPr>
          <w:trHeight w:val="184"/>
        </w:trPr>
        <w:tc>
          <w:tcPr>
            <w:tcW w:w="1780" w:type="dxa"/>
            <w:vAlign w:val="bottom"/>
            <w:shd w:val="clear" w:color="auto" w:fill="D9D9D9"/>
          </w:tcPr>
          <w:p>
            <w:pPr>
              <w:spacing w:after="0"/>
              <w:rPr>
                <w:sz w:val="15"/>
                <w:szCs w:val="15"/>
                <w:color w:val="auto"/>
              </w:rPr>
            </w:pPr>
          </w:p>
        </w:tc>
        <w:tc>
          <w:tcPr>
            <w:tcW w:w="7100" w:type="dxa"/>
            <w:vAlign w:val="bottom"/>
            <w:shd w:val="clear" w:color="auto" w:fill="D9D9D9"/>
          </w:tcPr>
          <w:p>
            <w:pPr>
              <w:ind w:left="200"/>
              <w:spacing w:after="0"/>
              <w:rPr>
                <w:sz w:val="20"/>
                <w:szCs w:val="20"/>
                <w:color w:val="auto"/>
              </w:rPr>
            </w:pPr>
            <w:r>
              <w:rPr>
                <w:rFonts w:ascii="Arial" w:cs="Arial" w:eastAsia="Arial" w:hAnsi="Arial"/>
                <w:sz w:val="15"/>
                <w:szCs w:val="15"/>
                <w:color w:val="auto"/>
              </w:rPr>
              <w:t>50% of the fiscal 2019 annual cash incentive award</w:t>
            </w:r>
          </w:p>
        </w:tc>
        <w:tc>
          <w:tcPr>
            <w:tcW w:w="16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71,580</w:t>
            </w:r>
          </w:p>
        </w:tc>
      </w:tr>
      <w:tr>
        <w:trPr>
          <w:trHeight w:val="184"/>
        </w:trPr>
        <w:tc>
          <w:tcPr>
            <w:tcW w:w="1780" w:type="dxa"/>
            <w:vAlign w:val="bottom"/>
            <w:shd w:val="clear" w:color="auto" w:fill="D9D9D9"/>
          </w:tcPr>
          <w:p>
            <w:pPr>
              <w:spacing w:after="0"/>
              <w:rPr>
                <w:sz w:val="15"/>
                <w:szCs w:val="15"/>
                <w:color w:val="auto"/>
              </w:rPr>
            </w:pPr>
          </w:p>
        </w:tc>
        <w:tc>
          <w:tcPr>
            <w:tcW w:w="7100" w:type="dxa"/>
            <w:vAlign w:val="bottom"/>
            <w:shd w:val="clear" w:color="auto" w:fill="D9D9D9"/>
          </w:tcPr>
          <w:p>
            <w:pPr>
              <w:ind w:left="200"/>
              <w:spacing w:after="0"/>
              <w:rPr>
                <w:sz w:val="20"/>
                <w:szCs w:val="20"/>
                <w:color w:val="auto"/>
              </w:rPr>
            </w:pPr>
            <w:r>
              <w:rPr>
                <w:rFonts w:ascii="Arial" w:cs="Arial" w:eastAsia="Arial" w:hAnsi="Arial"/>
                <w:sz w:val="15"/>
                <w:szCs w:val="15"/>
                <w:color w:val="auto"/>
              </w:rPr>
              <w:t>100% of the fiscal 2017 to 2019 performance share award</w:t>
            </w:r>
          </w:p>
        </w:tc>
        <w:tc>
          <w:tcPr>
            <w:tcW w:w="16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221,872</w:t>
            </w:r>
          </w:p>
        </w:tc>
      </w:tr>
      <w:tr>
        <w:trPr>
          <w:trHeight w:val="191"/>
        </w:trPr>
        <w:tc>
          <w:tcPr>
            <w:tcW w:w="1780" w:type="dxa"/>
            <w:vAlign w:val="bottom"/>
          </w:tcPr>
          <w:p>
            <w:pPr>
              <w:spacing w:after="0"/>
              <w:rPr>
                <w:sz w:val="20"/>
                <w:szCs w:val="20"/>
                <w:color w:val="auto"/>
              </w:rPr>
            </w:pPr>
            <w:r>
              <w:rPr>
                <w:rFonts w:ascii="Arial" w:cs="Arial" w:eastAsia="Arial" w:hAnsi="Arial"/>
                <w:sz w:val="15"/>
                <w:szCs w:val="15"/>
                <w:color w:val="auto"/>
              </w:rPr>
              <w:t>Mr. Rodier</w:t>
            </w:r>
          </w:p>
        </w:tc>
        <w:tc>
          <w:tcPr>
            <w:tcW w:w="7100" w:type="dxa"/>
            <w:vAlign w:val="bottom"/>
          </w:tcPr>
          <w:p>
            <w:pPr>
              <w:ind w:left="200"/>
              <w:spacing w:after="0"/>
              <w:rPr>
                <w:sz w:val="20"/>
                <w:szCs w:val="20"/>
                <w:color w:val="auto"/>
              </w:rPr>
            </w:pPr>
            <w:r>
              <w:rPr>
                <w:rFonts w:ascii="Arial" w:cs="Arial" w:eastAsia="Arial" w:hAnsi="Arial"/>
                <w:sz w:val="15"/>
                <w:szCs w:val="15"/>
                <w:color w:val="auto"/>
              </w:rPr>
              <w:t>20% of base pay from January 2019 through October 2019</w:t>
            </w:r>
          </w:p>
        </w:tc>
        <w:tc>
          <w:tcPr>
            <w:tcW w:w="1640" w:type="dxa"/>
            <w:vAlign w:val="bottom"/>
          </w:tcPr>
          <w:p>
            <w:pPr>
              <w:jc w:val="right"/>
              <w:spacing w:after="0"/>
              <w:rPr>
                <w:sz w:val="20"/>
                <w:szCs w:val="20"/>
                <w:color w:val="auto"/>
              </w:rPr>
            </w:pPr>
            <w:r>
              <w:rPr>
                <w:rFonts w:ascii="Arial" w:cs="Arial" w:eastAsia="Arial" w:hAnsi="Arial"/>
                <w:sz w:val="15"/>
                <w:szCs w:val="15"/>
                <w:color w:val="auto"/>
              </w:rPr>
              <w:t>60,167</w:t>
            </w:r>
          </w:p>
        </w:tc>
      </w:tr>
    </w:tbl>
    <w:p>
      <w:pPr>
        <w:spacing w:after="0" w:line="41" w:lineRule="exact"/>
        <w:rPr>
          <w:sz w:val="20"/>
          <w:szCs w:val="20"/>
          <w:color w:val="auto"/>
        </w:rPr>
      </w:pPr>
    </w:p>
    <w:p>
      <w:pPr>
        <w:jc w:val="both"/>
        <w:ind w:left="402" w:right="140" w:hanging="402"/>
        <w:spacing w:after="0" w:line="247" w:lineRule="auto"/>
        <w:tabs>
          <w:tab w:leader="none" w:pos="402" w:val="left"/>
        </w:tabs>
        <w:numPr>
          <w:ilvl w:val="0"/>
          <w:numId w:val="62"/>
        </w:numPr>
        <w:rPr>
          <w:rFonts w:ascii="Arial" w:cs="Arial" w:eastAsia="Arial" w:hAnsi="Arial"/>
          <w:sz w:val="16"/>
          <w:szCs w:val="16"/>
          <w:color w:val="auto"/>
        </w:rPr>
      </w:pPr>
      <w:r>
        <w:rPr>
          <w:rFonts w:ascii="Arial" w:cs="Arial" w:eastAsia="Arial" w:hAnsi="Arial"/>
          <w:sz w:val="16"/>
          <w:szCs w:val="16"/>
          <w:color w:val="auto"/>
        </w:rPr>
        <w:t>Amounts reported represent Company contributions to the Supplemental Benefit Plan in fiscal 2019 and Company contributions to the Deferred Plan in fiscal 2019. These amounts are included in the “All Other Compensation” column of the “Summary Compensation Table” beginning on page 44 and the related footnote.</w:t>
      </w:r>
    </w:p>
    <w:p>
      <w:pPr>
        <w:spacing w:after="0" w:line="17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63" w:name="page64"/>
    <w:bookmarkEnd w:id="63"/>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02" w:hanging="402"/>
        <w:spacing w:after="0" w:line="244" w:lineRule="auto"/>
        <w:tabs>
          <w:tab w:leader="none" w:pos="4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above-market. The funds listed below are consistent with or comparable to those funds provided in our Retirement Plan and do not include any preferential or above-market interest. The rates for fiscal 2019 are provided below:</w:t>
      </w:r>
    </w:p>
    <w:p>
      <w:pPr>
        <w:spacing w:after="0" w:line="37" w:lineRule="exact"/>
        <w:rPr>
          <w:sz w:val="20"/>
          <w:szCs w:val="20"/>
          <w:color w:val="auto"/>
        </w:rPr>
      </w:pPr>
    </w:p>
    <w:tbl>
      <w:tblPr>
        <w:tblLayout w:type="fixed"/>
        <w:tblInd w:w="482" w:type="dxa"/>
        <w:tblCellMar>
          <w:top w:w="0" w:type="dxa"/>
          <w:left w:w="0" w:type="dxa"/>
          <w:bottom w:w="0" w:type="dxa"/>
          <w:right w:w="0" w:type="dxa"/>
        </w:tblCellMar>
      </w:tblPr>
      <w:tr>
        <w:trPr>
          <w:trHeight w:val="208"/>
        </w:trPr>
        <w:tc>
          <w:tcPr>
            <w:tcW w:w="4640" w:type="dxa"/>
            <w:vAlign w:val="bottom"/>
            <w:shd w:val="clear" w:color="auto" w:fill="C00000"/>
          </w:tcPr>
          <w:p>
            <w:pPr>
              <w:ind w:left="20"/>
              <w:spacing w:after="0"/>
              <w:rPr>
                <w:sz w:val="20"/>
                <w:szCs w:val="20"/>
                <w:color w:val="auto"/>
              </w:rPr>
            </w:pPr>
            <w:r>
              <w:rPr>
                <w:rFonts w:ascii="Arial" w:cs="Arial" w:eastAsia="Arial" w:hAnsi="Arial"/>
                <w:sz w:val="15"/>
                <w:szCs w:val="15"/>
                <w:b w:val="1"/>
                <w:bCs w:val="1"/>
                <w:color w:val="FFFFFF"/>
              </w:rPr>
              <w:t>Fund Name</w:t>
            </w:r>
          </w:p>
        </w:tc>
        <w:tc>
          <w:tcPr>
            <w:tcW w:w="3460" w:type="dxa"/>
            <w:vAlign w:val="bottom"/>
            <w:shd w:val="clear" w:color="auto" w:fill="C00000"/>
          </w:tcPr>
          <w:p>
            <w:pPr>
              <w:jc w:val="right"/>
              <w:ind w:right="486"/>
              <w:spacing w:after="0"/>
              <w:rPr>
                <w:sz w:val="20"/>
                <w:szCs w:val="20"/>
                <w:color w:val="auto"/>
              </w:rPr>
            </w:pPr>
            <w:r>
              <w:rPr>
                <w:rFonts w:ascii="Arial" w:cs="Arial" w:eastAsia="Arial" w:hAnsi="Arial"/>
                <w:sz w:val="15"/>
                <w:szCs w:val="15"/>
                <w:b w:val="1"/>
                <w:bCs w:val="1"/>
                <w:color w:val="FFFFFF"/>
              </w:rPr>
              <w:t>Change from Fiscal 2018</w:t>
            </w:r>
          </w:p>
        </w:tc>
      </w:tr>
      <w:tr>
        <w:trPr>
          <w:trHeight w:val="208"/>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American Funds Europacific Growth Fund R6</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15.20%</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Artisan Mid Cap Investor Fund</w:t>
            </w:r>
          </w:p>
        </w:tc>
        <w:tc>
          <w:tcPr>
            <w:tcW w:w="3460" w:type="dxa"/>
            <w:vAlign w:val="bottom"/>
          </w:tcPr>
          <w:p>
            <w:pPr>
              <w:jc w:val="right"/>
              <w:spacing w:after="0"/>
              <w:rPr>
                <w:sz w:val="20"/>
                <w:szCs w:val="20"/>
                <w:color w:val="auto"/>
              </w:rPr>
            </w:pPr>
            <w:r>
              <w:rPr>
                <w:rFonts w:ascii="Arial" w:cs="Arial" w:eastAsia="Arial" w:hAnsi="Arial"/>
                <w:sz w:val="15"/>
                <w:szCs w:val="15"/>
                <w:color w:val="auto"/>
              </w:rPr>
              <w:t>19.65%</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Fidelity Treasury Only Money Market Fund</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1.90%</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Fidelity US Bond Index</w:t>
            </w:r>
          </w:p>
        </w:tc>
        <w:tc>
          <w:tcPr>
            <w:tcW w:w="3460" w:type="dxa"/>
            <w:vAlign w:val="bottom"/>
          </w:tcPr>
          <w:p>
            <w:pPr>
              <w:jc w:val="right"/>
              <w:spacing w:after="0"/>
              <w:rPr>
                <w:sz w:val="20"/>
                <w:szCs w:val="20"/>
                <w:color w:val="auto"/>
              </w:rPr>
            </w:pPr>
            <w:r>
              <w:rPr>
                <w:rFonts w:ascii="Arial" w:cs="Arial" w:eastAsia="Arial" w:hAnsi="Arial"/>
                <w:sz w:val="15"/>
                <w:szCs w:val="15"/>
                <w:color w:val="auto"/>
              </w:rPr>
              <w:t>11.44%</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Goldman Sachs Small Cap Value Institutional Fund</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4.65%</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JPMorgan Mid Cap Value I Fund</w:t>
            </w:r>
          </w:p>
        </w:tc>
        <w:tc>
          <w:tcPr>
            <w:tcW w:w="3460" w:type="dxa"/>
            <w:vAlign w:val="bottom"/>
          </w:tcPr>
          <w:p>
            <w:pPr>
              <w:jc w:val="right"/>
              <w:spacing w:after="0"/>
              <w:rPr>
                <w:sz w:val="20"/>
                <w:szCs w:val="20"/>
                <w:color w:val="auto"/>
              </w:rPr>
            </w:pPr>
            <w:r>
              <w:rPr>
                <w:rFonts w:ascii="Arial" w:cs="Arial" w:eastAsia="Arial" w:hAnsi="Arial"/>
                <w:sz w:val="15"/>
                <w:szCs w:val="15"/>
                <w:color w:val="auto"/>
              </w:rPr>
              <w:t>10.40%</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PGIM Total Return Bond R6</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13.16%</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PIMCO International Bond Fund (Unhedged)</w:t>
            </w:r>
          </w:p>
        </w:tc>
        <w:tc>
          <w:tcPr>
            <w:tcW w:w="3460" w:type="dxa"/>
            <w:vAlign w:val="bottom"/>
          </w:tcPr>
          <w:p>
            <w:pPr>
              <w:jc w:val="right"/>
              <w:spacing w:after="0"/>
              <w:rPr>
                <w:sz w:val="20"/>
                <w:szCs w:val="20"/>
                <w:color w:val="auto"/>
              </w:rPr>
            </w:pPr>
            <w:r>
              <w:rPr>
                <w:rFonts w:ascii="Arial" w:cs="Arial" w:eastAsia="Arial" w:hAnsi="Arial"/>
                <w:sz w:val="15"/>
                <w:szCs w:val="15"/>
                <w:color w:val="auto"/>
              </w:rPr>
              <w:t>6.25%</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T. Rowe Price International Discovery Fund</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10.21%</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The Toro Company</w:t>
            </w:r>
          </w:p>
        </w:tc>
        <w:tc>
          <w:tcPr>
            <w:tcW w:w="3460" w:type="dxa"/>
            <w:vAlign w:val="bottom"/>
          </w:tcPr>
          <w:p>
            <w:pPr>
              <w:jc w:val="right"/>
              <w:spacing w:after="0"/>
              <w:rPr>
                <w:sz w:val="20"/>
                <w:szCs w:val="20"/>
                <w:color w:val="auto"/>
              </w:rPr>
            </w:pPr>
            <w:r>
              <w:rPr>
                <w:rFonts w:ascii="Arial" w:cs="Arial" w:eastAsia="Arial" w:hAnsi="Arial"/>
                <w:sz w:val="15"/>
                <w:szCs w:val="15"/>
                <w:color w:val="auto"/>
              </w:rPr>
              <w:t>38.81%</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Vanguard Explorer Fund Admiral Shares</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10.27%</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Vanguard Institutional Index Fund Institutional Shares</w:t>
            </w:r>
          </w:p>
        </w:tc>
        <w:tc>
          <w:tcPr>
            <w:tcW w:w="3460" w:type="dxa"/>
            <w:vAlign w:val="bottom"/>
          </w:tcPr>
          <w:p>
            <w:pPr>
              <w:jc w:val="right"/>
              <w:spacing w:after="0"/>
              <w:rPr>
                <w:sz w:val="20"/>
                <w:szCs w:val="20"/>
                <w:color w:val="auto"/>
              </w:rPr>
            </w:pPr>
            <w:r>
              <w:rPr>
                <w:rFonts w:ascii="Arial" w:cs="Arial" w:eastAsia="Arial" w:hAnsi="Arial"/>
                <w:sz w:val="15"/>
                <w:szCs w:val="15"/>
                <w:color w:val="auto"/>
              </w:rPr>
              <w:t>14.32%</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Vanguard Mid Cap Index Fund Admiral Shares</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14.39%</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Vanguard Small Cap Index Fund Admiral Shares</w:t>
            </w:r>
          </w:p>
        </w:tc>
        <w:tc>
          <w:tcPr>
            <w:tcW w:w="3460" w:type="dxa"/>
            <w:vAlign w:val="bottom"/>
          </w:tcPr>
          <w:p>
            <w:pPr>
              <w:jc w:val="right"/>
              <w:spacing w:after="0"/>
              <w:rPr>
                <w:sz w:val="20"/>
                <w:szCs w:val="20"/>
                <w:color w:val="auto"/>
              </w:rPr>
            </w:pPr>
            <w:r>
              <w:rPr>
                <w:rFonts w:ascii="Arial" w:cs="Arial" w:eastAsia="Arial" w:hAnsi="Arial"/>
                <w:sz w:val="15"/>
                <w:szCs w:val="15"/>
                <w:color w:val="auto"/>
              </w:rPr>
              <w:t>8.70%</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Vanguard Target Retirement 2015 Fund</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10.88%</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Vanguard Target Retirement 2020 Fund</w:t>
            </w:r>
          </w:p>
        </w:tc>
        <w:tc>
          <w:tcPr>
            <w:tcW w:w="3460" w:type="dxa"/>
            <w:vAlign w:val="bottom"/>
          </w:tcPr>
          <w:p>
            <w:pPr>
              <w:jc w:val="right"/>
              <w:spacing w:after="0"/>
              <w:rPr>
                <w:sz w:val="20"/>
                <w:szCs w:val="20"/>
                <w:color w:val="auto"/>
              </w:rPr>
            </w:pPr>
            <w:r>
              <w:rPr>
                <w:rFonts w:ascii="Arial" w:cs="Arial" w:eastAsia="Arial" w:hAnsi="Arial"/>
                <w:sz w:val="15"/>
                <w:szCs w:val="15"/>
                <w:color w:val="auto"/>
              </w:rPr>
              <w:t>11.62%</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Vanguard Target Retirement 2025 Fund</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12.18%</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Vanguard Target Retirement 2030 Fund</w:t>
            </w:r>
          </w:p>
        </w:tc>
        <w:tc>
          <w:tcPr>
            <w:tcW w:w="3460" w:type="dxa"/>
            <w:vAlign w:val="bottom"/>
          </w:tcPr>
          <w:p>
            <w:pPr>
              <w:jc w:val="right"/>
              <w:spacing w:after="0"/>
              <w:rPr>
                <w:sz w:val="20"/>
                <w:szCs w:val="20"/>
                <w:color w:val="auto"/>
              </w:rPr>
            </w:pPr>
            <w:r>
              <w:rPr>
                <w:rFonts w:ascii="Arial" w:cs="Arial" w:eastAsia="Arial" w:hAnsi="Arial"/>
                <w:sz w:val="15"/>
                <w:szCs w:val="15"/>
                <w:color w:val="auto"/>
              </w:rPr>
              <w:t>12.28%</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Vanguard Target Retirement 2035 Fund</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12.34%</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Vanguard Target Retirement 2040 Fund</w:t>
            </w:r>
          </w:p>
        </w:tc>
        <w:tc>
          <w:tcPr>
            <w:tcW w:w="3460" w:type="dxa"/>
            <w:vAlign w:val="bottom"/>
          </w:tcPr>
          <w:p>
            <w:pPr>
              <w:jc w:val="right"/>
              <w:spacing w:after="0"/>
              <w:rPr>
                <w:sz w:val="20"/>
                <w:szCs w:val="20"/>
                <w:color w:val="auto"/>
              </w:rPr>
            </w:pPr>
            <w:r>
              <w:rPr>
                <w:rFonts w:ascii="Arial" w:cs="Arial" w:eastAsia="Arial" w:hAnsi="Arial"/>
                <w:sz w:val="15"/>
                <w:szCs w:val="15"/>
                <w:color w:val="auto"/>
              </w:rPr>
              <w:t>12.37%</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Vanguard Target Retirement 2045 Fund</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12.40%</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Vanguard Target Retirement 2050 Fund</w:t>
            </w:r>
          </w:p>
        </w:tc>
        <w:tc>
          <w:tcPr>
            <w:tcW w:w="3460" w:type="dxa"/>
            <w:vAlign w:val="bottom"/>
          </w:tcPr>
          <w:p>
            <w:pPr>
              <w:jc w:val="right"/>
              <w:spacing w:after="0"/>
              <w:rPr>
                <w:sz w:val="20"/>
                <w:szCs w:val="20"/>
                <w:color w:val="auto"/>
              </w:rPr>
            </w:pPr>
            <w:r>
              <w:rPr>
                <w:rFonts w:ascii="Arial" w:cs="Arial" w:eastAsia="Arial" w:hAnsi="Arial"/>
                <w:sz w:val="15"/>
                <w:szCs w:val="15"/>
                <w:color w:val="auto"/>
              </w:rPr>
              <w:t>12.39%</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Vanguard Target Retirement 2055 Fund</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12.46%</w:t>
            </w:r>
          </w:p>
        </w:tc>
      </w:tr>
      <w:tr>
        <w:trPr>
          <w:trHeight w:val="200"/>
        </w:trPr>
        <w:tc>
          <w:tcPr>
            <w:tcW w:w="4640" w:type="dxa"/>
            <w:vAlign w:val="bottom"/>
          </w:tcPr>
          <w:p>
            <w:pPr>
              <w:ind w:left="20"/>
              <w:spacing w:after="0"/>
              <w:rPr>
                <w:sz w:val="20"/>
                <w:szCs w:val="20"/>
                <w:color w:val="auto"/>
              </w:rPr>
            </w:pPr>
            <w:r>
              <w:rPr>
                <w:rFonts w:ascii="Arial" w:cs="Arial" w:eastAsia="Arial" w:hAnsi="Arial"/>
                <w:sz w:val="15"/>
                <w:szCs w:val="15"/>
                <w:color w:val="auto"/>
              </w:rPr>
              <w:t>Vanguard Target Retirement 2060 Fund</w:t>
            </w:r>
          </w:p>
        </w:tc>
        <w:tc>
          <w:tcPr>
            <w:tcW w:w="3460" w:type="dxa"/>
            <w:vAlign w:val="bottom"/>
          </w:tcPr>
          <w:p>
            <w:pPr>
              <w:jc w:val="right"/>
              <w:spacing w:after="0"/>
              <w:rPr>
                <w:sz w:val="20"/>
                <w:szCs w:val="20"/>
                <w:color w:val="auto"/>
              </w:rPr>
            </w:pPr>
            <w:r>
              <w:rPr>
                <w:rFonts w:ascii="Arial" w:cs="Arial" w:eastAsia="Arial" w:hAnsi="Arial"/>
                <w:sz w:val="15"/>
                <w:szCs w:val="15"/>
                <w:color w:val="auto"/>
              </w:rPr>
              <w:t>12.40%</w:t>
            </w:r>
          </w:p>
        </w:tc>
      </w:tr>
      <w:tr>
        <w:trPr>
          <w:trHeight w:val="217"/>
        </w:trPr>
        <w:tc>
          <w:tcPr>
            <w:tcW w:w="4640" w:type="dxa"/>
            <w:vAlign w:val="bottom"/>
            <w:shd w:val="clear" w:color="auto" w:fill="D9D9D9"/>
          </w:tcPr>
          <w:p>
            <w:pPr>
              <w:ind w:left="20"/>
              <w:spacing w:after="0"/>
              <w:rPr>
                <w:sz w:val="20"/>
                <w:szCs w:val="20"/>
                <w:color w:val="auto"/>
              </w:rPr>
            </w:pPr>
            <w:r>
              <w:rPr>
                <w:rFonts w:ascii="Arial" w:cs="Arial" w:eastAsia="Arial" w:hAnsi="Arial"/>
                <w:sz w:val="15"/>
                <w:szCs w:val="15"/>
                <w:color w:val="auto"/>
              </w:rPr>
              <w:t>Vanguard Target Retirement 2065 Fund</w:t>
            </w:r>
          </w:p>
        </w:tc>
        <w:tc>
          <w:tcPr>
            <w:tcW w:w="34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12.47%</w:t>
            </w:r>
          </w:p>
        </w:tc>
      </w:tr>
      <w:tr>
        <w:trPr>
          <w:trHeight w:val="191"/>
        </w:trPr>
        <w:tc>
          <w:tcPr>
            <w:tcW w:w="4640" w:type="dxa"/>
            <w:vAlign w:val="bottom"/>
          </w:tcPr>
          <w:p>
            <w:pPr>
              <w:ind w:left="20"/>
              <w:spacing w:after="0"/>
              <w:rPr>
                <w:sz w:val="20"/>
                <w:szCs w:val="20"/>
                <w:color w:val="auto"/>
              </w:rPr>
            </w:pPr>
            <w:r>
              <w:rPr>
                <w:rFonts w:ascii="Arial" w:cs="Arial" w:eastAsia="Arial" w:hAnsi="Arial"/>
                <w:sz w:val="15"/>
                <w:szCs w:val="15"/>
                <w:color w:val="auto"/>
              </w:rPr>
              <w:t>Vanguard Target Retirement Income Fund</w:t>
            </w:r>
          </w:p>
        </w:tc>
        <w:tc>
          <w:tcPr>
            <w:tcW w:w="3460" w:type="dxa"/>
            <w:vAlign w:val="bottom"/>
          </w:tcPr>
          <w:p>
            <w:pPr>
              <w:jc w:val="right"/>
              <w:spacing w:after="0"/>
              <w:rPr>
                <w:sz w:val="20"/>
                <w:szCs w:val="20"/>
                <w:color w:val="auto"/>
              </w:rPr>
            </w:pPr>
            <w:r>
              <w:rPr>
                <w:rFonts w:ascii="Arial" w:cs="Arial" w:eastAsia="Arial" w:hAnsi="Arial"/>
                <w:sz w:val="15"/>
                <w:szCs w:val="15"/>
                <w:color w:val="auto"/>
              </w:rPr>
              <w:t>10.54%</w:t>
            </w:r>
          </w:p>
        </w:tc>
      </w:tr>
    </w:tbl>
    <w:p>
      <w:pPr>
        <w:spacing w:after="0" w:line="65" w:lineRule="exact"/>
        <w:rPr>
          <w:sz w:val="20"/>
          <w:szCs w:val="20"/>
          <w:color w:val="auto"/>
        </w:rPr>
      </w:pPr>
    </w:p>
    <w:p>
      <w:pPr>
        <w:ind w:left="402" w:right="180" w:hanging="402"/>
        <w:spacing w:after="0" w:line="247" w:lineRule="auto"/>
        <w:tabs>
          <w:tab w:leader="none" w:pos="402"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Amounts reported represent the total balance at October 31, 2019, the last day of fiscal 2019, plus any named executive officer’s or Company contributions for fiscal 2019 that were paid, or expected to be paid, after October 31, 2019. Includes the following amounts reported in the “Summary Compensation Table” in the “Base Salary” or “Non-Equity Incentive Plan Compensation” column for fiscal years 2017 and 2018:</w:t>
      </w:r>
    </w:p>
    <w:p>
      <w:pPr>
        <w:spacing w:after="0" w:line="33" w:lineRule="exact"/>
        <w:rPr>
          <w:sz w:val="20"/>
          <w:szCs w:val="20"/>
          <w:color w:val="auto"/>
        </w:rPr>
      </w:pPr>
    </w:p>
    <w:tbl>
      <w:tblPr>
        <w:tblLayout w:type="fixed"/>
        <w:tblInd w:w="482" w:type="dxa"/>
        <w:tblCellMar>
          <w:top w:w="0" w:type="dxa"/>
          <w:left w:w="0" w:type="dxa"/>
          <w:bottom w:w="0" w:type="dxa"/>
          <w:right w:w="0" w:type="dxa"/>
        </w:tblCellMar>
      </w:tblPr>
      <w:tr>
        <w:trPr>
          <w:trHeight w:val="208"/>
        </w:trPr>
        <w:tc>
          <w:tcPr>
            <w:tcW w:w="3960" w:type="dxa"/>
            <w:vAlign w:val="bottom"/>
            <w:shd w:val="clear" w:color="auto" w:fill="D9D9D9"/>
          </w:tcPr>
          <w:p>
            <w:pPr>
              <w:spacing w:after="0"/>
              <w:rPr>
                <w:sz w:val="20"/>
                <w:szCs w:val="20"/>
                <w:color w:val="auto"/>
              </w:rPr>
            </w:pPr>
            <w:r>
              <w:rPr>
                <w:rFonts w:ascii="Arial" w:cs="Arial" w:eastAsia="Arial" w:hAnsi="Arial"/>
                <w:sz w:val="15"/>
                <w:szCs w:val="15"/>
                <w:color w:val="auto"/>
              </w:rPr>
              <w:t>Mr. Olson</w:t>
            </w:r>
          </w:p>
        </w:tc>
        <w:tc>
          <w:tcPr>
            <w:tcW w:w="3400" w:type="dxa"/>
            <w:vAlign w:val="bottom"/>
            <w:shd w:val="clear" w:color="auto" w:fill="D9D9D9"/>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382,068</w:t>
            </w:r>
          </w:p>
        </w:tc>
      </w:tr>
      <w:tr>
        <w:trPr>
          <w:trHeight w:val="200"/>
        </w:trPr>
        <w:tc>
          <w:tcPr>
            <w:tcW w:w="3960" w:type="dxa"/>
            <w:vAlign w:val="bottom"/>
          </w:tcPr>
          <w:p>
            <w:pPr>
              <w:spacing w:after="0"/>
              <w:rPr>
                <w:sz w:val="20"/>
                <w:szCs w:val="20"/>
                <w:color w:val="auto"/>
              </w:rPr>
            </w:pPr>
            <w:r>
              <w:rPr>
                <w:rFonts w:ascii="Arial" w:cs="Arial" w:eastAsia="Arial" w:hAnsi="Arial"/>
                <w:sz w:val="15"/>
                <w:szCs w:val="15"/>
                <w:color w:val="auto"/>
              </w:rPr>
              <w:t>Ms. Peterson</w:t>
            </w:r>
          </w:p>
        </w:tc>
        <w:tc>
          <w:tcPr>
            <w:tcW w:w="34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656,583</w:t>
            </w:r>
          </w:p>
        </w:tc>
      </w:tr>
      <w:tr>
        <w:trPr>
          <w:trHeight w:val="217"/>
        </w:trPr>
        <w:tc>
          <w:tcPr>
            <w:tcW w:w="3960" w:type="dxa"/>
            <w:vAlign w:val="bottom"/>
            <w:shd w:val="clear" w:color="auto" w:fill="E7E6E6"/>
          </w:tcPr>
          <w:p>
            <w:pPr>
              <w:spacing w:after="0"/>
              <w:rPr>
                <w:sz w:val="20"/>
                <w:szCs w:val="20"/>
                <w:color w:val="auto"/>
              </w:rPr>
            </w:pPr>
            <w:r>
              <w:rPr>
                <w:rFonts w:ascii="Arial" w:cs="Arial" w:eastAsia="Arial" w:hAnsi="Arial"/>
                <w:sz w:val="15"/>
                <w:szCs w:val="15"/>
                <w:color w:val="auto"/>
              </w:rPr>
              <w:t>Mr. Dordell</w:t>
            </w:r>
          </w:p>
        </w:tc>
        <w:tc>
          <w:tcPr>
            <w:tcW w:w="3400" w:type="dxa"/>
            <w:vAlign w:val="bottom"/>
            <w:shd w:val="clear" w:color="auto" w:fill="E7E6E6"/>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shd w:val="clear" w:color="auto" w:fill="E7E6E6"/>
          </w:tcPr>
          <w:p>
            <w:pPr>
              <w:jc w:val="right"/>
              <w:spacing w:after="0"/>
              <w:rPr>
                <w:sz w:val="20"/>
                <w:szCs w:val="20"/>
                <w:color w:val="auto"/>
              </w:rPr>
            </w:pPr>
            <w:r>
              <w:rPr>
                <w:rFonts w:ascii="Arial" w:cs="Arial" w:eastAsia="Arial" w:hAnsi="Arial"/>
                <w:sz w:val="15"/>
                <w:szCs w:val="15"/>
                <w:color w:val="auto"/>
              </w:rPr>
              <w:t>940,566</w:t>
            </w:r>
          </w:p>
        </w:tc>
      </w:tr>
      <w:tr>
        <w:trPr>
          <w:trHeight w:val="191"/>
        </w:trPr>
        <w:tc>
          <w:tcPr>
            <w:tcW w:w="3960" w:type="dxa"/>
            <w:vAlign w:val="bottom"/>
          </w:tcPr>
          <w:p>
            <w:pPr>
              <w:spacing w:after="0"/>
              <w:rPr>
                <w:sz w:val="20"/>
                <w:szCs w:val="20"/>
                <w:color w:val="auto"/>
              </w:rPr>
            </w:pPr>
            <w:r>
              <w:rPr>
                <w:rFonts w:ascii="Arial" w:cs="Arial" w:eastAsia="Arial" w:hAnsi="Arial"/>
                <w:sz w:val="15"/>
                <w:szCs w:val="15"/>
                <w:color w:val="auto"/>
              </w:rPr>
              <w:t>Mr. Hamilton</w:t>
            </w:r>
          </w:p>
        </w:tc>
        <w:tc>
          <w:tcPr>
            <w:tcW w:w="34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123,027</w:t>
            </w:r>
          </w:p>
        </w:tc>
      </w:tr>
    </w:tbl>
    <w:p>
      <w:pPr>
        <w:spacing w:after="0" w:line="65" w:lineRule="exact"/>
        <w:rPr>
          <w:sz w:val="20"/>
          <w:szCs w:val="20"/>
          <w:color w:val="auto"/>
        </w:rPr>
      </w:pPr>
    </w:p>
    <w:p>
      <w:pPr>
        <w:ind w:left="402"/>
        <w:spacing w:after="0"/>
        <w:rPr>
          <w:sz w:val="20"/>
          <w:szCs w:val="20"/>
          <w:color w:val="auto"/>
        </w:rPr>
      </w:pPr>
      <w:r>
        <w:rPr>
          <w:rFonts w:ascii="Arial" w:cs="Arial" w:eastAsia="Arial" w:hAnsi="Arial"/>
          <w:sz w:val="16"/>
          <w:szCs w:val="16"/>
          <w:color w:val="auto"/>
        </w:rPr>
        <w:t>Includes the following amounts reported in the “Summary Compensation Table” in the “All Other Compensation” column for fiscal years 2017 and 2018.</w:t>
      </w:r>
    </w:p>
    <w:p>
      <w:pPr>
        <w:spacing w:after="0" w:line="50" w:lineRule="exact"/>
        <w:rPr>
          <w:sz w:val="20"/>
          <w:szCs w:val="20"/>
          <w:color w:val="auto"/>
        </w:rPr>
      </w:pPr>
    </w:p>
    <w:tbl>
      <w:tblPr>
        <w:tblLayout w:type="fixed"/>
        <w:tblInd w:w="482" w:type="dxa"/>
        <w:tblCellMar>
          <w:top w:w="0" w:type="dxa"/>
          <w:left w:w="0" w:type="dxa"/>
          <w:bottom w:w="0" w:type="dxa"/>
          <w:right w:w="0" w:type="dxa"/>
        </w:tblCellMar>
      </w:tblPr>
      <w:tr>
        <w:trPr>
          <w:trHeight w:val="208"/>
        </w:trPr>
        <w:tc>
          <w:tcPr>
            <w:tcW w:w="3960" w:type="dxa"/>
            <w:vAlign w:val="bottom"/>
            <w:shd w:val="clear" w:color="auto" w:fill="D9D9D9"/>
          </w:tcPr>
          <w:p>
            <w:pPr>
              <w:spacing w:after="0"/>
              <w:rPr>
                <w:sz w:val="20"/>
                <w:szCs w:val="20"/>
                <w:color w:val="auto"/>
              </w:rPr>
            </w:pPr>
            <w:r>
              <w:rPr>
                <w:rFonts w:ascii="Arial" w:cs="Arial" w:eastAsia="Arial" w:hAnsi="Arial"/>
                <w:sz w:val="15"/>
                <w:szCs w:val="15"/>
                <w:color w:val="auto"/>
              </w:rPr>
              <w:t>Mr. Olson</w:t>
            </w:r>
          </w:p>
        </w:tc>
        <w:tc>
          <w:tcPr>
            <w:tcW w:w="3400" w:type="dxa"/>
            <w:vAlign w:val="bottom"/>
            <w:shd w:val="clear" w:color="auto" w:fill="D9D9D9"/>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245,002</w:t>
            </w:r>
          </w:p>
        </w:tc>
      </w:tr>
      <w:tr>
        <w:trPr>
          <w:trHeight w:val="200"/>
        </w:trPr>
        <w:tc>
          <w:tcPr>
            <w:tcW w:w="3960" w:type="dxa"/>
            <w:vAlign w:val="bottom"/>
          </w:tcPr>
          <w:p>
            <w:pPr>
              <w:spacing w:after="0"/>
              <w:rPr>
                <w:sz w:val="20"/>
                <w:szCs w:val="20"/>
                <w:color w:val="auto"/>
              </w:rPr>
            </w:pPr>
            <w:r>
              <w:rPr>
                <w:rFonts w:ascii="Arial" w:cs="Arial" w:eastAsia="Arial" w:hAnsi="Arial"/>
                <w:sz w:val="15"/>
                <w:szCs w:val="15"/>
                <w:color w:val="auto"/>
              </w:rPr>
              <w:t>Ms. Peterson</w:t>
            </w:r>
          </w:p>
        </w:tc>
        <w:tc>
          <w:tcPr>
            <w:tcW w:w="34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112,412</w:t>
            </w:r>
          </w:p>
        </w:tc>
      </w:tr>
      <w:tr>
        <w:trPr>
          <w:trHeight w:val="217"/>
        </w:trPr>
        <w:tc>
          <w:tcPr>
            <w:tcW w:w="3960" w:type="dxa"/>
            <w:vAlign w:val="bottom"/>
            <w:shd w:val="clear" w:color="auto" w:fill="E7E6E6"/>
          </w:tcPr>
          <w:p>
            <w:pPr>
              <w:spacing w:after="0"/>
              <w:rPr>
                <w:sz w:val="20"/>
                <w:szCs w:val="20"/>
                <w:color w:val="auto"/>
              </w:rPr>
            </w:pPr>
            <w:r>
              <w:rPr>
                <w:rFonts w:ascii="Arial" w:cs="Arial" w:eastAsia="Arial" w:hAnsi="Arial"/>
                <w:sz w:val="15"/>
                <w:szCs w:val="15"/>
                <w:color w:val="auto"/>
              </w:rPr>
              <w:t>Mr. Dordell</w:t>
            </w:r>
          </w:p>
        </w:tc>
        <w:tc>
          <w:tcPr>
            <w:tcW w:w="3400" w:type="dxa"/>
            <w:vAlign w:val="bottom"/>
            <w:shd w:val="clear" w:color="auto" w:fill="E7E6E6"/>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shd w:val="clear" w:color="auto" w:fill="E7E6E6"/>
          </w:tcPr>
          <w:p>
            <w:pPr>
              <w:jc w:val="right"/>
              <w:spacing w:after="0"/>
              <w:rPr>
                <w:sz w:val="20"/>
                <w:szCs w:val="20"/>
                <w:color w:val="auto"/>
              </w:rPr>
            </w:pPr>
            <w:r>
              <w:rPr>
                <w:rFonts w:ascii="Arial" w:cs="Arial" w:eastAsia="Arial" w:hAnsi="Arial"/>
                <w:sz w:val="15"/>
                <w:szCs w:val="15"/>
                <w:color w:val="auto"/>
              </w:rPr>
              <w:t>78,784</w:t>
            </w:r>
          </w:p>
        </w:tc>
      </w:tr>
      <w:tr>
        <w:trPr>
          <w:trHeight w:val="191"/>
        </w:trPr>
        <w:tc>
          <w:tcPr>
            <w:tcW w:w="3960" w:type="dxa"/>
            <w:vAlign w:val="bottom"/>
          </w:tcPr>
          <w:p>
            <w:pPr>
              <w:spacing w:after="0"/>
              <w:rPr>
                <w:sz w:val="20"/>
                <w:szCs w:val="20"/>
                <w:color w:val="auto"/>
              </w:rPr>
            </w:pPr>
            <w:r>
              <w:rPr>
                <w:rFonts w:ascii="Arial" w:cs="Arial" w:eastAsia="Arial" w:hAnsi="Arial"/>
                <w:sz w:val="15"/>
                <w:szCs w:val="15"/>
                <w:color w:val="auto"/>
              </w:rPr>
              <w:t>Mr. Hamilton</w:t>
            </w:r>
          </w:p>
        </w:tc>
        <w:tc>
          <w:tcPr>
            <w:tcW w:w="34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22,625</w:t>
            </w:r>
          </w:p>
        </w:tc>
      </w:tr>
    </w:tbl>
    <w:p>
      <w:pPr>
        <w:spacing w:after="0" w:line="200" w:lineRule="exact"/>
        <w:rPr>
          <w:sz w:val="20"/>
          <w:szCs w:val="20"/>
          <w:color w:val="auto"/>
        </w:rPr>
      </w:pPr>
    </w:p>
    <w:p>
      <w:pPr>
        <w:spacing w:after="0" w:line="209" w:lineRule="exact"/>
        <w:rPr>
          <w:sz w:val="20"/>
          <w:szCs w:val="20"/>
          <w:color w:val="auto"/>
        </w:rPr>
      </w:pPr>
    </w:p>
    <w:p>
      <w:pPr>
        <w:jc w:val="center"/>
        <w:ind w:right="-121"/>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02"/>
          </w:cols>
          <w:pgMar w:left="238" w:top="140" w:right="3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Potential Payments Upon Termination or Change In Control</w:t>
      </w:r>
    </w:p>
    <w:p>
      <w:pPr>
        <w:spacing w:after="0" w:line="92" w:lineRule="exact"/>
        <w:rPr>
          <w:sz w:val="20"/>
          <w:szCs w:val="20"/>
          <w:color w:val="auto"/>
        </w:rPr>
      </w:pPr>
    </w:p>
    <w:p>
      <w:pPr>
        <w:ind w:right="40" w:firstLine="408"/>
        <w:spacing w:after="0" w:line="250"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The following discussion describes the payments and benefits to which our named executive officers are entitled in various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and change in control situations. The intent of this discussion is to describe those payments and benefits for which the amount, vesting or time of payment is altered by the termination of employment or change in control situation. Therefore, this discussion does not describe all payments and benefits a named executive officer may receive following a termination or change in control, such as the following accrued, vested or non-forfeitable compensation and benefits:</w:t>
      </w:r>
    </w:p>
    <w:p>
      <w:pPr>
        <w:spacing w:after="0" w:line="79" w:lineRule="exact"/>
        <w:rPr>
          <w:sz w:val="20"/>
          <w:szCs w:val="20"/>
          <w:color w:val="auto"/>
        </w:rPr>
      </w:pPr>
    </w:p>
    <w:p>
      <w:pPr>
        <w:ind w:left="800" w:right="60" w:hanging="398"/>
        <w:spacing w:after="0" w:line="255" w:lineRule="auto"/>
        <w:tabs>
          <w:tab w:leader="none" w:pos="800" w:val="left"/>
        </w:tabs>
        <w:numPr>
          <w:ilvl w:val="0"/>
          <w:numId w:val="65"/>
        </w:numPr>
        <w:rPr>
          <w:rFonts w:ascii="Arial" w:cs="Arial" w:eastAsia="Arial" w:hAnsi="Arial"/>
          <w:sz w:val="15"/>
          <w:szCs w:val="15"/>
          <w:color w:val="auto"/>
        </w:rPr>
      </w:pPr>
      <w:r>
        <w:rPr>
          <w:rFonts w:ascii="Arial" w:cs="Arial" w:eastAsia="Arial" w:hAnsi="Arial"/>
          <w:sz w:val="16"/>
          <w:szCs w:val="16"/>
          <w:color w:val="auto"/>
        </w:rPr>
        <w:t>Payment of individual contributions to our Deferred Plan and Deferred Plan for Officers in accordance with prior distribution elections, as described under “Nonqualified Deferred Compensation for Fiscal 2019” on page 50;</w:t>
      </w:r>
    </w:p>
    <w:p>
      <w:pPr>
        <w:spacing w:after="0" w:line="74" w:lineRule="exact"/>
        <w:rPr>
          <w:rFonts w:ascii="Arial" w:cs="Arial" w:eastAsia="Arial" w:hAnsi="Arial"/>
          <w:sz w:val="15"/>
          <w:szCs w:val="15"/>
          <w:color w:val="auto"/>
        </w:rPr>
      </w:pPr>
    </w:p>
    <w:p>
      <w:pPr>
        <w:ind w:left="800" w:right="940" w:hanging="398"/>
        <w:spacing w:after="0" w:line="255" w:lineRule="auto"/>
        <w:tabs>
          <w:tab w:leader="none" w:pos="800" w:val="left"/>
        </w:tabs>
        <w:numPr>
          <w:ilvl w:val="0"/>
          <w:numId w:val="65"/>
        </w:numPr>
        <w:rPr>
          <w:rFonts w:ascii="Arial" w:cs="Arial" w:eastAsia="Arial" w:hAnsi="Arial"/>
          <w:sz w:val="15"/>
          <w:szCs w:val="15"/>
          <w:color w:val="auto"/>
        </w:rPr>
      </w:pPr>
      <w:r>
        <w:rPr>
          <w:rFonts w:ascii="Arial" w:cs="Arial" w:eastAsia="Arial" w:hAnsi="Arial"/>
          <w:sz w:val="16"/>
          <w:szCs w:val="16"/>
          <w:color w:val="auto"/>
        </w:rPr>
        <w:t>Payment of Company contributions on behalf of the named executive officer under our Supplemental Benefit Plan, as described under “Nonqualified Deferred Compensation for Fiscal 2019” on page 50;</w:t>
      </w:r>
    </w:p>
    <w:p>
      <w:pPr>
        <w:spacing w:after="0" w:line="74" w:lineRule="exact"/>
        <w:rPr>
          <w:rFonts w:ascii="Arial" w:cs="Arial" w:eastAsia="Arial" w:hAnsi="Arial"/>
          <w:sz w:val="15"/>
          <w:szCs w:val="15"/>
          <w:color w:val="auto"/>
        </w:rPr>
      </w:pPr>
    </w:p>
    <w:p>
      <w:pPr>
        <w:ind w:left="800" w:hanging="398"/>
        <w:spacing w:after="0" w:line="255" w:lineRule="auto"/>
        <w:tabs>
          <w:tab w:leader="none" w:pos="800" w:val="left"/>
        </w:tabs>
        <w:numPr>
          <w:ilvl w:val="0"/>
          <w:numId w:val="65"/>
        </w:numPr>
        <w:rPr>
          <w:rFonts w:ascii="Arial" w:cs="Arial" w:eastAsia="Arial" w:hAnsi="Arial"/>
          <w:sz w:val="15"/>
          <w:szCs w:val="15"/>
          <w:color w:val="auto"/>
        </w:rPr>
      </w:pPr>
      <w:r>
        <w:rPr>
          <w:rFonts w:ascii="Arial" w:cs="Arial" w:eastAsia="Arial" w:hAnsi="Arial"/>
          <w:sz w:val="16"/>
          <w:szCs w:val="16"/>
          <w:color w:val="auto"/>
        </w:rPr>
        <w:t>Payment of individual contributions and vested Company investment fund and ESOP contributions on behalf of the named executive officer under our Retirement Plan, as described under “Health, Welfare and Retirement Benefits and All Other Compensation—Retirement Benefits” on page 42;</w:t>
      </w:r>
    </w:p>
    <w:p>
      <w:pPr>
        <w:spacing w:after="0" w:line="74" w:lineRule="exact"/>
        <w:rPr>
          <w:rFonts w:ascii="Arial" w:cs="Arial" w:eastAsia="Arial" w:hAnsi="Arial"/>
          <w:sz w:val="15"/>
          <w:szCs w:val="15"/>
          <w:color w:val="auto"/>
        </w:rPr>
      </w:pPr>
    </w:p>
    <w:p>
      <w:pPr>
        <w:ind w:left="800" w:right="60" w:hanging="398"/>
        <w:spacing w:after="0" w:line="255" w:lineRule="auto"/>
        <w:tabs>
          <w:tab w:leader="none" w:pos="800" w:val="left"/>
        </w:tabs>
        <w:numPr>
          <w:ilvl w:val="0"/>
          <w:numId w:val="65"/>
        </w:numPr>
        <w:rPr>
          <w:rFonts w:ascii="Arial" w:cs="Arial" w:eastAsia="Arial" w:hAnsi="Arial"/>
          <w:sz w:val="15"/>
          <w:szCs w:val="15"/>
          <w:color w:val="auto"/>
        </w:rPr>
      </w:pPr>
      <w:r>
        <w:rPr>
          <w:rFonts w:ascii="Arial" w:cs="Arial" w:eastAsia="Arial" w:hAnsi="Arial"/>
          <w:sz w:val="16"/>
          <w:szCs w:val="16"/>
          <w:color w:val="auto"/>
        </w:rPr>
        <w:t>Payment of annual cash incentive awards if employed on the last day of the fiscal year and if threshold levels are met and at the percentage of the target achieved, as described under “Annual Cash Incentives” beginning on page 33;</w:t>
      </w:r>
    </w:p>
    <w:p>
      <w:pPr>
        <w:spacing w:after="0" w:line="74" w:lineRule="exact"/>
        <w:rPr>
          <w:rFonts w:ascii="Arial" w:cs="Arial" w:eastAsia="Arial" w:hAnsi="Arial"/>
          <w:sz w:val="15"/>
          <w:szCs w:val="15"/>
          <w:color w:val="auto"/>
        </w:rPr>
      </w:pPr>
    </w:p>
    <w:p>
      <w:pPr>
        <w:ind w:left="800" w:right="120" w:hanging="398"/>
        <w:spacing w:after="0" w:line="255" w:lineRule="auto"/>
        <w:tabs>
          <w:tab w:leader="none" w:pos="800" w:val="left"/>
        </w:tabs>
        <w:numPr>
          <w:ilvl w:val="0"/>
          <w:numId w:val="65"/>
        </w:numPr>
        <w:rPr>
          <w:rFonts w:ascii="Arial" w:cs="Arial" w:eastAsia="Arial" w:hAnsi="Arial"/>
          <w:sz w:val="15"/>
          <w:szCs w:val="15"/>
          <w:color w:val="auto"/>
        </w:rPr>
      </w:pPr>
      <w:r>
        <w:rPr>
          <w:rFonts w:ascii="Arial" w:cs="Arial" w:eastAsia="Arial" w:hAnsi="Arial"/>
          <w:sz w:val="16"/>
          <w:szCs w:val="16"/>
          <w:color w:val="auto"/>
        </w:rPr>
        <w:t>Payout for performance share awards if employed on the last day of the performance period and if threshold levels are met and at the percentage of the target achieved, as described under “Long-Term Incentives—Performance Share Awards” beginning on page 38;</w:t>
      </w:r>
    </w:p>
    <w:p>
      <w:pPr>
        <w:spacing w:after="0" w:line="74" w:lineRule="exact"/>
        <w:rPr>
          <w:rFonts w:ascii="Arial" w:cs="Arial" w:eastAsia="Arial" w:hAnsi="Arial"/>
          <w:sz w:val="15"/>
          <w:szCs w:val="15"/>
          <w:color w:val="auto"/>
        </w:rPr>
      </w:pPr>
    </w:p>
    <w:p>
      <w:pPr>
        <w:ind w:left="800" w:hanging="398"/>
        <w:spacing w:after="0"/>
        <w:tabs>
          <w:tab w:leader="none" w:pos="800" w:val="left"/>
        </w:tabs>
        <w:numPr>
          <w:ilvl w:val="0"/>
          <w:numId w:val="65"/>
        </w:numPr>
        <w:rPr>
          <w:rFonts w:ascii="Arial" w:cs="Arial" w:eastAsia="Arial" w:hAnsi="Arial"/>
          <w:sz w:val="15"/>
          <w:szCs w:val="15"/>
          <w:color w:val="auto"/>
        </w:rPr>
      </w:pPr>
      <w:r>
        <w:rPr>
          <w:rFonts w:ascii="Arial" w:cs="Arial" w:eastAsia="Arial" w:hAnsi="Arial"/>
          <w:sz w:val="16"/>
          <w:szCs w:val="16"/>
          <w:color w:val="auto"/>
        </w:rPr>
        <w:t>Exercise of stock options that had vested prior to the date of termination; and</w:t>
      </w:r>
    </w:p>
    <w:p>
      <w:pPr>
        <w:spacing w:after="0" w:line="97" w:lineRule="exact"/>
        <w:rPr>
          <w:rFonts w:ascii="Arial" w:cs="Arial" w:eastAsia="Arial" w:hAnsi="Arial"/>
          <w:sz w:val="15"/>
          <w:szCs w:val="15"/>
          <w:color w:val="auto"/>
        </w:rPr>
      </w:pPr>
    </w:p>
    <w:p>
      <w:pPr>
        <w:ind w:left="800" w:hanging="398"/>
        <w:spacing w:after="0"/>
        <w:tabs>
          <w:tab w:leader="none" w:pos="800" w:val="left"/>
        </w:tabs>
        <w:numPr>
          <w:ilvl w:val="0"/>
          <w:numId w:val="65"/>
        </w:numPr>
        <w:rPr>
          <w:rFonts w:ascii="Arial" w:cs="Arial" w:eastAsia="Arial" w:hAnsi="Arial"/>
          <w:sz w:val="15"/>
          <w:szCs w:val="15"/>
          <w:color w:val="auto"/>
        </w:rPr>
      </w:pPr>
      <w:r>
        <w:rPr>
          <w:rFonts w:ascii="Arial" w:cs="Arial" w:eastAsia="Arial" w:hAnsi="Arial"/>
          <w:sz w:val="16"/>
          <w:szCs w:val="16"/>
          <w:color w:val="auto"/>
        </w:rPr>
        <w:t>Payouts under, and continuation of, health and welfare benefits under plans generally applicable to our U.S.-based office salaried employees.</w:t>
      </w:r>
    </w:p>
    <w:p>
      <w:pPr>
        <w:spacing w:after="0" w:line="98" w:lineRule="exact"/>
        <w:rPr>
          <w:sz w:val="20"/>
          <w:szCs w:val="20"/>
          <w:color w:val="auto"/>
        </w:rPr>
      </w:pPr>
    </w:p>
    <w:p>
      <w:pPr>
        <w:ind w:right="180" w:firstLine="408"/>
        <w:spacing w:after="0" w:line="243" w:lineRule="auto"/>
        <w:rPr>
          <w:sz w:val="20"/>
          <w:szCs w:val="20"/>
          <w:color w:val="auto"/>
        </w:rPr>
      </w:pPr>
      <w:r>
        <w:rPr>
          <w:rFonts w:ascii="Arial" w:cs="Arial" w:eastAsia="Arial" w:hAnsi="Arial"/>
          <w:sz w:val="16"/>
          <w:szCs w:val="16"/>
          <w:color w:val="auto"/>
        </w:rPr>
        <w:t>None of our executive officers have any employment or severance agreements or arrangements other than as provided for in our CIC policy and other than certain change in control provisions in our equity plans. Accordingly, our named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55. Each of our executive officers is a party to our standard confidentiality, invention and non-compete agreement.</w:t>
      </w:r>
    </w:p>
    <w:p>
      <w:pPr>
        <w:spacing w:after="0" w:line="66" w:lineRule="exact"/>
        <w:rPr>
          <w:sz w:val="20"/>
          <w:szCs w:val="20"/>
          <w:color w:val="auto"/>
        </w:rPr>
      </w:pPr>
    </w:p>
    <w:p>
      <w:pPr>
        <w:ind w:right="80" w:firstLine="408"/>
        <w:spacing w:after="0" w:line="253" w:lineRule="auto"/>
        <w:rPr>
          <w:sz w:val="20"/>
          <w:szCs w:val="20"/>
          <w:color w:val="auto"/>
        </w:rPr>
      </w:pPr>
      <w:r>
        <w:rPr>
          <w:rFonts w:ascii="Arial" w:cs="Arial" w:eastAsia="Arial" w:hAnsi="Arial"/>
          <w:sz w:val="16"/>
          <w:szCs w:val="16"/>
          <w:b w:val="1"/>
          <w:bCs w:val="1"/>
          <w:color w:val="auto"/>
        </w:rPr>
        <w:t xml:space="preserve">Voluntary Resignation and Retirement. </w:t>
      </w:r>
      <w:r>
        <w:rPr>
          <w:rFonts w:ascii="Arial" w:cs="Arial" w:eastAsia="Arial" w:hAnsi="Arial"/>
          <w:sz w:val="16"/>
          <w:szCs w:val="16"/>
          <w:color w:val="auto"/>
        </w:rPr>
        <w:t>In the event of a named executive officer’s voluntary resignation or retirement, we would not be obligated to</w:t>
      </w:r>
      <w:r>
        <w:rPr>
          <w:rFonts w:ascii="Arial" w:cs="Arial" w:eastAsia="Arial" w:hAnsi="Arial"/>
          <w:sz w:val="16"/>
          <w:szCs w:val="16"/>
          <w:b w:val="1"/>
          <w:bCs w:val="1"/>
          <w:color w:val="auto"/>
        </w:rPr>
        <w:t xml:space="preserve"> </w:t>
      </w:r>
      <w:r>
        <w:rPr>
          <w:rFonts w:ascii="Arial" w:cs="Arial" w:eastAsia="Arial" w:hAnsi="Arial"/>
          <w:sz w:val="16"/>
          <w:szCs w:val="16"/>
          <w:color w:val="auto"/>
        </w:rPr>
        <w:t>pay or provide any additional payments or benefits, unless the named executive officer meets the criteria for “retirement” in connection with his or her voluntary resignation. For purposes of our compensation arrangements, “retirement” generally means the voluntary termination of employment at or after the age of 55 and with a number of years of service that, when added together with the named executive officer’s age, equals at least 65.</w:t>
      </w:r>
    </w:p>
    <w:p>
      <w:pPr>
        <w:spacing w:after="0" w:line="77" w:lineRule="exact"/>
        <w:rPr>
          <w:sz w:val="20"/>
          <w:szCs w:val="20"/>
          <w:color w:val="auto"/>
        </w:rPr>
      </w:pPr>
    </w:p>
    <w:p>
      <w:pPr>
        <w:ind w:right="180" w:firstLine="408"/>
        <w:spacing w:after="0" w:line="247" w:lineRule="auto"/>
        <w:rPr>
          <w:sz w:val="20"/>
          <w:szCs w:val="20"/>
          <w:color w:val="auto"/>
        </w:rPr>
      </w:pPr>
      <w:r>
        <w:rPr>
          <w:rFonts w:ascii="Arial" w:cs="Arial" w:eastAsia="Arial" w:hAnsi="Arial"/>
          <w:sz w:val="16"/>
          <w:szCs w:val="16"/>
          <w:color w:val="auto"/>
        </w:rPr>
        <w:t>If a named executive officer meets the criteria for “retirement” in connection with his or her voluntary resignation, the named executive officer generally would be entitled to or, in the case of annual cash incentive awards and performance share awards, may receive upon approval by the Compensation &amp; Human Resources Committee, the following additional payments and benefits:</w:t>
      </w:r>
    </w:p>
    <w:p>
      <w:pPr>
        <w:spacing w:after="0" w:line="81" w:lineRule="exact"/>
        <w:rPr>
          <w:sz w:val="20"/>
          <w:szCs w:val="20"/>
          <w:color w:val="auto"/>
        </w:rPr>
      </w:pPr>
    </w:p>
    <w:p>
      <w:pPr>
        <w:ind w:left="800" w:right="220" w:hanging="398"/>
        <w:spacing w:after="0" w:line="255" w:lineRule="auto"/>
        <w:tabs>
          <w:tab w:leader="none" w:pos="800" w:val="left"/>
        </w:tabs>
        <w:numPr>
          <w:ilvl w:val="0"/>
          <w:numId w:val="66"/>
        </w:numPr>
        <w:rPr>
          <w:rFonts w:ascii="Arial" w:cs="Arial" w:eastAsia="Arial" w:hAnsi="Arial"/>
          <w:sz w:val="15"/>
          <w:szCs w:val="15"/>
          <w:color w:val="auto"/>
        </w:rPr>
      </w:pPr>
      <w:r>
        <w:rPr>
          <w:rFonts w:ascii="Arial" w:cs="Arial" w:eastAsia="Arial" w:hAnsi="Arial"/>
          <w:sz w:val="16"/>
          <w:szCs w:val="16"/>
          <w:color w:val="auto"/>
        </w:rPr>
        <w:t>Extended vesting and exercise period of four additional years (or the remaining term of the option, whichever is shorter) after the retirement date for all outstanding stock options held on the retirement date;</w:t>
      </w:r>
    </w:p>
    <w:p>
      <w:pPr>
        <w:spacing w:after="0" w:line="74" w:lineRule="exact"/>
        <w:rPr>
          <w:rFonts w:ascii="Arial" w:cs="Arial" w:eastAsia="Arial" w:hAnsi="Arial"/>
          <w:sz w:val="15"/>
          <w:szCs w:val="15"/>
          <w:color w:val="auto"/>
        </w:rPr>
      </w:pPr>
    </w:p>
    <w:p>
      <w:pPr>
        <w:ind w:left="800" w:hanging="398"/>
        <w:spacing w:after="0" w:line="244" w:lineRule="auto"/>
        <w:tabs>
          <w:tab w:leader="none" w:pos="800" w:val="left"/>
        </w:tabs>
        <w:numPr>
          <w:ilvl w:val="0"/>
          <w:numId w:val="66"/>
        </w:numPr>
        <w:rPr>
          <w:rFonts w:ascii="Arial" w:cs="Arial" w:eastAsia="Arial" w:hAnsi="Arial"/>
          <w:sz w:val="15"/>
          <w:szCs w:val="15"/>
          <w:color w:val="auto"/>
        </w:rPr>
      </w:pPr>
      <w:r>
        <w:rPr>
          <w:rFonts w:ascii="Arial" w:cs="Arial" w:eastAsia="Arial" w:hAnsi="Arial"/>
          <w:sz w:val="16"/>
          <w:szCs w:val="16"/>
          <w:color w:val="auto"/>
        </w:rPr>
        <w:t>Extended perquisites consisting of reimbursement for amounts incurred for: (i) one additional year of financial planning expenses; (ii) one additional executive physical; (iii) twelve additional months, or through the end of the lease term, whichever is shorter, of lease payments for a Company-leased automobile; and (iv) certain Company products for personal use at no cost for five years following the named executive officer’s retirement; provided, however, that the named executive officer is responsible for payment of applicable taxes attributed to the value of such products;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800" w:right="40" w:hanging="398"/>
        <w:spacing w:after="0" w:line="244" w:lineRule="auto"/>
        <w:tabs>
          <w:tab w:leader="none" w:pos="800" w:val="left"/>
        </w:tabs>
        <w:numPr>
          <w:ilvl w:val="0"/>
          <w:numId w:val="67"/>
        </w:numPr>
        <w:rPr>
          <w:rFonts w:ascii="Arial" w:cs="Arial" w:eastAsia="Arial" w:hAnsi="Arial"/>
          <w:sz w:val="15"/>
          <w:szCs w:val="15"/>
          <w:color w:val="auto"/>
        </w:rPr>
      </w:pPr>
      <w:r>
        <w:rPr>
          <w:rFonts w:ascii="Arial" w:cs="Arial" w:eastAsia="Arial" w:hAnsi="Arial"/>
          <w:sz w:val="16"/>
          <w:szCs w:val="16"/>
          <w:color w:val="auto"/>
        </w:rPr>
        <w:t>Prorated payment of an outstanding annual cash incentive award if the named executive officer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84" w:lineRule="exact"/>
        <w:rPr>
          <w:rFonts w:ascii="Arial" w:cs="Arial" w:eastAsia="Arial" w:hAnsi="Arial"/>
          <w:sz w:val="15"/>
          <w:szCs w:val="15"/>
          <w:color w:val="auto"/>
        </w:rPr>
      </w:pPr>
    </w:p>
    <w:p>
      <w:pPr>
        <w:ind w:left="800" w:right="40" w:hanging="398"/>
        <w:spacing w:after="0" w:line="244" w:lineRule="auto"/>
        <w:tabs>
          <w:tab w:leader="none" w:pos="800" w:val="left"/>
        </w:tabs>
        <w:numPr>
          <w:ilvl w:val="0"/>
          <w:numId w:val="67"/>
        </w:numPr>
        <w:rPr>
          <w:rFonts w:ascii="Arial" w:cs="Arial" w:eastAsia="Arial" w:hAnsi="Arial"/>
          <w:sz w:val="15"/>
          <w:szCs w:val="15"/>
          <w:color w:val="auto"/>
        </w:rPr>
      </w:pPr>
      <w:r>
        <w:rPr>
          <w:rFonts w:ascii="Arial" w:cs="Arial" w:eastAsia="Arial" w:hAnsi="Arial"/>
          <w:sz w:val="16"/>
          <w:szCs w:val="16"/>
          <w:color w:val="auto"/>
        </w:rPr>
        <w:t>Prorated payment of outstanding performance share awards if the named executive officer retires after completion of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retirement date.</w:t>
      </w:r>
    </w:p>
    <w:p>
      <w:pPr>
        <w:spacing w:after="0" w:line="85" w:lineRule="exact"/>
        <w:rPr>
          <w:sz w:val="20"/>
          <w:szCs w:val="20"/>
          <w:color w:val="auto"/>
        </w:rPr>
      </w:pPr>
    </w:p>
    <w:p>
      <w:pPr>
        <w:jc w:val="both"/>
        <w:ind w:right="300" w:firstLine="408"/>
        <w:spacing w:after="0" w:line="247" w:lineRule="auto"/>
        <w:rPr>
          <w:sz w:val="20"/>
          <w:szCs w:val="20"/>
          <w:color w:val="auto"/>
        </w:rPr>
      </w:pPr>
      <w:r>
        <w:rPr>
          <w:rFonts w:ascii="Arial" w:cs="Arial" w:eastAsia="Arial" w:hAnsi="Arial"/>
          <w:sz w:val="16"/>
          <w:szCs w:val="16"/>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61" w:lineRule="exact"/>
        <w:rPr>
          <w:sz w:val="20"/>
          <w:szCs w:val="20"/>
          <w:color w:val="auto"/>
        </w:rPr>
      </w:pPr>
    </w:p>
    <w:p>
      <w:pPr>
        <w:ind w:right="120" w:firstLine="408"/>
        <w:spacing w:after="0" w:line="260" w:lineRule="auto"/>
        <w:rPr>
          <w:sz w:val="20"/>
          <w:szCs w:val="20"/>
          <w:color w:val="auto"/>
        </w:rPr>
      </w:pPr>
      <w:r>
        <w:rPr>
          <w:rFonts w:ascii="Arial" w:cs="Arial" w:eastAsia="Arial" w:hAnsi="Arial"/>
          <w:sz w:val="16"/>
          <w:szCs w:val="16"/>
          <w:b w:val="1"/>
          <w:bCs w:val="1"/>
          <w:color w:val="auto"/>
        </w:rPr>
        <w:t xml:space="preserve">Disability or Death. </w:t>
      </w:r>
      <w:r>
        <w:rPr>
          <w:rFonts w:ascii="Arial" w:cs="Arial" w:eastAsia="Arial" w:hAnsi="Arial"/>
          <w:sz w:val="16"/>
          <w:szCs w:val="16"/>
          <w:color w:val="auto"/>
        </w:rPr>
        <w:t>In the event of a termination as the result of the disability or death of a named executive officer, the named executive officer, or</w:t>
      </w:r>
      <w:r>
        <w:rPr>
          <w:rFonts w:ascii="Arial" w:cs="Arial" w:eastAsia="Arial" w:hAnsi="Arial"/>
          <w:sz w:val="16"/>
          <w:szCs w:val="16"/>
          <w:b w:val="1"/>
          <w:bCs w:val="1"/>
          <w:color w:val="auto"/>
        </w:rPr>
        <w:t xml:space="preserve"> </w:t>
      </w:r>
      <w:r>
        <w:rPr>
          <w:rFonts w:ascii="Arial" w:cs="Arial" w:eastAsia="Arial" w:hAnsi="Arial"/>
          <w:sz w:val="16"/>
          <w:szCs w:val="16"/>
          <w:color w:val="auto"/>
        </w:rPr>
        <w:t>his or her beneficiary, would be entitled to or, in the case of annual cash incentive awards and performance share awards, may receive upon approval by the Compensation &amp; Human Resources Committee, the following additional payments and benefits:</w:t>
      </w:r>
    </w:p>
    <w:p>
      <w:pPr>
        <w:spacing w:after="0" w:line="71" w:lineRule="exact"/>
        <w:rPr>
          <w:sz w:val="20"/>
          <w:szCs w:val="20"/>
          <w:color w:val="auto"/>
        </w:rPr>
      </w:pPr>
    </w:p>
    <w:p>
      <w:pPr>
        <w:ind w:left="800" w:right="320" w:hanging="398"/>
        <w:spacing w:after="0" w:line="255" w:lineRule="auto"/>
        <w:tabs>
          <w:tab w:leader="none" w:pos="800" w:val="left"/>
        </w:tabs>
        <w:numPr>
          <w:ilvl w:val="0"/>
          <w:numId w:val="68"/>
        </w:numPr>
        <w:rPr>
          <w:rFonts w:ascii="Arial" w:cs="Arial" w:eastAsia="Arial" w:hAnsi="Arial"/>
          <w:sz w:val="15"/>
          <w:szCs w:val="15"/>
          <w:color w:val="auto"/>
        </w:rPr>
      </w:pPr>
      <w:r>
        <w:rPr>
          <w:rFonts w:ascii="Arial" w:cs="Arial" w:eastAsia="Arial" w:hAnsi="Arial"/>
          <w:sz w:val="16"/>
          <w:szCs w:val="16"/>
          <w:color w:val="auto"/>
        </w:rPr>
        <w:t>Immediate vesting of all outstanding stock options held as of the termination date and stock options may be exercised for a period of up to one year (or the remaining term of the option, whichever is shorter) after the termination date;</w:t>
      </w:r>
    </w:p>
    <w:p>
      <w:pPr>
        <w:spacing w:after="0" w:line="74" w:lineRule="exact"/>
        <w:rPr>
          <w:rFonts w:ascii="Arial" w:cs="Arial" w:eastAsia="Arial" w:hAnsi="Arial"/>
          <w:sz w:val="15"/>
          <w:szCs w:val="15"/>
          <w:color w:val="auto"/>
        </w:rPr>
      </w:pPr>
    </w:p>
    <w:p>
      <w:pPr>
        <w:jc w:val="both"/>
        <w:ind w:left="800" w:right="220" w:hanging="398"/>
        <w:spacing w:after="0" w:line="247" w:lineRule="auto"/>
        <w:tabs>
          <w:tab w:leader="none" w:pos="800" w:val="left"/>
        </w:tabs>
        <w:numPr>
          <w:ilvl w:val="0"/>
          <w:numId w:val="68"/>
        </w:numPr>
        <w:rPr>
          <w:rFonts w:ascii="Arial" w:cs="Arial" w:eastAsia="Arial" w:hAnsi="Arial"/>
          <w:sz w:val="15"/>
          <w:szCs w:val="15"/>
          <w:color w:val="auto"/>
        </w:rPr>
      </w:pPr>
      <w:r>
        <w:rPr>
          <w:rFonts w:ascii="Arial" w:cs="Arial" w:eastAsia="Arial" w:hAnsi="Arial"/>
          <w:sz w:val="16"/>
          <w:szCs w:val="16"/>
          <w:color w:val="auto"/>
        </w:rPr>
        <w:t>Prorated payment of an outstanding annual cash incentive award if the termination of the named executive officer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81" w:lineRule="exact"/>
        <w:rPr>
          <w:rFonts w:ascii="Arial" w:cs="Arial" w:eastAsia="Arial" w:hAnsi="Arial"/>
          <w:sz w:val="15"/>
          <w:szCs w:val="15"/>
          <w:color w:val="auto"/>
        </w:rPr>
      </w:pPr>
    </w:p>
    <w:p>
      <w:pPr>
        <w:jc w:val="both"/>
        <w:ind w:left="800" w:right="60" w:hanging="398"/>
        <w:spacing w:after="0" w:line="244" w:lineRule="auto"/>
        <w:tabs>
          <w:tab w:leader="none" w:pos="800" w:val="left"/>
        </w:tabs>
        <w:numPr>
          <w:ilvl w:val="0"/>
          <w:numId w:val="68"/>
        </w:numPr>
        <w:rPr>
          <w:rFonts w:ascii="Arial" w:cs="Arial" w:eastAsia="Arial" w:hAnsi="Arial"/>
          <w:sz w:val="15"/>
          <w:szCs w:val="15"/>
          <w:color w:val="auto"/>
        </w:rPr>
      </w:pPr>
      <w:r>
        <w:rPr>
          <w:rFonts w:ascii="Arial" w:cs="Arial" w:eastAsia="Arial" w:hAnsi="Arial"/>
          <w:sz w:val="16"/>
          <w:szCs w:val="16"/>
          <w:color w:val="auto"/>
        </w:rPr>
        <w:t>Prorated payment of outstanding performance share awards if the named executive officer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termination date.</w:t>
      </w:r>
    </w:p>
    <w:p>
      <w:pPr>
        <w:spacing w:after="0" w:line="85" w:lineRule="exact"/>
        <w:rPr>
          <w:sz w:val="20"/>
          <w:szCs w:val="20"/>
          <w:color w:val="auto"/>
        </w:rPr>
      </w:pPr>
    </w:p>
    <w:p>
      <w:pPr>
        <w:jc w:val="both"/>
        <w:ind w:right="300" w:firstLine="408"/>
        <w:spacing w:after="0" w:line="247" w:lineRule="auto"/>
        <w:rPr>
          <w:sz w:val="20"/>
          <w:szCs w:val="20"/>
          <w:color w:val="auto"/>
        </w:rPr>
      </w:pPr>
      <w:r>
        <w:rPr>
          <w:rFonts w:ascii="Arial" w:cs="Arial" w:eastAsia="Arial" w:hAnsi="Arial"/>
          <w:sz w:val="16"/>
          <w:szCs w:val="16"/>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61" w:lineRule="exact"/>
        <w:rPr>
          <w:sz w:val="20"/>
          <w:szCs w:val="20"/>
          <w:color w:val="auto"/>
        </w:rPr>
      </w:pPr>
    </w:p>
    <w:p>
      <w:pPr>
        <w:ind w:firstLine="408"/>
        <w:spacing w:after="0" w:line="253" w:lineRule="auto"/>
        <w:rPr>
          <w:sz w:val="20"/>
          <w:szCs w:val="20"/>
          <w:color w:val="auto"/>
        </w:rPr>
      </w:pPr>
      <w:r>
        <w:rPr>
          <w:rFonts w:ascii="Arial" w:cs="Arial" w:eastAsia="Arial" w:hAnsi="Arial"/>
          <w:sz w:val="16"/>
          <w:szCs w:val="16"/>
          <w:b w:val="1"/>
          <w:bCs w:val="1"/>
          <w:color w:val="auto"/>
        </w:rPr>
        <w:t xml:space="preserve">Involuntary Termination by Toro. </w:t>
      </w:r>
      <w:r>
        <w:rPr>
          <w:rFonts w:ascii="Arial" w:cs="Arial" w:eastAsia="Arial" w:hAnsi="Arial"/>
          <w:sz w:val="16"/>
          <w:szCs w:val="16"/>
          <w:color w:val="auto"/>
        </w:rPr>
        <w:t>Since our named executive officers do not have employment or severance agreements or arrangements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as provided for in our CIC policy, we would not be obligated to provide any additional payments or benefits to our named executive officers in the event of an involuntary termination of employment by us. Any negotiated separation arrangement typically requires that the named executive officer sign a release and waiver of claims and comply with confidentiality and non-compete restrictions.</w:t>
      </w:r>
    </w:p>
    <w:p>
      <w:pPr>
        <w:spacing w:after="0" w:line="57" w:lineRule="exact"/>
        <w:rPr>
          <w:sz w:val="20"/>
          <w:szCs w:val="20"/>
          <w:color w:val="auto"/>
        </w:rPr>
      </w:pPr>
    </w:p>
    <w:p>
      <w:pPr>
        <w:ind w:right="120" w:firstLine="408"/>
        <w:spacing w:after="0" w:line="260" w:lineRule="auto"/>
        <w:rPr>
          <w:sz w:val="20"/>
          <w:szCs w:val="20"/>
          <w:color w:val="auto"/>
        </w:rPr>
      </w:pPr>
      <w:r>
        <w:rPr>
          <w:rFonts w:ascii="Arial" w:cs="Arial" w:eastAsia="Arial" w:hAnsi="Arial"/>
          <w:sz w:val="16"/>
          <w:szCs w:val="16"/>
          <w:b w:val="1"/>
          <w:bCs w:val="1"/>
          <w:color w:val="auto"/>
        </w:rPr>
        <w:t xml:space="preserve">Termination by Toro for Cause. </w:t>
      </w:r>
      <w:r>
        <w:rPr>
          <w:rFonts w:ascii="Arial" w:cs="Arial" w:eastAsia="Arial" w:hAnsi="Arial"/>
          <w:sz w:val="16"/>
          <w:szCs w:val="16"/>
          <w:color w:val="auto"/>
        </w:rPr>
        <w:t>In the event of a termination of a named executive officer’s employment by us for cause, we would not be obligated</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 any additional payments or benefits to the executive. In addition, we may have certain clawback rights, as described below under “Clawback Provisions.”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7" w:lineRule="exact"/>
        <w:rPr>
          <w:sz w:val="20"/>
          <w:szCs w:val="20"/>
          <w:color w:val="auto"/>
        </w:rPr>
      </w:pPr>
    </w:p>
    <w:p>
      <w:pPr>
        <w:ind w:firstLine="408"/>
        <w:spacing w:after="0" w:line="250"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We have a CIC policy generally applicable to our executive officers. Our CIC policy incorporates a “double trigger” mechanism</w:t>
      </w:r>
      <w:r>
        <w:rPr>
          <w:rFonts w:ascii="Arial" w:cs="Arial" w:eastAsia="Arial" w:hAnsi="Arial"/>
          <w:sz w:val="16"/>
          <w:szCs w:val="16"/>
          <w:b w:val="1"/>
          <w:bCs w:val="1"/>
          <w:color w:val="auto"/>
        </w:rPr>
        <w:t xml:space="preserve"> </w:t>
      </w:r>
      <w:r>
        <w:rPr>
          <w:rFonts w:ascii="Arial" w:cs="Arial" w:eastAsia="Arial" w:hAnsi="Arial"/>
          <w:sz w:val="16"/>
          <w:szCs w:val="16"/>
          <w:color w:val="auto"/>
        </w:rPr>
        <w:t>and provides for a cash severance payment and certain other benefits if within three years after a change in control the named executive officer’s employment is terminated by us without just cause or the named executive officer terminates his or her employment for good reason, or if such termination occurs at the request of a third party who had taken steps reasonably calculated to effect the change in control. The payments and benefits the named executive officer would be entitled to receive include:</w:t>
      </w:r>
    </w:p>
    <w:p>
      <w:pPr>
        <w:spacing w:after="0" w:line="66" w:lineRule="exact"/>
        <w:rPr>
          <w:sz w:val="20"/>
          <w:szCs w:val="20"/>
          <w:color w:val="auto"/>
        </w:rPr>
      </w:pPr>
    </w:p>
    <w:p>
      <w:pPr>
        <w:ind w:left="800" w:right="40" w:hanging="398"/>
        <w:spacing w:after="0" w:line="255" w:lineRule="auto"/>
        <w:tabs>
          <w:tab w:leader="none" w:pos="800" w:val="left"/>
        </w:tabs>
        <w:numPr>
          <w:ilvl w:val="0"/>
          <w:numId w:val="69"/>
        </w:numPr>
        <w:rPr>
          <w:rFonts w:ascii="Arial" w:cs="Arial" w:eastAsia="Arial" w:hAnsi="Arial"/>
          <w:sz w:val="15"/>
          <w:szCs w:val="15"/>
          <w:color w:val="auto"/>
        </w:rPr>
      </w:pPr>
      <w:r>
        <w:rPr>
          <w:rFonts w:ascii="Arial" w:cs="Arial" w:eastAsia="Arial" w:hAnsi="Arial"/>
          <w:sz w:val="16"/>
          <w:szCs w:val="16"/>
          <w:color w:val="auto"/>
        </w:rPr>
        <w:t>a lump sum cash severance payment equal to two times (or three times for the CEO) the sum of the named executive officer’s then current annual base salary and target annual cash incentive award;</w:t>
      </w:r>
    </w:p>
    <w:p>
      <w:pPr>
        <w:spacing w:after="0" w:line="62" w:lineRule="exact"/>
        <w:rPr>
          <w:rFonts w:ascii="Arial" w:cs="Arial" w:eastAsia="Arial" w:hAnsi="Arial"/>
          <w:sz w:val="15"/>
          <w:szCs w:val="15"/>
          <w:color w:val="auto"/>
        </w:rPr>
      </w:pPr>
    </w:p>
    <w:p>
      <w:pPr>
        <w:ind w:left="800" w:right="40" w:hanging="398"/>
        <w:spacing w:after="0" w:line="247" w:lineRule="auto"/>
        <w:tabs>
          <w:tab w:leader="none" w:pos="800" w:val="left"/>
        </w:tabs>
        <w:numPr>
          <w:ilvl w:val="0"/>
          <w:numId w:val="69"/>
        </w:numPr>
        <w:rPr>
          <w:rFonts w:ascii="Arial" w:cs="Arial" w:eastAsia="Arial" w:hAnsi="Arial"/>
          <w:sz w:val="15"/>
          <w:szCs w:val="15"/>
          <w:color w:val="auto"/>
        </w:rPr>
      </w:pPr>
      <w:r>
        <w:rPr>
          <w:rFonts w:ascii="Arial" w:cs="Arial" w:eastAsia="Arial" w:hAnsi="Arial"/>
          <w:sz w:val="16"/>
          <w:szCs w:val="16"/>
          <w:color w:val="auto"/>
        </w:rPr>
        <w:t>a lump sum cash payment in an amount equal to the named executive officer’s pro-rated target annual cash incentive award for the fiscal year in which the termination date occurs, reduced by any amounts paid under the terms of the applicable equity compensation policy for the same period of time;</w:t>
      </w:r>
    </w:p>
    <w:p>
      <w:pPr>
        <w:spacing w:after="0" w:line="69" w:lineRule="exact"/>
        <w:rPr>
          <w:rFonts w:ascii="Arial" w:cs="Arial" w:eastAsia="Arial" w:hAnsi="Arial"/>
          <w:sz w:val="15"/>
          <w:szCs w:val="15"/>
          <w:color w:val="auto"/>
        </w:rPr>
      </w:pPr>
    </w:p>
    <w:p>
      <w:pPr>
        <w:jc w:val="both"/>
        <w:ind w:left="800" w:hanging="398"/>
        <w:spacing w:after="0" w:line="247" w:lineRule="auto"/>
        <w:tabs>
          <w:tab w:leader="none" w:pos="800" w:val="left"/>
        </w:tabs>
        <w:numPr>
          <w:ilvl w:val="0"/>
          <w:numId w:val="69"/>
        </w:numPr>
        <w:rPr>
          <w:rFonts w:ascii="Arial" w:cs="Arial" w:eastAsia="Arial" w:hAnsi="Arial"/>
          <w:sz w:val="15"/>
          <w:szCs w:val="15"/>
          <w:color w:val="auto"/>
        </w:rPr>
      </w:pPr>
      <w:r>
        <w:rPr>
          <w:rFonts w:ascii="Arial" w:cs="Arial" w:eastAsia="Arial" w:hAnsi="Arial"/>
          <w:sz w:val="16"/>
          <w:szCs w:val="16"/>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named executive officer immediately prior to his or her termination date to obtain such coverage; and</w:t>
      </w:r>
    </w:p>
    <w:p>
      <w:pPr>
        <w:spacing w:after="0" w:line="69" w:lineRule="exact"/>
        <w:rPr>
          <w:rFonts w:ascii="Arial" w:cs="Arial" w:eastAsia="Arial" w:hAnsi="Arial"/>
          <w:sz w:val="15"/>
          <w:szCs w:val="15"/>
          <w:color w:val="auto"/>
        </w:rPr>
      </w:pPr>
    </w:p>
    <w:p>
      <w:pPr>
        <w:ind w:left="800" w:hanging="398"/>
        <w:spacing w:after="0"/>
        <w:tabs>
          <w:tab w:leader="none" w:pos="800" w:val="left"/>
        </w:tabs>
        <w:numPr>
          <w:ilvl w:val="0"/>
          <w:numId w:val="69"/>
        </w:numPr>
        <w:rPr>
          <w:rFonts w:ascii="Arial" w:cs="Arial" w:eastAsia="Arial" w:hAnsi="Arial"/>
          <w:sz w:val="15"/>
          <w:szCs w:val="15"/>
          <w:color w:val="auto"/>
        </w:rPr>
      </w:pPr>
      <w:r>
        <w:rPr>
          <w:rFonts w:ascii="Arial" w:cs="Arial" w:eastAsia="Arial" w:hAnsi="Arial"/>
          <w:sz w:val="16"/>
          <w:szCs w:val="16"/>
          <w:color w:val="auto"/>
        </w:rPr>
        <w:t>two years of outplacement services.</w:t>
      </w:r>
    </w:p>
    <w:p>
      <w:pPr>
        <w:spacing w:after="0" w:line="86" w:lineRule="exact"/>
        <w:rPr>
          <w:sz w:val="20"/>
          <w:szCs w:val="20"/>
          <w:color w:val="auto"/>
        </w:rPr>
      </w:pPr>
    </w:p>
    <w:p>
      <w:pPr>
        <w:ind w:right="200" w:firstLine="408"/>
        <w:spacing w:after="0" w:line="247" w:lineRule="auto"/>
        <w:rPr>
          <w:sz w:val="20"/>
          <w:szCs w:val="20"/>
          <w:color w:val="auto"/>
        </w:rPr>
      </w:pPr>
      <w:r>
        <w:rPr>
          <w:rFonts w:ascii="Arial" w:cs="Arial" w:eastAsia="Arial" w:hAnsi="Arial"/>
          <w:sz w:val="16"/>
          <w:szCs w:val="16"/>
          <w:color w:val="auto"/>
        </w:rPr>
        <w:t>Our CIC policy does not provide a “gross-up” for 280G excise tax and, as a condition to the payment of any severance payment, the named executive officer must execute a release of claims against us. If a change in control, as generally defined below, has not occurred, our Board may terminate our CIC policy after two years’ advance notice of such termination.</w:t>
      </w:r>
    </w:p>
    <w:p>
      <w:pPr>
        <w:spacing w:after="0" w:line="57" w:lineRule="exact"/>
        <w:rPr>
          <w:sz w:val="20"/>
          <w:szCs w:val="20"/>
          <w:color w:val="auto"/>
        </w:rPr>
      </w:pPr>
    </w:p>
    <w:p>
      <w:pPr>
        <w:ind w:firstLine="408"/>
        <w:spacing w:after="0" w:line="255" w:lineRule="auto"/>
        <w:rPr>
          <w:sz w:val="20"/>
          <w:szCs w:val="20"/>
          <w:color w:val="auto"/>
        </w:rPr>
      </w:pPr>
      <w:r>
        <w:rPr>
          <w:rFonts w:ascii="Arial" w:cs="Arial" w:eastAsia="Arial" w:hAnsi="Arial"/>
          <w:sz w:val="16"/>
          <w:szCs w:val="16"/>
          <w:color w:val="auto"/>
        </w:rPr>
        <w:t>In addition to our CIC policy, our 2010 Plan and The Toro Company 2000 Stock Option Plan, as amended, or 2000 Plan, as applicable, provide that if we experience a change in control, as generally defined below, whether or not there is a qualifying termination of employment:</w:t>
      </w:r>
    </w:p>
    <w:p>
      <w:pPr>
        <w:spacing w:after="0" w:line="62" w:lineRule="exact"/>
        <w:rPr>
          <w:sz w:val="20"/>
          <w:szCs w:val="20"/>
          <w:color w:val="auto"/>
        </w:rPr>
      </w:pPr>
    </w:p>
    <w:p>
      <w:pPr>
        <w:ind w:left="800" w:right="40" w:hanging="398"/>
        <w:spacing w:after="0" w:line="247" w:lineRule="auto"/>
        <w:tabs>
          <w:tab w:leader="none" w:pos="800" w:val="left"/>
        </w:tabs>
        <w:numPr>
          <w:ilvl w:val="0"/>
          <w:numId w:val="70"/>
        </w:numPr>
        <w:rPr>
          <w:rFonts w:ascii="Arial" w:cs="Arial" w:eastAsia="Arial" w:hAnsi="Arial"/>
          <w:sz w:val="15"/>
          <w:szCs w:val="15"/>
          <w:color w:val="auto"/>
        </w:rPr>
      </w:pPr>
      <w:r>
        <w:rPr>
          <w:rFonts w:ascii="Arial" w:cs="Arial" w:eastAsia="Arial" w:hAnsi="Arial"/>
          <w:sz w:val="16"/>
          <w:szCs w:val="16"/>
          <w:color w:val="auto"/>
        </w:rPr>
        <w:t>all stock options immediately vest, become exercisable in full and, pursuant to the 2010 Plan, remain exercisable for their remaining term following the change in control, or, pursuant to the 2000 Plan, remain exercisable for three years (provided that in no event will three years extend beyond the remaining term of the option);</w:t>
      </w:r>
    </w:p>
    <w:p>
      <w:pPr>
        <w:spacing w:after="0" w:line="69" w:lineRule="exact"/>
        <w:rPr>
          <w:rFonts w:ascii="Arial" w:cs="Arial" w:eastAsia="Arial" w:hAnsi="Arial"/>
          <w:sz w:val="15"/>
          <w:szCs w:val="15"/>
          <w:color w:val="auto"/>
        </w:rPr>
      </w:pPr>
    </w:p>
    <w:p>
      <w:pPr>
        <w:ind w:left="800" w:right="580" w:hanging="398"/>
        <w:spacing w:after="0" w:line="255" w:lineRule="auto"/>
        <w:tabs>
          <w:tab w:leader="none" w:pos="800" w:val="left"/>
        </w:tabs>
        <w:numPr>
          <w:ilvl w:val="0"/>
          <w:numId w:val="70"/>
        </w:numPr>
        <w:rPr>
          <w:rFonts w:ascii="Arial" w:cs="Arial" w:eastAsia="Arial" w:hAnsi="Arial"/>
          <w:sz w:val="15"/>
          <w:szCs w:val="15"/>
          <w:color w:val="auto"/>
        </w:rPr>
      </w:pPr>
      <w:r>
        <w:rPr>
          <w:rFonts w:ascii="Arial" w:cs="Arial" w:eastAsia="Arial" w:hAnsi="Arial"/>
          <w:sz w:val="16"/>
          <w:szCs w:val="16"/>
          <w:color w:val="auto"/>
        </w:rPr>
        <w:t>all outstanding annual cash incentive awards for performance periods in progress at the time of the change in control immediately vest and become immediately payable at target in cash;</w:t>
      </w:r>
    </w:p>
    <w:p>
      <w:pPr>
        <w:spacing w:after="0" w:line="62" w:lineRule="exact"/>
        <w:rPr>
          <w:rFonts w:ascii="Arial" w:cs="Arial" w:eastAsia="Arial" w:hAnsi="Arial"/>
          <w:sz w:val="15"/>
          <w:szCs w:val="15"/>
          <w:color w:val="auto"/>
        </w:rPr>
      </w:pPr>
    </w:p>
    <w:p>
      <w:pPr>
        <w:ind w:left="800" w:right="160" w:hanging="398"/>
        <w:spacing w:after="0" w:line="247" w:lineRule="auto"/>
        <w:tabs>
          <w:tab w:leader="none" w:pos="800" w:val="left"/>
        </w:tabs>
        <w:numPr>
          <w:ilvl w:val="0"/>
          <w:numId w:val="70"/>
        </w:numPr>
        <w:rPr>
          <w:rFonts w:ascii="Arial" w:cs="Arial" w:eastAsia="Arial" w:hAnsi="Arial"/>
          <w:sz w:val="15"/>
          <w:szCs w:val="15"/>
          <w:color w:val="auto"/>
        </w:rPr>
      </w:pPr>
      <w:r>
        <w:rPr>
          <w:rFonts w:ascii="Arial" w:cs="Arial" w:eastAsia="Arial" w:hAnsi="Arial"/>
          <w:sz w:val="16"/>
          <w:szCs w:val="16"/>
          <w:color w:val="auto"/>
        </w:rPr>
        <w:t>all outstanding performance share awards for performance periods in progress at the time of the change in control immediately vest and become payable at maximum levels of performance in shares of our common stock, provided, however, that the CIC policy provides that for executive officers covered by the CIC policy, any such performance share awards are payable at target (not in full or at maximum); and</w:t>
      </w:r>
    </w:p>
    <w:p>
      <w:pPr>
        <w:spacing w:after="0" w:line="69" w:lineRule="exact"/>
        <w:rPr>
          <w:rFonts w:ascii="Arial" w:cs="Arial" w:eastAsia="Arial" w:hAnsi="Arial"/>
          <w:sz w:val="15"/>
          <w:szCs w:val="15"/>
          <w:color w:val="auto"/>
        </w:rPr>
      </w:pPr>
    </w:p>
    <w:p>
      <w:pPr>
        <w:ind w:left="800" w:right="280" w:hanging="398"/>
        <w:spacing w:after="0" w:line="255" w:lineRule="auto"/>
        <w:tabs>
          <w:tab w:leader="none" w:pos="800" w:val="left"/>
        </w:tabs>
        <w:numPr>
          <w:ilvl w:val="0"/>
          <w:numId w:val="70"/>
        </w:numPr>
        <w:rPr>
          <w:rFonts w:ascii="Arial" w:cs="Arial" w:eastAsia="Arial" w:hAnsi="Arial"/>
          <w:sz w:val="15"/>
          <w:szCs w:val="15"/>
          <w:color w:val="auto"/>
        </w:rPr>
      </w:pPr>
      <w:r>
        <w:rPr>
          <w:rFonts w:ascii="Arial" w:cs="Arial" w:eastAsia="Arial" w:hAnsi="Arial"/>
          <w:sz w:val="16"/>
          <w:szCs w:val="16"/>
          <w:color w:val="auto"/>
        </w:rPr>
        <w:t>all outstanding shares of restricted stock and restricted stock unit awards immediately vest and become non-forfeitable or issuable, as the case may be.</w:t>
      </w:r>
    </w:p>
    <w:p>
      <w:pPr>
        <w:spacing w:after="0" w:line="62" w:lineRule="exact"/>
        <w:rPr>
          <w:sz w:val="20"/>
          <w:szCs w:val="20"/>
          <w:color w:val="auto"/>
        </w:rPr>
      </w:pPr>
    </w:p>
    <w:p>
      <w:pPr>
        <w:ind w:right="20" w:firstLine="408"/>
        <w:spacing w:after="0" w:line="242" w:lineRule="auto"/>
        <w:rPr>
          <w:sz w:val="20"/>
          <w:szCs w:val="20"/>
          <w:color w:val="auto"/>
        </w:rPr>
      </w:pPr>
      <w:r>
        <w:rPr>
          <w:rFonts w:ascii="Arial" w:cs="Arial" w:eastAsia="Arial" w:hAnsi="Arial"/>
          <w:sz w:val="16"/>
          <w:szCs w:val="16"/>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 performance share award in an amount equal to the excess, if any, between the consideration received by shareholders of our Company for shares of our Company in connection with the change in control and the exercise or purchase price, if any, of the option, restricted stock, restricted stock unit award or performance share award, multiplied by the number of shares subject to such option or award. Our 2010 Plan and 2000 Plan do not provide a “gross-up” for 280G excise tax, but do provide for a reduction of payments if such payments would result in lower after-tax income taking into consideration the 280G excise tax.</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purposes of our CIC policy, 2010 Plan, 2000 Plan and 2000 Directors Stock Plan, and subject to limited exceptions, a “change in control” occurs if:</w:t>
      </w:r>
    </w:p>
    <w:p>
      <w:pPr>
        <w:spacing w:after="0" w:line="73" w:lineRule="exact"/>
        <w:rPr>
          <w:sz w:val="20"/>
          <w:szCs w:val="20"/>
          <w:color w:val="auto"/>
        </w:rPr>
      </w:pPr>
    </w:p>
    <w:p>
      <w:pPr>
        <w:ind w:left="800" w:right="40" w:hanging="398"/>
        <w:spacing w:after="0" w:line="255" w:lineRule="auto"/>
        <w:tabs>
          <w:tab w:leader="none" w:pos="800" w:val="left"/>
        </w:tabs>
        <w:numPr>
          <w:ilvl w:val="0"/>
          <w:numId w:val="71"/>
        </w:numPr>
        <w:rPr>
          <w:rFonts w:ascii="Arial" w:cs="Arial" w:eastAsia="Arial" w:hAnsi="Arial"/>
          <w:sz w:val="15"/>
          <w:szCs w:val="15"/>
          <w:color w:val="auto"/>
        </w:rPr>
      </w:pPr>
      <w:r>
        <w:rPr>
          <w:rFonts w:ascii="Arial" w:cs="Arial" w:eastAsia="Arial" w:hAnsi="Arial"/>
          <w:sz w:val="16"/>
          <w:szCs w:val="16"/>
          <w:color w:val="auto"/>
        </w:rPr>
        <w:t>another person becomes the beneficial owner of a specific percentage of our then-outstanding common stock or the combined voting power of our then-outstanding voting stock, which is 20% under the 2010 Plan and CIC policy and 15% under the 2000 Plan and 2000 Directors Stock Plan;</w:t>
      </w:r>
    </w:p>
    <w:p>
      <w:pPr>
        <w:spacing w:after="0" w:line="62" w:lineRule="exact"/>
        <w:rPr>
          <w:rFonts w:ascii="Arial" w:cs="Arial" w:eastAsia="Arial" w:hAnsi="Arial"/>
          <w:sz w:val="15"/>
          <w:szCs w:val="15"/>
          <w:color w:val="auto"/>
        </w:rPr>
      </w:pPr>
    </w:p>
    <w:p>
      <w:pPr>
        <w:ind w:left="800" w:hanging="398"/>
        <w:spacing w:after="0"/>
        <w:tabs>
          <w:tab w:leader="none" w:pos="800" w:val="left"/>
        </w:tabs>
        <w:numPr>
          <w:ilvl w:val="0"/>
          <w:numId w:val="71"/>
        </w:numPr>
        <w:rPr>
          <w:rFonts w:ascii="Arial" w:cs="Arial" w:eastAsia="Arial" w:hAnsi="Arial"/>
          <w:sz w:val="15"/>
          <w:szCs w:val="15"/>
          <w:color w:val="auto"/>
        </w:rPr>
      </w:pPr>
      <w:r>
        <w:rPr>
          <w:rFonts w:ascii="Arial" w:cs="Arial" w:eastAsia="Arial" w:hAnsi="Arial"/>
          <w:sz w:val="16"/>
          <w:szCs w:val="16"/>
          <w:color w:val="auto"/>
        </w:rPr>
        <w:t>a majority of our Board becomes comprised of persons other than those for whom election proxies have been solicited by our Board;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ind w:left="800" w:hanging="398"/>
        <w:spacing w:after="0" w:line="247" w:lineRule="auto"/>
        <w:tabs>
          <w:tab w:leader="none" w:pos="800" w:val="left"/>
        </w:tabs>
        <w:numPr>
          <w:ilvl w:val="0"/>
          <w:numId w:val="72"/>
        </w:numPr>
        <w:rPr>
          <w:rFonts w:ascii="Arial" w:cs="Arial" w:eastAsia="Arial" w:hAnsi="Arial"/>
          <w:sz w:val="15"/>
          <w:szCs w:val="15"/>
          <w:color w:val="auto"/>
        </w:rPr>
      </w:pPr>
      <w:r>
        <w:rPr>
          <w:rFonts w:ascii="Arial" w:cs="Arial" w:eastAsia="Arial" w:hAnsi="Arial"/>
          <w:sz w:val="16"/>
          <w:szCs w:val="16"/>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69" w:lineRule="exact"/>
        <w:rPr>
          <w:rFonts w:ascii="Arial" w:cs="Arial" w:eastAsia="Arial" w:hAnsi="Arial"/>
          <w:sz w:val="15"/>
          <w:szCs w:val="15"/>
          <w:color w:val="auto"/>
        </w:rPr>
      </w:pPr>
    </w:p>
    <w:p>
      <w:pPr>
        <w:ind w:left="800" w:hanging="398"/>
        <w:spacing w:after="0"/>
        <w:tabs>
          <w:tab w:leader="none" w:pos="800" w:val="left"/>
        </w:tabs>
        <w:numPr>
          <w:ilvl w:val="0"/>
          <w:numId w:val="72"/>
        </w:numPr>
        <w:rPr>
          <w:rFonts w:ascii="Arial" w:cs="Arial" w:eastAsia="Arial" w:hAnsi="Arial"/>
          <w:sz w:val="15"/>
          <w:szCs w:val="15"/>
          <w:color w:val="auto"/>
        </w:rPr>
      </w:pPr>
      <w:r>
        <w:rPr>
          <w:rFonts w:ascii="Arial" w:cs="Arial" w:eastAsia="Arial" w:hAnsi="Arial"/>
          <w:sz w:val="16"/>
          <w:szCs w:val="16"/>
          <w:color w:val="auto"/>
        </w:rPr>
        <w:t>our shareholders approve a complete liquidation or dissolution of our Company.</w:t>
      </w:r>
    </w:p>
    <w:p>
      <w:pPr>
        <w:spacing w:after="0" w:line="98" w:lineRule="exact"/>
        <w:rPr>
          <w:sz w:val="20"/>
          <w:szCs w:val="20"/>
          <w:color w:val="auto"/>
        </w:rPr>
      </w:pPr>
    </w:p>
    <w:p>
      <w:pPr>
        <w:jc w:val="both"/>
        <w:ind w:firstLine="408"/>
        <w:spacing w:after="0" w:line="247" w:lineRule="auto"/>
        <w:rPr>
          <w:sz w:val="20"/>
          <w:szCs w:val="20"/>
          <w:color w:val="auto"/>
        </w:rPr>
      </w:pPr>
      <w:r>
        <w:rPr>
          <w:rFonts w:ascii="Arial" w:cs="Arial" w:eastAsia="Arial" w:hAnsi="Arial"/>
          <w:sz w:val="16"/>
          <w:szCs w:val="16"/>
          <w:color w:val="auto"/>
        </w:rPr>
        <w:t>Additionally, under our nonqualified deferred compensation and retirement plans, upon the occurrence of a change in control, we must transfer 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260"/>
          </w:cols>
          <w:pgMar w:left="240" w:top="140" w:right="399" w:bottom="1440" w:gutter="0" w:footer="0" w:header="0"/>
        </w:sectPr>
      </w:pPr>
    </w:p>
    <w:bookmarkStart w:id="68" w:name="page69"/>
    <w:bookmarkEnd w:id="68"/>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7" w:lineRule="exact"/>
        <w:rPr>
          <w:sz w:val="20"/>
          <w:szCs w:val="20"/>
          <w:color w:val="auto"/>
        </w:rPr>
      </w:pPr>
    </w:p>
    <w:p>
      <w:pPr>
        <w:ind w:left="2" w:firstLine="408"/>
        <w:spacing w:after="0" w:line="250" w:lineRule="auto"/>
        <w:rPr>
          <w:sz w:val="20"/>
          <w:szCs w:val="20"/>
          <w:color w:val="auto"/>
        </w:rPr>
      </w:pPr>
      <w:r>
        <w:rPr>
          <w:rFonts w:ascii="Arial" w:cs="Arial" w:eastAsia="Arial" w:hAnsi="Arial"/>
          <w:sz w:val="16"/>
          <w:szCs w:val="16"/>
          <w:b w:val="1"/>
          <w:bCs w:val="1"/>
          <w:color w:val="auto"/>
        </w:rPr>
        <w:t xml:space="preserve">Potential Payments Upon Termination or Change In Control. </w:t>
      </w:r>
      <w:r>
        <w:rPr>
          <w:rFonts w:ascii="Arial" w:cs="Arial" w:eastAsia="Arial" w:hAnsi="Arial"/>
          <w:sz w:val="16"/>
          <w:szCs w:val="16"/>
          <w:color w:val="auto"/>
        </w:rPr>
        <w:t>The following table quantifies the payments and benefits for which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or time of payment is altered by each of the foregoing termination of employment or change in control situations. For purposes of quantifying payments and benefits, amounts are calculated (i) for each named executive officer as if the termination or change in control occurred on October 31, 2019, the last business day of our 2019 fiscal year; and (ii) using a per share value of $77.13, which represents the closing price of our common stock, as reported on the NYSE, on October 31, 2019. Material assumptions used in calculating the estimated payments and benefits are described in footnotes to the table.</w:t>
      </w:r>
    </w:p>
    <w:p>
      <w:pPr>
        <w:spacing w:after="0" w:line="80"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3740" w:type="dxa"/>
            <w:vAlign w:val="bottom"/>
            <w:shd w:val="clear" w:color="auto" w:fill="C00000"/>
          </w:tcPr>
          <w:p>
            <w:pPr>
              <w:spacing w:after="0"/>
              <w:rPr>
                <w:sz w:val="17"/>
                <w:szCs w:val="17"/>
                <w:color w:val="auto"/>
              </w:rPr>
            </w:pPr>
          </w:p>
        </w:tc>
        <w:tc>
          <w:tcPr>
            <w:tcW w:w="120" w:type="dxa"/>
            <w:vAlign w:val="bottom"/>
            <w:shd w:val="clear" w:color="auto" w:fill="C00000"/>
          </w:tcPr>
          <w:p>
            <w:pPr>
              <w:spacing w:after="0"/>
              <w:rPr>
                <w:sz w:val="17"/>
                <w:szCs w:val="17"/>
                <w:color w:val="auto"/>
              </w:rPr>
            </w:pPr>
          </w:p>
        </w:tc>
        <w:tc>
          <w:tcPr>
            <w:tcW w:w="1020" w:type="dxa"/>
            <w:vAlign w:val="bottom"/>
            <w:shd w:val="clear" w:color="auto" w:fill="C00000"/>
          </w:tcPr>
          <w:p>
            <w:pPr>
              <w:spacing w:after="0"/>
              <w:rPr>
                <w:sz w:val="17"/>
                <w:szCs w:val="17"/>
                <w:color w:val="auto"/>
              </w:rPr>
            </w:pPr>
          </w:p>
        </w:tc>
        <w:tc>
          <w:tcPr>
            <w:tcW w:w="160" w:type="dxa"/>
            <w:vAlign w:val="bottom"/>
            <w:shd w:val="clear" w:color="auto" w:fill="C00000"/>
          </w:tcPr>
          <w:p>
            <w:pPr>
              <w:spacing w:after="0"/>
              <w:rPr>
                <w:sz w:val="17"/>
                <w:szCs w:val="17"/>
                <w:color w:val="auto"/>
              </w:rPr>
            </w:pPr>
          </w:p>
        </w:tc>
        <w:tc>
          <w:tcPr>
            <w:tcW w:w="1040" w:type="dxa"/>
            <w:vAlign w:val="bottom"/>
            <w:shd w:val="clear" w:color="auto" w:fill="C00000"/>
          </w:tcPr>
          <w:p>
            <w:pPr>
              <w:spacing w:after="0"/>
              <w:rPr>
                <w:sz w:val="17"/>
                <w:szCs w:val="17"/>
                <w:color w:val="auto"/>
              </w:rPr>
            </w:pPr>
          </w:p>
        </w:tc>
        <w:tc>
          <w:tcPr>
            <w:tcW w:w="160" w:type="dxa"/>
            <w:vAlign w:val="bottom"/>
            <w:shd w:val="clear" w:color="auto" w:fill="C00000"/>
          </w:tcPr>
          <w:p>
            <w:pPr>
              <w:spacing w:after="0"/>
              <w:rPr>
                <w:sz w:val="17"/>
                <w:szCs w:val="17"/>
                <w:color w:val="auto"/>
              </w:rPr>
            </w:pPr>
          </w:p>
        </w:tc>
        <w:tc>
          <w:tcPr>
            <w:tcW w:w="1020" w:type="dxa"/>
            <w:vAlign w:val="bottom"/>
            <w:shd w:val="clear" w:color="auto" w:fill="C00000"/>
          </w:tcPr>
          <w:p>
            <w:pPr>
              <w:spacing w:after="0"/>
              <w:rPr>
                <w:sz w:val="17"/>
                <w:szCs w:val="17"/>
                <w:color w:val="auto"/>
              </w:rPr>
            </w:pPr>
          </w:p>
        </w:tc>
        <w:tc>
          <w:tcPr>
            <w:tcW w:w="80" w:type="dxa"/>
            <w:vAlign w:val="bottom"/>
            <w:shd w:val="clear" w:color="auto" w:fill="C00000"/>
          </w:tcPr>
          <w:p>
            <w:pPr>
              <w:spacing w:after="0"/>
              <w:rPr>
                <w:sz w:val="17"/>
                <w:szCs w:val="17"/>
                <w:color w:val="auto"/>
              </w:rPr>
            </w:pPr>
          </w:p>
        </w:tc>
        <w:tc>
          <w:tcPr>
            <w:tcW w:w="140" w:type="dxa"/>
            <w:vAlign w:val="bottom"/>
            <w:shd w:val="clear" w:color="auto" w:fill="C00000"/>
          </w:tcPr>
          <w:p>
            <w:pPr>
              <w:spacing w:after="0"/>
              <w:rPr>
                <w:sz w:val="17"/>
                <w:szCs w:val="17"/>
                <w:color w:val="auto"/>
              </w:rPr>
            </w:pPr>
          </w:p>
        </w:tc>
        <w:tc>
          <w:tcPr>
            <w:tcW w:w="960" w:type="dxa"/>
            <w:vAlign w:val="bottom"/>
            <w:shd w:val="clear" w:color="auto" w:fill="C00000"/>
          </w:tcPr>
          <w:p>
            <w:pPr>
              <w:spacing w:after="0"/>
              <w:rPr>
                <w:sz w:val="17"/>
                <w:szCs w:val="17"/>
                <w:color w:val="auto"/>
              </w:rPr>
            </w:pPr>
          </w:p>
        </w:tc>
        <w:tc>
          <w:tcPr>
            <w:tcW w:w="120" w:type="dxa"/>
            <w:vAlign w:val="bottom"/>
            <w:shd w:val="clear" w:color="auto" w:fill="C00000"/>
          </w:tcPr>
          <w:p>
            <w:pPr>
              <w:spacing w:after="0"/>
              <w:rPr>
                <w:sz w:val="17"/>
                <w:szCs w:val="17"/>
                <w:color w:val="auto"/>
              </w:rPr>
            </w:pPr>
          </w:p>
        </w:tc>
        <w:tc>
          <w:tcPr>
            <w:tcW w:w="140" w:type="dxa"/>
            <w:vAlign w:val="bottom"/>
            <w:shd w:val="clear" w:color="auto" w:fill="C00000"/>
          </w:tcPr>
          <w:p>
            <w:pPr>
              <w:spacing w:after="0"/>
              <w:rPr>
                <w:sz w:val="17"/>
                <w:szCs w:val="17"/>
                <w:color w:val="auto"/>
              </w:rPr>
            </w:pPr>
          </w:p>
        </w:tc>
        <w:tc>
          <w:tcPr>
            <w:tcW w:w="2560" w:type="dxa"/>
            <w:vAlign w:val="bottom"/>
            <w:gridSpan w:val="3"/>
            <w:shd w:val="clear" w:color="auto" w:fill="C00000"/>
          </w:tcPr>
          <w:p>
            <w:pPr>
              <w:jc w:val="right"/>
              <w:ind w:right="636"/>
              <w:spacing w:after="0"/>
              <w:rPr>
                <w:sz w:val="20"/>
                <w:szCs w:val="20"/>
                <w:color w:val="auto"/>
              </w:rPr>
            </w:pPr>
            <w:r>
              <w:rPr>
                <w:rFonts w:ascii="Arial" w:cs="Arial" w:eastAsia="Arial" w:hAnsi="Arial"/>
                <w:sz w:val="11"/>
                <w:szCs w:val="11"/>
                <w:b w:val="1"/>
                <w:bCs w:val="1"/>
                <w:color w:val="FFFFFF"/>
              </w:rPr>
              <w:t>Change in Control</w:t>
            </w:r>
          </w:p>
        </w:tc>
        <w:tc>
          <w:tcPr>
            <w:tcW w:w="20" w:type="dxa"/>
            <w:vAlign w:val="bottom"/>
            <w:shd w:val="clear" w:color="auto" w:fill="C00000"/>
          </w:tcPr>
          <w:p>
            <w:pPr>
              <w:spacing w:after="0"/>
              <w:rPr>
                <w:sz w:val="17"/>
                <w:szCs w:val="17"/>
                <w:color w:val="auto"/>
              </w:rPr>
            </w:pPr>
          </w:p>
        </w:tc>
        <w:tc>
          <w:tcPr>
            <w:tcW w:w="140" w:type="dxa"/>
            <w:vAlign w:val="bottom"/>
            <w:shd w:val="clear" w:color="auto" w:fill="C00000"/>
          </w:tcPr>
          <w:p>
            <w:pPr>
              <w:spacing w:after="0"/>
              <w:rPr>
                <w:sz w:val="17"/>
                <w:szCs w:val="17"/>
                <w:color w:val="auto"/>
              </w:rPr>
            </w:pPr>
          </w:p>
        </w:tc>
      </w:tr>
      <w:tr>
        <w:trPr>
          <w:trHeight w:val="128"/>
        </w:trPr>
        <w:tc>
          <w:tcPr>
            <w:tcW w:w="374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60" w:type="dxa"/>
            <w:vAlign w:val="bottom"/>
            <w:shd w:val="clear" w:color="auto" w:fill="C00000"/>
          </w:tcPr>
          <w:p>
            <w:pPr>
              <w:spacing w:after="0"/>
              <w:rPr>
                <w:sz w:val="11"/>
                <w:szCs w:val="11"/>
                <w:color w:val="auto"/>
              </w:rPr>
            </w:pPr>
          </w:p>
        </w:tc>
        <w:tc>
          <w:tcPr>
            <w:tcW w:w="1040" w:type="dxa"/>
            <w:vAlign w:val="bottom"/>
            <w:shd w:val="clear" w:color="auto" w:fill="C00000"/>
          </w:tcPr>
          <w:p>
            <w:pPr>
              <w:spacing w:after="0"/>
              <w:rPr>
                <w:sz w:val="11"/>
                <w:szCs w:val="11"/>
                <w:color w:val="auto"/>
              </w:rPr>
            </w:pPr>
          </w:p>
        </w:tc>
        <w:tc>
          <w:tcPr>
            <w:tcW w:w="16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140" w:type="dxa"/>
            <w:vAlign w:val="bottom"/>
            <w:shd w:val="clear" w:color="auto" w:fill="C00000"/>
          </w:tcPr>
          <w:p>
            <w:pPr>
              <w:spacing w:after="0"/>
              <w:rPr>
                <w:sz w:val="11"/>
                <w:szCs w:val="11"/>
                <w:color w:val="auto"/>
              </w:rPr>
            </w:pPr>
          </w:p>
        </w:tc>
        <w:tc>
          <w:tcPr>
            <w:tcW w:w="96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40" w:type="dxa"/>
            <w:vAlign w:val="bottom"/>
            <w:shd w:val="clear" w:color="auto" w:fill="C00000"/>
          </w:tcPr>
          <w:p>
            <w:pPr>
              <w:spacing w:after="0"/>
              <w:rPr>
                <w:sz w:val="11"/>
                <w:szCs w:val="11"/>
                <w:color w:val="auto"/>
              </w:rPr>
            </w:pPr>
          </w:p>
        </w:tc>
        <w:tc>
          <w:tcPr>
            <w:tcW w:w="1040" w:type="dxa"/>
            <w:vAlign w:val="bottom"/>
            <w:shd w:val="clear" w:color="auto" w:fill="C00000"/>
          </w:tcPr>
          <w:p>
            <w:pPr>
              <w:spacing w:after="0"/>
              <w:rPr>
                <w:sz w:val="11"/>
                <w:szCs w:val="11"/>
                <w:color w:val="auto"/>
              </w:rPr>
            </w:pPr>
          </w:p>
        </w:tc>
        <w:tc>
          <w:tcPr>
            <w:tcW w:w="160" w:type="dxa"/>
            <w:vAlign w:val="bottom"/>
            <w:shd w:val="clear" w:color="auto" w:fill="C00000"/>
          </w:tcPr>
          <w:p>
            <w:pPr>
              <w:spacing w:after="0"/>
              <w:rPr>
                <w:sz w:val="11"/>
                <w:szCs w:val="11"/>
                <w:color w:val="auto"/>
              </w:rPr>
            </w:pPr>
          </w:p>
        </w:tc>
        <w:tc>
          <w:tcPr>
            <w:tcW w:w="1360" w:type="dxa"/>
            <w:vAlign w:val="bottom"/>
            <w:shd w:val="clear" w:color="auto" w:fill="C00000"/>
          </w:tcPr>
          <w:p>
            <w:pPr>
              <w:jc w:val="center"/>
              <w:ind w:left="76"/>
              <w:spacing w:after="0"/>
              <w:rPr>
                <w:sz w:val="20"/>
                <w:szCs w:val="20"/>
                <w:color w:val="auto"/>
              </w:rPr>
            </w:pPr>
            <w:r>
              <w:rPr>
                <w:rFonts w:ascii="Arial" w:cs="Arial" w:eastAsia="Arial" w:hAnsi="Arial"/>
                <w:sz w:val="11"/>
                <w:szCs w:val="11"/>
                <w:b w:val="1"/>
                <w:bCs w:val="1"/>
                <w:color w:val="FFFFFF"/>
              </w:rPr>
              <w:t>Termination Without</w:t>
            </w:r>
          </w:p>
        </w:tc>
        <w:tc>
          <w:tcPr>
            <w:tcW w:w="20" w:type="dxa"/>
            <w:vAlign w:val="bottom"/>
            <w:shd w:val="clear" w:color="auto" w:fill="C00000"/>
          </w:tcPr>
          <w:p>
            <w:pPr>
              <w:spacing w:after="0"/>
              <w:rPr>
                <w:sz w:val="11"/>
                <w:szCs w:val="11"/>
                <w:color w:val="auto"/>
              </w:rPr>
            </w:pPr>
          </w:p>
        </w:tc>
        <w:tc>
          <w:tcPr>
            <w:tcW w:w="140" w:type="dxa"/>
            <w:vAlign w:val="bottom"/>
            <w:shd w:val="clear" w:color="auto" w:fill="C00000"/>
          </w:tcPr>
          <w:p>
            <w:pPr>
              <w:spacing w:after="0"/>
              <w:rPr>
                <w:sz w:val="11"/>
                <w:szCs w:val="11"/>
                <w:color w:val="auto"/>
              </w:rPr>
            </w:pPr>
          </w:p>
        </w:tc>
      </w:tr>
      <w:tr>
        <w:trPr>
          <w:trHeight w:val="123"/>
        </w:trPr>
        <w:tc>
          <w:tcPr>
            <w:tcW w:w="3740" w:type="dxa"/>
            <w:vAlign w:val="bottom"/>
            <w:shd w:val="clear" w:color="auto" w:fill="C00000"/>
          </w:tcPr>
          <w:p>
            <w:pPr>
              <w:spacing w:after="0"/>
              <w:rPr>
                <w:sz w:val="10"/>
                <w:szCs w:val="10"/>
                <w:color w:val="auto"/>
              </w:rPr>
            </w:pPr>
          </w:p>
        </w:tc>
        <w:tc>
          <w:tcPr>
            <w:tcW w:w="12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116"/>
              <w:spacing w:after="0" w:line="123" w:lineRule="exact"/>
              <w:rPr>
                <w:sz w:val="20"/>
                <w:szCs w:val="20"/>
                <w:color w:val="auto"/>
              </w:rPr>
            </w:pPr>
            <w:r>
              <w:rPr>
                <w:rFonts w:ascii="Arial" w:cs="Arial" w:eastAsia="Arial" w:hAnsi="Arial"/>
                <w:sz w:val="11"/>
                <w:szCs w:val="11"/>
                <w:b w:val="1"/>
                <w:bCs w:val="1"/>
                <w:color w:val="FFFFFF"/>
              </w:rPr>
              <w:t>Voluntary</w:t>
            </w:r>
          </w:p>
        </w:tc>
        <w:tc>
          <w:tcPr>
            <w:tcW w:w="16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16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163"/>
              <w:spacing w:after="0" w:line="123" w:lineRule="exact"/>
              <w:rPr>
                <w:sz w:val="20"/>
                <w:szCs w:val="20"/>
                <w:color w:val="auto"/>
              </w:rPr>
            </w:pPr>
            <w:r>
              <w:rPr>
                <w:rFonts w:ascii="Arial" w:cs="Arial" w:eastAsia="Arial" w:hAnsi="Arial"/>
                <w:sz w:val="11"/>
                <w:szCs w:val="11"/>
                <w:b w:val="1"/>
                <w:bCs w:val="1"/>
                <w:color w:val="FFFFFF"/>
              </w:rPr>
              <w:t>Involuntary</w:t>
            </w:r>
          </w:p>
        </w:tc>
        <w:tc>
          <w:tcPr>
            <w:tcW w:w="80" w:type="dxa"/>
            <w:vAlign w:val="bottom"/>
            <w:shd w:val="clear" w:color="auto" w:fill="C00000"/>
          </w:tcPr>
          <w:p>
            <w:pPr>
              <w:spacing w:after="0"/>
              <w:rPr>
                <w:sz w:val="10"/>
                <w:szCs w:val="10"/>
                <w:color w:val="auto"/>
              </w:rPr>
            </w:pPr>
          </w:p>
        </w:tc>
        <w:tc>
          <w:tcPr>
            <w:tcW w:w="140" w:type="dxa"/>
            <w:vAlign w:val="bottom"/>
            <w:shd w:val="clear" w:color="auto" w:fill="C00000"/>
          </w:tcPr>
          <w:p>
            <w:pPr>
              <w:spacing w:after="0"/>
              <w:rPr>
                <w:sz w:val="10"/>
                <w:szCs w:val="10"/>
                <w:color w:val="auto"/>
              </w:rPr>
            </w:pPr>
          </w:p>
        </w:tc>
        <w:tc>
          <w:tcPr>
            <w:tcW w:w="960" w:type="dxa"/>
            <w:vAlign w:val="bottom"/>
            <w:shd w:val="clear" w:color="auto" w:fill="C00000"/>
          </w:tcPr>
          <w:p>
            <w:pPr>
              <w:jc w:val="center"/>
              <w:ind w:left="183"/>
              <w:spacing w:after="0" w:line="123" w:lineRule="exact"/>
              <w:rPr>
                <w:sz w:val="20"/>
                <w:szCs w:val="20"/>
                <w:color w:val="auto"/>
              </w:rPr>
            </w:pPr>
            <w:r>
              <w:rPr>
                <w:rFonts w:ascii="Arial" w:cs="Arial" w:eastAsia="Arial" w:hAnsi="Arial"/>
                <w:sz w:val="11"/>
                <w:szCs w:val="11"/>
                <w:b w:val="1"/>
                <w:bCs w:val="1"/>
                <w:color w:val="FFFFFF"/>
              </w:rPr>
              <w:t>Termination</w:t>
            </w:r>
          </w:p>
        </w:tc>
        <w:tc>
          <w:tcPr>
            <w:tcW w:w="120" w:type="dxa"/>
            <w:vAlign w:val="bottom"/>
            <w:shd w:val="clear" w:color="auto" w:fill="C00000"/>
          </w:tcPr>
          <w:p>
            <w:pPr>
              <w:spacing w:after="0"/>
              <w:rPr>
                <w:sz w:val="10"/>
                <w:szCs w:val="10"/>
                <w:color w:val="auto"/>
              </w:rPr>
            </w:pPr>
          </w:p>
        </w:tc>
        <w:tc>
          <w:tcPr>
            <w:tcW w:w="140" w:type="dxa"/>
            <w:vAlign w:val="bottom"/>
            <w:shd w:val="clear" w:color="auto" w:fill="C00000"/>
          </w:tcPr>
          <w:p>
            <w:pPr>
              <w:spacing w:after="0"/>
              <w:rPr>
                <w:sz w:val="10"/>
                <w:szCs w:val="10"/>
                <w:color w:val="auto"/>
              </w:rPr>
            </w:pPr>
          </w:p>
        </w:tc>
        <w:tc>
          <w:tcPr>
            <w:tcW w:w="1040" w:type="dxa"/>
            <w:vAlign w:val="bottom"/>
            <w:shd w:val="clear" w:color="auto" w:fill="C00000"/>
          </w:tcPr>
          <w:p>
            <w:pPr>
              <w:spacing w:after="0"/>
              <w:rPr>
                <w:sz w:val="10"/>
                <w:szCs w:val="10"/>
                <w:color w:val="auto"/>
              </w:rPr>
            </w:pPr>
          </w:p>
        </w:tc>
        <w:tc>
          <w:tcPr>
            <w:tcW w:w="160" w:type="dxa"/>
            <w:vAlign w:val="bottom"/>
            <w:shd w:val="clear" w:color="auto" w:fill="C00000"/>
          </w:tcPr>
          <w:p>
            <w:pPr>
              <w:spacing w:after="0"/>
              <w:rPr>
                <w:sz w:val="10"/>
                <w:szCs w:val="10"/>
                <w:color w:val="auto"/>
              </w:rPr>
            </w:pPr>
          </w:p>
        </w:tc>
        <w:tc>
          <w:tcPr>
            <w:tcW w:w="1360" w:type="dxa"/>
            <w:vAlign w:val="bottom"/>
            <w:shd w:val="clear" w:color="auto" w:fill="C00000"/>
          </w:tcPr>
          <w:p>
            <w:pPr>
              <w:jc w:val="center"/>
              <w:ind w:left="76"/>
              <w:spacing w:after="0" w:line="123" w:lineRule="exact"/>
              <w:rPr>
                <w:sz w:val="20"/>
                <w:szCs w:val="20"/>
                <w:color w:val="auto"/>
              </w:rPr>
            </w:pPr>
            <w:r>
              <w:rPr>
                <w:rFonts w:ascii="Arial" w:cs="Arial" w:eastAsia="Arial" w:hAnsi="Arial"/>
                <w:sz w:val="11"/>
                <w:szCs w:val="11"/>
                <w:b w:val="1"/>
                <w:bCs w:val="1"/>
                <w:color w:val="FFFFFF"/>
              </w:rPr>
              <w:t>Cause by Toro or by</w:t>
            </w:r>
          </w:p>
        </w:tc>
        <w:tc>
          <w:tcPr>
            <w:tcW w:w="20" w:type="dxa"/>
            <w:vAlign w:val="bottom"/>
            <w:shd w:val="clear" w:color="auto" w:fill="C00000"/>
          </w:tcPr>
          <w:p>
            <w:pPr>
              <w:spacing w:after="0"/>
              <w:rPr>
                <w:sz w:val="10"/>
                <w:szCs w:val="10"/>
                <w:color w:val="auto"/>
              </w:rPr>
            </w:pPr>
          </w:p>
        </w:tc>
        <w:tc>
          <w:tcPr>
            <w:tcW w:w="140" w:type="dxa"/>
            <w:vAlign w:val="bottom"/>
            <w:shd w:val="clear" w:color="auto" w:fill="C00000"/>
          </w:tcPr>
          <w:p>
            <w:pPr>
              <w:spacing w:after="0"/>
              <w:rPr>
                <w:sz w:val="10"/>
                <w:szCs w:val="10"/>
                <w:color w:val="auto"/>
              </w:rPr>
            </w:pPr>
          </w:p>
        </w:tc>
      </w:tr>
      <w:tr>
        <w:trPr>
          <w:trHeight w:val="123"/>
        </w:trPr>
        <w:tc>
          <w:tcPr>
            <w:tcW w:w="3740" w:type="dxa"/>
            <w:vAlign w:val="bottom"/>
            <w:shd w:val="clear" w:color="auto" w:fill="C00000"/>
          </w:tcPr>
          <w:p>
            <w:pPr>
              <w:spacing w:after="0"/>
              <w:rPr>
                <w:sz w:val="10"/>
                <w:szCs w:val="10"/>
                <w:color w:val="auto"/>
              </w:rPr>
            </w:pPr>
          </w:p>
        </w:tc>
        <w:tc>
          <w:tcPr>
            <w:tcW w:w="12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116"/>
              <w:spacing w:after="0" w:line="123" w:lineRule="exact"/>
              <w:rPr>
                <w:sz w:val="20"/>
                <w:szCs w:val="20"/>
                <w:color w:val="auto"/>
              </w:rPr>
            </w:pPr>
            <w:r>
              <w:rPr>
                <w:rFonts w:ascii="Arial" w:cs="Arial" w:eastAsia="Arial" w:hAnsi="Arial"/>
                <w:sz w:val="11"/>
                <w:szCs w:val="11"/>
                <w:b w:val="1"/>
                <w:bCs w:val="1"/>
                <w:color w:val="FFFFFF"/>
              </w:rPr>
              <w:t>Resignation /</w:t>
            </w:r>
          </w:p>
        </w:tc>
        <w:tc>
          <w:tcPr>
            <w:tcW w:w="160" w:type="dxa"/>
            <w:vAlign w:val="bottom"/>
            <w:shd w:val="clear" w:color="auto" w:fill="C00000"/>
          </w:tcPr>
          <w:p>
            <w:pPr>
              <w:spacing w:after="0"/>
              <w:rPr>
                <w:sz w:val="10"/>
                <w:szCs w:val="10"/>
                <w:color w:val="auto"/>
              </w:rPr>
            </w:pPr>
          </w:p>
        </w:tc>
        <w:tc>
          <w:tcPr>
            <w:tcW w:w="1040" w:type="dxa"/>
            <w:vAlign w:val="bottom"/>
            <w:shd w:val="clear" w:color="auto" w:fill="C00000"/>
          </w:tcPr>
          <w:p>
            <w:pPr>
              <w:jc w:val="center"/>
              <w:ind w:left="95"/>
              <w:spacing w:after="0" w:line="123" w:lineRule="exact"/>
              <w:rPr>
                <w:sz w:val="20"/>
                <w:szCs w:val="20"/>
                <w:color w:val="auto"/>
              </w:rPr>
            </w:pPr>
            <w:r>
              <w:rPr>
                <w:rFonts w:ascii="Arial" w:cs="Arial" w:eastAsia="Arial" w:hAnsi="Arial"/>
                <w:sz w:val="11"/>
                <w:szCs w:val="11"/>
                <w:b w:val="1"/>
                <w:bCs w:val="1"/>
                <w:color w:val="FFFFFF"/>
              </w:rPr>
              <w:t>Disability or</w:t>
            </w:r>
          </w:p>
        </w:tc>
        <w:tc>
          <w:tcPr>
            <w:tcW w:w="16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163"/>
              <w:spacing w:after="0" w:line="123" w:lineRule="exact"/>
              <w:rPr>
                <w:sz w:val="20"/>
                <w:szCs w:val="20"/>
                <w:color w:val="auto"/>
              </w:rPr>
            </w:pPr>
            <w:r>
              <w:rPr>
                <w:rFonts w:ascii="Arial" w:cs="Arial" w:eastAsia="Arial" w:hAnsi="Arial"/>
                <w:sz w:val="11"/>
                <w:szCs w:val="11"/>
                <w:b w:val="1"/>
                <w:bCs w:val="1"/>
                <w:color w:val="FFFFFF"/>
              </w:rPr>
              <w:t>Termination by</w:t>
            </w:r>
          </w:p>
        </w:tc>
        <w:tc>
          <w:tcPr>
            <w:tcW w:w="80" w:type="dxa"/>
            <w:vAlign w:val="bottom"/>
            <w:shd w:val="clear" w:color="auto" w:fill="C00000"/>
          </w:tcPr>
          <w:p>
            <w:pPr>
              <w:spacing w:after="0"/>
              <w:rPr>
                <w:sz w:val="10"/>
                <w:szCs w:val="10"/>
                <w:color w:val="auto"/>
              </w:rPr>
            </w:pPr>
          </w:p>
        </w:tc>
        <w:tc>
          <w:tcPr>
            <w:tcW w:w="140" w:type="dxa"/>
            <w:vAlign w:val="bottom"/>
            <w:shd w:val="clear" w:color="auto" w:fill="C00000"/>
          </w:tcPr>
          <w:p>
            <w:pPr>
              <w:spacing w:after="0"/>
              <w:rPr>
                <w:sz w:val="10"/>
                <w:szCs w:val="10"/>
                <w:color w:val="auto"/>
              </w:rPr>
            </w:pPr>
          </w:p>
        </w:tc>
        <w:tc>
          <w:tcPr>
            <w:tcW w:w="960" w:type="dxa"/>
            <w:vAlign w:val="bottom"/>
            <w:shd w:val="clear" w:color="auto" w:fill="C00000"/>
          </w:tcPr>
          <w:p>
            <w:pPr>
              <w:jc w:val="center"/>
              <w:ind w:left="183"/>
              <w:spacing w:after="0" w:line="123" w:lineRule="exact"/>
              <w:rPr>
                <w:sz w:val="20"/>
                <w:szCs w:val="20"/>
                <w:color w:val="auto"/>
              </w:rPr>
            </w:pPr>
            <w:r>
              <w:rPr>
                <w:rFonts w:ascii="Arial" w:cs="Arial" w:eastAsia="Arial" w:hAnsi="Arial"/>
                <w:sz w:val="11"/>
                <w:szCs w:val="11"/>
                <w:b w:val="1"/>
                <w:bCs w:val="1"/>
                <w:color w:val="FFFFFF"/>
              </w:rPr>
              <w:t>by Toro for</w:t>
            </w:r>
          </w:p>
        </w:tc>
        <w:tc>
          <w:tcPr>
            <w:tcW w:w="120" w:type="dxa"/>
            <w:vAlign w:val="bottom"/>
            <w:shd w:val="clear" w:color="auto" w:fill="C00000"/>
          </w:tcPr>
          <w:p>
            <w:pPr>
              <w:spacing w:after="0"/>
              <w:rPr>
                <w:sz w:val="10"/>
                <w:szCs w:val="10"/>
                <w:color w:val="auto"/>
              </w:rPr>
            </w:pPr>
          </w:p>
        </w:tc>
        <w:tc>
          <w:tcPr>
            <w:tcW w:w="140" w:type="dxa"/>
            <w:vAlign w:val="bottom"/>
            <w:shd w:val="clear" w:color="auto" w:fill="C00000"/>
          </w:tcPr>
          <w:p>
            <w:pPr>
              <w:spacing w:after="0"/>
              <w:rPr>
                <w:sz w:val="10"/>
                <w:szCs w:val="10"/>
                <w:color w:val="auto"/>
              </w:rPr>
            </w:pPr>
          </w:p>
        </w:tc>
        <w:tc>
          <w:tcPr>
            <w:tcW w:w="1040" w:type="dxa"/>
            <w:vAlign w:val="bottom"/>
            <w:shd w:val="clear" w:color="auto" w:fill="C00000"/>
          </w:tcPr>
          <w:p>
            <w:pPr>
              <w:jc w:val="center"/>
              <w:ind w:left="76"/>
              <w:spacing w:after="0" w:line="123" w:lineRule="exact"/>
              <w:rPr>
                <w:sz w:val="20"/>
                <w:szCs w:val="20"/>
                <w:color w:val="auto"/>
              </w:rPr>
            </w:pPr>
            <w:r>
              <w:rPr>
                <w:rFonts w:ascii="Arial" w:cs="Arial" w:eastAsia="Arial" w:hAnsi="Arial"/>
                <w:sz w:val="11"/>
                <w:szCs w:val="11"/>
                <w:b w:val="1"/>
                <w:bCs w:val="1"/>
                <w:color w:val="FFFFFF"/>
              </w:rPr>
              <w:t>No Termination</w:t>
            </w:r>
          </w:p>
        </w:tc>
        <w:tc>
          <w:tcPr>
            <w:tcW w:w="160" w:type="dxa"/>
            <w:vAlign w:val="bottom"/>
            <w:shd w:val="clear" w:color="auto" w:fill="C00000"/>
          </w:tcPr>
          <w:p>
            <w:pPr>
              <w:spacing w:after="0"/>
              <w:rPr>
                <w:sz w:val="10"/>
                <w:szCs w:val="10"/>
                <w:color w:val="auto"/>
              </w:rPr>
            </w:pPr>
          </w:p>
        </w:tc>
        <w:tc>
          <w:tcPr>
            <w:tcW w:w="1360" w:type="dxa"/>
            <w:vAlign w:val="bottom"/>
            <w:shd w:val="clear" w:color="auto" w:fill="C00000"/>
          </w:tcPr>
          <w:p>
            <w:pPr>
              <w:jc w:val="center"/>
              <w:ind w:left="96"/>
              <w:spacing w:after="0" w:line="123" w:lineRule="exact"/>
              <w:rPr>
                <w:sz w:val="20"/>
                <w:szCs w:val="20"/>
                <w:color w:val="auto"/>
              </w:rPr>
            </w:pPr>
            <w:r>
              <w:rPr>
                <w:rFonts w:ascii="Arial" w:cs="Arial" w:eastAsia="Arial" w:hAnsi="Arial"/>
                <w:sz w:val="11"/>
                <w:szCs w:val="11"/>
                <w:b w:val="1"/>
                <w:bCs w:val="1"/>
                <w:color w:val="FFFFFF"/>
              </w:rPr>
              <w:t>Executive for Good</w:t>
            </w:r>
          </w:p>
        </w:tc>
        <w:tc>
          <w:tcPr>
            <w:tcW w:w="20" w:type="dxa"/>
            <w:vAlign w:val="bottom"/>
            <w:shd w:val="clear" w:color="auto" w:fill="C00000"/>
          </w:tcPr>
          <w:p>
            <w:pPr>
              <w:spacing w:after="0"/>
              <w:rPr>
                <w:sz w:val="10"/>
                <w:szCs w:val="10"/>
                <w:color w:val="auto"/>
              </w:rPr>
            </w:pPr>
          </w:p>
        </w:tc>
        <w:tc>
          <w:tcPr>
            <w:tcW w:w="140" w:type="dxa"/>
            <w:vAlign w:val="bottom"/>
            <w:shd w:val="clear" w:color="auto" w:fill="C00000"/>
          </w:tcPr>
          <w:p>
            <w:pPr>
              <w:spacing w:after="0"/>
              <w:rPr>
                <w:sz w:val="10"/>
                <w:szCs w:val="10"/>
                <w:color w:val="auto"/>
              </w:rPr>
            </w:pPr>
          </w:p>
        </w:tc>
      </w:tr>
      <w:tr>
        <w:trPr>
          <w:trHeight w:val="123"/>
        </w:trPr>
        <w:tc>
          <w:tcPr>
            <w:tcW w:w="3740" w:type="dxa"/>
            <w:vAlign w:val="bottom"/>
            <w:shd w:val="clear" w:color="auto" w:fill="C00000"/>
          </w:tcPr>
          <w:p>
            <w:pPr>
              <w:spacing w:after="0"/>
              <w:rPr>
                <w:sz w:val="10"/>
                <w:szCs w:val="10"/>
                <w:color w:val="auto"/>
              </w:rPr>
            </w:pPr>
          </w:p>
        </w:tc>
        <w:tc>
          <w:tcPr>
            <w:tcW w:w="12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96"/>
              <w:spacing w:after="0" w:line="123" w:lineRule="exact"/>
              <w:rPr>
                <w:sz w:val="20"/>
                <w:szCs w:val="20"/>
                <w:color w:val="auto"/>
              </w:rPr>
            </w:pPr>
            <w:r>
              <w:rPr>
                <w:rFonts w:ascii="Arial" w:cs="Arial" w:eastAsia="Arial" w:hAnsi="Arial"/>
                <w:sz w:val="11"/>
                <w:szCs w:val="11"/>
                <w:b w:val="1"/>
                <w:bCs w:val="1"/>
                <w:color w:val="FFFFFF"/>
              </w:rPr>
              <w:t>Retirement</w:t>
            </w:r>
            <w:r>
              <w:rPr>
                <w:rFonts w:ascii="Arial" w:cs="Arial" w:eastAsia="Arial" w:hAnsi="Arial"/>
                <w:sz w:val="9"/>
                <w:szCs w:val="9"/>
                <w:b w:val="1"/>
                <w:bCs w:val="1"/>
                <w:color w:val="FFFFFF"/>
              </w:rPr>
              <w:t>(1)</w:t>
            </w:r>
          </w:p>
        </w:tc>
        <w:tc>
          <w:tcPr>
            <w:tcW w:w="160" w:type="dxa"/>
            <w:vAlign w:val="bottom"/>
            <w:shd w:val="clear" w:color="auto" w:fill="C00000"/>
          </w:tcPr>
          <w:p>
            <w:pPr>
              <w:spacing w:after="0"/>
              <w:rPr>
                <w:sz w:val="10"/>
                <w:szCs w:val="10"/>
                <w:color w:val="auto"/>
              </w:rPr>
            </w:pPr>
          </w:p>
        </w:tc>
        <w:tc>
          <w:tcPr>
            <w:tcW w:w="1040" w:type="dxa"/>
            <w:vAlign w:val="bottom"/>
            <w:shd w:val="clear" w:color="auto" w:fill="C00000"/>
          </w:tcPr>
          <w:p>
            <w:pPr>
              <w:jc w:val="center"/>
              <w:ind w:left="95"/>
              <w:spacing w:after="0" w:line="123" w:lineRule="exact"/>
              <w:rPr>
                <w:sz w:val="20"/>
                <w:szCs w:val="20"/>
                <w:color w:val="auto"/>
              </w:rPr>
            </w:pPr>
            <w:r>
              <w:rPr>
                <w:rFonts w:ascii="Arial" w:cs="Arial" w:eastAsia="Arial" w:hAnsi="Arial"/>
                <w:sz w:val="11"/>
                <w:szCs w:val="11"/>
                <w:b w:val="1"/>
                <w:bCs w:val="1"/>
                <w:color w:val="FFFFFF"/>
              </w:rPr>
              <w:t>Death</w:t>
            </w:r>
          </w:p>
        </w:tc>
        <w:tc>
          <w:tcPr>
            <w:tcW w:w="16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163"/>
              <w:spacing w:after="0" w:line="123" w:lineRule="exact"/>
              <w:rPr>
                <w:sz w:val="20"/>
                <w:szCs w:val="20"/>
                <w:color w:val="auto"/>
              </w:rPr>
            </w:pPr>
            <w:r>
              <w:rPr>
                <w:rFonts w:ascii="Arial" w:cs="Arial" w:eastAsia="Arial" w:hAnsi="Arial"/>
                <w:sz w:val="11"/>
                <w:szCs w:val="11"/>
                <w:b w:val="1"/>
                <w:bCs w:val="1"/>
                <w:color w:val="FFFFFF"/>
                <w:w w:val="97"/>
              </w:rPr>
              <w:t>Toro</w:t>
            </w:r>
          </w:p>
        </w:tc>
        <w:tc>
          <w:tcPr>
            <w:tcW w:w="80" w:type="dxa"/>
            <w:vAlign w:val="bottom"/>
            <w:shd w:val="clear" w:color="auto" w:fill="C00000"/>
          </w:tcPr>
          <w:p>
            <w:pPr>
              <w:spacing w:after="0"/>
              <w:rPr>
                <w:sz w:val="10"/>
                <w:szCs w:val="10"/>
                <w:color w:val="auto"/>
              </w:rPr>
            </w:pPr>
          </w:p>
        </w:tc>
        <w:tc>
          <w:tcPr>
            <w:tcW w:w="140" w:type="dxa"/>
            <w:vAlign w:val="bottom"/>
            <w:shd w:val="clear" w:color="auto" w:fill="C00000"/>
          </w:tcPr>
          <w:p>
            <w:pPr>
              <w:spacing w:after="0"/>
              <w:rPr>
                <w:sz w:val="10"/>
                <w:szCs w:val="10"/>
                <w:color w:val="auto"/>
              </w:rPr>
            </w:pPr>
          </w:p>
        </w:tc>
        <w:tc>
          <w:tcPr>
            <w:tcW w:w="960" w:type="dxa"/>
            <w:vAlign w:val="bottom"/>
            <w:shd w:val="clear" w:color="auto" w:fill="C00000"/>
          </w:tcPr>
          <w:p>
            <w:pPr>
              <w:jc w:val="center"/>
              <w:ind w:left="203"/>
              <w:spacing w:after="0" w:line="123" w:lineRule="exact"/>
              <w:rPr>
                <w:sz w:val="20"/>
                <w:szCs w:val="20"/>
                <w:color w:val="auto"/>
              </w:rPr>
            </w:pPr>
            <w:r>
              <w:rPr>
                <w:rFonts w:ascii="Arial" w:cs="Arial" w:eastAsia="Arial" w:hAnsi="Arial"/>
                <w:sz w:val="11"/>
                <w:szCs w:val="11"/>
                <w:b w:val="1"/>
                <w:bCs w:val="1"/>
                <w:color w:val="FFFFFF"/>
              </w:rPr>
              <w:t>Cause</w:t>
            </w:r>
          </w:p>
        </w:tc>
        <w:tc>
          <w:tcPr>
            <w:tcW w:w="120" w:type="dxa"/>
            <w:vAlign w:val="bottom"/>
            <w:shd w:val="clear" w:color="auto" w:fill="C00000"/>
          </w:tcPr>
          <w:p>
            <w:pPr>
              <w:spacing w:after="0"/>
              <w:rPr>
                <w:sz w:val="10"/>
                <w:szCs w:val="10"/>
                <w:color w:val="auto"/>
              </w:rPr>
            </w:pPr>
          </w:p>
        </w:tc>
        <w:tc>
          <w:tcPr>
            <w:tcW w:w="140" w:type="dxa"/>
            <w:vAlign w:val="bottom"/>
            <w:shd w:val="clear" w:color="auto" w:fill="C00000"/>
          </w:tcPr>
          <w:p>
            <w:pPr>
              <w:spacing w:after="0"/>
              <w:rPr>
                <w:sz w:val="10"/>
                <w:szCs w:val="10"/>
                <w:color w:val="auto"/>
              </w:rPr>
            </w:pPr>
          </w:p>
        </w:tc>
        <w:tc>
          <w:tcPr>
            <w:tcW w:w="1040" w:type="dxa"/>
            <w:vAlign w:val="bottom"/>
            <w:shd w:val="clear" w:color="auto" w:fill="C00000"/>
          </w:tcPr>
          <w:p>
            <w:pPr>
              <w:jc w:val="center"/>
              <w:ind w:left="76"/>
              <w:spacing w:after="0" w:line="123" w:lineRule="exact"/>
              <w:rPr>
                <w:sz w:val="20"/>
                <w:szCs w:val="20"/>
                <w:color w:val="auto"/>
              </w:rPr>
            </w:pPr>
            <w:r>
              <w:rPr>
                <w:rFonts w:ascii="Arial" w:cs="Arial" w:eastAsia="Arial" w:hAnsi="Arial"/>
                <w:sz w:val="11"/>
                <w:szCs w:val="11"/>
                <w:b w:val="1"/>
                <w:bCs w:val="1"/>
                <w:color w:val="FFFFFF"/>
                <w:w w:val="99"/>
              </w:rPr>
              <w:t>Event</w:t>
            </w:r>
          </w:p>
        </w:tc>
        <w:tc>
          <w:tcPr>
            <w:tcW w:w="160" w:type="dxa"/>
            <w:vAlign w:val="bottom"/>
            <w:shd w:val="clear" w:color="auto" w:fill="C00000"/>
          </w:tcPr>
          <w:p>
            <w:pPr>
              <w:spacing w:after="0"/>
              <w:rPr>
                <w:sz w:val="10"/>
                <w:szCs w:val="10"/>
                <w:color w:val="auto"/>
              </w:rPr>
            </w:pPr>
          </w:p>
        </w:tc>
        <w:tc>
          <w:tcPr>
            <w:tcW w:w="1360" w:type="dxa"/>
            <w:vAlign w:val="bottom"/>
            <w:shd w:val="clear" w:color="auto" w:fill="C00000"/>
          </w:tcPr>
          <w:p>
            <w:pPr>
              <w:jc w:val="center"/>
              <w:ind w:left="96"/>
              <w:spacing w:after="0" w:line="123" w:lineRule="exact"/>
              <w:rPr>
                <w:sz w:val="20"/>
                <w:szCs w:val="20"/>
                <w:color w:val="auto"/>
              </w:rPr>
            </w:pPr>
            <w:r>
              <w:rPr>
                <w:rFonts w:ascii="Arial" w:cs="Arial" w:eastAsia="Arial" w:hAnsi="Arial"/>
                <w:sz w:val="11"/>
                <w:szCs w:val="11"/>
                <w:b w:val="1"/>
                <w:bCs w:val="1"/>
                <w:color w:val="FFFFFF"/>
              </w:rPr>
              <w:t>Reason</w:t>
            </w:r>
          </w:p>
        </w:tc>
        <w:tc>
          <w:tcPr>
            <w:tcW w:w="20" w:type="dxa"/>
            <w:vAlign w:val="bottom"/>
            <w:shd w:val="clear" w:color="auto" w:fill="C00000"/>
          </w:tcPr>
          <w:p>
            <w:pPr>
              <w:spacing w:after="0"/>
              <w:rPr>
                <w:sz w:val="10"/>
                <w:szCs w:val="10"/>
                <w:color w:val="auto"/>
              </w:rPr>
            </w:pPr>
          </w:p>
        </w:tc>
        <w:tc>
          <w:tcPr>
            <w:tcW w:w="140" w:type="dxa"/>
            <w:vAlign w:val="bottom"/>
            <w:shd w:val="clear" w:color="auto" w:fill="C00000"/>
          </w:tcPr>
          <w:p>
            <w:pPr>
              <w:spacing w:after="0"/>
              <w:rPr>
                <w:sz w:val="10"/>
                <w:szCs w:val="10"/>
                <w:color w:val="auto"/>
              </w:rPr>
            </w:pPr>
          </w:p>
        </w:tc>
      </w:tr>
      <w:tr>
        <w:trPr>
          <w:trHeight w:val="142"/>
        </w:trPr>
        <w:tc>
          <w:tcPr>
            <w:tcW w:w="3740" w:type="dxa"/>
            <w:vAlign w:val="bottom"/>
            <w:shd w:val="clear" w:color="auto" w:fill="C00000"/>
          </w:tcPr>
          <w:p>
            <w:pPr>
              <w:ind w:left="1300"/>
              <w:spacing w:after="0"/>
              <w:rPr>
                <w:sz w:val="20"/>
                <w:szCs w:val="20"/>
                <w:color w:val="auto"/>
              </w:rPr>
            </w:pPr>
            <w:r>
              <w:rPr>
                <w:rFonts w:ascii="Arial" w:cs="Arial" w:eastAsia="Arial" w:hAnsi="Arial"/>
                <w:sz w:val="11"/>
                <w:szCs w:val="11"/>
                <w:b w:val="1"/>
                <w:bCs w:val="1"/>
                <w:color w:val="FFFFFF"/>
              </w:rPr>
              <w:t>Name/Payment Type</w:t>
            </w:r>
          </w:p>
        </w:tc>
        <w:tc>
          <w:tcPr>
            <w:tcW w:w="1140" w:type="dxa"/>
            <w:vAlign w:val="bottom"/>
            <w:gridSpan w:val="2"/>
            <w:shd w:val="clear" w:color="auto" w:fill="C00000"/>
          </w:tcPr>
          <w:p>
            <w:pPr>
              <w:jc w:val="center"/>
              <w:ind w:left="215"/>
              <w:spacing w:after="0"/>
              <w:rPr>
                <w:sz w:val="20"/>
                <w:szCs w:val="20"/>
                <w:color w:val="auto"/>
              </w:rPr>
            </w:pPr>
            <w:r>
              <w:rPr>
                <w:rFonts w:ascii="Arial" w:cs="Arial" w:eastAsia="Arial" w:hAnsi="Arial"/>
                <w:sz w:val="11"/>
                <w:szCs w:val="11"/>
                <w:b w:val="1"/>
                <w:bCs w:val="1"/>
                <w:color w:val="FFFFFF"/>
              </w:rPr>
              <w:t>($)</w:t>
            </w:r>
          </w:p>
        </w:tc>
        <w:tc>
          <w:tcPr>
            <w:tcW w:w="160" w:type="dxa"/>
            <w:vAlign w:val="bottom"/>
            <w:shd w:val="clear" w:color="auto" w:fill="C00000"/>
          </w:tcPr>
          <w:p>
            <w:pPr>
              <w:spacing w:after="0"/>
              <w:rPr>
                <w:sz w:val="12"/>
                <w:szCs w:val="12"/>
                <w:color w:val="auto"/>
              </w:rPr>
            </w:pPr>
          </w:p>
        </w:tc>
        <w:tc>
          <w:tcPr>
            <w:tcW w:w="1040" w:type="dxa"/>
            <w:vAlign w:val="bottom"/>
            <w:shd w:val="clear" w:color="auto" w:fill="C00000"/>
          </w:tcPr>
          <w:p>
            <w:pPr>
              <w:jc w:val="center"/>
              <w:ind w:left="115"/>
              <w:spacing w:after="0"/>
              <w:rPr>
                <w:sz w:val="20"/>
                <w:szCs w:val="20"/>
                <w:color w:val="auto"/>
              </w:rPr>
            </w:pPr>
            <w:r>
              <w:rPr>
                <w:rFonts w:ascii="Arial" w:cs="Arial" w:eastAsia="Arial" w:hAnsi="Arial"/>
                <w:sz w:val="11"/>
                <w:szCs w:val="11"/>
                <w:b w:val="1"/>
                <w:bCs w:val="1"/>
                <w:color w:val="FFFFFF"/>
              </w:rPr>
              <w:t>($)</w:t>
            </w:r>
          </w:p>
        </w:tc>
        <w:tc>
          <w:tcPr>
            <w:tcW w:w="160" w:type="dxa"/>
            <w:vAlign w:val="bottom"/>
            <w:shd w:val="clear" w:color="auto" w:fill="C00000"/>
          </w:tcPr>
          <w:p>
            <w:pPr>
              <w:spacing w:after="0"/>
              <w:rPr>
                <w:sz w:val="12"/>
                <w:szCs w:val="12"/>
                <w:color w:val="auto"/>
              </w:rPr>
            </w:pPr>
          </w:p>
        </w:tc>
        <w:tc>
          <w:tcPr>
            <w:tcW w:w="1020" w:type="dxa"/>
            <w:vAlign w:val="bottom"/>
            <w:shd w:val="clear" w:color="auto" w:fill="C00000"/>
          </w:tcPr>
          <w:p>
            <w:pPr>
              <w:jc w:val="center"/>
              <w:ind w:left="143"/>
              <w:spacing w:after="0"/>
              <w:rPr>
                <w:sz w:val="20"/>
                <w:szCs w:val="20"/>
                <w:color w:val="auto"/>
              </w:rPr>
            </w:pPr>
            <w:r>
              <w:rPr>
                <w:rFonts w:ascii="Arial" w:cs="Arial" w:eastAsia="Arial" w:hAnsi="Arial"/>
                <w:sz w:val="11"/>
                <w:szCs w:val="11"/>
                <w:b w:val="1"/>
                <w:bCs w:val="1"/>
                <w:color w:val="FFFFFF"/>
              </w:rPr>
              <w:t>($)</w:t>
            </w:r>
          </w:p>
        </w:tc>
        <w:tc>
          <w:tcPr>
            <w:tcW w:w="1180" w:type="dxa"/>
            <w:vAlign w:val="bottom"/>
            <w:gridSpan w:val="3"/>
            <w:shd w:val="clear" w:color="auto" w:fill="C00000"/>
          </w:tcPr>
          <w:p>
            <w:pPr>
              <w:jc w:val="center"/>
              <w:ind w:left="415"/>
              <w:spacing w:after="0"/>
              <w:rPr>
                <w:sz w:val="20"/>
                <w:szCs w:val="20"/>
                <w:color w:val="auto"/>
              </w:rPr>
            </w:pPr>
            <w:r>
              <w:rPr>
                <w:rFonts w:ascii="Arial" w:cs="Arial" w:eastAsia="Arial" w:hAnsi="Arial"/>
                <w:sz w:val="11"/>
                <w:szCs w:val="11"/>
                <w:b w:val="1"/>
                <w:bCs w:val="1"/>
                <w:color w:val="FFFFFF"/>
              </w:rPr>
              <w:t>($)</w:t>
            </w:r>
          </w:p>
        </w:tc>
        <w:tc>
          <w:tcPr>
            <w:tcW w:w="120" w:type="dxa"/>
            <w:vAlign w:val="bottom"/>
            <w:shd w:val="clear" w:color="auto" w:fill="C00000"/>
          </w:tcPr>
          <w:p>
            <w:pPr>
              <w:spacing w:after="0"/>
              <w:rPr>
                <w:sz w:val="12"/>
                <w:szCs w:val="12"/>
                <w:color w:val="auto"/>
              </w:rPr>
            </w:pPr>
          </w:p>
        </w:tc>
        <w:tc>
          <w:tcPr>
            <w:tcW w:w="140" w:type="dxa"/>
            <w:vAlign w:val="bottom"/>
            <w:shd w:val="clear" w:color="auto" w:fill="C00000"/>
          </w:tcPr>
          <w:p>
            <w:pPr>
              <w:spacing w:after="0"/>
              <w:rPr>
                <w:sz w:val="12"/>
                <w:szCs w:val="12"/>
                <w:color w:val="auto"/>
              </w:rPr>
            </w:pPr>
          </w:p>
        </w:tc>
        <w:tc>
          <w:tcPr>
            <w:tcW w:w="1040" w:type="dxa"/>
            <w:vAlign w:val="bottom"/>
            <w:shd w:val="clear" w:color="auto" w:fill="C00000"/>
          </w:tcPr>
          <w:p>
            <w:pPr>
              <w:jc w:val="center"/>
              <w:ind w:left="76"/>
              <w:spacing w:after="0"/>
              <w:rPr>
                <w:sz w:val="20"/>
                <w:szCs w:val="20"/>
                <w:color w:val="auto"/>
              </w:rPr>
            </w:pPr>
            <w:r>
              <w:rPr>
                <w:rFonts w:ascii="Arial" w:cs="Arial" w:eastAsia="Arial" w:hAnsi="Arial"/>
                <w:sz w:val="11"/>
                <w:szCs w:val="11"/>
                <w:b w:val="1"/>
                <w:bCs w:val="1"/>
                <w:color w:val="FFFFFF"/>
              </w:rPr>
              <w:t>($)</w:t>
            </w:r>
          </w:p>
        </w:tc>
        <w:tc>
          <w:tcPr>
            <w:tcW w:w="160" w:type="dxa"/>
            <w:vAlign w:val="bottom"/>
            <w:shd w:val="clear" w:color="auto" w:fill="C00000"/>
          </w:tcPr>
          <w:p>
            <w:pPr>
              <w:spacing w:after="0"/>
              <w:rPr>
                <w:sz w:val="12"/>
                <w:szCs w:val="12"/>
                <w:color w:val="auto"/>
              </w:rPr>
            </w:pPr>
          </w:p>
        </w:tc>
        <w:tc>
          <w:tcPr>
            <w:tcW w:w="1360" w:type="dxa"/>
            <w:vAlign w:val="bottom"/>
            <w:shd w:val="clear" w:color="auto" w:fill="C00000"/>
          </w:tcPr>
          <w:p>
            <w:pPr>
              <w:jc w:val="center"/>
              <w:ind w:left="76"/>
              <w:spacing w:after="0"/>
              <w:rPr>
                <w:sz w:val="20"/>
                <w:szCs w:val="20"/>
                <w:color w:val="auto"/>
              </w:rPr>
            </w:pPr>
            <w:r>
              <w:rPr>
                <w:rFonts w:ascii="Arial" w:cs="Arial" w:eastAsia="Arial" w:hAnsi="Arial"/>
                <w:sz w:val="11"/>
                <w:szCs w:val="11"/>
                <w:b w:val="1"/>
                <w:bCs w:val="1"/>
                <w:color w:val="FFFFFF"/>
              </w:rPr>
              <w:t>($)</w:t>
            </w:r>
          </w:p>
        </w:tc>
        <w:tc>
          <w:tcPr>
            <w:tcW w:w="20" w:type="dxa"/>
            <w:vAlign w:val="bottom"/>
            <w:shd w:val="clear" w:color="auto" w:fill="C00000"/>
          </w:tcPr>
          <w:p>
            <w:pPr>
              <w:spacing w:after="0"/>
              <w:rPr>
                <w:sz w:val="12"/>
                <w:szCs w:val="12"/>
                <w:color w:val="auto"/>
              </w:rPr>
            </w:pPr>
          </w:p>
        </w:tc>
        <w:tc>
          <w:tcPr>
            <w:tcW w:w="140" w:type="dxa"/>
            <w:vAlign w:val="bottom"/>
            <w:shd w:val="clear" w:color="auto" w:fill="C00000"/>
          </w:tcPr>
          <w:p>
            <w:pPr>
              <w:spacing w:after="0"/>
              <w:rPr>
                <w:sz w:val="12"/>
                <w:szCs w:val="12"/>
                <w:color w:val="auto"/>
              </w:rPr>
            </w:pP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Richard M. Olson</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5,827,500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6"/>
        </w:trPr>
        <w:tc>
          <w:tcPr>
            <w:tcW w:w="3740" w:type="dxa"/>
            <w:vAlign w:val="bottom"/>
          </w:tcPr>
          <w:p>
            <w:pPr>
              <w:ind w:left="220"/>
              <w:spacing w:after="0" w:line="166"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4,134,132</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4,134,132</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4,134,132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3"/>
        </w:trPr>
        <w:tc>
          <w:tcPr>
            <w:tcW w:w="3740" w:type="dxa"/>
            <w:vAlign w:val="bottom"/>
          </w:tcPr>
          <w:p>
            <w:pPr>
              <w:ind w:left="220"/>
              <w:spacing w:after="0"/>
              <w:rPr>
                <w:sz w:val="20"/>
                <w:szCs w:val="20"/>
                <w:color w:val="auto"/>
              </w:rPr>
            </w:pPr>
            <w:r>
              <w:rPr>
                <w:rFonts w:ascii="Arial" w:cs="Arial" w:eastAsia="Arial" w:hAnsi="Arial"/>
                <w:sz w:val="13"/>
                <w:szCs w:val="13"/>
                <w:color w:val="auto"/>
              </w:rPr>
              <w:t>Performance Share Award Payouts</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1,876,033</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1040" w:type="dxa"/>
            <w:vAlign w:val="bottom"/>
          </w:tcPr>
          <w:p>
            <w:pPr>
              <w:jc w:val="right"/>
              <w:spacing w:after="0"/>
              <w:rPr>
                <w:sz w:val="20"/>
                <w:szCs w:val="20"/>
                <w:color w:val="auto"/>
              </w:rPr>
            </w:pPr>
            <w:r>
              <w:rPr>
                <w:rFonts w:ascii="Arial" w:cs="Arial" w:eastAsia="Arial" w:hAnsi="Arial"/>
                <w:sz w:val="13"/>
                <w:szCs w:val="13"/>
                <w:color w:val="auto"/>
              </w:rPr>
              <w:t>1,876,033</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2,061,839</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(5)</w:t>
            </w:r>
          </w:p>
        </w:tc>
        <w:tc>
          <w:tcPr>
            <w:tcW w:w="1360" w:type="dxa"/>
            <w:vAlign w:val="bottom"/>
          </w:tcPr>
          <w:p>
            <w:pPr>
              <w:jc w:val="right"/>
              <w:spacing w:after="0"/>
              <w:rPr>
                <w:sz w:val="20"/>
                <w:szCs w:val="20"/>
                <w:color w:val="auto"/>
              </w:rPr>
            </w:pPr>
            <w:r>
              <w:rPr>
                <w:rFonts w:ascii="Arial" w:cs="Arial" w:eastAsia="Arial" w:hAnsi="Arial"/>
                <w:sz w:val="13"/>
                <w:szCs w:val="13"/>
                <w:color w:val="auto"/>
              </w:rPr>
              <w:t>2,061,839</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w w:val="88"/>
              </w:rPr>
              <w:t>(5)</w:t>
            </w: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63,186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30,000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3740" w:type="dxa"/>
            <w:vAlign w:val="bottom"/>
          </w:tcPr>
          <w:p>
            <w:pPr>
              <w:ind w:left="220"/>
              <w:spacing w:after="0" w:line="150" w:lineRule="exact"/>
              <w:rPr>
                <w:sz w:val="20"/>
                <w:szCs w:val="20"/>
                <w:color w:val="auto"/>
              </w:rPr>
            </w:pPr>
            <w:r>
              <w:rPr>
                <w:rFonts w:ascii="Arial" w:cs="Arial" w:eastAsia="Arial" w:hAnsi="Arial"/>
                <w:sz w:val="11"/>
                <w:szCs w:val="11"/>
                <w:color w:val="auto"/>
              </w:rPr>
              <w:t>Perquisites</w:t>
            </w:r>
            <w:r>
              <w:rPr>
                <w:rFonts w:ascii="Arial" w:cs="Arial" w:eastAsia="Arial" w:hAnsi="Arial"/>
                <w:sz w:val="17"/>
                <w:szCs w:val="17"/>
                <w:color w:val="auto"/>
                <w:vertAlign w:val="superscript"/>
              </w:rPr>
              <w:t>(8)</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24,966</w:t>
            </w:r>
          </w:p>
        </w:tc>
        <w:tc>
          <w:tcPr>
            <w:tcW w:w="16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2"/>
        </w:trPr>
        <w:tc>
          <w:tcPr>
            <w:tcW w:w="37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rPr>
              <w:t>1,900,999</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6,010,165</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6,195,971</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12,116,657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9"/>
        </w:trPr>
        <w:tc>
          <w:tcPr>
            <w:tcW w:w="3740" w:type="dxa"/>
            <w:vAlign w:val="bottom"/>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spacing w:after="0"/>
              <w:rPr>
                <w:sz w:val="13"/>
                <w:szCs w:val="13"/>
                <w:color w:val="auto"/>
              </w:rPr>
            </w:pP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1,874,250</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1,082,440</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1,082,440</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1,082,440</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shd w:val="clear" w:color="auto" w:fill="D9D9D9"/>
          </w:tcPr>
          <w:p>
            <w:pPr>
              <w:ind w:left="220"/>
              <w:spacing w:after="0"/>
              <w:rPr>
                <w:sz w:val="20"/>
                <w:szCs w:val="20"/>
                <w:color w:val="auto"/>
              </w:rPr>
            </w:pPr>
            <w:r>
              <w:rPr>
                <w:rFonts w:ascii="Arial" w:cs="Arial" w:eastAsia="Arial" w:hAnsi="Arial"/>
                <w:sz w:val="13"/>
                <w:szCs w:val="13"/>
                <w:color w:val="auto"/>
              </w:rPr>
              <w:t>Performance Share Award Payouts</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494,018</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w w:val="88"/>
              </w:rPr>
              <w:t>(4)</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494,018</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w w:val="88"/>
              </w:rPr>
              <w:t>(4)</w:t>
            </w: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545,001</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w w:val="88"/>
              </w:rPr>
              <w:t>(5)</w:t>
            </w: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545,001</w:t>
            </w:r>
          </w:p>
        </w:tc>
        <w:tc>
          <w:tcPr>
            <w:tcW w:w="1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w w:val="88"/>
              </w:rPr>
              <w:t>(5)</w:t>
            </w:r>
          </w:p>
        </w:tc>
      </w:tr>
      <w:tr>
        <w:trPr>
          <w:trHeight w:val="159"/>
        </w:trPr>
        <w:tc>
          <w:tcPr>
            <w:tcW w:w="374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43,710</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30,000</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tcBorders>
              <w:bottom w:val="single" w:sz="8" w:color="D9D9D9"/>
            </w:tcBorders>
            <w:shd w:val="clear" w:color="auto" w:fill="D9D9D9"/>
          </w:tcPr>
          <w:p>
            <w:pPr>
              <w:ind w:left="220"/>
              <w:spacing w:after="0" w:line="159" w:lineRule="exact"/>
              <w:rPr>
                <w:sz w:val="20"/>
                <w:szCs w:val="20"/>
                <w:color w:val="auto"/>
              </w:rPr>
            </w:pPr>
            <w:r>
              <w:rPr>
                <w:rFonts w:ascii="Arial" w:cs="Arial" w:eastAsia="Arial" w:hAnsi="Arial"/>
                <w:sz w:val="11"/>
                <w:szCs w:val="11"/>
                <w:color w:val="auto"/>
              </w:rPr>
              <w:t>Perquisites</w:t>
            </w:r>
            <w:r>
              <w:rPr>
                <w:rFonts w:ascii="Arial" w:cs="Arial" w:eastAsia="Arial" w:hAnsi="Arial"/>
                <w:sz w:val="18"/>
                <w:szCs w:val="18"/>
                <w:color w:val="auto"/>
                <w:vertAlign w:val="superscript"/>
              </w:rPr>
              <w:t>(8)</w:t>
            </w:r>
          </w:p>
        </w:tc>
        <w:tc>
          <w:tcPr>
            <w:tcW w:w="120" w:type="dxa"/>
            <w:vAlign w:val="bottom"/>
            <w:tcBorders>
              <w:bottom w:val="single" w:sz="8" w:color="D9D9D9"/>
            </w:tcBorders>
            <w:shd w:val="clear" w:color="auto" w:fill="D9D9D9"/>
          </w:tcPr>
          <w:p>
            <w:pPr>
              <w:spacing w:after="0"/>
              <w:rPr>
                <w:sz w:val="13"/>
                <w:szCs w:val="13"/>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36,057</w:t>
            </w:r>
          </w:p>
        </w:tc>
        <w:tc>
          <w:tcPr>
            <w:tcW w:w="160" w:type="dxa"/>
            <w:vAlign w:val="bottom"/>
            <w:tcBorders>
              <w:bottom w:val="single" w:sz="8" w:color="D9D9D9"/>
            </w:tcBorders>
            <w:shd w:val="clear" w:color="auto" w:fill="D9D9D9"/>
          </w:tcPr>
          <w:p>
            <w:pPr>
              <w:spacing w:after="0"/>
              <w:rPr>
                <w:sz w:val="13"/>
                <w:szCs w:val="13"/>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tcBorders>
              <w:bottom w:val="single" w:sz="8" w:color="D9D9D9"/>
            </w:tcBorders>
            <w:shd w:val="clear" w:color="auto" w:fill="D9D9D9"/>
          </w:tcPr>
          <w:p>
            <w:pPr>
              <w:spacing w:after="0"/>
              <w:rPr>
                <w:sz w:val="13"/>
                <w:szCs w:val="13"/>
                <w:color w:val="auto"/>
              </w:rPr>
            </w:pPr>
          </w:p>
        </w:tc>
        <w:tc>
          <w:tcPr>
            <w:tcW w:w="1020" w:type="dxa"/>
            <w:vAlign w:val="bottom"/>
            <w:tcBorders>
              <w:bottom w:val="single" w:sz="8" w:color="auto"/>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Borders>
              <w:bottom w:val="single" w:sz="8" w:color="D9D9D9"/>
            </w:tcBorders>
            <w:shd w:val="clear" w:color="auto" w:fill="D9D9D9"/>
          </w:tcPr>
          <w:p>
            <w:pPr>
              <w:spacing w:after="0"/>
              <w:rPr>
                <w:sz w:val="13"/>
                <w:szCs w:val="13"/>
                <w:color w:val="auto"/>
              </w:rPr>
            </w:pPr>
          </w:p>
        </w:tc>
        <w:tc>
          <w:tcPr>
            <w:tcW w:w="960" w:type="dxa"/>
            <w:vAlign w:val="bottom"/>
            <w:tcBorders>
              <w:bottom w:val="single" w:sz="8" w:color="auto"/>
            </w:tcBorders>
            <w:shd w:val="clear" w:color="auto" w:fill="D9D9D9"/>
          </w:tcPr>
          <w:p>
            <w:pPr>
              <w:spacing w:after="0"/>
              <w:rPr>
                <w:sz w:val="13"/>
                <w:szCs w:val="13"/>
                <w:color w:val="auto"/>
              </w:rPr>
            </w:pPr>
          </w:p>
        </w:tc>
        <w:tc>
          <w:tcPr>
            <w:tcW w:w="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tcBorders>
              <w:bottom w:val="single" w:sz="8" w:color="D9D9D9"/>
            </w:tcBorders>
            <w:shd w:val="clear" w:color="auto" w:fill="D9D9D9"/>
          </w:tcPr>
          <w:p>
            <w:pPr>
              <w:spacing w:after="0"/>
              <w:rPr>
                <w:sz w:val="13"/>
                <w:szCs w:val="13"/>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tcBorders>
              <w:bottom w:val="single" w:sz="8" w:color="D9D9D9"/>
            </w:tcBorders>
            <w:shd w:val="clear" w:color="auto" w:fill="D9D9D9"/>
          </w:tcPr>
          <w:p>
            <w:pPr>
              <w:spacing w:after="0"/>
              <w:rPr>
                <w:sz w:val="13"/>
                <w:szCs w:val="13"/>
                <w:color w:val="auto"/>
              </w:rPr>
            </w:pPr>
          </w:p>
        </w:tc>
        <w:tc>
          <w:tcPr>
            <w:tcW w:w="13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0" w:type="dxa"/>
            <w:vAlign w:val="bottom"/>
            <w:tcBorders>
              <w:bottom w:val="single" w:sz="8" w:color="auto"/>
            </w:tcBorders>
            <w:shd w:val="clear" w:color="auto" w:fill="D9D9D9"/>
          </w:tcPr>
          <w:p>
            <w:pPr>
              <w:spacing w:after="0"/>
              <w:rPr>
                <w:sz w:val="13"/>
                <w:szCs w:val="13"/>
                <w:color w:val="auto"/>
              </w:rPr>
            </w:pPr>
          </w:p>
        </w:tc>
        <w:tc>
          <w:tcPr>
            <w:tcW w:w="140" w:type="dxa"/>
            <w:vAlign w:val="bottom"/>
            <w:tcBorders>
              <w:bottom w:val="single" w:sz="8" w:color="D9D9D9"/>
            </w:tcBorders>
            <w:shd w:val="clear" w:color="auto" w:fill="D9D9D9"/>
          </w:tcPr>
          <w:p>
            <w:pPr>
              <w:spacing w:after="0"/>
              <w:rPr>
                <w:sz w:val="13"/>
                <w:szCs w:val="13"/>
                <w:color w:val="auto"/>
              </w:rPr>
            </w:pPr>
          </w:p>
        </w:tc>
      </w:tr>
      <w:tr>
        <w:trPr>
          <w:trHeight w:val="152"/>
        </w:trPr>
        <w:tc>
          <w:tcPr>
            <w:tcW w:w="374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Total</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530,075</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1,576,458</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1,627,441</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3,575,401</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Timothy P. Dordell</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1,443,200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6"/>
        </w:trPr>
        <w:tc>
          <w:tcPr>
            <w:tcW w:w="3740" w:type="dxa"/>
            <w:vAlign w:val="bottom"/>
          </w:tcPr>
          <w:p>
            <w:pPr>
              <w:ind w:left="220"/>
              <w:spacing w:after="0" w:line="166"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9"/>
                <w:szCs w:val="19"/>
                <w:color w:val="auto"/>
                <w:vertAlign w:val="superscript"/>
              </w:rPr>
              <w:t>(3)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710,409</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710,409</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710,409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3"/>
        </w:trPr>
        <w:tc>
          <w:tcPr>
            <w:tcW w:w="3740" w:type="dxa"/>
            <w:vAlign w:val="bottom"/>
          </w:tcPr>
          <w:p>
            <w:pPr>
              <w:ind w:left="220"/>
              <w:spacing w:after="0"/>
              <w:rPr>
                <w:sz w:val="20"/>
                <w:szCs w:val="20"/>
                <w:color w:val="auto"/>
              </w:rPr>
            </w:pPr>
            <w:r>
              <w:rPr>
                <w:rFonts w:ascii="Arial" w:cs="Arial" w:eastAsia="Arial" w:hAnsi="Arial"/>
                <w:sz w:val="13"/>
                <w:szCs w:val="13"/>
                <w:color w:val="auto"/>
              </w:rPr>
              <w:t>Performance Share Award Payouts</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325,797</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1040" w:type="dxa"/>
            <w:vAlign w:val="bottom"/>
          </w:tcPr>
          <w:p>
            <w:pPr>
              <w:jc w:val="right"/>
              <w:spacing w:after="0"/>
              <w:rPr>
                <w:sz w:val="20"/>
                <w:szCs w:val="20"/>
                <w:color w:val="auto"/>
              </w:rPr>
            </w:pPr>
            <w:r>
              <w:rPr>
                <w:rFonts w:ascii="Arial" w:cs="Arial" w:eastAsia="Arial" w:hAnsi="Arial"/>
                <w:sz w:val="13"/>
                <w:szCs w:val="13"/>
                <w:color w:val="auto"/>
              </w:rPr>
              <w:t>325,797</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359,889</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(5)</w:t>
            </w:r>
          </w:p>
        </w:tc>
        <w:tc>
          <w:tcPr>
            <w:tcW w:w="1360" w:type="dxa"/>
            <w:vAlign w:val="bottom"/>
          </w:tcPr>
          <w:p>
            <w:pPr>
              <w:jc w:val="right"/>
              <w:spacing w:after="0"/>
              <w:rPr>
                <w:sz w:val="20"/>
                <w:szCs w:val="20"/>
                <w:color w:val="auto"/>
              </w:rPr>
            </w:pPr>
            <w:r>
              <w:rPr>
                <w:rFonts w:ascii="Arial" w:cs="Arial" w:eastAsia="Arial" w:hAnsi="Arial"/>
                <w:sz w:val="13"/>
                <w:szCs w:val="13"/>
                <w:color w:val="auto"/>
              </w:rPr>
              <w:t>359,889</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w w:val="88"/>
              </w:rPr>
              <w:t>(5)</w:t>
            </w: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43,374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30,000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3740" w:type="dxa"/>
            <w:vAlign w:val="bottom"/>
          </w:tcPr>
          <w:p>
            <w:pPr>
              <w:ind w:left="220"/>
              <w:spacing w:after="0" w:line="150" w:lineRule="exact"/>
              <w:rPr>
                <w:sz w:val="20"/>
                <w:szCs w:val="20"/>
                <w:color w:val="auto"/>
              </w:rPr>
            </w:pPr>
            <w:r>
              <w:rPr>
                <w:rFonts w:ascii="Arial" w:cs="Arial" w:eastAsia="Arial" w:hAnsi="Arial"/>
                <w:sz w:val="11"/>
                <w:szCs w:val="11"/>
                <w:color w:val="auto"/>
              </w:rPr>
              <w:t>Perquisites</w:t>
            </w:r>
            <w:r>
              <w:rPr>
                <w:rFonts w:ascii="Arial" w:cs="Arial" w:eastAsia="Arial" w:hAnsi="Arial"/>
                <w:sz w:val="17"/>
                <w:szCs w:val="17"/>
                <w:color w:val="auto"/>
                <w:vertAlign w:val="superscript"/>
              </w:rPr>
              <w:t>(8)</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37,480</w:t>
            </w:r>
          </w:p>
        </w:tc>
        <w:tc>
          <w:tcPr>
            <w:tcW w:w="16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2"/>
        </w:trPr>
        <w:tc>
          <w:tcPr>
            <w:tcW w:w="37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rPr>
              <w:t>363,277</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1,036,206</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1,070,298</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2,586,872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9"/>
        </w:trPr>
        <w:tc>
          <w:tcPr>
            <w:tcW w:w="3740" w:type="dxa"/>
            <w:vAlign w:val="bottom"/>
            <w:shd w:val="clear" w:color="auto" w:fill="D9D9D9"/>
          </w:tcPr>
          <w:p>
            <w:pPr>
              <w:spacing w:after="0"/>
              <w:rPr>
                <w:sz w:val="20"/>
                <w:szCs w:val="20"/>
                <w:color w:val="auto"/>
              </w:rPr>
            </w:pPr>
            <w:r>
              <w:rPr>
                <w:rFonts w:ascii="Arial" w:cs="Arial" w:eastAsia="Arial" w:hAnsi="Arial"/>
                <w:sz w:val="13"/>
                <w:szCs w:val="13"/>
                <w:color w:val="auto"/>
              </w:rPr>
              <w:t>Bradley A. Hamilton</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spacing w:after="0"/>
              <w:rPr>
                <w:sz w:val="13"/>
                <w:szCs w:val="13"/>
                <w:color w:val="auto"/>
              </w:rPr>
            </w:pP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1,280,000</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577,796</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577,796</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577,796</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shd w:val="clear" w:color="auto" w:fill="D9D9D9"/>
          </w:tcPr>
          <w:p>
            <w:pPr>
              <w:ind w:left="220"/>
              <w:spacing w:after="0"/>
              <w:rPr>
                <w:sz w:val="20"/>
                <w:szCs w:val="20"/>
                <w:color w:val="auto"/>
              </w:rPr>
            </w:pPr>
            <w:r>
              <w:rPr>
                <w:rFonts w:ascii="Arial" w:cs="Arial" w:eastAsia="Arial" w:hAnsi="Arial"/>
                <w:sz w:val="13"/>
                <w:szCs w:val="13"/>
                <w:color w:val="auto"/>
              </w:rPr>
              <w:t>Performance Share Award Payouts</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272,346</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w w:val="88"/>
              </w:rPr>
              <w:t>(4)</w:t>
            </w: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272,346</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w w:val="88"/>
              </w:rPr>
              <w:t>(4)</w:t>
            </w: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298,185</w:t>
            </w:r>
          </w:p>
        </w:tc>
        <w:tc>
          <w:tcPr>
            <w:tcW w:w="160" w:type="dxa"/>
            <w:vAlign w:val="bottom"/>
            <w:shd w:val="clear" w:color="auto" w:fill="D9D9D9"/>
          </w:tcPr>
          <w:p>
            <w:pPr>
              <w:jc w:val="right"/>
              <w:spacing w:after="0"/>
              <w:rPr>
                <w:sz w:val="20"/>
                <w:szCs w:val="20"/>
                <w:color w:val="auto"/>
              </w:rPr>
            </w:pPr>
            <w:r>
              <w:rPr>
                <w:rFonts w:ascii="Arial" w:cs="Arial" w:eastAsia="Arial" w:hAnsi="Arial"/>
                <w:sz w:val="11"/>
                <w:szCs w:val="11"/>
                <w:color w:val="auto"/>
                <w:w w:val="88"/>
              </w:rPr>
              <w:t>(5)</w:t>
            </w: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298,185</w:t>
            </w:r>
          </w:p>
        </w:tc>
        <w:tc>
          <w:tcPr>
            <w:tcW w:w="1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w w:val="88"/>
              </w:rPr>
              <w:t>(5)</w:t>
            </w:r>
          </w:p>
        </w:tc>
      </w:tr>
      <w:tr>
        <w:trPr>
          <w:trHeight w:val="159"/>
        </w:trPr>
        <w:tc>
          <w:tcPr>
            <w:tcW w:w="374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61,107</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shd w:val="clear" w:color="auto" w:fill="D9D9D9"/>
          </w:tcPr>
          <w:p>
            <w:pPr>
              <w:ind w:left="220"/>
              <w:spacing w:after="0" w:line="159"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30,000</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59"/>
        </w:trPr>
        <w:tc>
          <w:tcPr>
            <w:tcW w:w="3740" w:type="dxa"/>
            <w:vAlign w:val="bottom"/>
            <w:tcBorders>
              <w:bottom w:val="single" w:sz="8" w:color="D9D9D9"/>
            </w:tcBorders>
            <w:shd w:val="clear" w:color="auto" w:fill="D9D9D9"/>
          </w:tcPr>
          <w:p>
            <w:pPr>
              <w:ind w:left="220"/>
              <w:spacing w:after="0" w:line="159" w:lineRule="exact"/>
              <w:rPr>
                <w:sz w:val="20"/>
                <w:szCs w:val="20"/>
                <w:color w:val="auto"/>
              </w:rPr>
            </w:pPr>
            <w:r>
              <w:rPr>
                <w:rFonts w:ascii="Arial" w:cs="Arial" w:eastAsia="Arial" w:hAnsi="Arial"/>
                <w:sz w:val="11"/>
                <w:szCs w:val="11"/>
                <w:color w:val="auto"/>
              </w:rPr>
              <w:t>Perquisites</w:t>
            </w:r>
            <w:r>
              <w:rPr>
                <w:rFonts w:ascii="Arial" w:cs="Arial" w:eastAsia="Arial" w:hAnsi="Arial"/>
                <w:sz w:val="18"/>
                <w:szCs w:val="18"/>
                <w:color w:val="auto"/>
                <w:vertAlign w:val="superscript"/>
              </w:rPr>
              <w:t>(8)</w:t>
            </w:r>
          </w:p>
        </w:tc>
        <w:tc>
          <w:tcPr>
            <w:tcW w:w="120" w:type="dxa"/>
            <w:vAlign w:val="bottom"/>
            <w:tcBorders>
              <w:bottom w:val="single" w:sz="8" w:color="D9D9D9"/>
            </w:tcBorders>
            <w:shd w:val="clear" w:color="auto" w:fill="D9D9D9"/>
          </w:tcPr>
          <w:p>
            <w:pPr>
              <w:spacing w:after="0"/>
              <w:rPr>
                <w:sz w:val="13"/>
                <w:szCs w:val="13"/>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29,682</w:t>
            </w:r>
          </w:p>
        </w:tc>
        <w:tc>
          <w:tcPr>
            <w:tcW w:w="160" w:type="dxa"/>
            <w:vAlign w:val="bottom"/>
            <w:tcBorders>
              <w:bottom w:val="single" w:sz="8" w:color="D9D9D9"/>
            </w:tcBorders>
            <w:shd w:val="clear" w:color="auto" w:fill="D9D9D9"/>
          </w:tcPr>
          <w:p>
            <w:pPr>
              <w:spacing w:after="0"/>
              <w:rPr>
                <w:sz w:val="13"/>
                <w:szCs w:val="13"/>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tcBorders>
              <w:bottom w:val="single" w:sz="8" w:color="D9D9D9"/>
            </w:tcBorders>
            <w:shd w:val="clear" w:color="auto" w:fill="D9D9D9"/>
          </w:tcPr>
          <w:p>
            <w:pPr>
              <w:spacing w:after="0"/>
              <w:rPr>
                <w:sz w:val="13"/>
                <w:szCs w:val="13"/>
                <w:color w:val="auto"/>
              </w:rPr>
            </w:pPr>
          </w:p>
        </w:tc>
        <w:tc>
          <w:tcPr>
            <w:tcW w:w="1020" w:type="dxa"/>
            <w:vAlign w:val="bottom"/>
            <w:tcBorders>
              <w:bottom w:val="single" w:sz="8" w:color="auto"/>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Borders>
              <w:bottom w:val="single" w:sz="8" w:color="D9D9D9"/>
            </w:tcBorders>
            <w:shd w:val="clear" w:color="auto" w:fill="D9D9D9"/>
          </w:tcPr>
          <w:p>
            <w:pPr>
              <w:spacing w:after="0"/>
              <w:rPr>
                <w:sz w:val="13"/>
                <w:szCs w:val="13"/>
                <w:color w:val="auto"/>
              </w:rPr>
            </w:pPr>
          </w:p>
        </w:tc>
        <w:tc>
          <w:tcPr>
            <w:tcW w:w="960" w:type="dxa"/>
            <w:vAlign w:val="bottom"/>
            <w:tcBorders>
              <w:bottom w:val="single" w:sz="8" w:color="auto"/>
            </w:tcBorders>
            <w:shd w:val="clear" w:color="auto" w:fill="D9D9D9"/>
          </w:tcPr>
          <w:p>
            <w:pPr>
              <w:spacing w:after="0"/>
              <w:rPr>
                <w:sz w:val="13"/>
                <w:szCs w:val="13"/>
                <w:color w:val="auto"/>
              </w:rPr>
            </w:pPr>
          </w:p>
        </w:tc>
        <w:tc>
          <w:tcPr>
            <w:tcW w:w="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40" w:type="dxa"/>
            <w:vAlign w:val="bottom"/>
            <w:tcBorders>
              <w:bottom w:val="single" w:sz="8" w:color="D9D9D9"/>
            </w:tcBorders>
            <w:shd w:val="clear" w:color="auto" w:fill="D9D9D9"/>
          </w:tcPr>
          <w:p>
            <w:pPr>
              <w:spacing w:after="0"/>
              <w:rPr>
                <w:sz w:val="13"/>
                <w:szCs w:val="13"/>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160" w:type="dxa"/>
            <w:vAlign w:val="bottom"/>
            <w:tcBorders>
              <w:bottom w:val="single" w:sz="8" w:color="D9D9D9"/>
            </w:tcBorders>
            <w:shd w:val="clear" w:color="auto" w:fill="D9D9D9"/>
          </w:tcPr>
          <w:p>
            <w:pPr>
              <w:spacing w:after="0"/>
              <w:rPr>
                <w:sz w:val="13"/>
                <w:szCs w:val="13"/>
                <w:color w:val="auto"/>
              </w:rPr>
            </w:pPr>
          </w:p>
        </w:tc>
        <w:tc>
          <w:tcPr>
            <w:tcW w:w="13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0</w:t>
            </w:r>
          </w:p>
        </w:tc>
        <w:tc>
          <w:tcPr>
            <w:tcW w:w="20" w:type="dxa"/>
            <w:vAlign w:val="bottom"/>
            <w:tcBorders>
              <w:bottom w:val="single" w:sz="8" w:color="auto"/>
            </w:tcBorders>
            <w:shd w:val="clear" w:color="auto" w:fill="D9D9D9"/>
          </w:tcPr>
          <w:p>
            <w:pPr>
              <w:spacing w:after="0"/>
              <w:rPr>
                <w:sz w:val="13"/>
                <w:szCs w:val="13"/>
                <w:color w:val="auto"/>
              </w:rPr>
            </w:pPr>
          </w:p>
        </w:tc>
        <w:tc>
          <w:tcPr>
            <w:tcW w:w="140" w:type="dxa"/>
            <w:vAlign w:val="bottom"/>
            <w:tcBorders>
              <w:bottom w:val="single" w:sz="8" w:color="D9D9D9"/>
            </w:tcBorders>
            <w:shd w:val="clear" w:color="auto" w:fill="D9D9D9"/>
          </w:tcPr>
          <w:p>
            <w:pPr>
              <w:spacing w:after="0"/>
              <w:rPr>
                <w:sz w:val="13"/>
                <w:szCs w:val="13"/>
                <w:color w:val="auto"/>
              </w:rPr>
            </w:pPr>
          </w:p>
        </w:tc>
      </w:tr>
      <w:tr>
        <w:trPr>
          <w:trHeight w:val="152"/>
        </w:trPr>
        <w:tc>
          <w:tcPr>
            <w:tcW w:w="3740" w:type="dxa"/>
            <w:vAlign w:val="bottom"/>
            <w:shd w:val="clear" w:color="auto" w:fill="D9D9D9"/>
          </w:tcPr>
          <w:p>
            <w:pPr>
              <w:spacing w:after="0"/>
              <w:rPr>
                <w:sz w:val="20"/>
                <w:szCs w:val="20"/>
                <w:color w:val="auto"/>
              </w:rPr>
            </w:pPr>
            <w:r>
              <w:rPr>
                <w:rFonts w:ascii="Arial" w:cs="Arial" w:eastAsia="Arial" w:hAnsi="Arial"/>
                <w:sz w:val="13"/>
                <w:szCs w:val="13"/>
                <w:b w:val="1"/>
                <w:bCs w:val="1"/>
                <w:color w:val="auto"/>
              </w:rPr>
              <w:t>Total</w:t>
            </w:r>
          </w:p>
        </w:tc>
        <w:tc>
          <w:tcPr>
            <w:tcW w:w="12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302,028</w:t>
            </w:r>
          </w:p>
        </w:tc>
        <w:tc>
          <w:tcPr>
            <w:tcW w:w="16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850,142</w:t>
            </w:r>
          </w:p>
        </w:tc>
        <w:tc>
          <w:tcPr>
            <w:tcW w:w="160" w:type="dxa"/>
            <w:vAlign w:val="bottom"/>
            <w:shd w:val="clear" w:color="auto" w:fill="D9D9D9"/>
          </w:tcPr>
          <w:p>
            <w:pPr>
              <w:spacing w:after="0"/>
              <w:rPr>
                <w:sz w:val="13"/>
                <w:szCs w:val="13"/>
                <w:color w:val="auto"/>
              </w:rPr>
            </w:pPr>
          </w:p>
        </w:tc>
        <w:tc>
          <w:tcPr>
            <w:tcW w:w="1020" w:type="dxa"/>
            <w:vAlign w:val="bottom"/>
            <w:shd w:val="clear" w:color="auto" w:fill="D9D9D9"/>
          </w:tcPr>
          <w:p>
            <w:pPr>
              <w:spacing w:after="0"/>
              <w:rPr>
                <w:sz w:val="13"/>
                <w:szCs w:val="13"/>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w w:val="82"/>
              </w:rPr>
              <w:t>0</w:t>
            </w:r>
          </w:p>
        </w:tc>
        <w:tc>
          <w:tcPr>
            <w:tcW w:w="140" w:type="dxa"/>
            <w:vAlign w:val="bottom"/>
            <w:shd w:val="clear" w:color="auto" w:fill="D9D9D9"/>
          </w:tcPr>
          <w:p>
            <w:pPr>
              <w:spacing w:after="0"/>
              <w:rPr>
                <w:sz w:val="13"/>
                <w:szCs w:val="13"/>
                <w:color w:val="auto"/>
              </w:rPr>
            </w:pPr>
          </w:p>
        </w:tc>
        <w:tc>
          <w:tcPr>
            <w:tcW w:w="960" w:type="dxa"/>
            <w:vAlign w:val="bottom"/>
            <w:shd w:val="clear" w:color="auto" w:fill="D9D9D9"/>
          </w:tcPr>
          <w:p>
            <w:pPr>
              <w:spacing w:after="0"/>
              <w:rPr>
                <w:sz w:val="13"/>
                <w:szCs w:val="13"/>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0</w:t>
            </w:r>
          </w:p>
        </w:tc>
        <w:tc>
          <w:tcPr>
            <w:tcW w:w="140" w:type="dxa"/>
            <w:vAlign w:val="bottom"/>
            <w:shd w:val="clear" w:color="auto" w:fill="D9D9D9"/>
          </w:tcPr>
          <w:p>
            <w:pPr>
              <w:spacing w:after="0"/>
              <w:rPr>
                <w:sz w:val="13"/>
                <w:szCs w:val="13"/>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875,981</w:t>
            </w:r>
          </w:p>
        </w:tc>
        <w:tc>
          <w:tcPr>
            <w:tcW w:w="160" w:type="dxa"/>
            <w:vAlign w:val="bottom"/>
            <w:shd w:val="clear" w:color="auto" w:fill="D9D9D9"/>
          </w:tcPr>
          <w:p>
            <w:pPr>
              <w:spacing w:after="0"/>
              <w:rPr>
                <w:sz w:val="13"/>
                <w:szCs w:val="13"/>
                <w:color w:val="auto"/>
              </w:rPr>
            </w:pPr>
          </w:p>
        </w:tc>
        <w:tc>
          <w:tcPr>
            <w:tcW w:w="136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2,247,088</w:t>
            </w: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Richard W. Rodier</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1,232,000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260,619</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260,619</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260,619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6"/>
        </w:trPr>
        <w:tc>
          <w:tcPr>
            <w:tcW w:w="3740" w:type="dxa"/>
            <w:vAlign w:val="bottom"/>
          </w:tcPr>
          <w:p>
            <w:pPr>
              <w:ind w:left="220"/>
              <w:spacing w:after="0" w:line="166" w:lineRule="exact"/>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9"/>
                <w:szCs w:val="19"/>
                <w:color w:val="auto"/>
                <w:vertAlign w:val="superscript"/>
              </w:rPr>
              <w:t>(9)</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298,879</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298,879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3"/>
        </w:trPr>
        <w:tc>
          <w:tcPr>
            <w:tcW w:w="3740" w:type="dxa"/>
            <w:vAlign w:val="bottom"/>
          </w:tcPr>
          <w:p>
            <w:pPr>
              <w:ind w:left="220"/>
              <w:spacing w:after="0"/>
              <w:rPr>
                <w:sz w:val="20"/>
                <w:szCs w:val="20"/>
                <w:color w:val="auto"/>
              </w:rPr>
            </w:pPr>
            <w:r>
              <w:rPr>
                <w:rFonts w:ascii="Arial" w:cs="Arial" w:eastAsia="Arial" w:hAnsi="Arial"/>
                <w:sz w:val="13"/>
                <w:szCs w:val="13"/>
                <w:color w:val="auto"/>
              </w:rPr>
              <w:t>Performance Share Award Payouts</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123,871</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1040" w:type="dxa"/>
            <w:vAlign w:val="bottom"/>
          </w:tcPr>
          <w:p>
            <w:pPr>
              <w:jc w:val="right"/>
              <w:spacing w:after="0"/>
              <w:rPr>
                <w:sz w:val="20"/>
                <w:szCs w:val="20"/>
                <w:color w:val="auto"/>
              </w:rPr>
            </w:pPr>
            <w:r>
              <w:rPr>
                <w:rFonts w:ascii="Arial" w:cs="Arial" w:eastAsia="Arial" w:hAnsi="Arial"/>
                <w:sz w:val="13"/>
                <w:szCs w:val="13"/>
                <w:color w:val="auto"/>
              </w:rPr>
              <w:t>123,871</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136,212</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(5)</w:t>
            </w:r>
          </w:p>
        </w:tc>
        <w:tc>
          <w:tcPr>
            <w:tcW w:w="1360" w:type="dxa"/>
            <w:vAlign w:val="bottom"/>
          </w:tcPr>
          <w:p>
            <w:pPr>
              <w:jc w:val="right"/>
              <w:spacing w:after="0"/>
              <w:rPr>
                <w:sz w:val="20"/>
                <w:szCs w:val="20"/>
                <w:color w:val="auto"/>
              </w:rPr>
            </w:pPr>
            <w:r>
              <w:rPr>
                <w:rFonts w:ascii="Arial" w:cs="Arial" w:eastAsia="Arial" w:hAnsi="Arial"/>
                <w:sz w:val="13"/>
                <w:szCs w:val="13"/>
                <w:color w:val="auto"/>
              </w:rPr>
              <w:t>136,212</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w w:val="88"/>
              </w:rPr>
              <w:t>(5)</w:t>
            </w: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43,113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9"/>
        </w:trPr>
        <w:tc>
          <w:tcPr>
            <w:tcW w:w="3740" w:type="dxa"/>
            <w:vAlign w:val="bottom"/>
          </w:tcPr>
          <w:p>
            <w:pPr>
              <w:ind w:left="220"/>
              <w:spacing w:after="0" w:line="159"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30,000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3740" w:type="dxa"/>
            <w:vAlign w:val="bottom"/>
          </w:tcPr>
          <w:p>
            <w:pPr>
              <w:ind w:left="220"/>
              <w:spacing w:after="0" w:line="150" w:lineRule="exact"/>
              <w:rPr>
                <w:sz w:val="20"/>
                <w:szCs w:val="20"/>
                <w:color w:val="auto"/>
              </w:rPr>
            </w:pPr>
            <w:r>
              <w:rPr>
                <w:rFonts w:ascii="Arial" w:cs="Arial" w:eastAsia="Arial" w:hAnsi="Arial"/>
                <w:sz w:val="11"/>
                <w:szCs w:val="11"/>
                <w:color w:val="auto"/>
              </w:rPr>
              <w:t>Perquisites</w:t>
            </w:r>
            <w:r>
              <w:rPr>
                <w:rFonts w:ascii="Arial" w:cs="Arial" w:eastAsia="Arial" w:hAnsi="Arial"/>
                <w:sz w:val="17"/>
                <w:szCs w:val="17"/>
                <w:color w:val="auto"/>
                <w:vertAlign w:val="superscript"/>
              </w:rPr>
              <w:t>(8)</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35,181</w:t>
            </w:r>
          </w:p>
        </w:tc>
        <w:tc>
          <w:tcPr>
            <w:tcW w:w="16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0</w:t>
            </w:r>
          </w:p>
        </w:tc>
        <w:tc>
          <w:tcPr>
            <w:tcW w:w="1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65"/>
        </w:trPr>
        <w:tc>
          <w:tcPr>
            <w:tcW w:w="37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rPr>
              <w:t>159,052</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384,490</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0</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0</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695,710</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2,000,823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-4598670</wp:posOffset>
            </wp:positionV>
            <wp:extent cx="173482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348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207772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76" w:lineRule="exact"/>
        <w:rPr>
          <w:sz w:val="20"/>
          <w:szCs w:val="20"/>
          <w:color w:val="auto"/>
        </w:rPr>
      </w:pPr>
    </w:p>
    <w:p>
      <w:pPr>
        <w:ind w:left="402" w:right="380" w:hanging="402"/>
        <w:spacing w:after="0" w:line="255" w:lineRule="auto"/>
        <w:tabs>
          <w:tab w:leader="none" w:pos="402"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of Messrs. Olson, Dordell, Hamilton and Rodier and Ms. Peterson met the retirement criteria on October 31, 2019. Mr. Dordell retired from the Company on January 10, 2020.</w:t>
      </w:r>
    </w:p>
    <w:p>
      <w:pPr>
        <w:spacing w:after="0" w:line="25" w:lineRule="exact"/>
        <w:rPr>
          <w:rFonts w:ascii="Arial" w:cs="Arial" w:eastAsia="Arial" w:hAnsi="Arial"/>
          <w:sz w:val="16"/>
          <w:szCs w:val="16"/>
          <w:color w:val="auto"/>
        </w:rPr>
      </w:pPr>
    </w:p>
    <w:p>
      <w:pPr>
        <w:ind w:left="402" w:right="40" w:hanging="402"/>
        <w:spacing w:after="0" w:line="247" w:lineRule="auto"/>
        <w:tabs>
          <w:tab w:leader="none" w:pos="402"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 reported represents two times (three times for Mr. Olson since he was CEO on October 31, 2019) the sum of the named executive officer’s (a) then current annual base salary (based on twelve times the highest monthly base salary paid to the named executive officer during the fiscal year ended October 31, 2019) and (b) then current target annual cash incentive award.</w:t>
      </w:r>
    </w:p>
    <w:p>
      <w:pPr>
        <w:spacing w:after="0" w:line="32" w:lineRule="exact"/>
        <w:rPr>
          <w:rFonts w:ascii="Arial" w:cs="Arial" w:eastAsia="Arial" w:hAnsi="Arial"/>
          <w:sz w:val="16"/>
          <w:szCs w:val="16"/>
          <w:color w:val="auto"/>
        </w:rPr>
      </w:pPr>
    </w:p>
    <w:p>
      <w:pPr>
        <w:ind w:left="402" w:right="540" w:hanging="402"/>
        <w:spacing w:after="0" w:line="255" w:lineRule="auto"/>
        <w:tabs>
          <w:tab w:leader="none" w:pos="402"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 reported represents the value of the automatic acceleration of vesting of unvested stock options. All amounts are based on the difference between: (a) the market price of our common stock underlying the</w:t>
      </w:r>
    </w:p>
    <w:p>
      <w:pPr>
        <w:spacing w:after="0" w:line="1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69" w:name="page70"/>
    <w:bookmarkEnd w:id="69"/>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46" w:lineRule="exact"/>
        <w:rPr>
          <w:sz w:val="20"/>
          <w:szCs w:val="20"/>
          <w:color w:val="auto"/>
        </w:rPr>
      </w:pPr>
    </w:p>
    <w:p>
      <w:pPr>
        <w:jc w:val="both"/>
        <w:ind w:left="402" w:right="200"/>
        <w:spacing w:after="0" w:line="247" w:lineRule="auto"/>
        <w:rPr>
          <w:sz w:val="20"/>
          <w:szCs w:val="20"/>
          <w:color w:val="auto"/>
        </w:rPr>
      </w:pPr>
      <w:r>
        <w:rPr>
          <w:rFonts w:ascii="Arial" w:cs="Arial" w:eastAsia="Arial" w:hAnsi="Arial"/>
          <w:sz w:val="16"/>
          <w:szCs w:val="16"/>
          <w:color w:val="auto"/>
        </w:rPr>
        <w:t>unvested stock options as of October 31, 2019, and (b) the exercise price of the stock options. Because each of Messrs. Olson, Dordell, Hamilton and Rodier and Ms. Peterson met the retirement criteria on October 31, 2019, upon such event any unvested stock options held would continue to vest for four additional years, but such extended vesting is not quantified in the above table, “Voluntary Resignation / Retirement” column.</w:t>
      </w:r>
    </w:p>
    <w:p>
      <w:pPr>
        <w:spacing w:after="0" w:line="32" w:lineRule="exact"/>
        <w:rPr>
          <w:sz w:val="20"/>
          <w:szCs w:val="20"/>
          <w:color w:val="auto"/>
        </w:rPr>
      </w:pPr>
    </w:p>
    <w:p>
      <w:pPr>
        <w:ind w:left="402" w:right="300" w:hanging="402"/>
        <w:spacing w:after="0" w:line="244" w:lineRule="auto"/>
        <w:tabs>
          <w:tab w:leader="none" w:pos="4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 reported represents the value of the future payout of two-thirds of the named executive officer’s fiscal 2018 to fiscal 2020 performance share awards (based on two years of the three-year performance period completed as of October 31, 2019) and one-third of the named executive officer’s fiscal 2019 to fiscal 2021 performance share awards (based on one year of the three-year performance period completed as of October 31, 2019), assuming that the Compensation &amp; Human Resources Committee approves the payout at financial plan levels of performance.</w:t>
      </w:r>
    </w:p>
    <w:p>
      <w:pPr>
        <w:spacing w:after="0" w:line="35" w:lineRule="exact"/>
        <w:rPr>
          <w:rFonts w:ascii="Arial" w:cs="Arial" w:eastAsia="Arial" w:hAnsi="Arial"/>
          <w:sz w:val="16"/>
          <w:szCs w:val="16"/>
          <w:color w:val="auto"/>
        </w:rPr>
      </w:pPr>
    </w:p>
    <w:p>
      <w:pPr>
        <w:ind w:left="402" w:right="20" w:hanging="402"/>
        <w:spacing w:after="0" w:line="244" w:lineRule="auto"/>
        <w:tabs>
          <w:tab w:leader="none" w:pos="4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 reported represents the value of the immediate payout of the applicable number of shares of our common stock that the named executive officer would have been entitled to receive as payout for performance share awards for each of the fiscal 2018 to fiscal 2020 performance period and the fiscal 2019 to fiscal 2021 performance period. The value is based on: (a) the number of outstanding performance share awards at target as of October 31, 2019, multiplied by (b) the market price of our common stock on October 31, 2019.</w:t>
      </w:r>
    </w:p>
    <w:p>
      <w:pPr>
        <w:spacing w:after="0" w:line="35" w:lineRule="exact"/>
        <w:rPr>
          <w:rFonts w:ascii="Arial" w:cs="Arial" w:eastAsia="Arial" w:hAnsi="Arial"/>
          <w:sz w:val="16"/>
          <w:szCs w:val="16"/>
          <w:color w:val="auto"/>
        </w:rPr>
      </w:pPr>
    </w:p>
    <w:p>
      <w:pPr>
        <w:ind w:left="402" w:right="880" w:hanging="402"/>
        <w:spacing w:after="0" w:line="255" w:lineRule="auto"/>
        <w:tabs>
          <w:tab w:leader="none" w:pos="4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 reported represents the estimated value of the welfare plan benefits for a three-year period based on our premium levels in effect on October 31, 2019.</w:t>
      </w:r>
    </w:p>
    <w:p>
      <w:pPr>
        <w:spacing w:after="0" w:line="25" w:lineRule="exact"/>
        <w:rPr>
          <w:rFonts w:ascii="Arial" w:cs="Arial" w:eastAsia="Arial" w:hAnsi="Arial"/>
          <w:sz w:val="16"/>
          <w:szCs w:val="16"/>
          <w:color w:val="auto"/>
        </w:rPr>
      </w:pPr>
    </w:p>
    <w:p>
      <w:pPr>
        <w:ind w:left="402" w:right="360" w:hanging="402"/>
        <w:spacing w:after="0" w:line="255" w:lineRule="auto"/>
        <w:tabs>
          <w:tab w:leader="none" w:pos="4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 reported is based on the assumption that we would incur a $30,000 one-time cost for outplacement services to be provided for the two-year period.</w:t>
      </w:r>
    </w:p>
    <w:p>
      <w:pPr>
        <w:spacing w:after="0" w:line="25" w:lineRule="exact"/>
        <w:rPr>
          <w:rFonts w:ascii="Arial" w:cs="Arial" w:eastAsia="Arial" w:hAnsi="Arial"/>
          <w:sz w:val="16"/>
          <w:szCs w:val="16"/>
          <w:color w:val="auto"/>
        </w:rPr>
      </w:pPr>
    </w:p>
    <w:p>
      <w:pPr>
        <w:ind w:left="402" w:right="460" w:hanging="402"/>
        <w:spacing w:after="0" w:line="255" w:lineRule="auto"/>
        <w:tabs>
          <w:tab w:leader="none" w:pos="4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 reported represents the value of (a) one additional year of financial planning services, (b) one additional executive physical, and (c) twelve additional months of automobile lease payments.</w:t>
      </w:r>
    </w:p>
    <w:p>
      <w:pPr>
        <w:spacing w:after="0" w:line="25" w:lineRule="exact"/>
        <w:rPr>
          <w:rFonts w:ascii="Arial" w:cs="Arial" w:eastAsia="Arial" w:hAnsi="Arial"/>
          <w:sz w:val="16"/>
          <w:szCs w:val="16"/>
          <w:color w:val="auto"/>
        </w:rPr>
      </w:pPr>
    </w:p>
    <w:p>
      <w:pPr>
        <w:jc w:val="both"/>
        <w:ind w:left="402" w:right="460" w:hanging="402"/>
        <w:spacing w:after="0" w:line="255" w:lineRule="auto"/>
        <w:tabs>
          <w:tab w:leader="none" w:pos="4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as of October 31, 2019.</w:t>
      </w:r>
    </w:p>
    <w:p>
      <w:pPr>
        <w:spacing w:after="0" w:line="55" w:lineRule="exact"/>
        <w:rPr>
          <w:sz w:val="20"/>
          <w:szCs w:val="20"/>
          <w:color w:val="auto"/>
        </w:rPr>
      </w:pPr>
    </w:p>
    <w:p>
      <w:pPr>
        <w:ind w:left="2" w:firstLine="408"/>
        <w:spacing w:after="0" w:line="248" w:lineRule="auto"/>
        <w:rPr>
          <w:sz w:val="20"/>
          <w:szCs w:val="20"/>
          <w:color w:val="auto"/>
        </w:rPr>
      </w:pPr>
      <w:r>
        <w:rPr>
          <w:rFonts w:ascii="Arial" w:cs="Arial" w:eastAsia="Arial" w:hAnsi="Arial"/>
          <w:sz w:val="16"/>
          <w:szCs w:val="16"/>
          <w:b w:val="1"/>
          <w:bCs w:val="1"/>
          <w:color w:val="auto"/>
        </w:rPr>
        <w:t xml:space="preserve">Clawback Provisions. </w:t>
      </w:r>
      <w:r>
        <w:rPr>
          <w:rFonts w:ascii="Arial" w:cs="Arial" w:eastAsia="Arial" w:hAnsi="Arial"/>
          <w:sz w:val="16"/>
          <w:szCs w:val="16"/>
          <w:color w:val="auto"/>
        </w:rPr>
        <w:t>Our 2000 Plan and the related stock option agreements contain a “clawback” provision which provides that if, within one year</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termination of employment the participant is employed or retained by or renders services to a competitor, violates any confidentiality agreement or agreement governing the ownership or assignment of intellectual property rights or engages in any other conduct or act determined to be injurious, detrimental or prejudicial to any interest of our Company, we have the right to cancel, rescind or restrict all stock options held by such participant and granted under the 2000 Plan and demand the return of the economic value of any stock option which was realized or obtained by such participant during the period beginning on the date that is 12 months prior to the date of termination to the date of the last exercise.</w:t>
      </w:r>
    </w:p>
    <w:p>
      <w:pPr>
        <w:spacing w:after="0" w:line="80" w:lineRule="exact"/>
        <w:rPr>
          <w:sz w:val="20"/>
          <w:szCs w:val="20"/>
          <w:color w:val="auto"/>
        </w:rPr>
      </w:pPr>
    </w:p>
    <w:p>
      <w:pPr>
        <w:ind w:left="2" w:right="80" w:firstLine="408"/>
        <w:spacing w:after="0" w:line="241" w:lineRule="auto"/>
        <w:rPr>
          <w:sz w:val="20"/>
          <w:szCs w:val="20"/>
          <w:color w:val="auto"/>
        </w:rPr>
      </w:pPr>
      <w:r>
        <w:rPr>
          <w:rFonts w:ascii="Arial" w:cs="Arial" w:eastAsia="Arial" w:hAnsi="Arial"/>
          <w:sz w:val="16"/>
          <w:szCs w:val="16"/>
          <w:color w:val="auto"/>
        </w:rPr>
        <w:t>In addition, under the 2010 Plan and related award agreements, if a participant is determined by the Compensation &amp; Human Resources Committee to have taken any adverse action similar to those actions described above, all rights of such participant under the 2010 Plan and any agreements evidencing an award then held by the participant will terminate and be forfeited and the Committee may require the executive to surrender and return to our Company any shares received, and/or to disgorge any profits or any other economic value made or realized by the participant during the period beginning one year prior to the participant’s termination of employment or other service with our Company or any affiliate or subsidiary, in connection with any awards or any shares issued upon the exercise or vesting of any awards granted under such plan. In addition, if we are required to prepare an accounting restatement due to our material noncompliance, as a result of misconduct, with any financial reporting requirement under the securities laws, then any participant who is one of the individuals subject to automatic forfeiture under Section 304 of the Sarbanes-Oxley Act of 2002 must reimburse us for the amount of any award received by such individual under the 2010 Plan during the 12-month period following the first public issuance or filing with the SEC, as the case may be, of the financial document embodying such financial reporting requirement. These clawback provisions are in addition to any automatic clawback or forfeiture law, rule or regulation of which our named executive officers may be subject, including under the Sarbanes-Oxley Act of 2002 and the Dodd-Frank Act, as well as any policy that may be adopted by us.</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Pay Ratio Disclosure</w:t>
      </w:r>
    </w:p>
    <w:p>
      <w:pPr>
        <w:spacing w:after="0" w:line="112" w:lineRule="exact"/>
        <w:rPr>
          <w:sz w:val="20"/>
          <w:szCs w:val="20"/>
          <w:color w:val="auto"/>
        </w:rPr>
      </w:pPr>
    </w:p>
    <w:p>
      <w:pPr>
        <w:ind w:left="2" w:right="60" w:firstLine="408"/>
        <w:spacing w:after="0" w:line="247" w:lineRule="auto"/>
        <w:rPr>
          <w:sz w:val="20"/>
          <w:szCs w:val="20"/>
          <w:color w:val="auto"/>
        </w:rPr>
      </w:pPr>
      <w:r>
        <w:rPr>
          <w:rFonts w:ascii="Arial" w:cs="Arial" w:eastAsia="Arial" w:hAnsi="Arial"/>
          <w:sz w:val="16"/>
          <w:szCs w:val="16"/>
          <w:color w:val="auto"/>
        </w:rPr>
        <w:t>In accordance with Item 402(u) of Regulation S-K, passed as part of the Dodd-Frank Wall Street Reform and Consumer Protection Act of 2010, we calculated the ratio of annual total compensation of Mr. Olson relative to the annual total compensation of our median employee. For fiscal 2019 (i) we utilized the pay ratio acquisition rule,</w:t>
      </w:r>
    </w:p>
    <w:p>
      <w:pPr>
        <w:spacing w:after="0" w:line="17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which permits us to exclude employees resulting from the CMW acquisition, which was approximately 2,200 total employees, and (ii) there were no other material changes to our employee population or compensation arrangements that would significantly impact the pay ratio disclosure and warrant calculating a new median employee. We calculated the annual total compensation of our median employee using the same methodology that we used to calculate the annual total compensation of our named executive officers, including Mr. Olson, in the Summary Compensation Table. Mr. Olson’s annual total compensation for fiscal 2019, as set forth in the Summary Compensation Table on page 44, was $5,267,433. Annual total compensation for our median employee for fiscal 2019 was $48,319. The ratio of annual total compensation of Mr. Olson to the annual total compensation of our median employee for fiscal 2019 is 109:1.</w:t>
      </w:r>
    </w:p>
    <w:p>
      <w:pPr>
        <w:spacing w:after="0" w:line="88" w:lineRule="exact"/>
        <w:rPr>
          <w:sz w:val="20"/>
          <w:szCs w:val="20"/>
          <w:color w:val="auto"/>
        </w:rPr>
      </w:pPr>
    </w:p>
    <w:p>
      <w:pPr>
        <w:jc w:val="both"/>
        <w:ind w:firstLine="408"/>
        <w:spacing w:after="0" w:line="244" w:lineRule="auto"/>
        <w:rPr>
          <w:sz w:val="20"/>
          <w:szCs w:val="20"/>
          <w:color w:val="auto"/>
        </w:rPr>
      </w:pPr>
      <w:r>
        <w:rPr>
          <w:rFonts w:ascii="Arial" w:cs="Arial" w:eastAsia="Arial" w:hAnsi="Arial"/>
          <w:sz w:val="16"/>
          <w:szCs w:val="16"/>
          <w:color w:val="auto"/>
        </w:rPr>
        <w:t>We believe the pay ratio presented above is a reasonable estimate calculated in a manner consistent with applicable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1" w:name="page72"/>
    <w:bookmarkEnd w:id="71"/>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59320" cy="186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FFFFFF"/>
        </w:rPr>
        <w:t>STOCK OWNERSHIP</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Significant Beneficial Owners</w:t>
      </w:r>
    </w:p>
    <w:p>
      <w:pPr>
        <w:spacing w:after="0" w:line="112" w:lineRule="exact"/>
        <w:rPr>
          <w:sz w:val="20"/>
          <w:szCs w:val="20"/>
          <w:color w:val="auto"/>
        </w:rPr>
      </w:pPr>
    </w:p>
    <w:p>
      <w:pPr>
        <w:ind w:left="2" w:right="80" w:firstLine="408"/>
        <w:spacing w:after="0" w:line="255" w:lineRule="auto"/>
        <w:rPr>
          <w:sz w:val="20"/>
          <w:szCs w:val="20"/>
          <w:color w:val="auto"/>
        </w:rPr>
      </w:pPr>
      <w:r>
        <w:rPr>
          <w:rFonts w:ascii="Arial" w:cs="Arial" w:eastAsia="Arial" w:hAnsi="Arial"/>
          <w:sz w:val="16"/>
          <w:szCs w:val="16"/>
          <w:color w:val="auto"/>
        </w:rPr>
        <w:t>The following table sets forth information known to us as of January 21, 2020, as to entities that have reported to the SEC or have otherwise advised us that they are a beneficial owner, as defined by the SEC’s rules and regulations, of more than five percent of our outstanding common stock.</w:t>
      </w:r>
    </w:p>
    <w:p>
      <w:pPr>
        <w:spacing w:after="0" w:line="88"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1980" w:type="dxa"/>
            <w:vAlign w:val="bottom"/>
            <w:shd w:val="clear" w:color="auto" w:fill="C00000"/>
          </w:tcPr>
          <w:p>
            <w:pPr>
              <w:spacing w:after="0"/>
              <w:rPr>
                <w:sz w:val="13"/>
                <w:szCs w:val="13"/>
                <w:color w:val="auto"/>
              </w:rPr>
            </w:pPr>
          </w:p>
        </w:tc>
        <w:tc>
          <w:tcPr>
            <w:tcW w:w="4580" w:type="dxa"/>
            <w:vAlign w:val="bottom"/>
            <w:shd w:val="clear" w:color="auto" w:fill="C00000"/>
          </w:tcPr>
          <w:p>
            <w:pPr>
              <w:ind w:left="980"/>
              <w:spacing w:after="0"/>
              <w:rPr>
                <w:sz w:val="20"/>
                <w:szCs w:val="20"/>
                <w:color w:val="auto"/>
              </w:rPr>
            </w:pPr>
            <w:r>
              <w:rPr>
                <w:rFonts w:ascii="Arial" w:cs="Arial" w:eastAsia="Arial" w:hAnsi="Arial"/>
                <w:sz w:val="13"/>
                <w:szCs w:val="13"/>
                <w:color w:val="FFFFFF"/>
              </w:rPr>
              <w:t>Name and Address</w:t>
            </w:r>
          </w:p>
        </w:tc>
        <w:tc>
          <w:tcPr>
            <w:tcW w:w="3480" w:type="dxa"/>
            <w:vAlign w:val="bottom"/>
            <w:shd w:val="clear" w:color="auto" w:fill="C00000"/>
          </w:tcPr>
          <w:p>
            <w:pPr>
              <w:jc w:val="center"/>
              <w:ind w:left="1194"/>
              <w:spacing w:after="0"/>
              <w:rPr>
                <w:sz w:val="20"/>
                <w:szCs w:val="20"/>
                <w:color w:val="auto"/>
              </w:rPr>
            </w:pPr>
            <w:r>
              <w:rPr>
                <w:rFonts w:ascii="Arial" w:cs="Arial" w:eastAsia="Arial" w:hAnsi="Arial"/>
                <w:sz w:val="13"/>
                <w:szCs w:val="13"/>
                <w:color w:val="FFFFFF"/>
              </w:rPr>
              <w:t>Amount and Nature</w:t>
            </w:r>
          </w:p>
        </w:tc>
        <w:tc>
          <w:tcPr>
            <w:tcW w:w="1380" w:type="dxa"/>
            <w:vAlign w:val="bottom"/>
            <w:shd w:val="clear" w:color="auto" w:fill="C00000"/>
          </w:tcPr>
          <w:p>
            <w:pPr>
              <w:jc w:val="center"/>
              <w:ind w:left="32"/>
              <w:spacing w:after="0"/>
              <w:rPr>
                <w:sz w:val="20"/>
                <w:szCs w:val="20"/>
                <w:color w:val="auto"/>
              </w:rPr>
            </w:pPr>
            <w:r>
              <w:rPr>
                <w:rFonts w:ascii="Arial" w:cs="Arial" w:eastAsia="Arial" w:hAnsi="Arial"/>
                <w:sz w:val="13"/>
                <w:szCs w:val="13"/>
                <w:color w:val="FFFFFF"/>
                <w:w w:val="98"/>
              </w:rPr>
              <w:t>Percent</w:t>
            </w:r>
          </w:p>
        </w:tc>
      </w:tr>
      <w:tr>
        <w:trPr>
          <w:trHeight w:val="149"/>
        </w:trPr>
        <w:tc>
          <w:tcPr>
            <w:tcW w:w="1980" w:type="dxa"/>
            <w:vAlign w:val="bottom"/>
            <w:shd w:val="clear" w:color="auto" w:fill="C00000"/>
          </w:tcPr>
          <w:p>
            <w:pPr>
              <w:spacing w:after="0"/>
              <w:rPr>
                <w:sz w:val="20"/>
                <w:szCs w:val="20"/>
                <w:color w:val="auto"/>
              </w:rPr>
            </w:pPr>
            <w:r>
              <w:rPr>
                <w:rFonts w:ascii="Arial" w:cs="Arial" w:eastAsia="Arial" w:hAnsi="Arial"/>
                <w:sz w:val="13"/>
                <w:szCs w:val="13"/>
                <w:color w:val="FFFFFF"/>
              </w:rPr>
              <w:t>Title of Class</w:t>
            </w:r>
          </w:p>
        </w:tc>
        <w:tc>
          <w:tcPr>
            <w:tcW w:w="4580" w:type="dxa"/>
            <w:vAlign w:val="bottom"/>
            <w:shd w:val="clear" w:color="auto" w:fill="C00000"/>
          </w:tcPr>
          <w:p>
            <w:pPr>
              <w:ind w:left="980"/>
              <w:spacing w:after="0"/>
              <w:rPr>
                <w:sz w:val="20"/>
                <w:szCs w:val="20"/>
                <w:color w:val="auto"/>
              </w:rPr>
            </w:pPr>
            <w:r>
              <w:rPr>
                <w:rFonts w:ascii="Arial" w:cs="Arial" w:eastAsia="Arial" w:hAnsi="Arial"/>
                <w:sz w:val="13"/>
                <w:szCs w:val="13"/>
                <w:color w:val="FFFFFF"/>
              </w:rPr>
              <w:t>of Beneficial Owner</w:t>
            </w:r>
          </w:p>
        </w:tc>
        <w:tc>
          <w:tcPr>
            <w:tcW w:w="3480" w:type="dxa"/>
            <w:vAlign w:val="bottom"/>
            <w:shd w:val="clear" w:color="auto" w:fill="C00000"/>
          </w:tcPr>
          <w:p>
            <w:pPr>
              <w:jc w:val="center"/>
              <w:ind w:left="1194"/>
              <w:spacing w:after="0"/>
              <w:rPr>
                <w:sz w:val="20"/>
                <w:szCs w:val="20"/>
                <w:color w:val="auto"/>
              </w:rPr>
            </w:pPr>
            <w:r>
              <w:rPr>
                <w:rFonts w:ascii="Arial" w:cs="Arial" w:eastAsia="Arial" w:hAnsi="Arial"/>
                <w:sz w:val="13"/>
                <w:szCs w:val="13"/>
                <w:color w:val="FFFFFF"/>
              </w:rPr>
              <w:t>of Beneficial Ownership</w:t>
            </w:r>
          </w:p>
        </w:tc>
        <w:tc>
          <w:tcPr>
            <w:tcW w:w="1380" w:type="dxa"/>
            <w:vAlign w:val="bottom"/>
            <w:shd w:val="clear" w:color="auto" w:fill="C00000"/>
          </w:tcPr>
          <w:p>
            <w:pPr>
              <w:jc w:val="center"/>
              <w:ind w:left="32"/>
              <w:spacing w:after="0" w:line="150" w:lineRule="exact"/>
              <w:rPr>
                <w:sz w:val="20"/>
                <w:szCs w:val="20"/>
                <w:color w:val="auto"/>
              </w:rPr>
            </w:pPr>
            <w:r>
              <w:rPr>
                <w:rFonts w:ascii="Arial" w:cs="Arial" w:eastAsia="Arial" w:hAnsi="Arial"/>
                <w:sz w:val="11"/>
                <w:szCs w:val="11"/>
                <w:color w:val="FFFFFF"/>
              </w:rPr>
              <w:t>of Class</w:t>
            </w:r>
            <w:r>
              <w:rPr>
                <w:rFonts w:ascii="Arial" w:cs="Arial" w:eastAsia="Arial" w:hAnsi="Arial"/>
                <w:sz w:val="17"/>
                <w:szCs w:val="17"/>
                <w:color w:val="FFFFFF"/>
                <w:vertAlign w:val="superscript"/>
              </w:rPr>
              <w:t>(1)</w:t>
            </w:r>
          </w:p>
        </w:tc>
      </w:tr>
      <w:tr>
        <w:trPr>
          <w:trHeight w:val="186"/>
        </w:trPr>
        <w:tc>
          <w:tcPr>
            <w:tcW w:w="1980" w:type="dxa"/>
            <w:vAlign w:val="bottom"/>
          </w:tcPr>
          <w:p>
            <w:pPr>
              <w:spacing w:after="0"/>
              <w:rPr>
                <w:sz w:val="20"/>
                <w:szCs w:val="20"/>
                <w:color w:val="auto"/>
              </w:rPr>
            </w:pPr>
            <w:r>
              <w:rPr>
                <w:rFonts w:ascii="Arial" w:cs="Arial" w:eastAsia="Arial" w:hAnsi="Arial"/>
                <w:sz w:val="15"/>
                <w:szCs w:val="15"/>
                <w:color w:val="auto"/>
              </w:rPr>
              <w:t>Common Stock</w:t>
            </w:r>
          </w:p>
        </w:tc>
        <w:tc>
          <w:tcPr>
            <w:tcW w:w="4580" w:type="dxa"/>
            <w:vAlign w:val="bottom"/>
          </w:tcPr>
          <w:p>
            <w:pPr>
              <w:ind w:left="980"/>
              <w:spacing w:after="0"/>
              <w:rPr>
                <w:sz w:val="20"/>
                <w:szCs w:val="20"/>
                <w:color w:val="auto"/>
              </w:rPr>
            </w:pPr>
            <w:r>
              <w:rPr>
                <w:rFonts w:ascii="Arial" w:cs="Arial" w:eastAsia="Arial" w:hAnsi="Arial"/>
                <w:sz w:val="15"/>
                <w:szCs w:val="15"/>
                <w:color w:val="auto"/>
              </w:rPr>
              <w:t>The Vanguard Group, Inc.</w:t>
            </w:r>
          </w:p>
        </w:tc>
        <w:tc>
          <w:tcPr>
            <w:tcW w:w="3480" w:type="dxa"/>
            <w:vAlign w:val="bottom"/>
          </w:tcPr>
          <w:p>
            <w:pPr>
              <w:jc w:val="center"/>
              <w:ind w:left="1174"/>
              <w:spacing w:after="0" w:line="186" w:lineRule="exact"/>
              <w:rPr>
                <w:sz w:val="20"/>
                <w:szCs w:val="20"/>
                <w:color w:val="auto"/>
              </w:rPr>
            </w:pPr>
            <w:r>
              <w:rPr>
                <w:rFonts w:ascii="Arial" w:cs="Arial" w:eastAsia="Arial" w:hAnsi="Arial"/>
                <w:sz w:val="13"/>
                <w:szCs w:val="13"/>
                <w:color w:val="auto"/>
              </w:rPr>
              <w:t>10,928,569</w:t>
            </w:r>
            <w:r>
              <w:rPr>
                <w:rFonts w:ascii="Arial" w:cs="Arial" w:eastAsia="Arial" w:hAnsi="Arial"/>
                <w:sz w:val="21"/>
                <w:szCs w:val="21"/>
                <w:color w:val="auto"/>
                <w:vertAlign w:val="superscript"/>
              </w:rPr>
              <w:t>(2)</w:t>
            </w:r>
          </w:p>
        </w:tc>
        <w:tc>
          <w:tcPr>
            <w:tcW w:w="1380" w:type="dxa"/>
            <w:vAlign w:val="bottom"/>
          </w:tcPr>
          <w:p>
            <w:pPr>
              <w:jc w:val="center"/>
              <w:ind w:left="32"/>
              <w:spacing w:after="0"/>
              <w:rPr>
                <w:sz w:val="20"/>
                <w:szCs w:val="20"/>
                <w:color w:val="auto"/>
              </w:rPr>
            </w:pPr>
            <w:r>
              <w:rPr>
                <w:rFonts w:ascii="Arial" w:cs="Arial" w:eastAsia="Arial" w:hAnsi="Arial"/>
                <w:sz w:val="15"/>
                <w:szCs w:val="15"/>
                <w:color w:val="auto"/>
                <w:w w:val="94"/>
              </w:rPr>
              <w:t>10.16%</w:t>
            </w:r>
          </w:p>
        </w:tc>
      </w:tr>
      <w:tr>
        <w:trPr>
          <w:trHeight w:val="172"/>
        </w:trPr>
        <w:tc>
          <w:tcPr>
            <w:tcW w:w="1980" w:type="dxa"/>
            <w:vAlign w:val="bottom"/>
          </w:tcPr>
          <w:p>
            <w:pPr>
              <w:spacing w:after="0"/>
              <w:rPr>
                <w:sz w:val="14"/>
                <w:szCs w:val="14"/>
                <w:color w:val="auto"/>
              </w:rPr>
            </w:pPr>
          </w:p>
        </w:tc>
        <w:tc>
          <w:tcPr>
            <w:tcW w:w="4580" w:type="dxa"/>
            <w:vAlign w:val="bottom"/>
          </w:tcPr>
          <w:p>
            <w:pPr>
              <w:ind w:left="980"/>
              <w:spacing w:after="0"/>
              <w:rPr>
                <w:sz w:val="20"/>
                <w:szCs w:val="20"/>
                <w:color w:val="auto"/>
              </w:rPr>
            </w:pPr>
            <w:r>
              <w:rPr>
                <w:rFonts w:ascii="Arial" w:cs="Arial" w:eastAsia="Arial" w:hAnsi="Arial"/>
                <w:sz w:val="15"/>
                <w:szCs w:val="15"/>
                <w:color w:val="auto"/>
              </w:rPr>
              <w:t>100 Vanguard Blvd.</w:t>
            </w:r>
          </w:p>
        </w:tc>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4580" w:type="dxa"/>
            <w:vAlign w:val="bottom"/>
          </w:tcPr>
          <w:p>
            <w:pPr>
              <w:ind w:left="980"/>
              <w:spacing w:after="0" w:line="170" w:lineRule="exact"/>
              <w:rPr>
                <w:sz w:val="20"/>
                <w:szCs w:val="20"/>
                <w:color w:val="auto"/>
              </w:rPr>
            </w:pPr>
            <w:r>
              <w:rPr>
                <w:rFonts w:ascii="Arial" w:cs="Arial" w:eastAsia="Arial" w:hAnsi="Arial"/>
                <w:sz w:val="15"/>
                <w:szCs w:val="15"/>
                <w:color w:val="auto"/>
              </w:rPr>
              <w:t>Malvern, PA 19355</w:t>
            </w:r>
          </w:p>
        </w:tc>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198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4580" w:type="dxa"/>
            <w:vAlign w:val="bottom"/>
            <w:shd w:val="clear" w:color="auto" w:fill="D9D9D9"/>
          </w:tcPr>
          <w:p>
            <w:pPr>
              <w:ind w:left="980"/>
              <w:spacing w:after="0"/>
              <w:rPr>
                <w:sz w:val="20"/>
                <w:szCs w:val="20"/>
                <w:color w:val="auto"/>
              </w:rPr>
            </w:pPr>
            <w:r>
              <w:rPr>
                <w:rFonts w:ascii="Arial" w:cs="Arial" w:eastAsia="Arial" w:hAnsi="Arial"/>
                <w:sz w:val="15"/>
                <w:szCs w:val="15"/>
                <w:color w:val="auto"/>
              </w:rPr>
              <w:t>BlackRock, Inc.</w:t>
            </w:r>
          </w:p>
        </w:tc>
        <w:tc>
          <w:tcPr>
            <w:tcW w:w="3480" w:type="dxa"/>
            <w:vAlign w:val="bottom"/>
            <w:shd w:val="clear" w:color="auto" w:fill="D9D9D9"/>
          </w:tcPr>
          <w:p>
            <w:pPr>
              <w:jc w:val="center"/>
              <w:ind w:left="1174"/>
              <w:spacing w:after="0" w:line="186" w:lineRule="exact"/>
              <w:rPr>
                <w:sz w:val="20"/>
                <w:szCs w:val="20"/>
                <w:color w:val="auto"/>
              </w:rPr>
            </w:pPr>
            <w:r>
              <w:rPr>
                <w:rFonts w:ascii="Arial" w:cs="Arial" w:eastAsia="Arial" w:hAnsi="Arial"/>
                <w:sz w:val="13"/>
                <w:szCs w:val="13"/>
                <w:color w:val="auto"/>
              </w:rPr>
              <w:t>9,555,190</w:t>
            </w:r>
            <w:r>
              <w:rPr>
                <w:rFonts w:ascii="Arial" w:cs="Arial" w:eastAsia="Arial" w:hAnsi="Arial"/>
                <w:sz w:val="21"/>
                <w:szCs w:val="21"/>
                <w:color w:val="auto"/>
                <w:vertAlign w:val="superscript"/>
              </w:rPr>
              <w:t>(3)</w:t>
            </w:r>
          </w:p>
        </w:tc>
        <w:tc>
          <w:tcPr>
            <w:tcW w:w="1380" w:type="dxa"/>
            <w:vAlign w:val="bottom"/>
            <w:shd w:val="clear" w:color="auto" w:fill="D9D9D9"/>
          </w:tcPr>
          <w:p>
            <w:pPr>
              <w:jc w:val="center"/>
              <w:ind w:left="32"/>
              <w:spacing w:after="0"/>
              <w:rPr>
                <w:sz w:val="20"/>
                <w:szCs w:val="20"/>
                <w:color w:val="auto"/>
              </w:rPr>
            </w:pPr>
            <w:r>
              <w:rPr>
                <w:rFonts w:ascii="Arial" w:cs="Arial" w:eastAsia="Arial" w:hAnsi="Arial"/>
                <w:sz w:val="15"/>
                <w:szCs w:val="15"/>
                <w:color w:val="auto"/>
                <w:w w:val="93"/>
              </w:rPr>
              <w:t>8.89%</w:t>
            </w:r>
          </w:p>
        </w:tc>
      </w:tr>
      <w:tr>
        <w:trPr>
          <w:trHeight w:val="172"/>
        </w:trPr>
        <w:tc>
          <w:tcPr>
            <w:tcW w:w="1980" w:type="dxa"/>
            <w:vAlign w:val="bottom"/>
            <w:shd w:val="clear" w:color="auto" w:fill="D9D9D9"/>
          </w:tcPr>
          <w:p>
            <w:pPr>
              <w:spacing w:after="0"/>
              <w:rPr>
                <w:sz w:val="14"/>
                <w:szCs w:val="14"/>
                <w:color w:val="auto"/>
              </w:rPr>
            </w:pPr>
          </w:p>
        </w:tc>
        <w:tc>
          <w:tcPr>
            <w:tcW w:w="4580" w:type="dxa"/>
            <w:vAlign w:val="bottom"/>
            <w:shd w:val="clear" w:color="auto" w:fill="D9D9D9"/>
          </w:tcPr>
          <w:p>
            <w:pPr>
              <w:ind w:left="980"/>
              <w:spacing w:after="0"/>
              <w:rPr>
                <w:sz w:val="20"/>
                <w:szCs w:val="20"/>
                <w:color w:val="auto"/>
              </w:rPr>
            </w:pPr>
            <w:r>
              <w:rPr>
                <w:rFonts w:ascii="Arial" w:cs="Arial" w:eastAsia="Arial" w:hAnsi="Arial"/>
                <w:sz w:val="15"/>
                <w:szCs w:val="15"/>
                <w:color w:val="auto"/>
              </w:rPr>
              <w:t>55 East 52nd St.</w:t>
            </w:r>
          </w:p>
        </w:tc>
        <w:tc>
          <w:tcPr>
            <w:tcW w:w="3480" w:type="dxa"/>
            <w:vAlign w:val="bottom"/>
            <w:shd w:val="clear" w:color="auto" w:fill="D9D9D9"/>
          </w:tcPr>
          <w:p>
            <w:pPr>
              <w:spacing w:after="0"/>
              <w:rPr>
                <w:sz w:val="14"/>
                <w:szCs w:val="14"/>
                <w:color w:val="auto"/>
              </w:rPr>
            </w:pPr>
          </w:p>
        </w:tc>
        <w:tc>
          <w:tcPr>
            <w:tcW w:w="1380" w:type="dxa"/>
            <w:vAlign w:val="bottom"/>
            <w:shd w:val="clear" w:color="auto" w:fill="D9D9D9"/>
          </w:tcPr>
          <w:p>
            <w:pPr>
              <w:spacing w:after="0"/>
              <w:rPr>
                <w:sz w:val="14"/>
                <w:szCs w:val="14"/>
                <w:color w:val="auto"/>
              </w:rPr>
            </w:pPr>
          </w:p>
        </w:tc>
      </w:tr>
      <w:tr>
        <w:trPr>
          <w:trHeight w:val="170"/>
        </w:trPr>
        <w:tc>
          <w:tcPr>
            <w:tcW w:w="1980" w:type="dxa"/>
            <w:vAlign w:val="bottom"/>
            <w:shd w:val="clear" w:color="auto" w:fill="D9D9D9"/>
          </w:tcPr>
          <w:p>
            <w:pPr>
              <w:spacing w:after="0"/>
              <w:rPr>
                <w:sz w:val="14"/>
                <w:szCs w:val="14"/>
                <w:color w:val="auto"/>
              </w:rPr>
            </w:pPr>
          </w:p>
        </w:tc>
        <w:tc>
          <w:tcPr>
            <w:tcW w:w="4580" w:type="dxa"/>
            <w:vAlign w:val="bottom"/>
            <w:shd w:val="clear" w:color="auto" w:fill="D9D9D9"/>
          </w:tcPr>
          <w:p>
            <w:pPr>
              <w:ind w:left="980"/>
              <w:spacing w:after="0" w:line="170" w:lineRule="exact"/>
              <w:rPr>
                <w:sz w:val="20"/>
                <w:szCs w:val="20"/>
                <w:color w:val="auto"/>
              </w:rPr>
            </w:pPr>
            <w:r>
              <w:rPr>
                <w:rFonts w:ascii="Arial" w:cs="Arial" w:eastAsia="Arial" w:hAnsi="Arial"/>
                <w:sz w:val="15"/>
                <w:szCs w:val="15"/>
                <w:color w:val="auto"/>
              </w:rPr>
              <w:t>New York, NY 10055</w:t>
            </w:r>
          </w:p>
        </w:tc>
        <w:tc>
          <w:tcPr>
            <w:tcW w:w="3480" w:type="dxa"/>
            <w:vAlign w:val="bottom"/>
            <w:shd w:val="clear" w:color="auto" w:fill="D9D9D9"/>
          </w:tcPr>
          <w:p>
            <w:pPr>
              <w:spacing w:after="0"/>
              <w:rPr>
                <w:sz w:val="14"/>
                <w:szCs w:val="14"/>
                <w:color w:val="auto"/>
              </w:rPr>
            </w:pPr>
          </w:p>
        </w:tc>
        <w:tc>
          <w:tcPr>
            <w:tcW w:w="1380" w:type="dxa"/>
            <w:vAlign w:val="bottom"/>
            <w:shd w:val="clear" w:color="auto" w:fill="D9D9D9"/>
          </w:tcPr>
          <w:p>
            <w:pPr>
              <w:spacing w:after="0"/>
              <w:rPr>
                <w:sz w:val="14"/>
                <w:szCs w:val="14"/>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5"/>
                <w:szCs w:val="15"/>
                <w:color w:val="auto"/>
              </w:rPr>
              <w:t>Common Stock</w:t>
            </w:r>
          </w:p>
        </w:tc>
        <w:tc>
          <w:tcPr>
            <w:tcW w:w="4580" w:type="dxa"/>
            <w:vAlign w:val="bottom"/>
          </w:tcPr>
          <w:p>
            <w:pPr>
              <w:ind w:left="980"/>
              <w:spacing w:after="0"/>
              <w:rPr>
                <w:sz w:val="20"/>
                <w:szCs w:val="20"/>
                <w:color w:val="auto"/>
              </w:rPr>
            </w:pPr>
            <w:r>
              <w:rPr>
                <w:rFonts w:ascii="Arial" w:cs="Arial" w:eastAsia="Arial" w:hAnsi="Arial"/>
                <w:sz w:val="15"/>
                <w:szCs w:val="15"/>
                <w:color w:val="auto"/>
              </w:rPr>
              <w:t>T Rowe Price Associates Inc.</w:t>
            </w:r>
          </w:p>
        </w:tc>
        <w:tc>
          <w:tcPr>
            <w:tcW w:w="3480" w:type="dxa"/>
            <w:vAlign w:val="bottom"/>
          </w:tcPr>
          <w:p>
            <w:pPr>
              <w:jc w:val="center"/>
              <w:ind w:left="1174"/>
              <w:spacing w:after="0" w:line="186" w:lineRule="exact"/>
              <w:rPr>
                <w:sz w:val="20"/>
                <w:szCs w:val="20"/>
                <w:color w:val="auto"/>
              </w:rPr>
            </w:pPr>
            <w:r>
              <w:rPr>
                <w:rFonts w:ascii="Arial" w:cs="Arial" w:eastAsia="Arial" w:hAnsi="Arial"/>
                <w:sz w:val="13"/>
                <w:szCs w:val="13"/>
                <w:color w:val="auto"/>
              </w:rPr>
              <w:t>9,430,586</w:t>
            </w:r>
            <w:r>
              <w:rPr>
                <w:rFonts w:ascii="Arial" w:cs="Arial" w:eastAsia="Arial" w:hAnsi="Arial"/>
                <w:sz w:val="21"/>
                <w:szCs w:val="21"/>
                <w:color w:val="auto"/>
                <w:vertAlign w:val="superscript"/>
              </w:rPr>
              <w:t>(4)</w:t>
            </w:r>
          </w:p>
        </w:tc>
        <w:tc>
          <w:tcPr>
            <w:tcW w:w="1380" w:type="dxa"/>
            <w:vAlign w:val="bottom"/>
          </w:tcPr>
          <w:p>
            <w:pPr>
              <w:jc w:val="center"/>
              <w:ind w:left="32"/>
              <w:spacing w:after="0"/>
              <w:rPr>
                <w:sz w:val="20"/>
                <w:szCs w:val="20"/>
                <w:color w:val="auto"/>
              </w:rPr>
            </w:pPr>
            <w:r>
              <w:rPr>
                <w:rFonts w:ascii="Arial" w:cs="Arial" w:eastAsia="Arial" w:hAnsi="Arial"/>
                <w:sz w:val="15"/>
                <w:szCs w:val="15"/>
                <w:color w:val="auto"/>
                <w:w w:val="93"/>
              </w:rPr>
              <w:t>8.77%</w:t>
            </w:r>
          </w:p>
        </w:tc>
      </w:tr>
      <w:tr>
        <w:trPr>
          <w:trHeight w:val="172"/>
        </w:trPr>
        <w:tc>
          <w:tcPr>
            <w:tcW w:w="1980" w:type="dxa"/>
            <w:vAlign w:val="bottom"/>
          </w:tcPr>
          <w:p>
            <w:pPr>
              <w:spacing w:after="0"/>
              <w:rPr>
                <w:sz w:val="14"/>
                <w:szCs w:val="14"/>
                <w:color w:val="auto"/>
              </w:rPr>
            </w:pPr>
          </w:p>
        </w:tc>
        <w:tc>
          <w:tcPr>
            <w:tcW w:w="4580" w:type="dxa"/>
            <w:vAlign w:val="bottom"/>
          </w:tcPr>
          <w:p>
            <w:pPr>
              <w:ind w:left="980"/>
              <w:spacing w:after="0"/>
              <w:rPr>
                <w:sz w:val="20"/>
                <w:szCs w:val="20"/>
                <w:color w:val="auto"/>
              </w:rPr>
            </w:pPr>
            <w:r>
              <w:rPr>
                <w:rFonts w:ascii="Arial" w:cs="Arial" w:eastAsia="Arial" w:hAnsi="Arial"/>
                <w:sz w:val="15"/>
                <w:szCs w:val="15"/>
                <w:color w:val="auto"/>
              </w:rPr>
              <w:t>100 East Pratt St.</w:t>
            </w:r>
          </w:p>
        </w:tc>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7"/>
        </w:trPr>
        <w:tc>
          <w:tcPr>
            <w:tcW w:w="1980" w:type="dxa"/>
            <w:vAlign w:val="bottom"/>
          </w:tcPr>
          <w:p>
            <w:pPr>
              <w:spacing w:after="0"/>
              <w:rPr>
                <w:sz w:val="15"/>
                <w:szCs w:val="15"/>
                <w:color w:val="auto"/>
              </w:rPr>
            </w:pPr>
          </w:p>
        </w:tc>
        <w:tc>
          <w:tcPr>
            <w:tcW w:w="4580" w:type="dxa"/>
            <w:vAlign w:val="bottom"/>
          </w:tcPr>
          <w:p>
            <w:pPr>
              <w:ind w:left="980"/>
              <w:spacing w:after="0"/>
              <w:rPr>
                <w:sz w:val="20"/>
                <w:szCs w:val="20"/>
                <w:color w:val="auto"/>
              </w:rPr>
            </w:pPr>
            <w:r>
              <w:rPr>
                <w:rFonts w:ascii="Arial" w:cs="Arial" w:eastAsia="Arial" w:hAnsi="Arial"/>
                <w:sz w:val="15"/>
                <w:szCs w:val="15"/>
                <w:color w:val="auto"/>
              </w:rPr>
              <w:t>Baltimore, MD 21202</w:t>
            </w:r>
          </w:p>
        </w:tc>
        <w:tc>
          <w:tcPr>
            <w:tcW w:w="348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207772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1" w:lineRule="exact"/>
        <w:rPr>
          <w:sz w:val="20"/>
          <w:szCs w:val="20"/>
          <w:color w:val="auto"/>
        </w:rPr>
      </w:pPr>
    </w:p>
    <w:p>
      <w:pPr>
        <w:ind w:left="402" w:hanging="402"/>
        <w:spacing w:after="0"/>
        <w:tabs>
          <w:tab w:leader="none" w:pos="402" w:val="left"/>
        </w:tabs>
        <w:numPr>
          <w:ilvl w:val="0"/>
          <w:numId w:val="75"/>
        </w:numPr>
        <w:rPr>
          <w:rFonts w:ascii="Arial" w:cs="Arial" w:eastAsia="Arial" w:hAnsi="Arial"/>
          <w:sz w:val="16"/>
          <w:szCs w:val="16"/>
          <w:color w:val="auto"/>
        </w:rPr>
      </w:pPr>
      <w:r>
        <w:rPr>
          <w:rFonts w:ascii="Arial" w:cs="Arial" w:eastAsia="Arial" w:hAnsi="Arial"/>
          <w:sz w:val="16"/>
          <w:szCs w:val="16"/>
          <w:color w:val="auto"/>
        </w:rPr>
        <w:t>Percent of class is based on 107,512,084 shares outstanding as of our record date.</w:t>
      </w:r>
    </w:p>
    <w:p>
      <w:pPr>
        <w:spacing w:after="0" w:line="48" w:lineRule="exact"/>
        <w:rPr>
          <w:rFonts w:ascii="Arial" w:cs="Arial" w:eastAsia="Arial" w:hAnsi="Arial"/>
          <w:sz w:val="16"/>
          <w:szCs w:val="16"/>
          <w:color w:val="auto"/>
        </w:rPr>
      </w:pPr>
    </w:p>
    <w:p>
      <w:pPr>
        <w:ind w:left="402" w:right="20" w:hanging="402"/>
        <w:spacing w:after="0" w:line="244" w:lineRule="auto"/>
        <w:tabs>
          <w:tab w:leader="none" w:pos="40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The Vanguard Group, Inc., an investment adviser, filed with the SEC on November 14, 2019, reflecting beneficial ownership as of September 30, 2019, with sole investment discretion but no voting authority with respect to 10,856,173 shares, sole investment discretion and voting authority with respect to 11,974 shares, shared investment discretion but sole voting authority with respect to 47,285 shares and shared discretion and voting authority with respect to 13,137 shares.</w:t>
      </w:r>
    </w:p>
    <w:p>
      <w:pPr>
        <w:spacing w:after="0" w:line="35" w:lineRule="exact"/>
        <w:rPr>
          <w:rFonts w:ascii="Arial" w:cs="Arial" w:eastAsia="Arial" w:hAnsi="Arial"/>
          <w:sz w:val="16"/>
          <w:szCs w:val="16"/>
          <w:color w:val="auto"/>
        </w:rPr>
      </w:pPr>
    </w:p>
    <w:p>
      <w:pPr>
        <w:ind w:left="402" w:right="260" w:hanging="402"/>
        <w:spacing w:after="0" w:line="244" w:lineRule="auto"/>
        <w:tabs>
          <w:tab w:leader="none" w:pos="40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BlackRock, Inc., a parent holding company, filed with the SEC on November 8, 2019, reflecting beneficial ownership as of September 30, 2019, with sole investment discretion and voting authority with respect to 9,135,699 shares and sole investment discretion but no voting authority with respect 419,491 shares. BlackRock, Inc. does not have shared voting or dispositive power over any of the shares.</w:t>
      </w:r>
    </w:p>
    <w:p>
      <w:pPr>
        <w:spacing w:after="0" w:line="35" w:lineRule="exact"/>
        <w:rPr>
          <w:rFonts w:ascii="Arial" w:cs="Arial" w:eastAsia="Arial" w:hAnsi="Arial"/>
          <w:sz w:val="16"/>
          <w:szCs w:val="16"/>
          <w:color w:val="auto"/>
        </w:rPr>
      </w:pPr>
    </w:p>
    <w:p>
      <w:pPr>
        <w:ind w:left="402" w:hanging="402"/>
        <w:spacing w:after="0" w:line="247" w:lineRule="auto"/>
        <w:tabs>
          <w:tab w:leader="none" w:pos="40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T Rowe Price Associates Inc., an investment adviser, filed with the SEC on November 14, 2019, reflecting beneficial ownership as of September 30, 2019, with sole investment discretion with respect to all such shares, sole voting authority with respect to 1,973,065 shares and no voting authority with respect to 7,457,521 shares.</w:t>
      </w:r>
    </w:p>
    <w:p>
      <w:pPr>
        <w:spacing w:after="0" w:line="200" w:lineRule="exact"/>
        <w:rPr>
          <w:sz w:val="20"/>
          <w:szCs w:val="20"/>
          <w:color w:val="auto"/>
        </w:rPr>
      </w:pPr>
    </w:p>
    <w:p>
      <w:pPr>
        <w:spacing w:after="0" w:line="22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72" w:name="page73"/>
    <w:bookmarkEnd w:id="72"/>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Directors and Executive Officers</w:t>
      </w:r>
    </w:p>
    <w:p>
      <w:pPr>
        <w:spacing w:after="0" w:line="112" w:lineRule="exact"/>
        <w:rPr>
          <w:sz w:val="20"/>
          <w:szCs w:val="20"/>
          <w:color w:val="auto"/>
        </w:rPr>
      </w:pPr>
    </w:p>
    <w:p>
      <w:pPr>
        <w:ind w:left="2" w:right="40" w:firstLine="408"/>
        <w:spacing w:after="0" w:line="244" w:lineRule="auto"/>
        <w:rPr>
          <w:sz w:val="20"/>
          <w:szCs w:val="20"/>
          <w:color w:val="auto"/>
        </w:rPr>
      </w:pPr>
      <w:r>
        <w:rPr>
          <w:rFonts w:ascii="Arial" w:cs="Arial" w:eastAsia="Arial" w:hAnsi="Arial"/>
          <w:sz w:val="16"/>
          <w:szCs w:val="16"/>
          <w:color w:val="auto"/>
        </w:rPr>
        <w:t>The following table sets forth information known to us regarding the beneficial ownership of our common stock as of January 21, 2020, by (i) each of our current non-employee directors (including our non-employee director nominees), (ii) individuals who served as our “principal executive officer” or “principal financial officer” during fiscal 2019 and the next three most highly compensated executive officers named in the “Summary Compensation Table” beginning on page 44, and (iii) all current directors and executive officers as a group.</w:t>
      </w:r>
    </w:p>
    <w:p>
      <w:pPr>
        <w:spacing w:after="0" w:line="86" w:lineRule="exact"/>
        <w:rPr>
          <w:sz w:val="20"/>
          <w:szCs w:val="20"/>
          <w:color w:val="auto"/>
        </w:rPr>
      </w:pPr>
    </w:p>
    <w:tbl>
      <w:tblPr>
        <w:tblLayout w:type="fixed"/>
        <w:tblInd w:w="2" w:type="dxa"/>
        <w:tblCellMar>
          <w:top w:w="0" w:type="dxa"/>
          <w:left w:w="0" w:type="dxa"/>
          <w:bottom w:w="0" w:type="dxa"/>
          <w:right w:w="0" w:type="dxa"/>
        </w:tblCellMar>
      </w:tblPr>
      <w:tr>
        <w:trPr>
          <w:trHeight w:val="164"/>
        </w:trPr>
        <w:tc>
          <w:tcPr>
            <w:tcW w:w="1660" w:type="dxa"/>
            <w:vAlign w:val="bottom"/>
            <w:shd w:val="clear" w:color="auto" w:fill="C00000"/>
          </w:tcPr>
          <w:p>
            <w:pPr>
              <w:spacing w:after="0"/>
              <w:rPr>
                <w:sz w:val="14"/>
                <w:szCs w:val="14"/>
                <w:color w:val="auto"/>
              </w:rPr>
            </w:pPr>
          </w:p>
        </w:tc>
        <w:tc>
          <w:tcPr>
            <w:tcW w:w="4320" w:type="dxa"/>
            <w:vAlign w:val="bottom"/>
            <w:shd w:val="clear" w:color="auto" w:fill="C00000"/>
          </w:tcPr>
          <w:p>
            <w:pPr>
              <w:spacing w:after="0"/>
              <w:rPr>
                <w:sz w:val="14"/>
                <w:szCs w:val="14"/>
                <w:color w:val="auto"/>
              </w:rPr>
            </w:pPr>
          </w:p>
        </w:tc>
        <w:tc>
          <w:tcPr>
            <w:tcW w:w="3920" w:type="dxa"/>
            <w:vAlign w:val="bottom"/>
            <w:shd w:val="clear" w:color="auto" w:fill="C00000"/>
          </w:tcPr>
          <w:p>
            <w:pPr>
              <w:jc w:val="center"/>
              <w:ind w:left="1088"/>
              <w:spacing w:after="0"/>
              <w:rPr>
                <w:sz w:val="20"/>
                <w:szCs w:val="20"/>
                <w:color w:val="auto"/>
              </w:rPr>
            </w:pPr>
            <w:r>
              <w:rPr>
                <w:rFonts w:ascii="Arial" w:cs="Arial" w:eastAsia="Arial" w:hAnsi="Arial"/>
                <w:sz w:val="13"/>
                <w:szCs w:val="13"/>
                <w:color w:val="FFFFFF"/>
              </w:rPr>
              <w:t>Amount and Nature of</w:t>
            </w:r>
          </w:p>
        </w:tc>
        <w:tc>
          <w:tcPr>
            <w:tcW w:w="1520" w:type="dxa"/>
            <w:vAlign w:val="bottom"/>
            <w:vMerge w:val="restart"/>
            <w:shd w:val="clear" w:color="auto" w:fill="C00000"/>
          </w:tcPr>
          <w:p>
            <w:pPr>
              <w:jc w:val="center"/>
              <w:ind w:right="128"/>
              <w:spacing w:after="0"/>
              <w:rPr>
                <w:sz w:val="20"/>
                <w:szCs w:val="20"/>
                <w:color w:val="auto"/>
              </w:rPr>
            </w:pPr>
            <w:r>
              <w:rPr>
                <w:rFonts w:ascii="Arial" w:cs="Arial" w:eastAsia="Arial" w:hAnsi="Arial"/>
                <w:sz w:val="13"/>
                <w:szCs w:val="13"/>
                <w:color w:val="FFFFFF"/>
              </w:rPr>
              <w:t>Percent of</w:t>
            </w:r>
          </w:p>
        </w:tc>
        <w:tc>
          <w:tcPr>
            <w:tcW w:w="0" w:type="dxa"/>
            <w:vAlign w:val="bottom"/>
          </w:tcPr>
          <w:p>
            <w:pPr>
              <w:spacing w:after="0"/>
              <w:rPr>
                <w:sz w:val="1"/>
                <w:szCs w:val="1"/>
                <w:color w:val="auto"/>
              </w:rPr>
            </w:pPr>
          </w:p>
        </w:tc>
      </w:tr>
      <w:tr>
        <w:trPr>
          <w:trHeight w:val="118"/>
        </w:trPr>
        <w:tc>
          <w:tcPr>
            <w:tcW w:w="1660" w:type="dxa"/>
            <w:vAlign w:val="bottom"/>
            <w:vMerge w:val="restart"/>
            <w:shd w:val="clear" w:color="auto" w:fill="C00000"/>
          </w:tcPr>
          <w:p>
            <w:pPr>
              <w:spacing w:after="0"/>
              <w:rPr>
                <w:sz w:val="20"/>
                <w:szCs w:val="20"/>
                <w:color w:val="auto"/>
              </w:rPr>
            </w:pPr>
            <w:r>
              <w:rPr>
                <w:rFonts w:ascii="Arial" w:cs="Arial" w:eastAsia="Arial" w:hAnsi="Arial"/>
                <w:sz w:val="13"/>
                <w:szCs w:val="13"/>
                <w:color w:val="FFFFFF"/>
              </w:rPr>
              <w:t>Title of Class</w:t>
            </w:r>
          </w:p>
        </w:tc>
        <w:tc>
          <w:tcPr>
            <w:tcW w:w="4320" w:type="dxa"/>
            <w:vAlign w:val="bottom"/>
            <w:vMerge w:val="restart"/>
            <w:shd w:val="clear" w:color="auto" w:fill="C00000"/>
          </w:tcPr>
          <w:p>
            <w:pPr>
              <w:ind w:left="660"/>
              <w:spacing w:after="0"/>
              <w:rPr>
                <w:sz w:val="20"/>
                <w:szCs w:val="20"/>
                <w:color w:val="auto"/>
              </w:rPr>
            </w:pPr>
            <w:r>
              <w:rPr>
                <w:rFonts w:ascii="Arial" w:cs="Arial" w:eastAsia="Arial" w:hAnsi="Arial"/>
                <w:sz w:val="13"/>
                <w:szCs w:val="13"/>
                <w:color w:val="FFFFFF"/>
              </w:rPr>
              <w:t>Name of Beneficial Owner</w:t>
            </w:r>
          </w:p>
        </w:tc>
        <w:tc>
          <w:tcPr>
            <w:tcW w:w="3920" w:type="dxa"/>
            <w:vAlign w:val="bottom"/>
            <w:shd w:val="clear" w:color="auto" w:fill="C00000"/>
          </w:tcPr>
          <w:p>
            <w:pPr>
              <w:jc w:val="center"/>
              <w:ind w:left="1088"/>
              <w:spacing w:after="0" w:line="118" w:lineRule="exact"/>
              <w:rPr>
                <w:sz w:val="20"/>
                <w:szCs w:val="20"/>
                <w:color w:val="auto"/>
              </w:rPr>
            </w:pPr>
            <w:r>
              <w:rPr>
                <w:rFonts w:ascii="Arial" w:cs="Arial" w:eastAsia="Arial" w:hAnsi="Arial"/>
                <w:sz w:val="13"/>
                <w:szCs w:val="13"/>
                <w:color w:val="FFFFFF"/>
              </w:rPr>
              <w:t>Beneficial Ownership</w:t>
            </w:r>
          </w:p>
        </w:tc>
        <w:tc>
          <w:tcPr>
            <w:tcW w:w="1520" w:type="dxa"/>
            <w:vAlign w:val="bottom"/>
            <w:vMerge w:val="continue"/>
            <w:shd w:val="clear" w:color="auto" w:fill="C00000"/>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60" w:type="dxa"/>
            <w:vAlign w:val="bottom"/>
            <w:vMerge w:val="continue"/>
            <w:shd w:val="clear" w:color="auto" w:fill="C00000"/>
          </w:tcPr>
          <w:p>
            <w:pPr>
              <w:spacing w:after="0"/>
              <w:rPr>
                <w:sz w:val="12"/>
                <w:szCs w:val="12"/>
                <w:color w:val="auto"/>
              </w:rPr>
            </w:pPr>
          </w:p>
        </w:tc>
        <w:tc>
          <w:tcPr>
            <w:tcW w:w="4320" w:type="dxa"/>
            <w:vAlign w:val="bottom"/>
            <w:vMerge w:val="continue"/>
            <w:shd w:val="clear" w:color="auto" w:fill="C00000"/>
          </w:tcPr>
          <w:p>
            <w:pPr>
              <w:spacing w:after="0"/>
              <w:rPr>
                <w:sz w:val="12"/>
                <w:szCs w:val="12"/>
                <w:color w:val="auto"/>
              </w:rPr>
            </w:pPr>
          </w:p>
        </w:tc>
        <w:tc>
          <w:tcPr>
            <w:tcW w:w="3920" w:type="dxa"/>
            <w:vAlign w:val="bottom"/>
            <w:shd w:val="clear" w:color="auto" w:fill="C00000"/>
          </w:tcPr>
          <w:p>
            <w:pPr>
              <w:jc w:val="center"/>
              <w:ind w:left="1088"/>
              <w:spacing w:after="0"/>
              <w:rPr>
                <w:sz w:val="20"/>
                <w:szCs w:val="20"/>
                <w:color w:val="auto"/>
              </w:rPr>
            </w:pPr>
            <w:r>
              <w:rPr>
                <w:rFonts w:ascii="Arial" w:cs="Arial" w:eastAsia="Arial" w:hAnsi="Arial"/>
                <w:sz w:val="11"/>
                <w:szCs w:val="11"/>
                <w:color w:val="FFFFFF"/>
              </w:rPr>
              <w:t>(1)(2)(3)(4)</w:t>
            </w:r>
          </w:p>
        </w:tc>
        <w:tc>
          <w:tcPr>
            <w:tcW w:w="1520" w:type="dxa"/>
            <w:vAlign w:val="bottom"/>
            <w:shd w:val="clear" w:color="auto" w:fill="C00000"/>
          </w:tcPr>
          <w:p>
            <w:pPr>
              <w:jc w:val="center"/>
              <w:ind w:right="108"/>
              <w:spacing w:after="0" w:line="147" w:lineRule="exact"/>
              <w:rPr>
                <w:sz w:val="20"/>
                <w:szCs w:val="20"/>
                <w:color w:val="auto"/>
              </w:rPr>
            </w:pPr>
            <w:r>
              <w:rPr>
                <w:rFonts w:ascii="Arial" w:cs="Arial" w:eastAsia="Arial" w:hAnsi="Arial"/>
                <w:sz w:val="11"/>
                <w:szCs w:val="11"/>
                <w:color w:val="FFFFFF"/>
              </w:rPr>
              <w:t>Class</w:t>
            </w:r>
            <w:r>
              <w:rPr>
                <w:rFonts w:ascii="Arial" w:cs="Arial" w:eastAsia="Arial" w:hAnsi="Arial"/>
                <w:sz w:val="17"/>
                <w:szCs w:val="17"/>
                <w:color w:val="FFFFFF"/>
                <w:vertAlign w:val="superscript"/>
              </w:rPr>
              <w:t>(5)</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5"/>
                <w:szCs w:val="15"/>
                <w:color w:val="auto"/>
              </w:rPr>
            </w:pPr>
          </w:p>
        </w:tc>
        <w:tc>
          <w:tcPr>
            <w:tcW w:w="4320" w:type="dxa"/>
            <w:vAlign w:val="bottom"/>
          </w:tcPr>
          <w:p>
            <w:pPr>
              <w:ind w:left="660"/>
              <w:spacing w:after="0"/>
              <w:rPr>
                <w:sz w:val="20"/>
                <w:szCs w:val="20"/>
                <w:color w:val="auto"/>
              </w:rPr>
            </w:pPr>
            <w:r>
              <w:rPr>
                <w:rFonts w:ascii="Arial" w:cs="Arial" w:eastAsia="Arial" w:hAnsi="Arial"/>
                <w:sz w:val="15"/>
                <w:szCs w:val="15"/>
                <w:color w:val="auto"/>
              </w:rPr>
              <w:t>Non-Employee Directors:</w:t>
            </w: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4320" w:type="dxa"/>
            <w:vAlign w:val="bottom"/>
            <w:shd w:val="clear" w:color="auto" w:fill="D9D9D9"/>
          </w:tcPr>
          <w:p>
            <w:pPr>
              <w:ind w:left="880"/>
              <w:spacing w:after="0"/>
              <w:rPr>
                <w:sz w:val="20"/>
                <w:szCs w:val="20"/>
                <w:color w:val="auto"/>
              </w:rPr>
            </w:pPr>
            <w:r>
              <w:rPr>
                <w:rFonts w:ascii="Arial" w:cs="Arial" w:eastAsia="Arial" w:hAnsi="Arial"/>
                <w:sz w:val="15"/>
                <w:szCs w:val="15"/>
                <w:color w:val="auto"/>
              </w:rPr>
              <w:t>Janet K. Cooper</w:t>
            </w:r>
          </w:p>
        </w:tc>
        <w:tc>
          <w:tcPr>
            <w:tcW w:w="3920" w:type="dxa"/>
            <w:vAlign w:val="bottom"/>
            <w:shd w:val="clear" w:color="auto" w:fill="D9D9D9"/>
          </w:tcPr>
          <w:p>
            <w:pPr>
              <w:jc w:val="right"/>
              <w:ind w:right="308"/>
              <w:spacing w:after="0"/>
              <w:rPr>
                <w:sz w:val="20"/>
                <w:szCs w:val="20"/>
                <w:color w:val="auto"/>
              </w:rPr>
            </w:pPr>
            <w:r>
              <w:rPr>
                <w:rFonts w:ascii="Arial" w:cs="Arial" w:eastAsia="Arial" w:hAnsi="Arial"/>
                <w:sz w:val="15"/>
                <w:szCs w:val="15"/>
                <w:color w:val="auto"/>
              </w:rPr>
              <w:t>111,265</w:t>
            </w:r>
          </w:p>
        </w:tc>
        <w:tc>
          <w:tcPr>
            <w:tcW w:w="152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4320" w:type="dxa"/>
            <w:vAlign w:val="bottom"/>
          </w:tcPr>
          <w:p>
            <w:pPr>
              <w:ind w:left="880"/>
              <w:spacing w:after="0"/>
              <w:rPr>
                <w:sz w:val="20"/>
                <w:szCs w:val="20"/>
                <w:color w:val="auto"/>
              </w:rPr>
            </w:pPr>
            <w:r>
              <w:rPr>
                <w:rFonts w:ascii="Arial" w:cs="Arial" w:eastAsia="Arial" w:hAnsi="Arial"/>
                <w:sz w:val="15"/>
                <w:szCs w:val="15"/>
                <w:color w:val="auto"/>
              </w:rPr>
              <w:t>Gary L. Ellis</w:t>
            </w:r>
          </w:p>
        </w:tc>
        <w:tc>
          <w:tcPr>
            <w:tcW w:w="3920" w:type="dxa"/>
            <w:vAlign w:val="bottom"/>
          </w:tcPr>
          <w:p>
            <w:pPr>
              <w:jc w:val="right"/>
              <w:ind w:right="308"/>
              <w:spacing w:after="0"/>
              <w:rPr>
                <w:sz w:val="20"/>
                <w:szCs w:val="20"/>
                <w:color w:val="auto"/>
              </w:rPr>
            </w:pPr>
            <w:r>
              <w:rPr>
                <w:rFonts w:ascii="Arial" w:cs="Arial" w:eastAsia="Arial" w:hAnsi="Arial"/>
                <w:sz w:val="15"/>
                <w:szCs w:val="15"/>
                <w:color w:val="auto"/>
              </w:rPr>
              <w:t>83,944</w:t>
            </w:r>
          </w:p>
        </w:tc>
        <w:tc>
          <w:tcPr>
            <w:tcW w:w="1520" w:type="dxa"/>
            <w:vAlign w:val="bottom"/>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4320" w:type="dxa"/>
            <w:vAlign w:val="bottom"/>
            <w:shd w:val="clear" w:color="auto" w:fill="D9D9D9"/>
          </w:tcPr>
          <w:p>
            <w:pPr>
              <w:ind w:left="880"/>
              <w:spacing w:after="0"/>
              <w:rPr>
                <w:sz w:val="20"/>
                <w:szCs w:val="20"/>
                <w:color w:val="auto"/>
              </w:rPr>
            </w:pPr>
            <w:r>
              <w:rPr>
                <w:rFonts w:ascii="Arial" w:cs="Arial" w:eastAsia="Arial" w:hAnsi="Arial"/>
                <w:sz w:val="15"/>
                <w:szCs w:val="15"/>
                <w:color w:val="auto"/>
              </w:rPr>
              <w:t>Jeffrey M. Ettinger</w:t>
            </w:r>
          </w:p>
        </w:tc>
        <w:tc>
          <w:tcPr>
            <w:tcW w:w="3920" w:type="dxa"/>
            <w:vAlign w:val="bottom"/>
            <w:shd w:val="clear" w:color="auto" w:fill="D9D9D9"/>
          </w:tcPr>
          <w:p>
            <w:pPr>
              <w:jc w:val="right"/>
              <w:ind w:right="308"/>
              <w:spacing w:after="0"/>
              <w:rPr>
                <w:sz w:val="20"/>
                <w:szCs w:val="20"/>
                <w:color w:val="auto"/>
              </w:rPr>
            </w:pPr>
            <w:r>
              <w:rPr>
                <w:rFonts w:ascii="Arial" w:cs="Arial" w:eastAsia="Arial" w:hAnsi="Arial"/>
                <w:sz w:val="15"/>
                <w:szCs w:val="15"/>
                <w:color w:val="auto"/>
              </w:rPr>
              <w:t>91,916</w:t>
            </w:r>
          </w:p>
        </w:tc>
        <w:tc>
          <w:tcPr>
            <w:tcW w:w="152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4320" w:type="dxa"/>
            <w:vAlign w:val="bottom"/>
          </w:tcPr>
          <w:p>
            <w:pPr>
              <w:ind w:left="880"/>
              <w:spacing w:after="0"/>
              <w:rPr>
                <w:sz w:val="20"/>
                <w:szCs w:val="20"/>
                <w:color w:val="auto"/>
              </w:rPr>
            </w:pPr>
            <w:r>
              <w:rPr>
                <w:rFonts w:ascii="Arial" w:cs="Arial" w:eastAsia="Arial" w:hAnsi="Arial"/>
                <w:sz w:val="15"/>
                <w:szCs w:val="15"/>
                <w:color w:val="auto"/>
              </w:rPr>
              <w:t>Katherine J. Harless</w:t>
            </w:r>
          </w:p>
        </w:tc>
        <w:tc>
          <w:tcPr>
            <w:tcW w:w="3920" w:type="dxa"/>
            <w:vAlign w:val="bottom"/>
          </w:tcPr>
          <w:p>
            <w:pPr>
              <w:jc w:val="right"/>
              <w:ind w:right="308"/>
              <w:spacing w:after="0"/>
              <w:rPr>
                <w:sz w:val="20"/>
                <w:szCs w:val="20"/>
                <w:color w:val="auto"/>
              </w:rPr>
            </w:pPr>
            <w:r>
              <w:rPr>
                <w:rFonts w:ascii="Arial" w:cs="Arial" w:eastAsia="Arial" w:hAnsi="Arial"/>
                <w:sz w:val="15"/>
                <w:szCs w:val="15"/>
                <w:color w:val="auto"/>
              </w:rPr>
              <w:t>125,336</w:t>
            </w:r>
          </w:p>
        </w:tc>
        <w:tc>
          <w:tcPr>
            <w:tcW w:w="1520" w:type="dxa"/>
            <w:vAlign w:val="bottom"/>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4320" w:type="dxa"/>
            <w:vAlign w:val="bottom"/>
            <w:shd w:val="clear" w:color="auto" w:fill="D9D9D9"/>
          </w:tcPr>
          <w:p>
            <w:pPr>
              <w:ind w:left="880"/>
              <w:spacing w:after="0"/>
              <w:rPr>
                <w:sz w:val="20"/>
                <w:szCs w:val="20"/>
                <w:color w:val="auto"/>
              </w:rPr>
            </w:pPr>
            <w:r>
              <w:rPr>
                <w:rFonts w:ascii="Arial" w:cs="Arial" w:eastAsia="Arial" w:hAnsi="Arial"/>
                <w:sz w:val="15"/>
                <w:szCs w:val="15"/>
                <w:color w:val="auto"/>
              </w:rPr>
              <w:t>Jeffrey L. Harmening</w:t>
            </w:r>
          </w:p>
        </w:tc>
        <w:tc>
          <w:tcPr>
            <w:tcW w:w="3920" w:type="dxa"/>
            <w:vAlign w:val="bottom"/>
            <w:shd w:val="clear" w:color="auto" w:fill="D9D9D9"/>
          </w:tcPr>
          <w:p>
            <w:pPr>
              <w:jc w:val="right"/>
              <w:ind w:right="308"/>
              <w:spacing w:after="0"/>
              <w:rPr>
                <w:sz w:val="20"/>
                <w:szCs w:val="20"/>
                <w:color w:val="auto"/>
              </w:rPr>
            </w:pPr>
            <w:r>
              <w:rPr>
                <w:rFonts w:ascii="Arial" w:cs="Arial" w:eastAsia="Arial" w:hAnsi="Arial"/>
                <w:sz w:val="15"/>
                <w:szCs w:val="15"/>
                <w:color w:val="auto"/>
              </w:rPr>
              <w:t>1,992</w:t>
            </w:r>
          </w:p>
        </w:tc>
        <w:tc>
          <w:tcPr>
            <w:tcW w:w="152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4320" w:type="dxa"/>
            <w:vAlign w:val="bottom"/>
          </w:tcPr>
          <w:p>
            <w:pPr>
              <w:ind w:left="880"/>
              <w:spacing w:after="0"/>
              <w:rPr>
                <w:sz w:val="20"/>
                <w:szCs w:val="20"/>
                <w:color w:val="auto"/>
              </w:rPr>
            </w:pPr>
            <w:r>
              <w:rPr>
                <w:rFonts w:ascii="Arial" w:cs="Arial" w:eastAsia="Arial" w:hAnsi="Arial"/>
                <w:sz w:val="15"/>
                <w:szCs w:val="15"/>
                <w:color w:val="auto"/>
              </w:rPr>
              <w:t>D. Christian Koch</w:t>
            </w:r>
          </w:p>
        </w:tc>
        <w:tc>
          <w:tcPr>
            <w:tcW w:w="3920" w:type="dxa"/>
            <w:vAlign w:val="bottom"/>
          </w:tcPr>
          <w:p>
            <w:pPr>
              <w:jc w:val="right"/>
              <w:ind w:right="308"/>
              <w:spacing w:after="0"/>
              <w:rPr>
                <w:sz w:val="20"/>
                <w:szCs w:val="20"/>
                <w:color w:val="auto"/>
              </w:rPr>
            </w:pPr>
            <w:r>
              <w:rPr>
                <w:rFonts w:ascii="Arial" w:cs="Arial" w:eastAsia="Arial" w:hAnsi="Arial"/>
                <w:sz w:val="15"/>
                <w:szCs w:val="15"/>
                <w:color w:val="auto"/>
              </w:rPr>
              <w:t>13,110</w:t>
            </w:r>
          </w:p>
        </w:tc>
        <w:tc>
          <w:tcPr>
            <w:tcW w:w="1520" w:type="dxa"/>
            <w:vAlign w:val="bottom"/>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4320" w:type="dxa"/>
            <w:vAlign w:val="bottom"/>
            <w:shd w:val="clear" w:color="auto" w:fill="D9D9D9"/>
          </w:tcPr>
          <w:p>
            <w:pPr>
              <w:ind w:left="880"/>
              <w:spacing w:after="0"/>
              <w:rPr>
                <w:sz w:val="20"/>
                <w:szCs w:val="20"/>
                <w:color w:val="auto"/>
              </w:rPr>
            </w:pPr>
            <w:r>
              <w:rPr>
                <w:rFonts w:ascii="Arial" w:cs="Arial" w:eastAsia="Arial" w:hAnsi="Arial"/>
                <w:sz w:val="15"/>
                <w:szCs w:val="15"/>
                <w:color w:val="auto"/>
              </w:rPr>
              <w:t>Joyce A. Mullen</w:t>
            </w:r>
          </w:p>
        </w:tc>
        <w:tc>
          <w:tcPr>
            <w:tcW w:w="3920" w:type="dxa"/>
            <w:vAlign w:val="bottom"/>
            <w:shd w:val="clear" w:color="auto" w:fill="D9D9D9"/>
          </w:tcPr>
          <w:p>
            <w:pPr>
              <w:jc w:val="right"/>
              <w:ind w:right="308"/>
              <w:spacing w:after="0"/>
              <w:rPr>
                <w:sz w:val="20"/>
                <w:szCs w:val="20"/>
                <w:color w:val="auto"/>
              </w:rPr>
            </w:pPr>
            <w:r>
              <w:rPr>
                <w:rFonts w:ascii="Arial" w:cs="Arial" w:eastAsia="Arial" w:hAnsi="Arial"/>
                <w:sz w:val="15"/>
                <w:szCs w:val="15"/>
                <w:color w:val="auto"/>
              </w:rPr>
              <w:t>895</w:t>
            </w:r>
          </w:p>
        </w:tc>
        <w:tc>
          <w:tcPr>
            <w:tcW w:w="152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4320" w:type="dxa"/>
            <w:vAlign w:val="bottom"/>
          </w:tcPr>
          <w:p>
            <w:pPr>
              <w:ind w:left="880"/>
              <w:spacing w:after="0"/>
              <w:rPr>
                <w:sz w:val="20"/>
                <w:szCs w:val="20"/>
                <w:color w:val="auto"/>
              </w:rPr>
            </w:pPr>
            <w:r>
              <w:rPr>
                <w:rFonts w:ascii="Arial" w:cs="Arial" w:eastAsia="Arial" w:hAnsi="Arial"/>
                <w:sz w:val="15"/>
                <w:szCs w:val="15"/>
                <w:color w:val="auto"/>
              </w:rPr>
              <w:t>James C. O’Rourke</w:t>
            </w:r>
          </w:p>
        </w:tc>
        <w:tc>
          <w:tcPr>
            <w:tcW w:w="3920" w:type="dxa"/>
            <w:vAlign w:val="bottom"/>
          </w:tcPr>
          <w:p>
            <w:pPr>
              <w:jc w:val="right"/>
              <w:ind w:right="308"/>
              <w:spacing w:after="0"/>
              <w:rPr>
                <w:sz w:val="20"/>
                <w:szCs w:val="20"/>
                <w:color w:val="auto"/>
              </w:rPr>
            </w:pPr>
            <w:r>
              <w:rPr>
                <w:rFonts w:ascii="Arial" w:cs="Arial" w:eastAsia="Arial" w:hAnsi="Arial"/>
                <w:sz w:val="15"/>
                <w:szCs w:val="15"/>
                <w:color w:val="auto"/>
              </w:rPr>
              <w:t>35,660</w:t>
            </w:r>
          </w:p>
        </w:tc>
        <w:tc>
          <w:tcPr>
            <w:tcW w:w="1520" w:type="dxa"/>
            <w:vAlign w:val="bottom"/>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4320" w:type="dxa"/>
            <w:vAlign w:val="bottom"/>
            <w:shd w:val="clear" w:color="auto" w:fill="D9D9D9"/>
          </w:tcPr>
          <w:p>
            <w:pPr>
              <w:ind w:left="880"/>
              <w:spacing w:after="0"/>
              <w:rPr>
                <w:sz w:val="20"/>
                <w:szCs w:val="20"/>
                <w:color w:val="auto"/>
              </w:rPr>
            </w:pPr>
            <w:r>
              <w:rPr>
                <w:rFonts w:ascii="Arial" w:cs="Arial" w:eastAsia="Arial" w:hAnsi="Arial"/>
                <w:sz w:val="15"/>
                <w:szCs w:val="15"/>
                <w:color w:val="auto"/>
              </w:rPr>
              <w:t>Gregg W. Steinhafel</w:t>
            </w:r>
          </w:p>
        </w:tc>
        <w:tc>
          <w:tcPr>
            <w:tcW w:w="3920" w:type="dxa"/>
            <w:vAlign w:val="bottom"/>
            <w:shd w:val="clear" w:color="auto" w:fill="D9D9D9"/>
          </w:tcPr>
          <w:p>
            <w:pPr>
              <w:jc w:val="right"/>
              <w:ind w:right="308"/>
              <w:spacing w:after="0"/>
              <w:rPr>
                <w:sz w:val="20"/>
                <w:szCs w:val="20"/>
                <w:color w:val="auto"/>
              </w:rPr>
            </w:pPr>
            <w:r>
              <w:rPr>
                <w:rFonts w:ascii="Arial" w:cs="Arial" w:eastAsia="Arial" w:hAnsi="Arial"/>
                <w:sz w:val="15"/>
                <w:szCs w:val="15"/>
                <w:color w:val="auto"/>
              </w:rPr>
              <w:t>76,972</w:t>
            </w:r>
          </w:p>
        </w:tc>
        <w:tc>
          <w:tcPr>
            <w:tcW w:w="152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4320" w:type="dxa"/>
            <w:vAlign w:val="bottom"/>
          </w:tcPr>
          <w:p>
            <w:pPr>
              <w:ind w:left="880"/>
              <w:spacing w:after="0"/>
              <w:rPr>
                <w:sz w:val="20"/>
                <w:szCs w:val="20"/>
                <w:color w:val="auto"/>
              </w:rPr>
            </w:pPr>
            <w:r>
              <w:rPr>
                <w:rFonts w:ascii="Arial" w:cs="Arial" w:eastAsia="Arial" w:hAnsi="Arial"/>
                <w:sz w:val="15"/>
                <w:szCs w:val="15"/>
                <w:color w:val="auto"/>
              </w:rPr>
              <w:t>Michael G. Vale</w:t>
            </w:r>
          </w:p>
        </w:tc>
        <w:tc>
          <w:tcPr>
            <w:tcW w:w="3920" w:type="dxa"/>
            <w:vAlign w:val="bottom"/>
          </w:tcPr>
          <w:p>
            <w:pPr>
              <w:jc w:val="right"/>
              <w:ind w:right="308"/>
              <w:spacing w:after="0"/>
              <w:rPr>
                <w:sz w:val="20"/>
                <w:szCs w:val="20"/>
                <w:color w:val="auto"/>
              </w:rPr>
            </w:pPr>
            <w:r>
              <w:rPr>
                <w:rFonts w:ascii="Arial" w:cs="Arial" w:eastAsia="Arial" w:hAnsi="Arial"/>
                <w:sz w:val="15"/>
                <w:szCs w:val="15"/>
                <w:color w:val="auto"/>
              </w:rPr>
              <w:t>3,414</w:t>
            </w:r>
          </w:p>
        </w:tc>
        <w:tc>
          <w:tcPr>
            <w:tcW w:w="1520" w:type="dxa"/>
            <w:vAlign w:val="bottom"/>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15"/>
                <w:szCs w:val="15"/>
                <w:color w:val="auto"/>
              </w:rPr>
            </w:pPr>
          </w:p>
        </w:tc>
        <w:tc>
          <w:tcPr>
            <w:tcW w:w="4320" w:type="dxa"/>
            <w:vAlign w:val="bottom"/>
            <w:shd w:val="clear" w:color="auto" w:fill="D9D9D9"/>
          </w:tcPr>
          <w:p>
            <w:pPr>
              <w:ind w:left="660"/>
              <w:spacing w:after="0"/>
              <w:rPr>
                <w:sz w:val="20"/>
                <w:szCs w:val="20"/>
                <w:color w:val="auto"/>
              </w:rPr>
            </w:pPr>
            <w:r>
              <w:rPr>
                <w:rFonts w:ascii="Arial" w:cs="Arial" w:eastAsia="Arial" w:hAnsi="Arial"/>
                <w:sz w:val="15"/>
                <w:szCs w:val="15"/>
                <w:color w:val="auto"/>
              </w:rPr>
              <w:t>Named Executive Officers:</w:t>
            </w:r>
          </w:p>
        </w:tc>
        <w:tc>
          <w:tcPr>
            <w:tcW w:w="3920" w:type="dxa"/>
            <w:vAlign w:val="bottom"/>
            <w:shd w:val="clear" w:color="auto" w:fill="D9D9D9"/>
          </w:tcPr>
          <w:p>
            <w:pPr>
              <w:spacing w:after="0"/>
              <w:rPr>
                <w:sz w:val="15"/>
                <w:szCs w:val="15"/>
                <w:color w:val="auto"/>
              </w:rPr>
            </w:pPr>
          </w:p>
        </w:tc>
        <w:tc>
          <w:tcPr>
            <w:tcW w:w="15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4320" w:type="dxa"/>
            <w:vAlign w:val="bottom"/>
          </w:tcPr>
          <w:p>
            <w:pPr>
              <w:ind w:left="880"/>
              <w:spacing w:after="0"/>
              <w:rPr>
                <w:sz w:val="20"/>
                <w:szCs w:val="20"/>
                <w:color w:val="auto"/>
              </w:rPr>
            </w:pPr>
            <w:r>
              <w:rPr>
                <w:rFonts w:ascii="Arial" w:cs="Arial" w:eastAsia="Arial" w:hAnsi="Arial"/>
                <w:sz w:val="15"/>
                <w:szCs w:val="15"/>
                <w:color w:val="auto"/>
              </w:rPr>
              <w:t>Richard M. Olson</w:t>
            </w:r>
          </w:p>
        </w:tc>
        <w:tc>
          <w:tcPr>
            <w:tcW w:w="3920" w:type="dxa"/>
            <w:vAlign w:val="bottom"/>
          </w:tcPr>
          <w:p>
            <w:pPr>
              <w:jc w:val="right"/>
              <w:ind w:right="308"/>
              <w:spacing w:after="0"/>
              <w:rPr>
                <w:sz w:val="20"/>
                <w:szCs w:val="20"/>
                <w:color w:val="auto"/>
              </w:rPr>
            </w:pPr>
            <w:r>
              <w:rPr>
                <w:rFonts w:ascii="Arial" w:cs="Arial" w:eastAsia="Arial" w:hAnsi="Arial"/>
                <w:sz w:val="15"/>
                <w:szCs w:val="15"/>
                <w:color w:val="auto"/>
              </w:rPr>
              <w:t>455,777</w:t>
            </w:r>
          </w:p>
        </w:tc>
        <w:tc>
          <w:tcPr>
            <w:tcW w:w="1520" w:type="dxa"/>
            <w:vAlign w:val="bottom"/>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4320" w:type="dxa"/>
            <w:vAlign w:val="bottom"/>
            <w:shd w:val="clear" w:color="auto" w:fill="D9D9D9"/>
          </w:tcPr>
          <w:p>
            <w:pPr>
              <w:ind w:left="880"/>
              <w:spacing w:after="0"/>
              <w:rPr>
                <w:sz w:val="20"/>
                <w:szCs w:val="20"/>
                <w:color w:val="auto"/>
              </w:rPr>
            </w:pPr>
            <w:r>
              <w:rPr>
                <w:rFonts w:ascii="Arial" w:cs="Arial" w:eastAsia="Arial" w:hAnsi="Arial"/>
                <w:sz w:val="15"/>
                <w:szCs w:val="15"/>
                <w:color w:val="auto"/>
              </w:rPr>
              <w:t>Renee J. Peterson</w:t>
            </w:r>
          </w:p>
        </w:tc>
        <w:tc>
          <w:tcPr>
            <w:tcW w:w="3920" w:type="dxa"/>
            <w:vAlign w:val="bottom"/>
            <w:shd w:val="clear" w:color="auto" w:fill="D9D9D9"/>
          </w:tcPr>
          <w:p>
            <w:pPr>
              <w:jc w:val="right"/>
              <w:ind w:right="308"/>
              <w:spacing w:after="0"/>
              <w:rPr>
                <w:sz w:val="20"/>
                <w:szCs w:val="20"/>
                <w:color w:val="auto"/>
              </w:rPr>
            </w:pPr>
            <w:r>
              <w:rPr>
                <w:rFonts w:ascii="Arial" w:cs="Arial" w:eastAsia="Arial" w:hAnsi="Arial"/>
                <w:sz w:val="15"/>
                <w:szCs w:val="15"/>
                <w:color w:val="auto"/>
              </w:rPr>
              <w:t>332,838</w:t>
            </w:r>
          </w:p>
        </w:tc>
        <w:tc>
          <w:tcPr>
            <w:tcW w:w="152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4320" w:type="dxa"/>
            <w:vAlign w:val="bottom"/>
          </w:tcPr>
          <w:p>
            <w:pPr>
              <w:ind w:left="880"/>
              <w:spacing w:after="0" w:line="184" w:lineRule="exact"/>
              <w:rPr>
                <w:sz w:val="20"/>
                <w:szCs w:val="20"/>
                <w:color w:val="auto"/>
              </w:rPr>
            </w:pPr>
            <w:r>
              <w:rPr>
                <w:rFonts w:ascii="Arial" w:cs="Arial" w:eastAsia="Arial" w:hAnsi="Arial"/>
                <w:sz w:val="13"/>
                <w:szCs w:val="13"/>
                <w:color w:val="auto"/>
              </w:rPr>
              <w:t>Timothy P. Dordell</w:t>
            </w:r>
            <w:r>
              <w:rPr>
                <w:rFonts w:ascii="Arial" w:cs="Arial" w:eastAsia="Arial" w:hAnsi="Arial"/>
                <w:sz w:val="21"/>
                <w:szCs w:val="21"/>
                <w:color w:val="auto"/>
                <w:vertAlign w:val="superscript"/>
              </w:rPr>
              <w:t>(6)</w:t>
            </w:r>
          </w:p>
        </w:tc>
        <w:tc>
          <w:tcPr>
            <w:tcW w:w="3920" w:type="dxa"/>
            <w:vAlign w:val="bottom"/>
          </w:tcPr>
          <w:p>
            <w:pPr>
              <w:jc w:val="right"/>
              <w:ind w:right="308"/>
              <w:spacing w:after="0"/>
              <w:rPr>
                <w:sz w:val="20"/>
                <w:szCs w:val="20"/>
                <w:color w:val="auto"/>
              </w:rPr>
            </w:pPr>
            <w:r>
              <w:rPr>
                <w:rFonts w:ascii="Arial" w:cs="Arial" w:eastAsia="Arial" w:hAnsi="Arial"/>
                <w:sz w:val="15"/>
                <w:szCs w:val="15"/>
                <w:color w:val="auto"/>
              </w:rPr>
              <w:t>261,780</w:t>
            </w:r>
          </w:p>
        </w:tc>
        <w:tc>
          <w:tcPr>
            <w:tcW w:w="1520" w:type="dxa"/>
            <w:vAlign w:val="bottom"/>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shd w:val="clear" w:color="auto" w:fill="D9D9D9"/>
          </w:tcPr>
          <w:p>
            <w:pPr>
              <w:spacing w:after="0"/>
              <w:rPr>
                <w:sz w:val="20"/>
                <w:szCs w:val="20"/>
                <w:color w:val="auto"/>
              </w:rPr>
            </w:pPr>
            <w:r>
              <w:rPr>
                <w:rFonts w:ascii="Arial" w:cs="Arial" w:eastAsia="Arial" w:hAnsi="Arial"/>
                <w:sz w:val="15"/>
                <w:szCs w:val="15"/>
                <w:color w:val="auto"/>
              </w:rPr>
              <w:t>Common Stock</w:t>
            </w:r>
          </w:p>
        </w:tc>
        <w:tc>
          <w:tcPr>
            <w:tcW w:w="4320" w:type="dxa"/>
            <w:vAlign w:val="bottom"/>
            <w:shd w:val="clear" w:color="auto" w:fill="D9D9D9"/>
          </w:tcPr>
          <w:p>
            <w:pPr>
              <w:ind w:left="880"/>
              <w:spacing w:after="0"/>
              <w:rPr>
                <w:sz w:val="20"/>
                <w:szCs w:val="20"/>
                <w:color w:val="auto"/>
              </w:rPr>
            </w:pPr>
            <w:r>
              <w:rPr>
                <w:rFonts w:ascii="Arial" w:cs="Arial" w:eastAsia="Arial" w:hAnsi="Arial"/>
                <w:sz w:val="15"/>
                <w:szCs w:val="15"/>
                <w:color w:val="auto"/>
              </w:rPr>
              <w:t>Bradley A. Hamilton</w:t>
            </w:r>
          </w:p>
        </w:tc>
        <w:tc>
          <w:tcPr>
            <w:tcW w:w="3920" w:type="dxa"/>
            <w:vAlign w:val="bottom"/>
            <w:shd w:val="clear" w:color="auto" w:fill="D9D9D9"/>
          </w:tcPr>
          <w:p>
            <w:pPr>
              <w:jc w:val="right"/>
              <w:ind w:right="308"/>
              <w:spacing w:after="0"/>
              <w:rPr>
                <w:sz w:val="20"/>
                <w:szCs w:val="20"/>
                <w:color w:val="auto"/>
              </w:rPr>
            </w:pPr>
            <w:r>
              <w:rPr>
                <w:rFonts w:ascii="Arial" w:cs="Arial" w:eastAsia="Arial" w:hAnsi="Arial"/>
                <w:sz w:val="15"/>
                <w:szCs w:val="15"/>
                <w:color w:val="auto"/>
              </w:rPr>
              <w:t>59,241</w:t>
            </w:r>
          </w:p>
        </w:tc>
        <w:tc>
          <w:tcPr>
            <w:tcW w:w="152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20"/>
                <w:szCs w:val="20"/>
                <w:color w:val="auto"/>
              </w:rPr>
            </w:pPr>
            <w:r>
              <w:rPr>
                <w:rFonts w:ascii="Arial" w:cs="Arial" w:eastAsia="Arial" w:hAnsi="Arial"/>
                <w:sz w:val="15"/>
                <w:szCs w:val="15"/>
                <w:color w:val="auto"/>
              </w:rPr>
              <w:t>Common Stock</w:t>
            </w:r>
          </w:p>
        </w:tc>
        <w:tc>
          <w:tcPr>
            <w:tcW w:w="4320" w:type="dxa"/>
            <w:vAlign w:val="bottom"/>
          </w:tcPr>
          <w:p>
            <w:pPr>
              <w:ind w:left="880"/>
              <w:spacing w:after="0"/>
              <w:rPr>
                <w:sz w:val="20"/>
                <w:szCs w:val="20"/>
                <w:color w:val="auto"/>
              </w:rPr>
            </w:pPr>
            <w:r>
              <w:rPr>
                <w:rFonts w:ascii="Arial" w:cs="Arial" w:eastAsia="Arial" w:hAnsi="Arial"/>
                <w:sz w:val="15"/>
                <w:szCs w:val="15"/>
                <w:color w:val="auto"/>
              </w:rPr>
              <w:t>Richard W. Rodier</w:t>
            </w:r>
          </w:p>
        </w:tc>
        <w:tc>
          <w:tcPr>
            <w:tcW w:w="3920" w:type="dxa"/>
            <w:vAlign w:val="bottom"/>
          </w:tcPr>
          <w:p>
            <w:pPr>
              <w:jc w:val="right"/>
              <w:ind w:right="308"/>
              <w:spacing w:after="0"/>
              <w:rPr>
                <w:sz w:val="20"/>
                <w:szCs w:val="20"/>
                <w:color w:val="auto"/>
              </w:rPr>
            </w:pPr>
            <w:r>
              <w:rPr>
                <w:rFonts w:ascii="Arial" w:cs="Arial" w:eastAsia="Arial" w:hAnsi="Arial"/>
                <w:sz w:val="15"/>
                <w:szCs w:val="15"/>
                <w:color w:val="auto"/>
              </w:rPr>
              <w:t>83,748</w:t>
            </w:r>
          </w:p>
        </w:tc>
        <w:tc>
          <w:tcPr>
            <w:tcW w:w="1520" w:type="dxa"/>
            <w:vAlign w:val="bottom"/>
          </w:tcPr>
          <w:p>
            <w:pPr>
              <w:jc w:val="center"/>
              <w:ind w:right="1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5980" w:type="dxa"/>
            <w:vAlign w:val="bottom"/>
            <w:gridSpan w:val="2"/>
            <w:shd w:val="clear" w:color="auto" w:fill="D9D9D9"/>
          </w:tcPr>
          <w:p>
            <w:pPr>
              <w:spacing w:after="0"/>
              <w:rPr>
                <w:sz w:val="20"/>
                <w:szCs w:val="20"/>
                <w:color w:val="auto"/>
              </w:rPr>
            </w:pPr>
            <w:r>
              <w:rPr>
                <w:rFonts w:ascii="Arial" w:cs="Arial" w:eastAsia="Arial" w:hAnsi="Arial"/>
                <w:sz w:val="15"/>
                <w:szCs w:val="15"/>
                <w:color w:val="auto"/>
              </w:rPr>
              <w:t>All Current Directors and Executive Officers as a Group (21)</w:t>
            </w:r>
          </w:p>
        </w:tc>
        <w:tc>
          <w:tcPr>
            <w:tcW w:w="3920" w:type="dxa"/>
            <w:vAlign w:val="bottom"/>
            <w:shd w:val="clear" w:color="auto" w:fill="D9D9D9"/>
          </w:tcPr>
          <w:p>
            <w:pPr>
              <w:jc w:val="right"/>
              <w:ind w:right="308"/>
              <w:spacing w:after="0"/>
              <w:rPr>
                <w:sz w:val="20"/>
                <w:szCs w:val="20"/>
                <w:color w:val="auto"/>
              </w:rPr>
            </w:pPr>
            <w:r>
              <w:rPr>
                <w:rFonts w:ascii="Arial" w:cs="Arial" w:eastAsia="Arial" w:hAnsi="Arial"/>
                <w:sz w:val="15"/>
                <w:szCs w:val="15"/>
                <w:color w:val="auto"/>
              </w:rPr>
              <w:t>1,926,144</w:t>
            </w:r>
          </w:p>
        </w:tc>
        <w:tc>
          <w:tcPr>
            <w:tcW w:w="1520" w:type="dxa"/>
            <w:vAlign w:val="bottom"/>
            <w:shd w:val="clear" w:color="auto" w:fill="D9D9D9"/>
          </w:tcPr>
          <w:p>
            <w:pPr>
              <w:jc w:val="center"/>
              <w:ind w:right="108"/>
              <w:spacing w:after="0"/>
              <w:rPr>
                <w:sz w:val="20"/>
                <w:szCs w:val="20"/>
                <w:color w:val="auto"/>
              </w:rPr>
            </w:pPr>
            <w:r>
              <w:rPr>
                <w:rFonts w:ascii="Arial" w:cs="Arial" w:eastAsia="Arial" w:hAnsi="Arial"/>
                <w:sz w:val="15"/>
                <w:szCs w:val="15"/>
                <w:color w:val="auto"/>
                <w:w w:val="98"/>
              </w:rPr>
              <w:t>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207772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39" w:lineRule="exact"/>
        <w:rPr>
          <w:sz w:val="20"/>
          <w:szCs w:val="20"/>
          <w:color w:val="auto"/>
        </w:rPr>
      </w:pPr>
    </w:p>
    <w:p>
      <w:pPr>
        <w:ind w:left="402" w:hanging="402"/>
        <w:spacing w:after="0"/>
        <w:tabs>
          <w:tab w:leader="none" w:pos="4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Less than one percent of the outstanding shares of our common stock.</w:t>
      </w:r>
    </w:p>
    <w:p>
      <w:pPr>
        <w:spacing w:after="0" w:line="49" w:lineRule="exact"/>
        <w:rPr>
          <w:sz w:val="20"/>
          <w:szCs w:val="20"/>
          <w:color w:val="auto"/>
        </w:rPr>
      </w:pPr>
    </w:p>
    <w:p>
      <w:pPr>
        <w:ind w:left="402" w:hanging="402"/>
        <w:spacing w:after="0" w:line="244" w:lineRule="auto"/>
        <w:tabs>
          <w:tab w:leader="none" w:pos="402" w:val="left"/>
        </w:tabs>
        <w:numPr>
          <w:ilvl w:val="0"/>
          <w:numId w:val="77"/>
        </w:numPr>
        <w:rPr>
          <w:rFonts w:ascii="Arial" w:cs="Arial" w:eastAsia="Arial" w:hAnsi="Arial"/>
          <w:sz w:val="16"/>
          <w:szCs w:val="16"/>
          <w:color w:val="auto"/>
        </w:rPr>
      </w:pPr>
      <w:r>
        <w:rPr>
          <w:rFonts w:ascii="Arial" w:cs="Arial" w:eastAsia="Arial" w:hAnsi="Arial"/>
          <w:sz w:val="16"/>
          <w:szCs w:val="16"/>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18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73" w:name="page74"/>
    <w:bookmarkEnd w:id="73"/>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02" w:right="20" w:hanging="402"/>
        <w:spacing w:after="0" w:line="243" w:lineRule="auto"/>
        <w:tabs>
          <w:tab w:leader="none" w:pos="402" w:val="left"/>
        </w:tabs>
        <w:numPr>
          <w:ilvl w:val="0"/>
          <w:numId w:val="78"/>
        </w:numPr>
        <w:rPr>
          <w:rFonts w:ascii="Arial" w:cs="Arial" w:eastAsia="Arial" w:hAnsi="Arial"/>
          <w:sz w:val="16"/>
          <w:szCs w:val="16"/>
          <w:color w:val="auto"/>
        </w:rPr>
      </w:pPr>
      <w:r>
        <w:rPr>
          <w:rFonts w:ascii="Arial" w:cs="Arial" w:eastAsia="Arial" w:hAnsi="Arial"/>
          <w:sz w:val="16"/>
          <w:szCs w:val="16"/>
          <w:color w:val="auto"/>
        </w:rPr>
        <w:t>“Beneficial ownership” also includes: (a) shares that a person has the right to acquire within 60 days of January 21, 2020, and, as such, includes shares that may be acquired upon exercise of stock options within 60 days of January 21, 2020; (b) shares allocated to executive officers under the Retirement Plan; and (c) common stock units and performance share units, collectively referred to as units, credited under the Deferred Plan for Directors and Deferred Plan for Officers. The following table reflects the beneficial ownership by type of security held by our non-employee directors, named executive officers, and all current directors and executive officers as a group:</w:t>
      </w:r>
    </w:p>
    <w:p>
      <w:pPr>
        <w:spacing w:after="0" w:line="37" w:lineRule="exact"/>
        <w:rPr>
          <w:sz w:val="20"/>
          <w:szCs w:val="20"/>
          <w:color w:val="auto"/>
        </w:rPr>
      </w:pPr>
    </w:p>
    <w:tbl>
      <w:tblPr>
        <w:tblLayout w:type="fixed"/>
        <w:tblInd w:w="442" w:type="dxa"/>
        <w:tblCellMar>
          <w:top w:w="0" w:type="dxa"/>
          <w:left w:w="0" w:type="dxa"/>
          <w:bottom w:w="0" w:type="dxa"/>
          <w:right w:w="0" w:type="dxa"/>
        </w:tblCellMar>
      </w:tblPr>
      <w:tr>
        <w:trPr>
          <w:trHeight w:val="164"/>
        </w:trPr>
        <w:tc>
          <w:tcPr>
            <w:tcW w:w="4280" w:type="dxa"/>
            <w:vAlign w:val="bottom"/>
            <w:shd w:val="clear" w:color="auto" w:fill="C00000"/>
          </w:tcPr>
          <w:p>
            <w:pPr>
              <w:spacing w:after="0"/>
              <w:rPr>
                <w:sz w:val="14"/>
                <w:szCs w:val="14"/>
                <w:color w:val="auto"/>
              </w:rPr>
            </w:pPr>
          </w:p>
        </w:tc>
        <w:tc>
          <w:tcPr>
            <w:tcW w:w="1480" w:type="dxa"/>
            <w:vAlign w:val="bottom"/>
            <w:shd w:val="clear" w:color="auto" w:fill="C00000"/>
          </w:tcPr>
          <w:p>
            <w:pPr>
              <w:spacing w:after="0"/>
              <w:rPr>
                <w:sz w:val="14"/>
                <w:szCs w:val="14"/>
                <w:color w:val="auto"/>
              </w:rPr>
            </w:pPr>
          </w:p>
        </w:tc>
        <w:tc>
          <w:tcPr>
            <w:tcW w:w="1400" w:type="dxa"/>
            <w:vAlign w:val="bottom"/>
            <w:shd w:val="clear" w:color="auto" w:fill="C00000"/>
          </w:tcPr>
          <w:p>
            <w:pPr>
              <w:spacing w:after="0"/>
              <w:rPr>
                <w:sz w:val="14"/>
                <w:szCs w:val="14"/>
                <w:color w:val="auto"/>
              </w:rPr>
            </w:pPr>
          </w:p>
        </w:tc>
        <w:tc>
          <w:tcPr>
            <w:tcW w:w="1360" w:type="dxa"/>
            <w:vAlign w:val="bottom"/>
            <w:shd w:val="clear" w:color="auto" w:fill="C00000"/>
          </w:tcPr>
          <w:p>
            <w:pPr>
              <w:jc w:val="center"/>
              <w:ind w:right="48"/>
              <w:spacing w:after="0"/>
              <w:rPr>
                <w:sz w:val="20"/>
                <w:szCs w:val="20"/>
                <w:color w:val="auto"/>
              </w:rPr>
            </w:pPr>
            <w:r>
              <w:rPr>
                <w:rFonts w:ascii="Arial" w:cs="Arial" w:eastAsia="Arial" w:hAnsi="Arial"/>
                <w:sz w:val="13"/>
                <w:szCs w:val="13"/>
                <w:color w:val="FFFFFF"/>
                <w:w w:val="99"/>
              </w:rPr>
              <w:t>Units under the</w:t>
            </w:r>
          </w:p>
        </w:tc>
        <w:tc>
          <w:tcPr>
            <w:tcW w:w="1320" w:type="dxa"/>
            <w:vAlign w:val="bottom"/>
            <w:shd w:val="clear" w:color="auto" w:fill="C00000"/>
          </w:tcPr>
          <w:p>
            <w:pPr>
              <w:jc w:val="center"/>
              <w:spacing w:after="0"/>
              <w:rPr>
                <w:sz w:val="20"/>
                <w:szCs w:val="20"/>
                <w:color w:val="auto"/>
              </w:rPr>
            </w:pPr>
            <w:r>
              <w:rPr>
                <w:rFonts w:ascii="Arial" w:cs="Arial" w:eastAsia="Arial" w:hAnsi="Arial"/>
                <w:sz w:val="13"/>
                <w:szCs w:val="13"/>
                <w:color w:val="FFFFFF"/>
                <w:w w:val="99"/>
              </w:rPr>
              <w:t>Units under the</w:t>
            </w:r>
          </w:p>
        </w:tc>
      </w:tr>
      <w:tr>
        <w:trPr>
          <w:trHeight w:val="147"/>
        </w:trPr>
        <w:tc>
          <w:tcPr>
            <w:tcW w:w="4280" w:type="dxa"/>
            <w:vAlign w:val="bottom"/>
            <w:shd w:val="clear" w:color="auto" w:fill="C00000"/>
          </w:tcPr>
          <w:p>
            <w:pPr>
              <w:spacing w:after="0"/>
              <w:rPr>
                <w:sz w:val="12"/>
                <w:szCs w:val="12"/>
                <w:color w:val="auto"/>
              </w:rPr>
            </w:pPr>
          </w:p>
        </w:tc>
        <w:tc>
          <w:tcPr>
            <w:tcW w:w="1480" w:type="dxa"/>
            <w:vAlign w:val="bottom"/>
            <w:shd w:val="clear" w:color="auto" w:fill="C00000"/>
          </w:tcPr>
          <w:p>
            <w:pPr>
              <w:spacing w:after="0"/>
              <w:rPr>
                <w:sz w:val="12"/>
                <w:szCs w:val="12"/>
                <w:color w:val="auto"/>
              </w:rPr>
            </w:pPr>
          </w:p>
        </w:tc>
        <w:tc>
          <w:tcPr>
            <w:tcW w:w="1400" w:type="dxa"/>
            <w:vAlign w:val="bottom"/>
            <w:shd w:val="clear" w:color="auto" w:fill="C00000"/>
          </w:tcPr>
          <w:p>
            <w:pPr>
              <w:spacing w:after="0"/>
              <w:rPr>
                <w:sz w:val="12"/>
                <w:szCs w:val="12"/>
                <w:color w:val="auto"/>
              </w:rPr>
            </w:pPr>
          </w:p>
        </w:tc>
        <w:tc>
          <w:tcPr>
            <w:tcW w:w="1360" w:type="dxa"/>
            <w:vAlign w:val="bottom"/>
            <w:shd w:val="clear" w:color="auto" w:fill="C00000"/>
          </w:tcPr>
          <w:p>
            <w:pPr>
              <w:jc w:val="center"/>
              <w:ind w:right="48"/>
              <w:spacing w:after="0" w:line="148" w:lineRule="exact"/>
              <w:rPr>
                <w:sz w:val="20"/>
                <w:szCs w:val="20"/>
                <w:color w:val="auto"/>
              </w:rPr>
            </w:pPr>
            <w:r>
              <w:rPr>
                <w:rFonts w:ascii="Arial" w:cs="Arial" w:eastAsia="Arial" w:hAnsi="Arial"/>
                <w:sz w:val="13"/>
                <w:szCs w:val="13"/>
                <w:color w:val="FFFFFF"/>
                <w:w w:val="99"/>
              </w:rPr>
              <w:t>Deferred Plan</w:t>
            </w:r>
          </w:p>
        </w:tc>
        <w:tc>
          <w:tcPr>
            <w:tcW w:w="132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w w:val="99"/>
              </w:rPr>
              <w:t>Deferred Plan</w:t>
            </w:r>
          </w:p>
        </w:tc>
      </w:tr>
      <w:tr>
        <w:trPr>
          <w:trHeight w:val="143"/>
        </w:trPr>
        <w:tc>
          <w:tcPr>
            <w:tcW w:w="4280" w:type="dxa"/>
            <w:vAlign w:val="bottom"/>
            <w:shd w:val="clear" w:color="auto" w:fill="C00000"/>
          </w:tcPr>
          <w:p>
            <w:pPr>
              <w:spacing w:after="0" w:line="143" w:lineRule="exact"/>
              <w:rPr>
                <w:sz w:val="20"/>
                <w:szCs w:val="20"/>
                <w:color w:val="auto"/>
              </w:rPr>
            </w:pPr>
            <w:r>
              <w:rPr>
                <w:rFonts w:ascii="Arial" w:cs="Arial" w:eastAsia="Arial" w:hAnsi="Arial"/>
                <w:sz w:val="13"/>
                <w:szCs w:val="13"/>
                <w:color w:val="FFFFFF"/>
              </w:rPr>
              <w:t>Name</w:t>
            </w:r>
          </w:p>
        </w:tc>
        <w:tc>
          <w:tcPr>
            <w:tcW w:w="1480" w:type="dxa"/>
            <w:vAlign w:val="bottom"/>
            <w:shd w:val="clear" w:color="auto" w:fill="C00000"/>
          </w:tcPr>
          <w:p>
            <w:pPr>
              <w:jc w:val="right"/>
              <w:ind w:right="187"/>
              <w:spacing w:after="0" w:line="143" w:lineRule="exact"/>
              <w:rPr>
                <w:sz w:val="20"/>
                <w:szCs w:val="20"/>
                <w:color w:val="auto"/>
              </w:rPr>
            </w:pPr>
            <w:r>
              <w:rPr>
                <w:rFonts w:ascii="Arial" w:cs="Arial" w:eastAsia="Arial" w:hAnsi="Arial"/>
                <w:sz w:val="13"/>
                <w:szCs w:val="13"/>
                <w:color w:val="FFFFFF"/>
              </w:rPr>
              <w:t>Stock Options</w:t>
            </w:r>
          </w:p>
        </w:tc>
        <w:tc>
          <w:tcPr>
            <w:tcW w:w="1400" w:type="dxa"/>
            <w:vAlign w:val="bottom"/>
            <w:shd w:val="clear" w:color="auto" w:fill="C00000"/>
          </w:tcPr>
          <w:p>
            <w:pPr>
              <w:jc w:val="right"/>
              <w:ind w:right="207"/>
              <w:spacing w:after="0" w:line="143" w:lineRule="exact"/>
              <w:rPr>
                <w:sz w:val="20"/>
                <w:szCs w:val="20"/>
                <w:color w:val="auto"/>
              </w:rPr>
            </w:pPr>
            <w:r>
              <w:rPr>
                <w:rFonts w:ascii="Arial" w:cs="Arial" w:eastAsia="Arial" w:hAnsi="Arial"/>
                <w:sz w:val="13"/>
                <w:szCs w:val="13"/>
                <w:color w:val="FFFFFF"/>
              </w:rPr>
              <w:t>Retirement Plan</w:t>
            </w:r>
          </w:p>
        </w:tc>
        <w:tc>
          <w:tcPr>
            <w:tcW w:w="1360" w:type="dxa"/>
            <w:vAlign w:val="bottom"/>
            <w:shd w:val="clear" w:color="auto" w:fill="C00000"/>
          </w:tcPr>
          <w:p>
            <w:pPr>
              <w:jc w:val="center"/>
              <w:ind w:right="48"/>
              <w:spacing w:after="0" w:line="143" w:lineRule="exact"/>
              <w:rPr>
                <w:sz w:val="20"/>
                <w:szCs w:val="20"/>
                <w:color w:val="auto"/>
              </w:rPr>
            </w:pPr>
            <w:r>
              <w:rPr>
                <w:rFonts w:ascii="Arial" w:cs="Arial" w:eastAsia="Arial" w:hAnsi="Arial"/>
                <w:sz w:val="13"/>
                <w:szCs w:val="13"/>
                <w:color w:val="FFFFFF"/>
              </w:rPr>
              <w:t>for Directors</w:t>
            </w:r>
          </w:p>
        </w:tc>
        <w:tc>
          <w:tcPr>
            <w:tcW w:w="1320" w:type="dxa"/>
            <w:vAlign w:val="bottom"/>
            <w:shd w:val="clear" w:color="auto" w:fill="C00000"/>
          </w:tcPr>
          <w:p>
            <w:pPr>
              <w:jc w:val="center"/>
              <w:spacing w:after="0" w:line="143" w:lineRule="exact"/>
              <w:rPr>
                <w:sz w:val="20"/>
                <w:szCs w:val="20"/>
                <w:color w:val="auto"/>
              </w:rPr>
            </w:pPr>
            <w:r>
              <w:rPr>
                <w:rFonts w:ascii="Arial" w:cs="Arial" w:eastAsia="Arial" w:hAnsi="Arial"/>
                <w:sz w:val="13"/>
                <w:szCs w:val="13"/>
                <w:color w:val="FFFFFF"/>
              </w:rPr>
              <w:t>for Officers</w:t>
            </w:r>
          </w:p>
        </w:tc>
      </w:tr>
      <w:tr>
        <w:trPr>
          <w:trHeight w:val="194"/>
        </w:trPr>
        <w:tc>
          <w:tcPr>
            <w:tcW w:w="4280" w:type="dxa"/>
            <w:vAlign w:val="bottom"/>
          </w:tcPr>
          <w:p>
            <w:pPr>
              <w:spacing w:after="0"/>
              <w:rPr>
                <w:sz w:val="20"/>
                <w:szCs w:val="20"/>
                <w:color w:val="auto"/>
              </w:rPr>
            </w:pPr>
            <w:r>
              <w:rPr>
                <w:rFonts w:ascii="Arial" w:cs="Arial" w:eastAsia="Arial" w:hAnsi="Arial"/>
                <w:sz w:val="15"/>
                <w:szCs w:val="15"/>
                <w:color w:val="auto"/>
              </w:rPr>
              <w:t>Non-Employee Directors:</w:t>
            </w: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42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Janet K. Cooper</w:t>
            </w:r>
          </w:p>
        </w:tc>
        <w:tc>
          <w:tcPr>
            <w:tcW w:w="1480" w:type="dxa"/>
            <w:vAlign w:val="bottom"/>
            <w:shd w:val="clear" w:color="auto" w:fill="D9D9D9"/>
          </w:tcPr>
          <w:p>
            <w:pPr>
              <w:jc w:val="right"/>
              <w:ind w:right="87"/>
              <w:spacing w:after="0"/>
              <w:rPr>
                <w:sz w:val="20"/>
                <w:szCs w:val="20"/>
                <w:color w:val="auto"/>
              </w:rPr>
            </w:pPr>
            <w:r>
              <w:rPr>
                <w:rFonts w:ascii="Arial" w:cs="Arial" w:eastAsia="Arial" w:hAnsi="Arial"/>
                <w:sz w:val="15"/>
                <w:szCs w:val="15"/>
                <w:color w:val="auto"/>
              </w:rPr>
              <w:t>41,233</w:t>
            </w:r>
          </w:p>
        </w:tc>
        <w:tc>
          <w:tcPr>
            <w:tcW w:w="1400" w:type="dxa"/>
            <w:vAlign w:val="bottom"/>
            <w:shd w:val="clear" w:color="auto" w:fill="D9D9D9"/>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108"/>
              <w:spacing w:after="0"/>
              <w:rPr>
                <w:sz w:val="20"/>
                <w:szCs w:val="20"/>
                <w:color w:val="auto"/>
              </w:rPr>
            </w:pPr>
            <w:r>
              <w:rPr>
                <w:rFonts w:ascii="Arial" w:cs="Arial" w:eastAsia="Arial" w:hAnsi="Arial"/>
                <w:sz w:val="15"/>
                <w:szCs w:val="15"/>
                <w:color w:val="auto"/>
              </w:rPr>
              <w:t>45,942</w:t>
            </w:r>
          </w:p>
        </w:tc>
        <w:tc>
          <w:tcPr>
            <w:tcW w:w="1320" w:type="dxa"/>
            <w:vAlign w:val="bottom"/>
            <w:shd w:val="clear" w:color="auto" w:fill="D9D9D9"/>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tcPr>
          <w:p>
            <w:pPr>
              <w:ind w:left="220"/>
              <w:spacing w:after="0"/>
              <w:rPr>
                <w:sz w:val="20"/>
                <w:szCs w:val="20"/>
                <w:color w:val="auto"/>
              </w:rPr>
            </w:pPr>
            <w:r>
              <w:rPr>
                <w:rFonts w:ascii="Arial" w:cs="Arial" w:eastAsia="Arial" w:hAnsi="Arial"/>
                <w:sz w:val="15"/>
                <w:szCs w:val="15"/>
                <w:color w:val="auto"/>
              </w:rPr>
              <w:t>Gary L. Ellis</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50,477</w:t>
            </w:r>
          </w:p>
        </w:tc>
        <w:tc>
          <w:tcPr>
            <w:tcW w:w="1400" w:type="dxa"/>
            <w:vAlign w:val="bottom"/>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8"/>
              <w:spacing w:after="0"/>
              <w:rPr>
                <w:sz w:val="20"/>
                <w:szCs w:val="20"/>
                <w:color w:val="auto"/>
              </w:rPr>
            </w:pPr>
            <w:r>
              <w:rPr>
                <w:rFonts w:ascii="Arial" w:cs="Arial" w:eastAsia="Arial" w:hAnsi="Arial"/>
                <w:sz w:val="15"/>
                <w:szCs w:val="15"/>
                <w:color w:val="auto"/>
              </w:rPr>
              <w:t>3,822</w:t>
            </w:r>
          </w:p>
        </w:tc>
        <w:tc>
          <w:tcPr>
            <w:tcW w:w="132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Jeffrey M. Ettinger</w:t>
            </w:r>
          </w:p>
        </w:tc>
        <w:tc>
          <w:tcPr>
            <w:tcW w:w="1480" w:type="dxa"/>
            <w:vAlign w:val="bottom"/>
            <w:shd w:val="clear" w:color="auto" w:fill="D9D9D9"/>
          </w:tcPr>
          <w:p>
            <w:pPr>
              <w:jc w:val="right"/>
              <w:ind w:right="87"/>
              <w:spacing w:after="0"/>
              <w:rPr>
                <w:sz w:val="20"/>
                <w:szCs w:val="20"/>
                <w:color w:val="auto"/>
              </w:rPr>
            </w:pPr>
            <w:r>
              <w:rPr>
                <w:rFonts w:ascii="Arial" w:cs="Arial" w:eastAsia="Arial" w:hAnsi="Arial"/>
                <w:sz w:val="15"/>
                <w:szCs w:val="15"/>
                <w:color w:val="auto"/>
              </w:rPr>
              <w:t>50,477</w:t>
            </w:r>
          </w:p>
        </w:tc>
        <w:tc>
          <w:tcPr>
            <w:tcW w:w="1400" w:type="dxa"/>
            <w:vAlign w:val="bottom"/>
            <w:shd w:val="clear" w:color="auto" w:fill="D9D9D9"/>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108"/>
              <w:spacing w:after="0"/>
              <w:rPr>
                <w:sz w:val="20"/>
                <w:szCs w:val="20"/>
                <w:color w:val="auto"/>
              </w:rPr>
            </w:pPr>
            <w:r>
              <w:rPr>
                <w:rFonts w:ascii="Arial" w:cs="Arial" w:eastAsia="Arial" w:hAnsi="Arial"/>
                <w:sz w:val="15"/>
                <w:szCs w:val="15"/>
                <w:color w:val="auto"/>
              </w:rPr>
              <w:t>0</w:t>
            </w:r>
          </w:p>
        </w:tc>
        <w:tc>
          <w:tcPr>
            <w:tcW w:w="1320" w:type="dxa"/>
            <w:vAlign w:val="bottom"/>
            <w:shd w:val="clear" w:color="auto" w:fill="D9D9D9"/>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tcPr>
          <w:p>
            <w:pPr>
              <w:ind w:left="220"/>
              <w:spacing w:after="0"/>
              <w:rPr>
                <w:sz w:val="20"/>
                <w:szCs w:val="20"/>
                <w:color w:val="auto"/>
              </w:rPr>
            </w:pPr>
            <w:r>
              <w:rPr>
                <w:rFonts w:ascii="Arial" w:cs="Arial" w:eastAsia="Arial" w:hAnsi="Arial"/>
                <w:sz w:val="15"/>
                <w:szCs w:val="15"/>
                <w:color w:val="auto"/>
              </w:rPr>
              <w:t>Katherine J. Harless</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50,477</w:t>
            </w:r>
          </w:p>
        </w:tc>
        <w:tc>
          <w:tcPr>
            <w:tcW w:w="1400" w:type="dxa"/>
            <w:vAlign w:val="bottom"/>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8"/>
              <w:spacing w:after="0"/>
              <w:rPr>
                <w:sz w:val="20"/>
                <w:szCs w:val="20"/>
                <w:color w:val="auto"/>
              </w:rPr>
            </w:pPr>
            <w:r>
              <w:rPr>
                <w:rFonts w:ascii="Arial" w:cs="Arial" w:eastAsia="Arial" w:hAnsi="Arial"/>
                <w:sz w:val="15"/>
                <w:szCs w:val="15"/>
                <w:color w:val="auto"/>
              </w:rPr>
              <w:t>4,201</w:t>
            </w:r>
          </w:p>
        </w:tc>
        <w:tc>
          <w:tcPr>
            <w:tcW w:w="132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Jeffrey L. Harmening</w:t>
            </w:r>
          </w:p>
        </w:tc>
        <w:tc>
          <w:tcPr>
            <w:tcW w:w="1480" w:type="dxa"/>
            <w:vAlign w:val="bottom"/>
            <w:shd w:val="clear" w:color="auto" w:fill="D9D9D9"/>
          </w:tcPr>
          <w:p>
            <w:pPr>
              <w:jc w:val="right"/>
              <w:ind w:right="87"/>
              <w:spacing w:after="0"/>
              <w:rPr>
                <w:sz w:val="20"/>
                <w:szCs w:val="20"/>
                <w:color w:val="auto"/>
              </w:rPr>
            </w:pPr>
            <w:r>
              <w:rPr>
                <w:rFonts w:ascii="Arial" w:cs="Arial" w:eastAsia="Arial" w:hAnsi="Arial"/>
                <w:sz w:val="15"/>
                <w:szCs w:val="15"/>
                <w:color w:val="auto"/>
              </w:rPr>
              <w:t>0</w:t>
            </w:r>
          </w:p>
        </w:tc>
        <w:tc>
          <w:tcPr>
            <w:tcW w:w="1400" w:type="dxa"/>
            <w:vAlign w:val="bottom"/>
            <w:shd w:val="clear" w:color="auto" w:fill="D9D9D9"/>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108"/>
              <w:spacing w:after="0"/>
              <w:rPr>
                <w:sz w:val="20"/>
                <w:szCs w:val="20"/>
                <w:color w:val="auto"/>
              </w:rPr>
            </w:pPr>
            <w:r>
              <w:rPr>
                <w:rFonts w:ascii="Arial" w:cs="Arial" w:eastAsia="Arial" w:hAnsi="Arial"/>
                <w:sz w:val="15"/>
                <w:szCs w:val="15"/>
                <w:color w:val="auto"/>
              </w:rPr>
              <w:t>0</w:t>
            </w:r>
          </w:p>
        </w:tc>
        <w:tc>
          <w:tcPr>
            <w:tcW w:w="1320" w:type="dxa"/>
            <w:vAlign w:val="bottom"/>
            <w:shd w:val="clear" w:color="auto" w:fill="D9D9D9"/>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tcPr>
          <w:p>
            <w:pPr>
              <w:ind w:left="220"/>
              <w:spacing w:after="0"/>
              <w:rPr>
                <w:sz w:val="20"/>
                <w:szCs w:val="20"/>
                <w:color w:val="auto"/>
              </w:rPr>
            </w:pPr>
            <w:r>
              <w:rPr>
                <w:rFonts w:ascii="Arial" w:cs="Arial" w:eastAsia="Arial" w:hAnsi="Arial"/>
                <w:sz w:val="15"/>
                <w:szCs w:val="15"/>
                <w:color w:val="auto"/>
              </w:rPr>
              <w:t>D. Christian Koch</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9,009</w:t>
            </w:r>
          </w:p>
        </w:tc>
        <w:tc>
          <w:tcPr>
            <w:tcW w:w="1400" w:type="dxa"/>
            <w:vAlign w:val="bottom"/>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8"/>
              <w:spacing w:after="0"/>
              <w:rPr>
                <w:sz w:val="20"/>
                <w:szCs w:val="20"/>
                <w:color w:val="auto"/>
              </w:rPr>
            </w:pPr>
            <w:r>
              <w:rPr>
                <w:rFonts w:ascii="Arial" w:cs="Arial" w:eastAsia="Arial" w:hAnsi="Arial"/>
                <w:sz w:val="15"/>
                <w:szCs w:val="15"/>
                <w:color w:val="auto"/>
              </w:rPr>
              <w:t>0</w:t>
            </w:r>
          </w:p>
        </w:tc>
        <w:tc>
          <w:tcPr>
            <w:tcW w:w="132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Joyce A. Mullen</w:t>
            </w:r>
          </w:p>
        </w:tc>
        <w:tc>
          <w:tcPr>
            <w:tcW w:w="1480" w:type="dxa"/>
            <w:vAlign w:val="bottom"/>
            <w:shd w:val="clear" w:color="auto" w:fill="D9D9D9"/>
          </w:tcPr>
          <w:p>
            <w:pPr>
              <w:jc w:val="right"/>
              <w:ind w:right="87"/>
              <w:spacing w:after="0"/>
              <w:rPr>
                <w:sz w:val="20"/>
                <w:szCs w:val="20"/>
                <w:color w:val="auto"/>
              </w:rPr>
            </w:pPr>
            <w:r>
              <w:rPr>
                <w:rFonts w:ascii="Arial" w:cs="Arial" w:eastAsia="Arial" w:hAnsi="Arial"/>
                <w:sz w:val="15"/>
                <w:szCs w:val="15"/>
                <w:color w:val="auto"/>
              </w:rPr>
              <w:t>0</w:t>
            </w:r>
          </w:p>
        </w:tc>
        <w:tc>
          <w:tcPr>
            <w:tcW w:w="1400" w:type="dxa"/>
            <w:vAlign w:val="bottom"/>
            <w:shd w:val="clear" w:color="auto" w:fill="D9D9D9"/>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108"/>
              <w:spacing w:after="0"/>
              <w:rPr>
                <w:sz w:val="20"/>
                <w:szCs w:val="20"/>
                <w:color w:val="auto"/>
              </w:rPr>
            </w:pPr>
            <w:r>
              <w:rPr>
                <w:rFonts w:ascii="Arial" w:cs="Arial" w:eastAsia="Arial" w:hAnsi="Arial"/>
                <w:sz w:val="15"/>
                <w:szCs w:val="15"/>
                <w:color w:val="auto"/>
              </w:rPr>
              <w:t>895</w:t>
            </w:r>
          </w:p>
        </w:tc>
        <w:tc>
          <w:tcPr>
            <w:tcW w:w="1320" w:type="dxa"/>
            <w:vAlign w:val="bottom"/>
            <w:shd w:val="clear" w:color="auto" w:fill="D9D9D9"/>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tcPr>
          <w:p>
            <w:pPr>
              <w:ind w:left="220"/>
              <w:spacing w:after="0"/>
              <w:rPr>
                <w:sz w:val="20"/>
                <w:szCs w:val="20"/>
                <w:color w:val="auto"/>
              </w:rPr>
            </w:pPr>
            <w:r>
              <w:rPr>
                <w:rFonts w:ascii="Arial" w:cs="Arial" w:eastAsia="Arial" w:hAnsi="Arial"/>
                <w:sz w:val="15"/>
                <w:szCs w:val="15"/>
                <w:color w:val="auto"/>
              </w:rPr>
              <w:t>James C. O’Rourke</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24,343</w:t>
            </w:r>
          </w:p>
        </w:tc>
        <w:tc>
          <w:tcPr>
            <w:tcW w:w="1400" w:type="dxa"/>
            <w:vAlign w:val="bottom"/>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8"/>
              <w:spacing w:after="0"/>
              <w:rPr>
                <w:sz w:val="20"/>
                <w:szCs w:val="20"/>
                <w:color w:val="auto"/>
              </w:rPr>
            </w:pPr>
            <w:r>
              <w:rPr>
                <w:rFonts w:ascii="Arial" w:cs="Arial" w:eastAsia="Arial" w:hAnsi="Arial"/>
                <w:sz w:val="15"/>
                <w:szCs w:val="15"/>
                <w:color w:val="auto"/>
              </w:rPr>
              <w:t>0</w:t>
            </w:r>
          </w:p>
        </w:tc>
        <w:tc>
          <w:tcPr>
            <w:tcW w:w="132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Gregg W. Steinhafel</w:t>
            </w:r>
          </w:p>
        </w:tc>
        <w:tc>
          <w:tcPr>
            <w:tcW w:w="1480" w:type="dxa"/>
            <w:vAlign w:val="bottom"/>
            <w:shd w:val="clear" w:color="auto" w:fill="D9D9D9"/>
          </w:tcPr>
          <w:p>
            <w:pPr>
              <w:jc w:val="right"/>
              <w:ind w:right="87"/>
              <w:spacing w:after="0"/>
              <w:rPr>
                <w:sz w:val="20"/>
                <w:szCs w:val="20"/>
                <w:color w:val="auto"/>
              </w:rPr>
            </w:pPr>
            <w:r>
              <w:rPr>
                <w:rFonts w:ascii="Arial" w:cs="Arial" w:eastAsia="Arial" w:hAnsi="Arial"/>
                <w:sz w:val="15"/>
                <w:szCs w:val="15"/>
                <w:color w:val="auto"/>
              </w:rPr>
              <w:t>19,239</w:t>
            </w:r>
          </w:p>
        </w:tc>
        <w:tc>
          <w:tcPr>
            <w:tcW w:w="1400" w:type="dxa"/>
            <w:vAlign w:val="bottom"/>
            <w:shd w:val="clear" w:color="auto" w:fill="D9D9D9"/>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shd w:val="clear" w:color="auto" w:fill="D9D9D9"/>
          </w:tcPr>
          <w:p>
            <w:pPr>
              <w:jc w:val="right"/>
              <w:ind w:right="108"/>
              <w:spacing w:after="0"/>
              <w:rPr>
                <w:sz w:val="20"/>
                <w:szCs w:val="20"/>
                <w:color w:val="auto"/>
              </w:rPr>
            </w:pPr>
            <w:r>
              <w:rPr>
                <w:rFonts w:ascii="Arial" w:cs="Arial" w:eastAsia="Arial" w:hAnsi="Arial"/>
                <w:sz w:val="15"/>
                <w:szCs w:val="15"/>
                <w:color w:val="auto"/>
              </w:rPr>
              <w:t>5,713</w:t>
            </w:r>
          </w:p>
        </w:tc>
        <w:tc>
          <w:tcPr>
            <w:tcW w:w="1320" w:type="dxa"/>
            <w:vAlign w:val="bottom"/>
            <w:shd w:val="clear" w:color="auto" w:fill="D9D9D9"/>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tcPr>
          <w:p>
            <w:pPr>
              <w:ind w:left="220"/>
              <w:spacing w:after="0"/>
              <w:rPr>
                <w:sz w:val="20"/>
                <w:szCs w:val="20"/>
                <w:color w:val="auto"/>
              </w:rPr>
            </w:pPr>
            <w:r>
              <w:rPr>
                <w:rFonts w:ascii="Arial" w:cs="Arial" w:eastAsia="Arial" w:hAnsi="Arial"/>
                <w:sz w:val="15"/>
                <w:szCs w:val="15"/>
                <w:color w:val="auto"/>
              </w:rPr>
              <w:t>Michael G. Vale</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1,494</w:t>
            </w:r>
          </w:p>
        </w:tc>
        <w:tc>
          <w:tcPr>
            <w:tcW w:w="1400" w:type="dxa"/>
            <w:vAlign w:val="bottom"/>
          </w:tcPr>
          <w:p>
            <w:pPr>
              <w:jc w:val="right"/>
              <w:ind w:right="627"/>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08"/>
              <w:spacing w:after="0"/>
              <w:rPr>
                <w:sz w:val="20"/>
                <w:szCs w:val="20"/>
                <w:color w:val="auto"/>
              </w:rPr>
            </w:pPr>
            <w:r>
              <w:rPr>
                <w:rFonts w:ascii="Arial" w:cs="Arial" w:eastAsia="Arial" w:hAnsi="Arial"/>
                <w:sz w:val="15"/>
                <w:szCs w:val="15"/>
                <w:color w:val="auto"/>
              </w:rPr>
              <w:t>1,920</w:t>
            </w:r>
          </w:p>
        </w:tc>
        <w:tc>
          <w:tcPr>
            <w:tcW w:w="132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184"/>
        </w:trPr>
        <w:tc>
          <w:tcPr>
            <w:tcW w:w="4280" w:type="dxa"/>
            <w:vAlign w:val="bottom"/>
            <w:shd w:val="clear" w:color="auto" w:fill="D9D9D9"/>
          </w:tcPr>
          <w:p>
            <w:pPr>
              <w:spacing w:after="0"/>
              <w:rPr>
                <w:sz w:val="20"/>
                <w:szCs w:val="20"/>
                <w:color w:val="auto"/>
              </w:rPr>
            </w:pPr>
            <w:r>
              <w:rPr>
                <w:rFonts w:ascii="Arial" w:cs="Arial" w:eastAsia="Arial" w:hAnsi="Arial"/>
                <w:sz w:val="15"/>
                <w:szCs w:val="15"/>
                <w:color w:val="auto"/>
              </w:rPr>
              <w:t>Named Executive Officers:</w:t>
            </w:r>
          </w:p>
        </w:tc>
        <w:tc>
          <w:tcPr>
            <w:tcW w:w="148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320" w:type="dxa"/>
            <w:vAlign w:val="bottom"/>
            <w:shd w:val="clear" w:color="auto" w:fill="D9D9D9"/>
          </w:tcPr>
          <w:p>
            <w:pPr>
              <w:spacing w:after="0"/>
              <w:rPr>
                <w:sz w:val="15"/>
                <w:szCs w:val="15"/>
                <w:color w:val="auto"/>
              </w:rPr>
            </w:pPr>
          </w:p>
        </w:tc>
      </w:tr>
      <w:tr>
        <w:trPr>
          <w:trHeight w:val="184"/>
        </w:trPr>
        <w:tc>
          <w:tcPr>
            <w:tcW w:w="4280" w:type="dxa"/>
            <w:vAlign w:val="bottom"/>
          </w:tcPr>
          <w:p>
            <w:pPr>
              <w:ind w:left="220"/>
              <w:spacing w:after="0"/>
              <w:rPr>
                <w:sz w:val="20"/>
                <w:szCs w:val="20"/>
                <w:color w:val="auto"/>
              </w:rPr>
            </w:pPr>
            <w:r>
              <w:rPr>
                <w:rFonts w:ascii="Arial" w:cs="Arial" w:eastAsia="Arial" w:hAnsi="Arial"/>
                <w:sz w:val="15"/>
                <w:szCs w:val="15"/>
                <w:color w:val="auto"/>
              </w:rPr>
              <w:t>Richard M. Olson</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349,566</w:t>
            </w:r>
          </w:p>
        </w:tc>
        <w:tc>
          <w:tcPr>
            <w:tcW w:w="1400" w:type="dxa"/>
            <w:vAlign w:val="bottom"/>
          </w:tcPr>
          <w:p>
            <w:pPr>
              <w:jc w:val="right"/>
              <w:ind w:right="107"/>
              <w:spacing w:after="0"/>
              <w:rPr>
                <w:sz w:val="20"/>
                <w:szCs w:val="20"/>
                <w:color w:val="auto"/>
              </w:rPr>
            </w:pPr>
            <w:r>
              <w:rPr>
                <w:rFonts w:ascii="Arial" w:cs="Arial" w:eastAsia="Arial" w:hAnsi="Arial"/>
                <w:sz w:val="15"/>
                <w:szCs w:val="15"/>
                <w:color w:val="auto"/>
              </w:rPr>
              <w:t>16,303</w:t>
            </w:r>
          </w:p>
        </w:tc>
        <w:tc>
          <w:tcPr>
            <w:tcW w:w="1360" w:type="dxa"/>
            <w:vAlign w:val="bottom"/>
          </w:tcPr>
          <w:p>
            <w:pPr>
              <w:jc w:val="center"/>
              <w:ind w:right="48"/>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8"/>
              <w:spacing w:after="0"/>
              <w:rPr>
                <w:sz w:val="20"/>
                <w:szCs w:val="20"/>
                <w:color w:val="auto"/>
              </w:rPr>
            </w:pPr>
            <w:r>
              <w:rPr>
                <w:rFonts w:ascii="Arial" w:cs="Arial" w:eastAsia="Arial" w:hAnsi="Arial"/>
                <w:sz w:val="15"/>
                <w:szCs w:val="15"/>
                <w:color w:val="auto"/>
              </w:rPr>
              <w:t>82,001</w:t>
            </w:r>
          </w:p>
        </w:tc>
      </w:tr>
      <w:tr>
        <w:trPr>
          <w:trHeight w:val="184"/>
        </w:trPr>
        <w:tc>
          <w:tcPr>
            <w:tcW w:w="42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Renee J. Peterson</w:t>
            </w:r>
          </w:p>
        </w:tc>
        <w:tc>
          <w:tcPr>
            <w:tcW w:w="1480" w:type="dxa"/>
            <w:vAlign w:val="bottom"/>
            <w:shd w:val="clear" w:color="auto" w:fill="D9D9D9"/>
          </w:tcPr>
          <w:p>
            <w:pPr>
              <w:jc w:val="right"/>
              <w:ind w:right="87"/>
              <w:spacing w:after="0"/>
              <w:rPr>
                <w:sz w:val="20"/>
                <w:szCs w:val="20"/>
                <w:color w:val="auto"/>
              </w:rPr>
            </w:pPr>
            <w:r>
              <w:rPr>
                <w:rFonts w:ascii="Arial" w:cs="Arial" w:eastAsia="Arial" w:hAnsi="Arial"/>
                <w:sz w:val="15"/>
                <w:szCs w:val="15"/>
                <w:color w:val="auto"/>
              </w:rPr>
              <w:t>182,566</w:t>
            </w:r>
          </w:p>
        </w:tc>
        <w:tc>
          <w:tcPr>
            <w:tcW w:w="1400" w:type="dxa"/>
            <w:vAlign w:val="bottom"/>
            <w:shd w:val="clear" w:color="auto" w:fill="D9D9D9"/>
          </w:tcPr>
          <w:p>
            <w:pPr>
              <w:jc w:val="right"/>
              <w:ind w:right="107"/>
              <w:spacing w:after="0"/>
              <w:rPr>
                <w:sz w:val="20"/>
                <w:szCs w:val="20"/>
                <w:color w:val="auto"/>
              </w:rPr>
            </w:pPr>
            <w:r>
              <w:rPr>
                <w:rFonts w:ascii="Arial" w:cs="Arial" w:eastAsia="Arial" w:hAnsi="Arial"/>
                <w:sz w:val="15"/>
                <w:szCs w:val="15"/>
                <w:color w:val="auto"/>
              </w:rPr>
              <w:t>718</w:t>
            </w:r>
          </w:p>
        </w:tc>
        <w:tc>
          <w:tcPr>
            <w:tcW w:w="136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84,095</w:t>
            </w:r>
          </w:p>
        </w:tc>
      </w:tr>
      <w:tr>
        <w:trPr>
          <w:trHeight w:val="184"/>
        </w:trPr>
        <w:tc>
          <w:tcPr>
            <w:tcW w:w="4280" w:type="dxa"/>
            <w:vAlign w:val="bottom"/>
          </w:tcPr>
          <w:p>
            <w:pPr>
              <w:ind w:left="220"/>
              <w:spacing w:after="0"/>
              <w:rPr>
                <w:sz w:val="20"/>
                <w:szCs w:val="20"/>
                <w:color w:val="auto"/>
              </w:rPr>
            </w:pPr>
            <w:r>
              <w:rPr>
                <w:rFonts w:ascii="Arial" w:cs="Arial" w:eastAsia="Arial" w:hAnsi="Arial"/>
                <w:sz w:val="15"/>
                <w:szCs w:val="15"/>
                <w:color w:val="auto"/>
              </w:rPr>
              <w:t>Timothy P. Dordell</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146,366</w:t>
            </w:r>
          </w:p>
        </w:tc>
        <w:tc>
          <w:tcPr>
            <w:tcW w:w="1400" w:type="dxa"/>
            <w:vAlign w:val="bottom"/>
          </w:tcPr>
          <w:p>
            <w:pPr>
              <w:jc w:val="right"/>
              <w:ind w:right="107"/>
              <w:spacing w:after="0"/>
              <w:rPr>
                <w:sz w:val="20"/>
                <w:szCs w:val="20"/>
                <w:color w:val="auto"/>
              </w:rPr>
            </w:pPr>
            <w:r>
              <w:rPr>
                <w:rFonts w:ascii="Arial" w:cs="Arial" w:eastAsia="Arial" w:hAnsi="Arial"/>
                <w:sz w:val="15"/>
                <w:szCs w:val="15"/>
                <w:color w:val="auto"/>
              </w:rPr>
              <w:t>54</w:t>
            </w:r>
          </w:p>
        </w:tc>
        <w:tc>
          <w:tcPr>
            <w:tcW w:w="1360" w:type="dxa"/>
            <w:vAlign w:val="bottom"/>
          </w:tcPr>
          <w:p>
            <w:pPr>
              <w:jc w:val="center"/>
              <w:ind w:right="48"/>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8"/>
              <w:spacing w:after="0"/>
              <w:rPr>
                <w:sz w:val="20"/>
                <w:szCs w:val="20"/>
                <w:color w:val="auto"/>
              </w:rPr>
            </w:pPr>
            <w:r>
              <w:rPr>
                <w:rFonts w:ascii="Arial" w:cs="Arial" w:eastAsia="Arial" w:hAnsi="Arial"/>
                <w:sz w:val="15"/>
                <w:szCs w:val="15"/>
                <w:color w:val="auto"/>
              </w:rPr>
              <w:t>110,138</w:t>
            </w:r>
          </w:p>
        </w:tc>
      </w:tr>
      <w:tr>
        <w:trPr>
          <w:trHeight w:val="184"/>
        </w:trPr>
        <w:tc>
          <w:tcPr>
            <w:tcW w:w="4280" w:type="dxa"/>
            <w:vAlign w:val="bottom"/>
            <w:shd w:val="clear" w:color="auto" w:fill="D9D9D9"/>
          </w:tcPr>
          <w:p>
            <w:pPr>
              <w:ind w:left="220"/>
              <w:spacing w:after="0"/>
              <w:rPr>
                <w:sz w:val="20"/>
                <w:szCs w:val="20"/>
                <w:color w:val="auto"/>
              </w:rPr>
            </w:pPr>
            <w:r>
              <w:rPr>
                <w:rFonts w:ascii="Arial" w:cs="Arial" w:eastAsia="Arial" w:hAnsi="Arial"/>
                <w:sz w:val="15"/>
                <w:szCs w:val="15"/>
                <w:color w:val="auto"/>
              </w:rPr>
              <w:t>Bradley A. Hamilton</w:t>
            </w:r>
          </w:p>
        </w:tc>
        <w:tc>
          <w:tcPr>
            <w:tcW w:w="1480" w:type="dxa"/>
            <w:vAlign w:val="bottom"/>
            <w:shd w:val="clear" w:color="auto" w:fill="D9D9D9"/>
          </w:tcPr>
          <w:p>
            <w:pPr>
              <w:jc w:val="right"/>
              <w:ind w:right="87"/>
              <w:spacing w:after="0"/>
              <w:rPr>
                <w:sz w:val="20"/>
                <w:szCs w:val="20"/>
                <w:color w:val="auto"/>
              </w:rPr>
            </w:pPr>
            <w:r>
              <w:rPr>
                <w:rFonts w:ascii="Arial" w:cs="Arial" w:eastAsia="Arial" w:hAnsi="Arial"/>
                <w:sz w:val="15"/>
                <w:szCs w:val="15"/>
                <w:color w:val="auto"/>
              </w:rPr>
              <w:t>49,856</w:t>
            </w:r>
          </w:p>
        </w:tc>
        <w:tc>
          <w:tcPr>
            <w:tcW w:w="1400" w:type="dxa"/>
            <w:vAlign w:val="bottom"/>
            <w:shd w:val="clear" w:color="auto" w:fill="D9D9D9"/>
          </w:tcPr>
          <w:p>
            <w:pPr>
              <w:jc w:val="right"/>
              <w:ind w:right="107"/>
              <w:spacing w:after="0"/>
              <w:rPr>
                <w:sz w:val="20"/>
                <w:szCs w:val="20"/>
                <w:color w:val="auto"/>
              </w:rPr>
            </w:pPr>
            <w:r>
              <w:rPr>
                <w:rFonts w:ascii="Arial" w:cs="Arial" w:eastAsia="Arial" w:hAnsi="Arial"/>
                <w:sz w:val="15"/>
                <w:szCs w:val="15"/>
                <w:color w:val="auto"/>
              </w:rPr>
              <w:t>998</w:t>
            </w:r>
          </w:p>
        </w:tc>
        <w:tc>
          <w:tcPr>
            <w:tcW w:w="1360" w:type="dxa"/>
            <w:vAlign w:val="bottom"/>
            <w:shd w:val="clear" w:color="auto" w:fill="D9D9D9"/>
          </w:tcPr>
          <w:p>
            <w:pPr>
              <w:jc w:val="center"/>
              <w:ind w:right="48"/>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6,537</w:t>
            </w:r>
          </w:p>
        </w:tc>
      </w:tr>
      <w:tr>
        <w:trPr>
          <w:trHeight w:val="184"/>
        </w:trPr>
        <w:tc>
          <w:tcPr>
            <w:tcW w:w="4280" w:type="dxa"/>
            <w:vAlign w:val="bottom"/>
          </w:tcPr>
          <w:p>
            <w:pPr>
              <w:ind w:left="220"/>
              <w:spacing w:after="0"/>
              <w:rPr>
                <w:sz w:val="20"/>
                <w:szCs w:val="20"/>
                <w:color w:val="auto"/>
              </w:rPr>
            </w:pPr>
            <w:r>
              <w:rPr>
                <w:rFonts w:ascii="Arial" w:cs="Arial" w:eastAsia="Arial" w:hAnsi="Arial"/>
                <w:sz w:val="15"/>
                <w:szCs w:val="15"/>
                <w:color w:val="auto"/>
              </w:rPr>
              <w:t>Richard W. Rodier</w:t>
            </w: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52,600</w:t>
            </w:r>
          </w:p>
        </w:tc>
        <w:tc>
          <w:tcPr>
            <w:tcW w:w="1400" w:type="dxa"/>
            <w:vAlign w:val="bottom"/>
          </w:tcPr>
          <w:p>
            <w:pPr>
              <w:jc w:val="right"/>
              <w:ind w:right="107"/>
              <w:spacing w:after="0"/>
              <w:rPr>
                <w:sz w:val="20"/>
                <w:szCs w:val="20"/>
                <w:color w:val="auto"/>
              </w:rPr>
            </w:pPr>
            <w:r>
              <w:rPr>
                <w:rFonts w:ascii="Arial" w:cs="Arial" w:eastAsia="Arial" w:hAnsi="Arial"/>
                <w:sz w:val="15"/>
                <w:szCs w:val="15"/>
                <w:color w:val="auto"/>
              </w:rPr>
              <w:t>2,731</w:t>
            </w:r>
          </w:p>
        </w:tc>
        <w:tc>
          <w:tcPr>
            <w:tcW w:w="1360" w:type="dxa"/>
            <w:vAlign w:val="bottom"/>
          </w:tcPr>
          <w:p>
            <w:pPr>
              <w:jc w:val="center"/>
              <w:ind w:right="48"/>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8"/>
              <w:spacing w:after="0"/>
              <w:rPr>
                <w:sz w:val="20"/>
                <w:szCs w:val="20"/>
                <w:color w:val="auto"/>
              </w:rPr>
            </w:pPr>
            <w:r>
              <w:rPr>
                <w:rFonts w:ascii="Arial" w:cs="Arial" w:eastAsia="Arial" w:hAnsi="Arial"/>
                <w:sz w:val="15"/>
                <w:szCs w:val="15"/>
                <w:color w:val="auto"/>
              </w:rPr>
              <w:t>4,852</w:t>
            </w:r>
          </w:p>
        </w:tc>
      </w:tr>
      <w:tr>
        <w:trPr>
          <w:trHeight w:val="184"/>
        </w:trPr>
        <w:tc>
          <w:tcPr>
            <w:tcW w:w="4280" w:type="dxa"/>
            <w:vAlign w:val="bottom"/>
            <w:shd w:val="clear" w:color="auto" w:fill="D9D9D9"/>
          </w:tcPr>
          <w:p>
            <w:pPr>
              <w:spacing w:after="0"/>
              <w:rPr>
                <w:sz w:val="20"/>
                <w:szCs w:val="20"/>
                <w:color w:val="auto"/>
              </w:rPr>
            </w:pPr>
            <w:r>
              <w:rPr>
                <w:rFonts w:ascii="Arial" w:cs="Arial" w:eastAsia="Arial" w:hAnsi="Arial"/>
                <w:sz w:val="15"/>
                <w:szCs w:val="15"/>
                <w:color w:val="auto"/>
              </w:rPr>
              <w:t>All current Directors and Executive Officers as a Group (21)</w:t>
            </w:r>
          </w:p>
        </w:tc>
        <w:tc>
          <w:tcPr>
            <w:tcW w:w="1480" w:type="dxa"/>
            <w:vAlign w:val="bottom"/>
            <w:shd w:val="clear" w:color="auto" w:fill="D9D9D9"/>
          </w:tcPr>
          <w:p>
            <w:pPr>
              <w:jc w:val="right"/>
              <w:ind w:right="87"/>
              <w:spacing w:after="0"/>
              <w:rPr>
                <w:sz w:val="20"/>
                <w:szCs w:val="20"/>
                <w:color w:val="auto"/>
              </w:rPr>
            </w:pPr>
            <w:r>
              <w:rPr>
                <w:rFonts w:ascii="Arial" w:cs="Arial" w:eastAsia="Arial" w:hAnsi="Arial"/>
                <w:sz w:val="15"/>
                <w:szCs w:val="15"/>
                <w:color w:val="auto"/>
              </w:rPr>
              <w:t>1,157,288</w:t>
            </w:r>
          </w:p>
        </w:tc>
        <w:tc>
          <w:tcPr>
            <w:tcW w:w="1400" w:type="dxa"/>
            <w:vAlign w:val="bottom"/>
            <w:shd w:val="clear" w:color="auto" w:fill="D9D9D9"/>
          </w:tcPr>
          <w:p>
            <w:pPr>
              <w:jc w:val="right"/>
              <w:ind w:right="107"/>
              <w:spacing w:after="0"/>
              <w:rPr>
                <w:sz w:val="20"/>
                <w:szCs w:val="20"/>
                <w:color w:val="auto"/>
              </w:rPr>
            </w:pPr>
            <w:r>
              <w:rPr>
                <w:rFonts w:ascii="Arial" w:cs="Arial" w:eastAsia="Arial" w:hAnsi="Arial"/>
                <w:sz w:val="15"/>
                <w:szCs w:val="15"/>
                <w:color w:val="auto"/>
              </w:rPr>
              <w:t>75,846</w:t>
            </w:r>
          </w:p>
        </w:tc>
        <w:tc>
          <w:tcPr>
            <w:tcW w:w="1360" w:type="dxa"/>
            <w:vAlign w:val="bottom"/>
            <w:shd w:val="clear" w:color="auto" w:fill="D9D9D9"/>
          </w:tcPr>
          <w:p>
            <w:pPr>
              <w:jc w:val="right"/>
              <w:ind w:right="108"/>
              <w:spacing w:after="0"/>
              <w:rPr>
                <w:sz w:val="20"/>
                <w:szCs w:val="20"/>
                <w:color w:val="auto"/>
              </w:rPr>
            </w:pPr>
            <w:r>
              <w:rPr>
                <w:rFonts w:ascii="Arial" w:cs="Arial" w:eastAsia="Arial" w:hAnsi="Arial"/>
                <w:sz w:val="15"/>
                <w:szCs w:val="15"/>
                <w:color w:val="auto"/>
              </w:rPr>
              <w:t>62,493</w:t>
            </w:r>
          </w:p>
        </w:tc>
        <w:tc>
          <w:tcPr>
            <w:tcW w:w="1320" w:type="dxa"/>
            <w:vAlign w:val="bottom"/>
            <w:shd w:val="clear" w:color="auto" w:fill="D9D9D9"/>
          </w:tcPr>
          <w:p>
            <w:pPr>
              <w:jc w:val="right"/>
              <w:ind w:right="48"/>
              <w:spacing w:after="0"/>
              <w:rPr>
                <w:sz w:val="20"/>
                <w:szCs w:val="20"/>
                <w:color w:val="auto"/>
              </w:rPr>
            </w:pPr>
            <w:r>
              <w:rPr>
                <w:rFonts w:ascii="Arial" w:cs="Arial" w:eastAsia="Arial" w:hAnsi="Arial"/>
                <w:sz w:val="15"/>
                <w:szCs w:val="15"/>
                <w:color w:val="auto"/>
              </w:rPr>
              <w:t>241,148</w:t>
            </w:r>
          </w:p>
        </w:tc>
      </w:tr>
    </w:tbl>
    <w:p>
      <w:pPr>
        <w:spacing w:after="0" w:line="48" w:lineRule="exact"/>
        <w:rPr>
          <w:sz w:val="20"/>
          <w:szCs w:val="20"/>
          <w:color w:val="auto"/>
        </w:rPr>
      </w:pPr>
    </w:p>
    <w:p>
      <w:pPr>
        <w:ind w:left="402" w:right="20" w:hanging="402"/>
        <w:spacing w:after="0" w:line="239" w:lineRule="auto"/>
        <w:tabs>
          <w:tab w:leader="none" w:pos="402"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shares held in trust for estate planning purposes as follows: 21,930 shares for Ms. Cooper, 53,896 shares for Ms. Harless, 4,101 shares for Mr. Koch, 311 shares for Mr. Dordell, 50,000 shares for Ms. Peterson and 138,329 shares for all current directors and executive officers as a group.</w:t>
      </w:r>
    </w:p>
    <w:p>
      <w:pPr>
        <w:spacing w:after="0" w:line="1" w:lineRule="exact"/>
        <w:rPr>
          <w:rFonts w:ascii="Arial" w:cs="Arial" w:eastAsia="Arial" w:hAnsi="Arial"/>
          <w:sz w:val="16"/>
          <w:szCs w:val="16"/>
          <w:color w:val="auto"/>
        </w:rPr>
      </w:pPr>
    </w:p>
    <w:p>
      <w:pPr>
        <w:ind w:left="402" w:right="420"/>
        <w:spacing w:after="0" w:line="255" w:lineRule="auto"/>
        <w:rPr>
          <w:rFonts w:ascii="Arial" w:cs="Arial" w:eastAsia="Arial" w:hAnsi="Arial"/>
          <w:sz w:val="16"/>
          <w:szCs w:val="16"/>
          <w:color w:val="auto"/>
        </w:rPr>
      </w:pPr>
      <w:r>
        <w:rPr>
          <w:rFonts w:ascii="Arial" w:cs="Arial" w:eastAsia="Arial" w:hAnsi="Arial"/>
          <w:sz w:val="16"/>
          <w:szCs w:val="16"/>
          <w:color w:val="auto"/>
        </w:rPr>
        <w:t>Ms. Cooper’s spouse is sole trustee of the trust and has sole voting and investment power with respect to the shares held in trust; and accordingly, Ms. Cooper disclaims beneficial ownership of such shares.</w:t>
      </w:r>
    </w:p>
    <w:p>
      <w:pPr>
        <w:spacing w:after="0" w:line="25" w:lineRule="exact"/>
        <w:rPr>
          <w:rFonts w:ascii="Arial" w:cs="Arial" w:eastAsia="Arial" w:hAnsi="Arial"/>
          <w:sz w:val="16"/>
          <w:szCs w:val="16"/>
          <w:color w:val="auto"/>
        </w:rPr>
      </w:pPr>
    </w:p>
    <w:p>
      <w:pPr>
        <w:ind w:left="402" w:right="760" w:hanging="402"/>
        <w:spacing w:after="0" w:line="255" w:lineRule="auto"/>
        <w:tabs>
          <w:tab w:leader="none" w:pos="402"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shares held jointly with spouse for which the director or officer has shared voting and investment power as follows: 44,997 shares for Mr. Steinhafel and 44,9975 shares for all current directors and executive officers as a group.</w:t>
      </w:r>
    </w:p>
    <w:p>
      <w:pPr>
        <w:spacing w:after="0" w:line="25" w:lineRule="exact"/>
        <w:rPr>
          <w:rFonts w:ascii="Arial" w:cs="Arial" w:eastAsia="Arial" w:hAnsi="Arial"/>
          <w:sz w:val="16"/>
          <w:szCs w:val="16"/>
          <w:color w:val="auto"/>
        </w:rPr>
      </w:pPr>
    </w:p>
    <w:p>
      <w:pPr>
        <w:ind w:left="402" w:hanging="402"/>
        <w:spacing w:after="0" w:line="243" w:lineRule="auto"/>
        <w:tabs>
          <w:tab w:leader="none" w:pos="402" w:val="left"/>
        </w:tabs>
        <w:numPr>
          <w:ilvl w:val="0"/>
          <w:numId w:val="79"/>
        </w:numPr>
        <w:rPr>
          <w:rFonts w:ascii="Arial" w:cs="Arial" w:eastAsia="Arial" w:hAnsi="Arial"/>
          <w:sz w:val="16"/>
          <w:szCs w:val="16"/>
          <w:color w:val="auto"/>
        </w:rPr>
      </w:pPr>
      <w:r>
        <w:rPr>
          <w:rFonts w:ascii="Arial" w:cs="Arial" w:eastAsia="Arial" w:hAnsi="Arial"/>
          <w:sz w:val="16"/>
          <w:szCs w:val="16"/>
          <w:color w:val="auto"/>
        </w:rPr>
        <w:t>Percentages are based on our shares outstanding as of our record date and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21, 2020,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36" w:lineRule="exact"/>
        <w:rPr>
          <w:rFonts w:ascii="Arial" w:cs="Arial" w:eastAsia="Arial" w:hAnsi="Arial"/>
          <w:sz w:val="16"/>
          <w:szCs w:val="16"/>
          <w:color w:val="auto"/>
        </w:rPr>
      </w:pPr>
    </w:p>
    <w:p>
      <w:pPr>
        <w:ind w:left="402" w:hanging="402"/>
        <w:spacing w:after="0"/>
        <w:tabs>
          <w:tab w:leader="none" w:pos="402" w:val="left"/>
        </w:tabs>
        <w:numPr>
          <w:ilvl w:val="0"/>
          <w:numId w:val="79"/>
        </w:numPr>
        <w:rPr>
          <w:rFonts w:ascii="Arial" w:cs="Arial" w:eastAsia="Arial" w:hAnsi="Arial"/>
          <w:sz w:val="16"/>
          <w:szCs w:val="16"/>
          <w:color w:val="auto"/>
        </w:rPr>
      </w:pPr>
      <w:r>
        <w:rPr>
          <w:rFonts w:ascii="Arial" w:cs="Arial" w:eastAsia="Arial" w:hAnsi="Arial"/>
          <w:sz w:val="16"/>
          <w:szCs w:val="16"/>
          <w:color w:val="auto"/>
        </w:rPr>
        <w:t>Mr. Dordell retired from our Company on January 10, 2020.</w:t>
      </w:r>
    </w:p>
    <w:p>
      <w:pPr>
        <w:spacing w:after="0" w:line="19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82"/>
          </w:cols>
          <w:pgMar w:left="238" w:top="140" w:right="27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Stock Ownership Guidelines</w:t>
      </w:r>
    </w:p>
    <w:p>
      <w:pPr>
        <w:spacing w:after="0" w:line="99" w:lineRule="exact"/>
        <w:rPr>
          <w:sz w:val="20"/>
          <w:szCs w:val="20"/>
          <w:color w:val="auto"/>
        </w:rPr>
      </w:pPr>
    </w:p>
    <w:p>
      <w:pPr>
        <w:ind w:right="20" w:firstLine="408"/>
        <w:spacing w:after="0" w:line="244" w:lineRule="auto"/>
        <w:rPr>
          <w:sz w:val="20"/>
          <w:szCs w:val="20"/>
          <w:color w:val="auto"/>
        </w:rPr>
      </w:pPr>
      <w:r>
        <w:rPr>
          <w:rFonts w:ascii="Arial" w:cs="Arial" w:eastAsia="Arial" w:hAnsi="Arial"/>
          <w:sz w:val="16"/>
          <w:szCs w:val="16"/>
          <w:color w:val="auto"/>
        </w:rPr>
        <w:t>We maintain stock ownership guidelines described in the table below to align the interests of our non-employee directors and executive officers with those of our shareholders. Non-employee directors are expected to meet this guideline within five years of joining the Board. Executive officers are expected to meet the guideline within five years of the date of hire or promotion. As of January 21, 2020, each of our non-employee directors and executive officers who is required to meet a stock ownership guideline met such guideline.</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240"/>
        </w:trPr>
        <w:tc>
          <w:tcPr>
            <w:tcW w:w="3160" w:type="dxa"/>
            <w:vAlign w:val="bottom"/>
            <w:shd w:val="clear" w:color="auto" w:fill="C00000"/>
          </w:tcPr>
          <w:p>
            <w:pPr>
              <w:spacing w:after="0"/>
              <w:rPr>
                <w:sz w:val="20"/>
                <w:szCs w:val="20"/>
                <w:color w:val="auto"/>
              </w:rPr>
            </w:pPr>
          </w:p>
        </w:tc>
        <w:tc>
          <w:tcPr>
            <w:tcW w:w="3960" w:type="dxa"/>
            <w:vAlign w:val="bottom"/>
            <w:shd w:val="clear" w:color="auto" w:fill="C00000"/>
          </w:tcPr>
          <w:p>
            <w:pPr>
              <w:ind w:left="560"/>
              <w:spacing w:after="0"/>
              <w:rPr>
                <w:sz w:val="20"/>
                <w:szCs w:val="20"/>
                <w:color w:val="auto"/>
              </w:rPr>
            </w:pPr>
            <w:r>
              <w:rPr>
                <w:rFonts w:ascii="Arial" w:cs="Arial" w:eastAsia="Arial" w:hAnsi="Arial"/>
                <w:sz w:val="15"/>
                <w:szCs w:val="15"/>
                <w:b w:val="1"/>
                <w:bCs w:val="1"/>
                <w:color w:val="FFFFFF"/>
              </w:rPr>
              <w:t>Stock Ownership Guidelines by Position</w:t>
            </w:r>
          </w:p>
        </w:tc>
        <w:tc>
          <w:tcPr>
            <w:tcW w:w="3160" w:type="dxa"/>
            <w:vAlign w:val="bottom"/>
            <w:shd w:val="clear" w:color="auto" w:fill="C00000"/>
          </w:tcPr>
          <w:p>
            <w:pPr>
              <w:spacing w:after="0"/>
              <w:rPr>
                <w:sz w:val="20"/>
                <w:szCs w:val="20"/>
                <w:color w:val="auto"/>
              </w:rPr>
            </w:pPr>
          </w:p>
        </w:tc>
      </w:tr>
      <w:tr>
        <w:trPr>
          <w:trHeight w:val="226"/>
        </w:trPr>
        <w:tc>
          <w:tcPr>
            <w:tcW w:w="3160" w:type="dxa"/>
            <w:vAlign w:val="bottom"/>
            <w:shd w:val="clear" w:color="auto" w:fill="C00000"/>
          </w:tcPr>
          <w:p>
            <w:pPr>
              <w:jc w:val="center"/>
              <w:ind w:left="246"/>
              <w:spacing w:after="0"/>
              <w:rPr>
                <w:sz w:val="20"/>
                <w:szCs w:val="20"/>
                <w:color w:val="auto"/>
              </w:rPr>
            </w:pPr>
            <w:r>
              <w:rPr>
                <w:rFonts w:ascii="Arial" w:cs="Arial" w:eastAsia="Arial" w:hAnsi="Arial"/>
                <w:sz w:val="15"/>
                <w:szCs w:val="15"/>
                <w:b w:val="1"/>
                <w:bCs w:val="1"/>
                <w:color w:val="FFFFFF"/>
                <w:w w:val="98"/>
              </w:rPr>
              <w:t>Non-Employee Directors</w:t>
            </w:r>
          </w:p>
        </w:tc>
        <w:tc>
          <w:tcPr>
            <w:tcW w:w="3960" w:type="dxa"/>
            <w:vAlign w:val="bottom"/>
            <w:shd w:val="clear" w:color="auto" w:fill="C00000"/>
          </w:tcPr>
          <w:p>
            <w:pPr>
              <w:jc w:val="center"/>
              <w:ind w:left="66"/>
              <w:spacing w:after="0"/>
              <w:rPr>
                <w:sz w:val="20"/>
                <w:szCs w:val="20"/>
                <w:color w:val="auto"/>
              </w:rPr>
            </w:pPr>
            <w:r>
              <w:rPr>
                <w:rFonts w:ascii="Arial" w:cs="Arial" w:eastAsia="Arial" w:hAnsi="Arial"/>
                <w:sz w:val="15"/>
                <w:szCs w:val="15"/>
                <w:b w:val="1"/>
                <w:bCs w:val="1"/>
                <w:color w:val="FFFFFF"/>
                <w:w w:val="97"/>
              </w:rPr>
              <w:t>Chairman and CEO</w:t>
            </w:r>
          </w:p>
        </w:tc>
        <w:tc>
          <w:tcPr>
            <w:tcW w:w="3160" w:type="dxa"/>
            <w:vAlign w:val="bottom"/>
            <w:shd w:val="clear" w:color="auto" w:fill="C00000"/>
          </w:tcPr>
          <w:p>
            <w:pPr>
              <w:jc w:val="center"/>
              <w:ind w:right="126"/>
              <w:spacing w:after="0"/>
              <w:rPr>
                <w:sz w:val="20"/>
                <w:szCs w:val="20"/>
                <w:color w:val="auto"/>
              </w:rPr>
            </w:pPr>
            <w:r>
              <w:rPr>
                <w:rFonts w:ascii="Arial" w:cs="Arial" w:eastAsia="Arial" w:hAnsi="Arial"/>
                <w:sz w:val="15"/>
                <w:szCs w:val="15"/>
                <w:b w:val="1"/>
                <w:bCs w:val="1"/>
                <w:color w:val="FFFFFF"/>
                <w:w w:val="98"/>
              </w:rPr>
              <w:t>Other Executive Officers</w:t>
            </w:r>
          </w:p>
        </w:tc>
      </w:tr>
      <w:tr>
        <w:trPr>
          <w:trHeight w:val="216"/>
        </w:trPr>
        <w:tc>
          <w:tcPr>
            <w:tcW w:w="3160" w:type="dxa"/>
            <w:vAlign w:val="bottom"/>
          </w:tcPr>
          <w:p>
            <w:pPr>
              <w:jc w:val="center"/>
              <w:ind w:left="246"/>
              <w:spacing w:after="0"/>
              <w:rPr>
                <w:sz w:val="20"/>
                <w:szCs w:val="20"/>
                <w:color w:val="auto"/>
              </w:rPr>
            </w:pPr>
            <w:r>
              <w:rPr>
                <w:rFonts w:ascii="Arial" w:cs="Arial" w:eastAsia="Arial" w:hAnsi="Arial"/>
                <w:sz w:val="15"/>
                <w:szCs w:val="15"/>
                <w:color w:val="auto"/>
                <w:w w:val="98"/>
              </w:rPr>
              <w:t>5x annual board retainer</w:t>
            </w:r>
          </w:p>
        </w:tc>
        <w:tc>
          <w:tcPr>
            <w:tcW w:w="3960" w:type="dxa"/>
            <w:vAlign w:val="bottom"/>
          </w:tcPr>
          <w:p>
            <w:pPr>
              <w:jc w:val="center"/>
              <w:ind w:left="66"/>
              <w:spacing w:after="0"/>
              <w:rPr>
                <w:sz w:val="20"/>
                <w:szCs w:val="20"/>
                <w:color w:val="auto"/>
              </w:rPr>
            </w:pPr>
            <w:r>
              <w:rPr>
                <w:rFonts w:ascii="Arial" w:cs="Arial" w:eastAsia="Arial" w:hAnsi="Arial"/>
                <w:sz w:val="15"/>
                <w:szCs w:val="15"/>
                <w:color w:val="auto"/>
                <w:w w:val="97"/>
              </w:rPr>
              <w:t>5x annual base salary</w:t>
            </w:r>
          </w:p>
        </w:tc>
        <w:tc>
          <w:tcPr>
            <w:tcW w:w="3160" w:type="dxa"/>
            <w:vAlign w:val="bottom"/>
          </w:tcPr>
          <w:p>
            <w:pPr>
              <w:jc w:val="center"/>
              <w:ind w:right="126"/>
              <w:spacing w:after="0"/>
              <w:rPr>
                <w:sz w:val="20"/>
                <w:szCs w:val="20"/>
                <w:color w:val="auto"/>
              </w:rPr>
            </w:pPr>
            <w:r>
              <w:rPr>
                <w:rFonts w:ascii="Arial" w:cs="Arial" w:eastAsia="Arial" w:hAnsi="Arial"/>
                <w:sz w:val="15"/>
                <w:szCs w:val="15"/>
                <w:color w:val="auto"/>
                <w:w w:val="98"/>
              </w:rPr>
              <w:t>2x or 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-299720</wp:posOffset>
            </wp:positionV>
            <wp:extent cx="179514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95145"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Anti-Hedging and Anti-Pledging Policies</w:t>
      </w:r>
    </w:p>
    <w:p>
      <w:pPr>
        <w:spacing w:after="0" w:line="112" w:lineRule="exact"/>
        <w:rPr>
          <w:sz w:val="20"/>
          <w:szCs w:val="20"/>
          <w:color w:val="auto"/>
        </w:rPr>
      </w:pPr>
    </w:p>
    <w:p>
      <w:pPr>
        <w:ind w:right="120" w:firstLine="408"/>
        <w:spacing w:after="0" w:line="242" w:lineRule="auto"/>
        <w:rPr>
          <w:sz w:val="20"/>
          <w:szCs w:val="20"/>
          <w:color w:val="auto"/>
        </w:rPr>
      </w:pPr>
      <w:r>
        <w:rPr>
          <w:rFonts w:ascii="Arial" w:cs="Arial" w:eastAsia="Arial" w:hAnsi="Arial"/>
          <w:sz w:val="16"/>
          <w:szCs w:val="16"/>
          <w:color w:val="auto"/>
        </w:rPr>
        <w:t>The Toro Company Insider Trading Policy (the “Insider Trading Policy”) addresses hedging, pledging and other transactions which might give the appearance of impropriety. Under the Insider Trading Policy, we consider it inappropriate for any person subject to the policy, including all directors, officers and employees of Toro, to engage in speculative transactions in Toro securities or other transactions which might give the appearance of impropriety. In addition, we discourage any person subject to the Insider Trading Policy from engaging in frequent trading in Toro securities because such trading also may give the appearance that such trades were timed to take advantage of material non-public information. Accordingly, our Insider Trading Policy either prohibits or limits the following types of transactions:</w:t>
      </w:r>
    </w:p>
    <w:p>
      <w:pPr>
        <w:spacing w:after="0" w:line="72" w:lineRule="exact"/>
        <w:rPr>
          <w:sz w:val="20"/>
          <w:szCs w:val="20"/>
          <w:color w:val="auto"/>
        </w:rPr>
      </w:pPr>
    </w:p>
    <w:p>
      <w:pPr>
        <w:ind w:left="800" w:right="80" w:hanging="398"/>
        <w:spacing w:after="0" w:line="257" w:lineRule="auto"/>
        <w:tabs>
          <w:tab w:leader="none" w:pos="8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Short sales</w:t>
      </w:r>
      <w:r>
        <w:rPr>
          <w:rFonts w:ascii="Arial" w:cs="Arial" w:eastAsia="Arial" w:hAnsi="Arial"/>
          <w:sz w:val="16"/>
          <w:szCs w:val="16"/>
          <w:color w:val="auto"/>
        </w:rPr>
        <w:t>. All directors, officers and employees of Toro are prohibited from engaging in short sales of Toro securities since such sales are</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reward a person for downward changes in price, and as such, may appear to have resulted from the possession of material non-public information.</w:t>
      </w:r>
    </w:p>
    <w:p>
      <w:pPr>
        <w:spacing w:after="0" w:line="58" w:lineRule="exact"/>
        <w:rPr>
          <w:rFonts w:ascii="Arial" w:cs="Arial" w:eastAsia="Arial" w:hAnsi="Arial"/>
          <w:sz w:val="16"/>
          <w:szCs w:val="16"/>
          <w:color w:val="auto"/>
        </w:rPr>
      </w:pPr>
    </w:p>
    <w:p>
      <w:pPr>
        <w:ind w:left="800" w:right="320" w:hanging="398"/>
        <w:spacing w:after="0" w:line="257" w:lineRule="auto"/>
        <w:tabs>
          <w:tab w:leader="none" w:pos="8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Publicly-traded options</w:t>
      </w:r>
      <w:r>
        <w:rPr>
          <w:rFonts w:ascii="Arial" w:cs="Arial" w:eastAsia="Arial" w:hAnsi="Arial"/>
          <w:sz w:val="16"/>
          <w:szCs w:val="16"/>
          <w:color w:val="auto"/>
        </w:rPr>
        <w:t>. All directors, officers and employees of Toro are prohibited from engaging in transactions in put options, call options,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derivative securities involving Toro stock, whether on an exchange or otherwise, since given the relatively short terms of publicly-traded options, such transactions may create the appearance that they have resulted from possession of material non-public information.</w:t>
      </w:r>
    </w:p>
    <w:p>
      <w:pPr>
        <w:spacing w:after="0" w:line="58" w:lineRule="exact"/>
        <w:rPr>
          <w:rFonts w:ascii="Arial" w:cs="Arial" w:eastAsia="Arial" w:hAnsi="Arial"/>
          <w:sz w:val="16"/>
          <w:szCs w:val="16"/>
          <w:color w:val="auto"/>
        </w:rPr>
      </w:pPr>
    </w:p>
    <w:p>
      <w:pPr>
        <w:ind w:left="800" w:hanging="398"/>
        <w:spacing w:after="0" w:line="257" w:lineRule="auto"/>
        <w:tabs>
          <w:tab w:leader="none" w:pos="8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Hedging transactions</w:t>
      </w:r>
      <w:r>
        <w:rPr>
          <w:rFonts w:ascii="Arial" w:cs="Arial" w:eastAsia="Arial" w:hAnsi="Arial"/>
          <w:sz w:val="16"/>
          <w:szCs w:val="16"/>
          <w:color w:val="auto"/>
        </w:rPr>
        <w:t>. All directors, officers and employees of Toro are prohibited from engaging in hedging transactions involving Toro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collars, equity swaps, prepaid variable forwards, and exchange funds, since such transactions are designed to hedge or offset any decrease in the market value of securities and when that occurs, the owner may no longer have the same objectives as other Toro security holders.</w:t>
      </w:r>
    </w:p>
    <w:p>
      <w:pPr>
        <w:spacing w:after="0" w:line="58" w:lineRule="exact"/>
        <w:rPr>
          <w:rFonts w:ascii="Arial" w:cs="Arial" w:eastAsia="Arial" w:hAnsi="Arial"/>
          <w:sz w:val="16"/>
          <w:szCs w:val="16"/>
          <w:color w:val="auto"/>
        </w:rPr>
      </w:pPr>
    </w:p>
    <w:p>
      <w:pPr>
        <w:ind w:left="800" w:right="100" w:hanging="398"/>
        <w:spacing w:after="0" w:line="248" w:lineRule="auto"/>
        <w:tabs>
          <w:tab w:leader="none" w:pos="8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Standing and limit orders</w:t>
      </w:r>
      <w:r>
        <w:rPr>
          <w:rFonts w:ascii="Arial" w:cs="Arial" w:eastAsia="Arial" w:hAnsi="Arial"/>
          <w:sz w:val="16"/>
          <w:szCs w:val="16"/>
          <w:color w:val="auto"/>
        </w:rPr>
        <w:t>. All directors, officers and employees of Toro are restricted in their use of standing and limit orders for Toro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orders placed with a broker to sell or purchase stock at a specified price. Because there is no control over the timing of purchases or sales that result from standing instructions to a broker, a transaction could be executed when such shareholders are aware of material non-public information. Accordingly, the Insider Trading Policy provides that if a Toro director, officer or employee uses a standing order or limit order for Toro securities, the order should be limited in duration and should otherwise comply with the trading requirements outlined in the Insider Trading Policy.</w:t>
      </w:r>
    </w:p>
    <w:p>
      <w:pPr>
        <w:spacing w:after="0" w:line="66" w:lineRule="exact"/>
        <w:rPr>
          <w:rFonts w:ascii="Arial" w:cs="Arial" w:eastAsia="Arial" w:hAnsi="Arial"/>
          <w:sz w:val="16"/>
          <w:szCs w:val="16"/>
          <w:color w:val="auto"/>
        </w:rPr>
      </w:pPr>
    </w:p>
    <w:p>
      <w:pPr>
        <w:ind w:left="800" w:right="160" w:hanging="398"/>
        <w:spacing w:after="0" w:line="276" w:lineRule="auto"/>
        <w:tabs>
          <w:tab w:leader="none" w:pos="8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Pledging</w:t>
      </w:r>
      <w:r>
        <w:rPr>
          <w:rFonts w:ascii="Arial" w:cs="Arial" w:eastAsia="Arial" w:hAnsi="Arial"/>
          <w:sz w:val="16"/>
          <w:szCs w:val="16"/>
          <w:color w:val="auto"/>
        </w:rPr>
        <w:t>. All directors and officers of Toro are prohibited from purchasing Toro securities on margin, borrowing against any account in which Toro</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are held, or pledging Toro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5" w:name="page76"/>
    <w:bookmarkEnd w:id="75"/>
    <w:p>
      <w:pPr>
        <w:ind w:left="2"/>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59320" cy="186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8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FFFFFF"/>
        </w:rPr>
        <w:t>EQUITY COMPENSATION PLAN INFORMATION</w:t>
      </w:r>
    </w:p>
    <w:p>
      <w:pPr>
        <w:spacing w:after="0" w:line="252" w:lineRule="exact"/>
        <w:rPr>
          <w:sz w:val="20"/>
          <w:szCs w:val="20"/>
          <w:color w:val="auto"/>
        </w:rPr>
      </w:pPr>
    </w:p>
    <w:p>
      <w:pPr>
        <w:ind w:left="2" w:right="140" w:firstLine="408"/>
        <w:spacing w:after="0" w:line="255" w:lineRule="auto"/>
        <w:rPr>
          <w:sz w:val="20"/>
          <w:szCs w:val="20"/>
          <w:color w:val="auto"/>
        </w:rPr>
      </w:pPr>
      <w:r>
        <w:rPr>
          <w:rFonts w:ascii="Arial" w:cs="Arial" w:eastAsia="Arial" w:hAnsi="Arial"/>
          <w:sz w:val="16"/>
          <w:szCs w:val="16"/>
          <w:color w:val="auto"/>
        </w:rPr>
        <w:t>The following table provides information about shares of our common stock that may be issued under our equity compensation plans as of October 31, 2019, the last day of fiscal 2019.</w:t>
      </w:r>
    </w:p>
    <w:p>
      <w:pPr>
        <w:spacing w:after="0" w:line="75" w:lineRule="exact"/>
        <w:rPr>
          <w:sz w:val="20"/>
          <w:szCs w:val="20"/>
          <w:color w:val="auto"/>
        </w:rPr>
      </w:pPr>
    </w:p>
    <w:tbl>
      <w:tblPr>
        <w:tblLayout w:type="fixed"/>
        <w:tblInd w:w="2" w:type="dxa"/>
        <w:tblCellMar>
          <w:top w:w="0" w:type="dxa"/>
          <w:left w:w="0" w:type="dxa"/>
          <w:bottom w:w="0" w:type="dxa"/>
          <w:right w:w="0" w:type="dxa"/>
        </w:tblCellMar>
      </w:tblPr>
      <w:tr>
        <w:trPr>
          <w:trHeight w:val="164"/>
        </w:trPr>
        <w:tc>
          <w:tcPr>
            <w:tcW w:w="3880" w:type="dxa"/>
            <w:vAlign w:val="bottom"/>
            <w:shd w:val="clear" w:color="auto" w:fill="C00000"/>
          </w:tcPr>
          <w:p>
            <w:pPr>
              <w:spacing w:after="0"/>
              <w:rPr>
                <w:sz w:val="14"/>
                <w:szCs w:val="14"/>
                <w:color w:val="auto"/>
              </w:rPr>
            </w:pPr>
          </w:p>
        </w:tc>
        <w:tc>
          <w:tcPr>
            <w:tcW w:w="3020" w:type="dxa"/>
            <w:vAlign w:val="bottom"/>
            <w:shd w:val="clear" w:color="auto" w:fill="C00000"/>
          </w:tcPr>
          <w:p>
            <w:pPr>
              <w:spacing w:after="0"/>
              <w:rPr>
                <w:sz w:val="14"/>
                <w:szCs w:val="14"/>
                <w:color w:val="auto"/>
              </w:rPr>
            </w:pPr>
          </w:p>
        </w:tc>
        <w:tc>
          <w:tcPr>
            <w:tcW w:w="2040" w:type="dxa"/>
            <w:vAlign w:val="bottom"/>
            <w:shd w:val="clear" w:color="auto" w:fill="C00000"/>
          </w:tcPr>
          <w:p>
            <w:pPr>
              <w:spacing w:after="0"/>
              <w:rPr>
                <w:sz w:val="14"/>
                <w:szCs w:val="14"/>
                <w:color w:val="auto"/>
              </w:rPr>
            </w:pPr>
          </w:p>
        </w:tc>
        <w:tc>
          <w:tcPr>
            <w:tcW w:w="2480" w:type="dxa"/>
            <w:vAlign w:val="bottom"/>
            <w:shd w:val="clear" w:color="auto" w:fill="C00000"/>
          </w:tcPr>
          <w:p>
            <w:pPr>
              <w:jc w:val="center"/>
              <w:ind w:left="32"/>
              <w:spacing w:after="0"/>
              <w:rPr>
                <w:sz w:val="20"/>
                <w:szCs w:val="20"/>
                <w:color w:val="auto"/>
              </w:rPr>
            </w:pPr>
            <w:r>
              <w:rPr>
                <w:rFonts w:ascii="Arial" w:cs="Arial" w:eastAsia="Arial" w:hAnsi="Arial"/>
                <w:sz w:val="13"/>
                <w:szCs w:val="13"/>
                <w:color w:val="FFFFFF"/>
              </w:rPr>
              <w:t>Number of Securities</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rPr>
              <w:t>Number of Securities to</w:t>
            </w:r>
          </w:p>
        </w:tc>
        <w:tc>
          <w:tcPr>
            <w:tcW w:w="2040" w:type="dxa"/>
            <w:vAlign w:val="bottom"/>
            <w:shd w:val="clear" w:color="auto" w:fill="C00000"/>
          </w:tcPr>
          <w:p>
            <w:pPr>
              <w:spacing w:after="0"/>
              <w:rPr>
                <w:sz w:val="12"/>
                <w:szCs w:val="12"/>
                <w:color w:val="auto"/>
              </w:rPr>
            </w:pPr>
          </w:p>
        </w:tc>
        <w:tc>
          <w:tcPr>
            <w:tcW w:w="2480" w:type="dxa"/>
            <w:vAlign w:val="bottom"/>
            <w:shd w:val="clear" w:color="auto" w:fill="C00000"/>
          </w:tcPr>
          <w:p>
            <w:pPr>
              <w:jc w:val="center"/>
              <w:ind w:left="32"/>
              <w:spacing w:after="0" w:line="148" w:lineRule="exact"/>
              <w:rPr>
                <w:sz w:val="20"/>
                <w:szCs w:val="20"/>
                <w:color w:val="auto"/>
              </w:rPr>
            </w:pPr>
            <w:r>
              <w:rPr>
                <w:rFonts w:ascii="Arial" w:cs="Arial" w:eastAsia="Arial" w:hAnsi="Arial"/>
                <w:sz w:val="13"/>
                <w:szCs w:val="13"/>
                <w:color w:val="FFFFFF"/>
              </w:rPr>
              <w:t>Remaining Available for</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w w:val="98"/>
              </w:rPr>
              <w:t>be Issued Upon</w:t>
            </w:r>
          </w:p>
        </w:tc>
        <w:tc>
          <w:tcPr>
            <w:tcW w:w="204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w w:val="99"/>
              </w:rPr>
              <w:t>Weighted Average</w:t>
            </w:r>
          </w:p>
        </w:tc>
        <w:tc>
          <w:tcPr>
            <w:tcW w:w="2480" w:type="dxa"/>
            <w:vAlign w:val="bottom"/>
            <w:shd w:val="clear" w:color="auto" w:fill="C00000"/>
          </w:tcPr>
          <w:p>
            <w:pPr>
              <w:jc w:val="center"/>
              <w:ind w:left="32"/>
              <w:spacing w:after="0" w:line="148" w:lineRule="exact"/>
              <w:rPr>
                <w:sz w:val="20"/>
                <w:szCs w:val="20"/>
                <w:color w:val="auto"/>
              </w:rPr>
            </w:pPr>
            <w:r>
              <w:rPr>
                <w:rFonts w:ascii="Arial" w:cs="Arial" w:eastAsia="Arial" w:hAnsi="Arial"/>
                <w:sz w:val="13"/>
                <w:szCs w:val="13"/>
                <w:color w:val="FFFFFF"/>
              </w:rPr>
              <w:t>Future Issuance Under</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rPr>
              <w:t>Exercise of</w:t>
            </w:r>
          </w:p>
        </w:tc>
        <w:tc>
          <w:tcPr>
            <w:tcW w:w="204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rPr>
              <w:t>Exercise Price of</w:t>
            </w:r>
          </w:p>
        </w:tc>
        <w:tc>
          <w:tcPr>
            <w:tcW w:w="2480" w:type="dxa"/>
            <w:vAlign w:val="bottom"/>
            <w:shd w:val="clear" w:color="auto" w:fill="C00000"/>
          </w:tcPr>
          <w:p>
            <w:pPr>
              <w:jc w:val="center"/>
              <w:ind w:left="32"/>
              <w:spacing w:after="0" w:line="148" w:lineRule="exact"/>
              <w:rPr>
                <w:sz w:val="20"/>
                <w:szCs w:val="20"/>
                <w:color w:val="auto"/>
              </w:rPr>
            </w:pPr>
            <w:r>
              <w:rPr>
                <w:rFonts w:ascii="Arial" w:cs="Arial" w:eastAsia="Arial" w:hAnsi="Arial"/>
                <w:sz w:val="13"/>
                <w:szCs w:val="13"/>
                <w:color w:val="FFFFFF"/>
              </w:rPr>
              <w:t>Equity Compensation Plans</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w w:val="99"/>
              </w:rPr>
              <w:t>Outstanding Options,</w:t>
            </w:r>
          </w:p>
        </w:tc>
        <w:tc>
          <w:tcPr>
            <w:tcW w:w="204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w w:val="99"/>
              </w:rPr>
              <w:t>Outstanding Options,</w:t>
            </w:r>
          </w:p>
        </w:tc>
        <w:tc>
          <w:tcPr>
            <w:tcW w:w="2480" w:type="dxa"/>
            <w:vAlign w:val="bottom"/>
            <w:shd w:val="clear" w:color="auto" w:fill="C00000"/>
          </w:tcPr>
          <w:p>
            <w:pPr>
              <w:jc w:val="center"/>
              <w:ind w:left="12"/>
              <w:spacing w:after="0" w:line="148" w:lineRule="exact"/>
              <w:rPr>
                <w:sz w:val="20"/>
                <w:szCs w:val="20"/>
                <w:color w:val="auto"/>
              </w:rPr>
            </w:pPr>
            <w:r>
              <w:rPr>
                <w:rFonts w:ascii="Arial" w:cs="Arial" w:eastAsia="Arial" w:hAnsi="Arial"/>
                <w:sz w:val="13"/>
                <w:szCs w:val="13"/>
                <w:color w:val="FFFFFF"/>
              </w:rPr>
              <w:t>(excluding securities reflected</w:t>
            </w:r>
          </w:p>
        </w:tc>
        <w:tc>
          <w:tcPr>
            <w:tcW w:w="0" w:type="dxa"/>
            <w:vAlign w:val="bottom"/>
          </w:tcPr>
          <w:p>
            <w:pPr>
              <w:spacing w:after="0"/>
              <w:rPr>
                <w:sz w:val="1"/>
                <w:szCs w:val="1"/>
                <w:color w:val="auto"/>
              </w:rPr>
            </w:pPr>
          </w:p>
        </w:tc>
      </w:tr>
      <w:tr>
        <w:trPr>
          <w:trHeight w:val="147"/>
        </w:trPr>
        <w:tc>
          <w:tcPr>
            <w:tcW w:w="3880" w:type="dxa"/>
            <w:vAlign w:val="bottom"/>
            <w:shd w:val="clear" w:color="auto" w:fill="C00000"/>
          </w:tcPr>
          <w:p>
            <w:pPr>
              <w:spacing w:after="0"/>
              <w:rPr>
                <w:sz w:val="12"/>
                <w:szCs w:val="12"/>
                <w:color w:val="auto"/>
              </w:rPr>
            </w:pPr>
          </w:p>
        </w:tc>
        <w:tc>
          <w:tcPr>
            <w:tcW w:w="3020" w:type="dxa"/>
            <w:vAlign w:val="bottom"/>
            <w:shd w:val="clear" w:color="auto" w:fill="C00000"/>
          </w:tcPr>
          <w:p>
            <w:pPr>
              <w:jc w:val="center"/>
              <w:ind w:left="812"/>
              <w:spacing w:after="0" w:line="148" w:lineRule="exact"/>
              <w:rPr>
                <w:sz w:val="20"/>
                <w:szCs w:val="20"/>
                <w:color w:val="auto"/>
              </w:rPr>
            </w:pPr>
            <w:r>
              <w:rPr>
                <w:rFonts w:ascii="Arial" w:cs="Arial" w:eastAsia="Arial" w:hAnsi="Arial"/>
                <w:sz w:val="13"/>
                <w:szCs w:val="13"/>
                <w:color w:val="FFFFFF"/>
                <w:w w:val="99"/>
              </w:rPr>
              <w:t>Warrants and Rights</w:t>
            </w:r>
          </w:p>
        </w:tc>
        <w:tc>
          <w:tcPr>
            <w:tcW w:w="2040" w:type="dxa"/>
            <w:vAlign w:val="bottom"/>
            <w:shd w:val="clear" w:color="auto" w:fill="C00000"/>
          </w:tcPr>
          <w:p>
            <w:pPr>
              <w:jc w:val="center"/>
              <w:spacing w:after="0" w:line="148" w:lineRule="exact"/>
              <w:rPr>
                <w:sz w:val="20"/>
                <w:szCs w:val="20"/>
                <w:color w:val="auto"/>
              </w:rPr>
            </w:pPr>
            <w:r>
              <w:rPr>
                <w:rFonts w:ascii="Arial" w:cs="Arial" w:eastAsia="Arial" w:hAnsi="Arial"/>
                <w:sz w:val="13"/>
                <w:szCs w:val="13"/>
                <w:color w:val="FFFFFF"/>
                <w:w w:val="99"/>
              </w:rPr>
              <w:t>Warrants and Rights</w:t>
            </w:r>
          </w:p>
        </w:tc>
        <w:tc>
          <w:tcPr>
            <w:tcW w:w="2480" w:type="dxa"/>
            <w:vAlign w:val="bottom"/>
            <w:shd w:val="clear" w:color="auto" w:fill="C00000"/>
          </w:tcPr>
          <w:p>
            <w:pPr>
              <w:jc w:val="center"/>
              <w:ind w:left="32"/>
              <w:spacing w:after="0" w:line="148" w:lineRule="exact"/>
              <w:rPr>
                <w:sz w:val="20"/>
                <w:szCs w:val="20"/>
                <w:color w:val="auto"/>
              </w:rPr>
            </w:pPr>
            <w:r>
              <w:rPr>
                <w:rFonts w:ascii="Arial" w:cs="Arial" w:eastAsia="Arial" w:hAnsi="Arial"/>
                <w:sz w:val="13"/>
                <w:szCs w:val="13"/>
                <w:color w:val="FFFFFF"/>
                <w:w w:val="98"/>
              </w:rPr>
              <w:t>in column (a))</w:t>
            </w:r>
          </w:p>
        </w:tc>
        <w:tc>
          <w:tcPr>
            <w:tcW w:w="0" w:type="dxa"/>
            <w:vAlign w:val="bottom"/>
          </w:tcPr>
          <w:p>
            <w:pPr>
              <w:spacing w:after="0"/>
              <w:rPr>
                <w:sz w:val="1"/>
                <w:szCs w:val="1"/>
                <w:color w:val="auto"/>
              </w:rPr>
            </w:pPr>
          </w:p>
        </w:tc>
      </w:tr>
      <w:tr>
        <w:trPr>
          <w:trHeight w:val="143"/>
        </w:trPr>
        <w:tc>
          <w:tcPr>
            <w:tcW w:w="3880" w:type="dxa"/>
            <w:vAlign w:val="bottom"/>
            <w:shd w:val="clear" w:color="auto" w:fill="C00000"/>
          </w:tcPr>
          <w:p>
            <w:pPr>
              <w:spacing w:after="0" w:line="143" w:lineRule="exact"/>
              <w:rPr>
                <w:sz w:val="20"/>
                <w:szCs w:val="20"/>
                <w:color w:val="auto"/>
              </w:rPr>
            </w:pPr>
            <w:r>
              <w:rPr>
                <w:rFonts w:ascii="Arial" w:cs="Arial" w:eastAsia="Arial" w:hAnsi="Arial"/>
                <w:sz w:val="13"/>
                <w:szCs w:val="13"/>
                <w:color w:val="FFFFFF"/>
              </w:rPr>
              <w:t>Plan Category</w:t>
            </w:r>
          </w:p>
        </w:tc>
        <w:tc>
          <w:tcPr>
            <w:tcW w:w="3020" w:type="dxa"/>
            <w:vAlign w:val="bottom"/>
            <w:shd w:val="clear" w:color="auto" w:fill="C00000"/>
          </w:tcPr>
          <w:p>
            <w:pPr>
              <w:jc w:val="center"/>
              <w:ind w:left="832"/>
              <w:spacing w:after="0" w:line="143" w:lineRule="exact"/>
              <w:rPr>
                <w:sz w:val="20"/>
                <w:szCs w:val="20"/>
                <w:color w:val="auto"/>
              </w:rPr>
            </w:pPr>
            <w:r>
              <w:rPr>
                <w:rFonts w:ascii="Arial" w:cs="Arial" w:eastAsia="Arial" w:hAnsi="Arial"/>
                <w:sz w:val="13"/>
                <w:szCs w:val="13"/>
                <w:color w:val="FFFFFF"/>
              </w:rPr>
              <w:t>(a)</w:t>
            </w:r>
          </w:p>
        </w:tc>
        <w:tc>
          <w:tcPr>
            <w:tcW w:w="2040" w:type="dxa"/>
            <w:vAlign w:val="bottom"/>
            <w:shd w:val="clear" w:color="auto" w:fill="C00000"/>
          </w:tcPr>
          <w:p>
            <w:pPr>
              <w:jc w:val="center"/>
              <w:spacing w:after="0" w:line="143" w:lineRule="exact"/>
              <w:rPr>
                <w:sz w:val="20"/>
                <w:szCs w:val="20"/>
                <w:color w:val="auto"/>
              </w:rPr>
            </w:pPr>
            <w:r>
              <w:rPr>
                <w:rFonts w:ascii="Arial" w:cs="Arial" w:eastAsia="Arial" w:hAnsi="Arial"/>
                <w:sz w:val="13"/>
                <w:szCs w:val="13"/>
                <w:color w:val="FFFFFF"/>
              </w:rPr>
              <w:t>(b)</w:t>
            </w:r>
          </w:p>
        </w:tc>
        <w:tc>
          <w:tcPr>
            <w:tcW w:w="2480" w:type="dxa"/>
            <w:vAlign w:val="bottom"/>
            <w:shd w:val="clear" w:color="auto" w:fill="C00000"/>
          </w:tcPr>
          <w:p>
            <w:pPr>
              <w:jc w:val="center"/>
              <w:ind w:left="32"/>
              <w:spacing w:after="0" w:line="143" w:lineRule="exact"/>
              <w:rPr>
                <w:sz w:val="20"/>
                <w:szCs w:val="20"/>
                <w:color w:val="auto"/>
              </w:rPr>
            </w:pPr>
            <w:r>
              <w:rPr>
                <w:rFonts w:ascii="Arial" w:cs="Arial" w:eastAsia="Arial" w:hAnsi="Arial"/>
                <w:sz w:val="13"/>
                <w:szCs w:val="13"/>
                <w:color w:val="FFFFFF"/>
                <w:w w:val="92"/>
              </w:rPr>
              <w:t>(c)</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20"/>
                <w:szCs w:val="20"/>
                <w:color w:val="auto"/>
              </w:rPr>
            </w:pPr>
            <w:r>
              <w:rPr>
                <w:rFonts w:ascii="Arial" w:cs="Arial" w:eastAsia="Arial" w:hAnsi="Arial"/>
                <w:sz w:val="15"/>
                <w:szCs w:val="15"/>
                <w:color w:val="auto"/>
              </w:rPr>
              <w:t>Equity compensation plans approved by</w:t>
            </w:r>
          </w:p>
        </w:tc>
        <w:tc>
          <w:tcPr>
            <w:tcW w:w="3020" w:type="dxa"/>
            <w:vAlign w:val="bottom"/>
            <w:vMerge w:val="restart"/>
          </w:tcPr>
          <w:p>
            <w:pPr>
              <w:jc w:val="center"/>
              <w:ind w:left="812"/>
              <w:spacing w:after="0"/>
              <w:rPr>
                <w:sz w:val="20"/>
                <w:szCs w:val="20"/>
                <w:color w:val="auto"/>
              </w:rPr>
            </w:pPr>
            <w:r>
              <w:rPr>
                <w:rFonts w:ascii="Arial" w:cs="Arial" w:eastAsia="Arial" w:hAnsi="Arial"/>
                <w:sz w:val="15"/>
                <w:szCs w:val="15"/>
                <w:color w:val="auto"/>
                <w:w w:val="94"/>
              </w:rPr>
              <w:t>3,358,295</w:t>
            </w:r>
            <w:r>
              <w:rPr>
                <w:rFonts w:ascii="Arial" w:cs="Arial" w:eastAsia="Arial" w:hAnsi="Arial"/>
                <w:sz w:val="24"/>
                <w:szCs w:val="24"/>
                <w:color w:val="auto"/>
                <w:w w:val="94"/>
                <w:vertAlign w:val="superscript"/>
              </w:rPr>
              <w:t>(1)</w:t>
            </w:r>
          </w:p>
        </w:tc>
        <w:tc>
          <w:tcPr>
            <w:tcW w:w="2040" w:type="dxa"/>
            <w:vAlign w:val="bottom"/>
            <w:vMerge w:val="restart"/>
          </w:tcPr>
          <w:p>
            <w:pPr>
              <w:jc w:val="center"/>
              <w:spacing w:after="0"/>
              <w:rPr>
                <w:sz w:val="20"/>
                <w:szCs w:val="20"/>
                <w:color w:val="auto"/>
              </w:rPr>
            </w:pPr>
            <w:r>
              <w:rPr>
                <w:rFonts w:ascii="Arial" w:cs="Arial" w:eastAsia="Arial" w:hAnsi="Arial"/>
                <w:sz w:val="15"/>
                <w:szCs w:val="15"/>
                <w:color w:val="auto"/>
                <w:w w:val="91"/>
              </w:rPr>
              <w:t>$44.34</w:t>
            </w:r>
            <w:r>
              <w:rPr>
                <w:rFonts w:ascii="Arial" w:cs="Arial" w:eastAsia="Arial" w:hAnsi="Arial"/>
                <w:sz w:val="24"/>
                <w:szCs w:val="24"/>
                <w:color w:val="auto"/>
                <w:w w:val="91"/>
                <w:vertAlign w:val="superscript"/>
              </w:rPr>
              <w:t>(2)</w:t>
            </w:r>
          </w:p>
        </w:tc>
        <w:tc>
          <w:tcPr>
            <w:tcW w:w="2480" w:type="dxa"/>
            <w:vAlign w:val="bottom"/>
            <w:vMerge w:val="restart"/>
          </w:tcPr>
          <w:p>
            <w:pPr>
              <w:jc w:val="center"/>
              <w:ind w:left="32"/>
              <w:spacing w:after="0"/>
              <w:rPr>
                <w:sz w:val="20"/>
                <w:szCs w:val="20"/>
                <w:color w:val="auto"/>
              </w:rPr>
            </w:pPr>
            <w:r>
              <w:rPr>
                <w:rFonts w:ascii="Arial" w:cs="Arial" w:eastAsia="Arial" w:hAnsi="Arial"/>
                <w:sz w:val="15"/>
                <w:szCs w:val="15"/>
                <w:color w:val="auto"/>
                <w:w w:val="94"/>
              </w:rPr>
              <w:t>4,358,384</w:t>
            </w:r>
            <w:r>
              <w:rPr>
                <w:rFonts w:ascii="Arial" w:cs="Arial" w:eastAsia="Arial" w:hAnsi="Arial"/>
                <w:sz w:val="24"/>
                <w:szCs w:val="24"/>
                <w:color w:val="auto"/>
                <w:w w:val="94"/>
                <w:vertAlign w:val="superscript"/>
              </w:rPr>
              <w:t>(3)</w:t>
            </w:r>
          </w:p>
        </w:tc>
        <w:tc>
          <w:tcPr>
            <w:tcW w:w="0" w:type="dxa"/>
            <w:vAlign w:val="bottom"/>
          </w:tcPr>
          <w:p>
            <w:pPr>
              <w:spacing w:after="0"/>
              <w:rPr>
                <w:sz w:val="1"/>
                <w:szCs w:val="1"/>
                <w:color w:val="auto"/>
              </w:rPr>
            </w:pPr>
          </w:p>
        </w:tc>
      </w:tr>
      <w:tr>
        <w:trPr>
          <w:trHeight w:val="170"/>
        </w:trPr>
        <w:tc>
          <w:tcPr>
            <w:tcW w:w="3880" w:type="dxa"/>
            <w:vAlign w:val="bottom"/>
          </w:tcPr>
          <w:p>
            <w:pPr>
              <w:ind w:left="120"/>
              <w:spacing w:after="0" w:line="170" w:lineRule="exact"/>
              <w:rPr>
                <w:sz w:val="20"/>
                <w:szCs w:val="20"/>
                <w:color w:val="auto"/>
              </w:rPr>
            </w:pPr>
            <w:r>
              <w:rPr>
                <w:rFonts w:ascii="Arial" w:cs="Arial" w:eastAsia="Arial" w:hAnsi="Arial"/>
                <w:sz w:val="15"/>
                <w:szCs w:val="15"/>
                <w:color w:val="auto"/>
              </w:rPr>
              <w:t>security holders</w:t>
            </w:r>
          </w:p>
        </w:tc>
        <w:tc>
          <w:tcPr>
            <w:tcW w:w="302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80" w:type="dxa"/>
            <w:vAlign w:val="bottom"/>
            <w:shd w:val="clear" w:color="auto" w:fill="D9D9D9"/>
          </w:tcPr>
          <w:p>
            <w:pPr>
              <w:spacing w:after="0"/>
              <w:rPr>
                <w:sz w:val="20"/>
                <w:szCs w:val="20"/>
                <w:color w:val="auto"/>
              </w:rPr>
            </w:pPr>
            <w:r>
              <w:rPr>
                <w:rFonts w:ascii="Arial" w:cs="Arial" w:eastAsia="Arial" w:hAnsi="Arial"/>
                <w:sz w:val="15"/>
                <w:szCs w:val="15"/>
                <w:color w:val="auto"/>
              </w:rPr>
              <w:t>Equity compensation plans not</w:t>
            </w:r>
          </w:p>
        </w:tc>
        <w:tc>
          <w:tcPr>
            <w:tcW w:w="3020" w:type="dxa"/>
            <w:vAlign w:val="bottom"/>
            <w:shd w:val="clear" w:color="auto" w:fill="D9D9D9"/>
          </w:tcPr>
          <w:p>
            <w:pPr>
              <w:spacing w:after="0"/>
              <w:rPr>
                <w:sz w:val="16"/>
                <w:szCs w:val="16"/>
                <w:color w:val="auto"/>
              </w:rPr>
            </w:pPr>
          </w:p>
        </w:tc>
        <w:tc>
          <w:tcPr>
            <w:tcW w:w="2040" w:type="dxa"/>
            <w:vAlign w:val="bottom"/>
            <w:shd w:val="clear" w:color="auto" w:fill="D9D9D9"/>
          </w:tcPr>
          <w:p>
            <w:pPr>
              <w:spacing w:after="0"/>
              <w:rPr>
                <w:sz w:val="16"/>
                <w:szCs w:val="16"/>
                <w:color w:val="auto"/>
              </w:rPr>
            </w:pPr>
          </w:p>
        </w:tc>
        <w:tc>
          <w:tcPr>
            <w:tcW w:w="248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880" w:type="dxa"/>
            <w:vAlign w:val="bottom"/>
            <w:shd w:val="clear" w:color="auto" w:fill="D9D9D9"/>
          </w:tcPr>
          <w:p>
            <w:pPr>
              <w:ind w:left="120"/>
              <w:spacing w:after="0" w:line="170" w:lineRule="exact"/>
              <w:rPr>
                <w:sz w:val="20"/>
                <w:szCs w:val="20"/>
                <w:color w:val="auto"/>
              </w:rPr>
            </w:pPr>
            <w:r>
              <w:rPr>
                <w:rFonts w:ascii="Arial" w:cs="Arial" w:eastAsia="Arial" w:hAnsi="Arial"/>
                <w:sz w:val="15"/>
                <w:szCs w:val="15"/>
                <w:color w:val="auto"/>
              </w:rPr>
              <w:t>approved by security holders</w:t>
            </w:r>
          </w:p>
        </w:tc>
        <w:tc>
          <w:tcPr>
            <w:tcW w:w="3020" w:type="dxa"/>
            <w:vAlign w:val="bottom"/>
            <w:shd w:val="clear" w:color="auto" w:fill="D9D9D9"/>
          </w:tcPr>
          <w:p>
            <w:pPr>
              <w:jc w:val="center"/>
              <w:ind w:left="812"/>
              <w:spacing w:after="0" w:line="170" w:lineRule="exact"/>
              <w:rPr>
                <w:sz w:val="20"/>
                <w:szCs w:val="20"/>
                <w:color w:val="auto"/>
              </w:rPr>
            </w:pPr>
            <w:r>
              <w:rPr>
                <w:rFonts w:ascii="Arial" w:cs="Arial" w:eastAsia="Arial" w:hAnsi="Arial"/>
                <w:sz w:val="15"/>
                <w:szCs w:val="15"/>
                <w:color w:val="auto"/>
              </w:rPr>
              <w:t>N/A</w:t>
            </w:r>
          </w:p>
        </w:tc>
        <w:tc>
          <w:tcPr>
            <w:tcW w:w="2040" w:type="dxa"/>
            <w:vAlign w:val="bottom"/>
            <w:shd w:val="clear" w:color="auto" w:fill="D9D9D9"/>
          </w:tcPr>
          <w:p>
            <w:pPr>
              <w:jc w:val="center"/>
              <w:spacing w:after="0" w:line="170" w:lineRule="exact"/>
              <w:rPr>
                <w:sz w:val="20"/>
                <w:szCs w:val="20"/>
                <w:color w:val="auto"/>
              </w:rPr>
            </w:pPr>
            <w:r>
              <w:rPr>
                <w:rFonts w:ascii="Arial" w:cs="Arial" w:eastAsia="Arial" w:hAnsi="Arial"/>
                <w:sz w:val="15"/>
                <w:szCs w:val="15"/>
                <w:color w:val="auto"/>
                <w:w w:val="95"/>
              </w:rPr>
              <w:t>N/A</w:t>
            </w:r>
          </w:p>
        </w:tc>
        <w:tc>
          <w:tcPr>
            <w:tcW w:w="2480" w:type="dxa"/>
            <w:vAlign w:val="bottom"/>
            <w:shd w:val="clear" w:color="auto" w:fill="D9D9D9"/>
          </w:tcPr>
          <w:p>
            <w:pPr>
              <w:jc w:val="center"/>
              <w:ind w:left="32"/>
              <w:spacing w:after="0" w:line="170"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328"/>
        </w:trPr>
        <w:tc>
          <w:tcPr>
            <w:tcW w:w="3880" w:type="dxa"/>
            <w:vAlign w:val="bottom"/>
          </w:tcPr>
          <w:p>
            <w:pPr>
              <w:spacing w:after="0"/>
              <w:rPr>
                <w:sz w:val="20"/>
                <w:szCs w:val="20"/>
                <w:color w:val="auto"/>
              </w:rPr>
            </w:pPr>
            <w:r>
              <w:rPr>
                <w:rFonts w:ascii="Arial" w:cs="Arial" w:eastAsia="Arial" w:hAnsi="Arial"/>
                <w:sz w:val="15"/>
                <w:szCs w:val="15"/>
                <w:color w:val="auto"/>
              </w:rPr>
              <w:t>Total</w:t>
            </w:r>
          </w:p>
        </w:tc>
        <w:tc>
          <w:tcPr>
            <w:tcW w:w="3020" w:type="dxa"/>
            <w:vAlign w:val="bottom"/>
          </w:tcPr>
          <w:p>
            <w:pPr>
              <w:jc w:val="center"/>
              <w:ind w:left="812"/>
              <w:spacing w:after="0"/>
              <w:rPr>
                <w:sz w:val="20"/>
                <w:szCs w:val="20"/>
                <w:color w:val="auto"/>
              </w:rPr>
            </w:pPr>
            <w:r>
              <w:rPr>
                <w:rFonts w:ascii="Arial" w:cs="Arial" w:eastAsia="Arial" w:hAnsi="Arial"/>
                <w:sz w:val="15"/>
                <w:szCs w:val="15"/>
                <w:color w:val="auto"/>
                <w:w w:val="94"/>
              </w:rPr>
              <w:t>3,358,295</w:t>
            </w:r>
            <w:r>
              <w:rPr>
                <w:rFonts w:ascii="Arial" w:cs="Arial" w:eastAsia="Arial" w:hAnsi="Arial"/>
                <w:sz w:val="24"/>
                <w:szCs w:val="24"/>
                <w:color w:val="auto"/>
                <w:w w:val="94"/>
                <w:vertAlign w:val="superscript"/>
              </w:rPr>
              <w:t>(1)</w:t>
            </w:r>
          </w:p>
        </w:tc>
        <w:tc>
          <w:tcPr>
            <w:tcW w:w="2040" w:type="dxa"/>
            <w:vAlign w:val="bottom"/>
          </w:tcPr>
          <w:p>
            <w:pPr>
              <w:jc w:val="center"/>
              <w:spacing w:after="0"/>
              <w:rPr>
                <w:sz w:val="20"/>
                <w:szCs w:val="20"/>
                <w:color w:val="auto"/>
              </w:rPr>
            </w:pPr>
            <w:r>
              <w:rPr>
                <w:rFonts w:ascii="Arial" w:cs="Arial" w:eastAsia="Arial" w:hAnsi="Arial"/>
                <w:sz w:val="15"/>
                <w:szCs w:val="15"/>
                <w:color w:val="auto"/>
                <w:w w:val="91"/>
              </w:rPr>
              <w:t>$44.34</w:t>
            </w:r>
            <w:r>
              <w:rPr>
                <w:rFonts w:ascii="Arial" w:cs="Arial" w:eastAsia="Arial" w:hAnsi="Arial"/>
                <w:sz w:val="24"/>
                <w:szCs w:val="24"/>
                <w:color w:val="auto"/>
                <w:w w:val="91"/>
                <w:vertAlign w:val="superscript"/>
              </w:rPr>
              <w:t>(2)</w:t>
            </w:r>
          </w:p>
        </w:tc>
        <w:tc>
          <w:tcPr>
            <w:tcW w:w="2480" w:type="dxa"/>
            <w:vAlign w:val="bottom"/>
          </w:tcPr>
          <w:p>
            <w:pPr>
              <w:jc w:val="center"/>
              <w:ind w:left="32"/>
              <w:spacing w:after="0"/>
              <w:rPr>
                <w:sz w:val="20"/>
                <w:szCs w:val="20"/>
                <w:color w:val="auto"/>
              </w:rPr>
            </w:pPr>
            <w:r>
              <w:rPr>
                <w:rFonts w:ascii="Arial" w:cs="Arial" w:eastAsia="Arial" w:hAnsi="Arial"/>
                <w:sz w:val="15"/>
                <w:szCs w:val="15"/>
                <w:color w:val="auto"/>
                <w:w w:val="94"/>
              </w:rPr>
              <w:t>4,358,384</w:t>
            </w:r>
            <w:r>
              <w:rPr>
                <w:rFonts w:ascii="Arial" w:cs="Arial" w:eastAsia="Arial" w:hAnsi="Arial"/>
                <w:sz w:val="24"/>
                <w:szCs w:val="24"/>
                <w:color w:val="auto"/>
                <w:w w:val="94"/>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207772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ind w:left="402" w:right="20" w:hanging="402"/>
        <w:spacing w:after="0" w:line="244" w:lineRule="auto"/>
        <w:tabs>
          <w:tab w:leader="none" w:pos="402" w:val="left"/>
        </w:tabs>
        <w:numPr>
          <w:ilvl w:val="0"/>
          <w:numId w:val="81"/>
        </w:numPr>
        <w:rPr>
          <w:rFonts w:ascii="Arial" w:cs="Arial" w:eastAsia="Arial" w:hAnsi="Arial"/>
          <w:sz w:val="16"/>
          <w:szCs w:val="16"/>
          <w:color w:val="auto"/>
        </w:rPr>
      </w:pPr>
      <w:r>
        <w:rPr>
          <w:rFonts w:ascii="Arial" w:cs="Arial" w:eastAsia="Arial" w:hAnsi="Arial"/>
          <w:sz w:val="16"/>
          <w:szCs w:val="16"/>
          <w:color w:val="auto"/>
        </w:rPr>
        <w:t>Amount includes: 3,200 outstanding stock options under the 2000 Plan; 2,844,920 outstanding stock options under the 2010 Plan; 124,467 outstanding restricted stock unit awards under the 2010 Plan, including share dividend equivalents that have been issued on such outstanding restricted stock units; and 385,708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35" w:lineRule="exact"/>
        <w:rPr>
          <w:rFonts w:ascii="Arial" w:cs="Arial" w:eastAsia="Arial" w:hAnsi="Arial"/>
          <w:sz w:val="16"/>
          <w:szCs w:val="16"/>
          <w:color w:val="auto"/>
        </w:rPr>
      </w:pPr>
    </w:p>
    <w:p>
      <w:pPr>
        <w:ind w:left="402" w:right="560" w:hanging="402"/>
        <w:spacing w:after="0" w:line="255" w:lineRule="auto"/>
        <w:tabs>
          <w:tab w:leader="none" w:pos="402" w:val="left"/>
        </w:tabs>
        <w:numPr>
          <w:ilvl w:val="0"/>
          <w:numId w:val="81"/>
        </w:numPr>
        <w:rPr>
          <w:rFonts w:ascii="Arial" w:cs="Arial" w:eastAsia="Arial" w:hAnsi="Arial"/>
          <w:sz w:val="16"/>
          <w:szCs w:val="16"/>
          <w:color w:val="auto"/>
        </w:rPr>
      </w:pPr>
      <w:r>
        <w:rPr>
          <w:rFonts w:ascii="Arial" w:cs="Arial" w:eastAsia="Arial" w:hAnsi="Arial"/>
          <w:sz w:val="16"/>
          <w:szCs w:val="16"/>
          <w:color w:val="auto"/>
        </w:rPr>
        <w:t>Performance share awards and restricted stock units do not have exercise prices and, therefore, have been excluded from the weighted-average exercise price calculation in column (b).</w:t>
      </w:r>
    </w:p>
    <w:p>
      <w:pPr>
        <w:spacing w:after="0" w:line="25" w:lineRule="exact"/>
        <w:rPr>
          <w:rFonts w:ascii="Arial" w:cs="Arial" w:eastAsia="Arial" w:hAnsi="Arial"/>
          <w:sz w:val="16"/>
          <w:szCs w:val="16"/>
          <w:color w:val="auto"/>
        </w:rPr>
      </w:pPr>
    </w:p>
    <w:p>
      <w:pPr>
        <w:ind w:left="402" w:hanging="402"/>
        <w:spacing w:after="0"/>
        <w:tabs>
          <w:tab w:leader="none" w:pos="402" w:val="left"/>
        </w:tabs>
        <w:numPr>
          <w:ilvl w:val="0"/>
          <w:numId w:val="81"/>
        </w:numPr>
        <w:rPr>
          <w:rFonts w:ascii="Arial" w:cs="Arial" w:eastAsia="Arial" w:hAnsi="Arial"/>
          <w:sz w:val="16"/>
          <w:szCs w:val="16"/>
          <w:color w:val="auto"/>
        </w:rPr>
      </w:pPr>
      <w:r>
        <w:rPr>
          <w:rFonts w:ascii="Arial" w:cs="Arial" w:eastAsia="Arial" w:hAnsi="Arial"/>
          <w:sz w:val="16"/>
          <w:szCs w:val="16"/>
          <w:color w:val="auto"/>
        </w:rPr>
        <w:t>Amount represents shares available for future issuance upon awards that may be granted under the 2010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259320" cy="186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9320" cy="1866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62"/>
        <w:spacing w:after="0"/>
        <w:rPr>
          <w:sz w:val="20"/>
          <w:szCs w:val="20"/>
          <w:color w:val="auto"/>
        </w:rPr>
      </w:pPr>
      <w:r>
        <w:rPr>
          <w:rFonts w:ascii="Arial" w:cs="Arial" w:eastAsia="Arial" w:hAnsi="Arial"/>
          <w:sz w:val="20"/>
          <w:szCs w:val="20"/>
          <w:b w:val="1"/>
          <w:bCs w:val="1"/>
          <w:color w:val="FFFFFF"/>
        </w:rPr>
        <w:t>OTHER INFORMATION</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C00000"/>
        </w:rPr>
        <w:t>Shareholder Proposals and Director Nominations for the 2021 Annual Meeting</w:t>
      </w:r>
    </w:p>
    <w:p>
      <w:pPr>
        <w:spacing w:after="0" w:line="112" w:lineRule="exact"/>
        <w:rPr>
          <w:sz w:val="20"/>
          <w:szCs w:val="20"/>
          <w:color w:val="auto"/>
        </w:rPr>
      </w:pPr>
    </w:p>
    <w:p>
      <w:pPr>
        <w:ind w:left="2" w:right="260" w:firstLine="408"/>
        <w:spacing w:after="0" w:line="244" w:lineRule="auto"/>
        <w:rPr>
          <w:sz w:val="20"/>
          <w:szCs w:val="20"/>
          <w:color w:val="auto"/>
        </w:rPr>
      </w:pPr>
      <w:r>
        <w:rPr>
          <w:rFonts w:ascii="Arial" w:cs="Arial" w:eastAsia="Arial" w:hAnsi="Arial"/>
          <w:sz w:val="16"/>
          <w:szCs w:val="16"/>
          <w:color w:val="auto"/>
        </w:rPr>
        <w:t>The 2021 Annual Meeting of Shareholders is expected to be held on March 15, 2021. In order for a shareholder proposal to be included in our proxy statement for the 2021 Annual Meeting, (i) our General Counsel must receive such proposal no later than the close of business on October 7, 2020, unless the date of the 2021 Annual Meeting is delayed by more than 30 calendar days; and (ii) such proposal must satisfy all of the requirements of, and not otherwise be permitted to be excluded under, Rule 14a-8 promulgated by the SEC and our Amended and Restated Bylaws.</w:t>
      </w:r>
    </w:p>
    <w:p>
      <w:pPr>
        <w:spacing w:after="0" w:line="85" w:lineRule="exact"/>
        <w:rPr>
          <w:sz w:val="20"/>
          <w:szCs w:val="20"/>
          <w:color w:val="auto"/>
        </w:rPr>
      </w:pPr>
    </w:p>
    <w:p>
      <w:pPr>
        <w:ind w:left="2" w:right="60" w:firstLine="408"/>
        <w:spacing w:after="0" w:line="241" w:lineRule="auto"/>
        <w:rPr>
          <w:sz w:val="20"/>
          <w:szCs w:val="20"/>
          <w:color w:val="auto"/>
        </w:rPr>
      </w:pPr>
      <w:r>
        <w:rPr>
          <w:rFonts w:ascii="Arial" w:cs="Arial" w:eastAsia="Arial" w:hAnsi="Arial"/>
          <w:sz w:val="16"/>
          <w:szCs w:val="16"/>
          <w:color w:val="auto"/>
        </w:rPr>
        <w:t>Under our current Amended and Restated Bylaws, in order for a shareholder to nominate one or more persons for election to the Board at the 2021 Annual Meeting of Shareholders or propose any other business to be brought before the 2021 Annual Meeting, complete and timely notice must be given in writing and in proper form to our General Counsel not later than December 17, 2020, nor earlier than November 17, 2020. However, if the date of the 2021 Annual Meeting is advanced by more than 30 days or delayed by more than 60 days from the first anniversary date of the 2020 Annual Meeting of Shareholders, such notice must be delivered not earlier than the 120th day prior to the date of the rescheduled 2021 Annual Meeting and not later than the close of business on the later of the 90th day prior to the date of the rescheduled 2021 Annual Meeting or the 10th day following the day on which we first make a public announcement of the date of the rescheduled 2021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2021 Annual Meeting and as of the date that is 10 business days prior to the date of the 2021 Annual Meeting. This summary information regarding our Amended and Restated Bylaws is qualified in its entirety by reference to the full text of the Amended and Restated Bylaws, a copy of which can be found on our website at</w:t>
      </w:r>
    </w:p>
    <w:p>
      <w:pPr>
        <w:spacing w:after="0" w:line="18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99960"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97"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www.thetorocompany.com/corporategovernance.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2021 Annual Meeting. If a nomination or proposal is nonetheless brought before the 2021 Annual Meeting and the Chairman does not exercise the power and duty to declare the nomination or proposal defective, the persons named in the proxy may use their discretionary voting with respect to such nomination or proposal.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Householding of Annual Meeting Materials</w:t>
      </w:r>
    </w:p>
    <w:p>
      <w:pPr>
        <w:spacing w:after="0" w:line="112" w:lineRule="exact"/>
        <w:rPr>
          <w:sz w:val="20"/>
          <w:szCs w:val="20"/>
          <w:color w:val="auto"/>
        </w:rPr>
      </w:pPr>
    </w:p>
    <w:p>
      <w:pPr>
        <w:ind w:firstLine="408"/>
        <w:spacing w:after="0" w:line="242"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General Counsel at 8111 Lyndale Avenue South, Bloomington, Minnesota, 55420-1196, by telephone at 888-237-3054, or by e-mail to invest@toro.com.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Annual Report</w:t>
      </w:r>
    </w:p>
    <w:p>
      <w:pPr>
        <w:spacing w:after="0" w:line="92" w:lineRule="exact"/>
        <w:rPr>
          <w:sz w:val="20"/>
          <w:szCs w:val="20"/>
          <w:color w:val="auto"/>
        </w:rPr>
      </w:pPr>
    </w:p>
    <w:p>
      <w:pPr>
        <w:ind w:right="300" w:firstLine="408"/>
        <w:spacing w:after="0" w:line="250" w:lineRule="auto"/>
        <w:rPr>
          <w:sz w:val="20"/>
          <w:szCs w:val="20"/>
          <w:color w:val="auto"/>
        </w:rPr>
      </w:pPr>
      <w:r>
        <w:rPr>
          <w:rFonts w:ascii="Arial" w:cs="Arial" w:eastAsia="Arial" w:hAnsi="Arial"/>
          <w:sz w:val="16"/>
          <w:szCs w:val="16"/>
          <w:b w:val="1"/>
          <w:bCs w:val="1"/>
          <w:color w:val="auto"/>
        </w:rPr>
        <w:t>A copy of Toro’s Annual Report on Form 10-K for the fiscal year ended October 31, 2019, as filed with the SEC, will be sent to any shareholder, without charge, upon written request to our General Counsel at 8111 Lyndale Avenue South, Bloomington, Minnesota, 55420-1196. You also may obtain our Annual Report on Form 10-K on the Internet at the SEC’s website, www.sec.gov, or on our website at www.thetorocompany.com/proxy. Our Fiscal Year 2019 Annual Report, which contains information about our business but is not part of our disclosure deemed to be filed with the SEC, also is available on our website at www.thetorocompany.com/proxy.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Cost and Method of Solicitation</w:t>
      </w:r>
    </w:p>
    <w:p>
      <w:pPr>
        <w:spacing w:after="0" w:line="112" w:lineRule="exact"/>
        <w:rPr>
          <w:sz w:val="20"/>
          <w:szCs w:val="20"/>
          <w:color w:val="auto"/>
        </w:rPr>
      </w:pPr>
    </w:p>
    <w:p>
      <w:pPr>
        <w:ind w:right="80" w:firstLine="408"/>
        <w:spacing w:after="0" w:line="242" w:lineRule="auto"/>
        <w:rPr>
          <w:sz w:val="20"/>
          <w:szCs w:val="20"/>
          <w:color w:val="auto"/>
        </w:rPr>
      </w:pPr>
      <w:r>
        <w:rPr>
          <w:rFonts w:ascii="Arial" w:cs="Arial" w:eastAsia="Arial" w:hAnsi="Arial"/>
          <w:sz w:val="16"/>
          <w:szCs w:val="16"/>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Sodali LLC, 470 West Avenue, Stamford, Connecticut, 06902, for an estimated fee of $8,000, plus out of pocket expenses, to assist in distributing proxy materials and soliciting proxies in connection with our 2020 Annual Meeting of Shareholders.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4, 2020</w:t>
      </w:r>
    </w:p>
    <w:p>
      <w:pPr>
        <w:spacing w:after="0" w:line="294"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70485</wp:posOffset>
            </wp:positionV>
            <wp:extent cx="1337945" cy="4514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37945"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4980"/>
        <w:spacing w:after="0"/>
        <w:rPr>
          <w:sz w:val="20"/>
          <w:szCs w:val="20"/>
          <w:color w:val="auto"/>
        </w:rPr>
      </w:pPr>
      <w:r>
        <w:rPr>
          <w:rFonts w:ascii="Arial" w:cs="Arial" w:eastAsia="Arial" w:hAnsi="Arial"/>
          <w:sz w:val="16"/>
          <w:szCs w:val="16"/>
          <w:color w:val="auto"/>
        </w:rPr>
        <w:t>AMY E. DAHL</w:t>
      </w:r>
    </w:p>
    <w:p>
      <w:pPr>
        <w:jc w:val="center"/>
        <w:ind w:left="5020"/>
        <w:spacing w:after="0"/>
        <w:rPr>
          <w:sz w:val="20"/>
          <w:szCs w:val="20"/>
          <w:color w:val="auto"/>
        </w:rPr>
      </w:pPr>
      <w:r>
        <w:rPr>
          <w:rFonts w:ascii="Arial" w:cs="Arial" w:eastAsia="Arial" w:hAnsi="Arial"/>
          <w:sz w:val="16"/>
          <w:szCs w:val="16"/>
          <w:color w:val="auto"/>
        </w:rPr>
        <w:t>Vice President, Human Resources, Distributor Development and General Counsel</w:t>
      </w:r>
    </w:p>
    <w:p>
      <w:pPr>
        <w:jc w:val="center"/>
        <w:ind w:left="5020"/>
        <w:spacing w:after="0"/>
        <w:rPr>
          <w:sz w:val="20"/>
          <w:szCs w:val="20"/>
          <w:color w:val="auto"/>
        </w:rPr>
      </w:pPr>
      <w:r>
        <w:rPr>
          <w:rFonts w:ascii="Arial" w:cs="Arial" w:eastAsia="Arial" w:hAnsi="Arial"/>
          <w:sz w:val="16"/>
          <w:szCs w:val="16"/>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99960"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131445</wp:posOffset>
            </wp:positionV>
            <wp:extent cx="7299960" cy="6991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9960" cy="699198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131445</wp:posOffset>
            </wp:positionV>
            <wp:extent cx="5220970" cy="63722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20970" cy="6372225"/>
                    </a:xfrm>
                    <a:prstGeom prst="rect">
                      <a:avLst/>
                    </a:prstGeom>
                    <a:noFill/>
                  </pic:spPr>
                </pic:pic>
              </a:graphicData>
            </a:graphic>
          </wp:anchor>
        </w:drawing>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lvl w:ilvl="1">
      <w:lvlJc w:val="left"/>
      <w:lvlText w:val="(%2)"/>
      <w:numFmt w:val="decimal"/>
      <w:start w:val="1"/>
    </w:lvl>
  </w:abstractNum>
  <w:abstractNum w:abstractNumId="3">
    <w:nsid w:val="6A2342EC"/>
    <w:multiLevelType w:val="hybridMultilevel"/>
    <w:lvl w:ilvl="0">
      <w:lvlJc w:val="left"/>
      <w:lvlText w:val="%1."/>
      <w:numFmt w:val="decimal"/>
      <w:start w:val="2"/>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amp;"/>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lvl w:ilvl="1">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5"/>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lowerRoman"/>
      <w:start w:val="2"/>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lvl w:ilvl="1">
      <w:lvlJc w:val="left"/>
      <w:lvlText w:val="−"/>
      <w:numFmt w:val="bullet"/>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3"/>
    </w:lvl>
  </w:abstractNum>
  <w:abstractNum w:abstractNumId="52">
    <w:nsid w:val="1F48EAA1"/>
    <w:multiLevelType w:val="hybridMultilevel"/>
    <w:lvl w:ilvl="0">
      <w:lvlJc w:val="left"/>
      <w:lvlText w:val="(%1)"/>
      <w:numFmt w:val="decimal"/>
      <w:start w:val="4"/>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2"/>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2"/>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17"/>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decimal"/>
      <w:start w:val="2"/>
    </w:lvl>
  </w:abstractNum>
  <w:abstractNum w:abstractNumId="62">
    <w:nsid w:val="42C296BD"/>
    <w:multiLevelType w:val="hybridMultilevel"/>
    <w:lvl w:ilvl="0">
      <w:lvlJc w:val="left"/>
      <w:lvlText w:val="(%1)"/>
      <w:numFmt w:val="decimal"/>
      <w:start w:val="3"/>
    </w:lvl>
  </w:abstractNum>
  <w:abstractNum w:abstractNumId="63">
    <w:nsid w:val="168E121F"/>
    <w:multiLevelType w:val="hybridMultilevel"/>
    <w:lvl w:ilvl="0">
      <w:lvlJc w:val="left"/>
      <w:lvlText w:val="(%1)"/>
      <w:numFmt w:val="decimal"/>
      <w:start w:val="4"/>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4"/>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2"/>
    </w:lvl>
  </w:abstractNum>
  <w:abstractNum w:abstractNumId="78">
    <w:nsid w:val="68EB2F63"/>
    <w:multiLevelType w:val="hybridMultilevel"/>
    <w:lvl w:ilvl="0">
      <w:lvlJc w:val="left"/>
      <w:lvlText w:val="(%1)"/>
      <w:numFmt w:val="decimal"/>
      <w:start w:val="3"/>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2020-02-04T11:59:07Z</dcterms:created>
  <dcterms:modified xsi:type="dcterms:W3CDTF">2020-02-04T11:59:07Z</dcterms:modified>
</cp:coreProperties>
</file>