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6739" w:hanging="105"/>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52-0556948</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420"/>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1,494,224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7,427,723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7,427,723</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6.8%</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TORO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8111 LYNDALE AVE SOUTH,BLOOMINGTON, MINNESOTA 55420-1196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891092108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540" w:right="2939" w:hanging="532"/>
        <w:spacing w:after="0" w:line="235"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2839" w:hanging="947"/>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11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41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w:t>
      </w:r>
    </w:p>
    <w:p>
      <w:pPr>
        <w:sectPr>
          <w:pgSz w:w="11900" w:h="16838" w:orient="portrait"/>
          <w:cols w:equalWidth="0" w:num="1">
            <w:col w:w="10219"/>
          </w:cols>
          <w:pgMar w:left="240" w:top="136" w:right="1440" w:bottom="0" w:gutter="0" w:footer="0" w:header="0"/>
        </w:sectPr>
      </w:pPr>
    </w:p>
    <w:bookmarkStart w:id="2" w:name="page3"/>
    <w:bookmarkEnd w:id="2"/>
    <w:p>
      <w:pPr>
        <w:ind w:left="860" w:right="2099"/>
        <w:spacing w:after="0" w:line="236" w:lineRule="auto"/>
        <w:rPr>
          <w:sz w:val="20"/>
          <w:szCs w:val="20"/>
          <w:color w:val="auto"/>
        </w:rPr>
      </w:pPr>
      <w:r>
        <w:rPr>
          <w:rFonts w:ascii="Courier New" w:cs="Courier New" w:eastAsia="Courier New" w:hAnsi="Courier New"/>
          <w:sz w:val="18"/>
          <w:szCs w:val="18"/>
          <w:color w:val="auto"/>
        </w:rPr>
        <w:t>Associates serves as investment adviser. Any and all discretionary authority which has been delegated to Price Associates may be revoked in whole or in part at any time.</w:t>
      </w:r>
    </w:p>
    <w:p>
      <w:pPr>
        <w:spacing w:after="0" w:line="209"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9" w:lineRule="exact"/>
        <w:rPr>
          <w:sz w:val="20"/>
          <w:szCs w:val="20"/>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960" w:right="1999" w:hanging="947"/>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3359" w:hanging="947"/>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7, 2017</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12/31/2016</w:t>
      </w:r>
    </w:p>
    <w:p>
      <w:pPr>
        <w:sectPr>
          <w:pgSz w:w="11900" w:h="16838" w:orient="portrait"/>
          <w:cols w:equalWidth="0" w:num="1">
            <w:col w:w="10219"/>
          </w:cols>
          <w:pgMar w:left="240" w:top="142"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lvl w:ilvl="1">
      <w:lvlJc w:val="left"/>
      <w:lvlText w:val="%2"/>
      <w:numFmt w:val="upperLetter"/>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2019-12-05T11:23:03Z</dcterms:created>
  <dcterms:modified xsi:type="dcterms:W3CDTF">2019-12-05T11:23:03Z</dcterms:modified>
</cp:coreProperties>
</file>