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446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4465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Redetzke Darren L</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12/08/2016</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26"/>
        <w:spacing w:after="0"/>
        <w:rPr>
          <w:sz w:val="20"/>
          <w:szCs w:val="20"/>
          <w:color w:val="auto"/>
        </w:rPr>
      </w:pPr>
      <w:r>
        <w:rPr>
          <w:rFonts w:ascii="Arial" w:cs="Arial" w:eastAsia="Arial" w:hAnsi="Arial"/>
          <w:sz w:val="17"/>
          <w:szCs w:val="17"/>
          <w:color w:val="0000FF"/>
        </w:rPr>
        <w:t>VP, International Business</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380" w:type="dxa"/>
            <w:vAlign w:val="bottom"/>
            <w:gridSpan w:val="2"/>
          </w:tcPr>
          <w:p>
            <w:pPr>
              <w:ind w:left="48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80"/>
              <w:spacing w:after="0" w:line="132"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7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1380" w:type="dxa"/>
            <w:vAlign w:val="bottom"/>
            <w:gridSpan w:val="2"/>
          </w:tcPr>
          <w:p>
            <w:pPr>
              <w:ind w:left="480"/>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80" w:type="dxa"/>
            <w:vAlign w:val="bottom"/>
            <w:gridSpan w:val="2"/>
          </w:tcPr>
          <w:p>
            <w:pPr>
              <w:ind w:left="68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Beneficially</w:t>
            </w:r>
          </w:p>
        </w:tc>
        <w:tc>
          <w:tcPr>
            <w:tcW w:w="1380" w:type="dxa"/>
            <w:vAlign w:val="bottom"/>
            <w:gridSpan w:val="2"/>
          </w:tcPr>
          <w:p>
            <w:pPr>
              <w:jc w:val="center"/>
              <w:ind w:left="299"/>
              <w:spacing w:after="0" w:line="134" w:lineRule="exact"/>
              <w:rPr>
                <w:sz w:val="20"/>
                <w:szCs w:val="20"/>
                <w:color w:val="auto"/>
              </w:rPr>
            </w:pPr>
            <w:r>
              <w:rPr>
                <w:rFonts w:ascii="Arial" w:cs="Arial" w:eastAsia="Arial" w:hAnsi="Arial"/>
                <w:sz w:val="12"/>
                <w:szCs w:val="12"/>
                <w:b w:val="1"/>
                <w:bCs w:val="1"/>
                <w:color w:val="auto"/>
                <w:w w:val="99"/>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Owned Following   (I)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80" w:type="dxa"/>
            <w:vAlign w:val="bottom"/>
            <w:vMerge w:val="restart"/>
          </w:tcPr>
          <w:p>
            <w:pPr>
              <w:ind w:left="40"/>
              <w:spacing w:after="0" w:line="134"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(A) or</w:t>
            </w: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5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12/08/2016</w:t>
            </w:r>
          </w:p>
        </w:tc>
        <w:tc>
          <w:tcPr>
            <w:tcW w:w="2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jc w:val="right"/>
              <w:ind w:right="13"/>
              <w:spacing w:after="0"/>
              <w:rPr>
                <w:sz w:val="20"/>
                <w:szCs w:val="20"/>
                <w:color w:val="auto"/>
              </w:rPr>
            </w:pPr>
            <w:r>
              <w:rPr>
                <w:rFonts w:ascii="Arial" w:cs="Arial" w:eastAsia="Arial" w:hAnsi="Arial"/>
                <w:sz w:val="17"/>
                <w:szCs w:val="17"/>
                <w:color w:val="0000FF"/>
              </w:rPr>
              <w:t>4,267</w:t>
            </w:r>
            <w:r>
              <w:rPr>
                <w:rFonts w:ascii="Arial" w:cs="Arial" w:eastAsia="Arial" w:hAnsi="Arial"/>
                <w:sz w:val="22"/>
                <w:szCs w:val="22"/>
                <w:color w:val="008000"/>
                <w:vertAlign w:val="superscript"/>
              </w:rPr>
              <w:t>(1)</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right="15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580" w:type="dxa"/>
            <w:vAlign w:val="bottom"/>
            <w:tcBorders>
              <w:bottom w:val="single" w:sz="8" w:color="2C2C2C"/>
            </w:tcBorders>
            <w:gridSpan w:val="3"/>
          </w:tcPr>
          <w:p>
            <w:pPr>
              <w:jc w:val="center"/>
              <w:ind w:right="319"/>
              <w:spacing w:after="0"/>
              <w:rPr>
                <w:sz w:val="20"/>
                <w:szCs w:val="20"/>
                <w:color w:val="auto"/>
              </w:rPr>
            </w:pPr>
            <w:r>
              <w:rPr>
                <w:rFonts w:ascii="Arial" w:cs="Arial" w:eastAsia="Arial" w:hAnsi="Arial"/>
                <w:sz w:val="17"/>
                <w:szCs w:val="17"/>
                <w:color w:val="0000FF"/>
                <w:w w:val="85"/>
              </w:rPr>
              <w:t>6,391</w:t>
            </w:r>
            <w:r>
              <w:rPr>
                <w:rFonts w:ascii="Arial" w:cs="Arial" w:eastAsia="Arial" w:hAnsi="Arial"/>
                <w:sz w:val="22"/>
                <w:szCs w:val="22"/>
                <w:color w:val="008000"/>
                <w:w w:val="85"/>
                <w:vertAlign w:val="superscript"/>
              </w:rPr>
              <w:t>(2)</w:t>
            </w:r>
          </w:p>
        </w:tc>
        <w:tc>
          <w:tcPr>
            <w:tcW w:w="600" w:type="dxa"/>
            <w:vAlign w:val="bottom"/>
            <w:tcBorders>
              <w:bottom w:val="single" w:sz="8" w:color="2C2C2C"/>
            </w:tcBorders>
          </w:tcPr>
          <w:p>
            <w:pPr>
              <w:jc w:val="center"/>
              <w:ind w:right="328"/>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780" w:type="dxa"/>
            <w:vAlign w:val="bottom"/>
            <w:gridSpan w:val="2"/>
          </w:tcPr>
          <w:p>
            <w:pPr>
              <w:ind w:left="780"/>
              <w:spacing w:after="0"/>
              <w:rPr>
                <w:sz w:val="20"/>
                <w:szCs w:val="20"/>
                <w:color w:val="auto"/>
              </w:rPr>
            </w:pPr>
            <w:r>
              <w:rPr>
                <w:rFonts w:ascii="Arial" w:cs="Arial" w:eastAsia="Arial" w:hAnsi="Arial"/>
                <w:sz w:val="17"/>
                <w:szCs w:val="17"/>
                <w:color w:val="0000FF"/>
              </w:rPr>
              <w:t>12/08/2016</w:t>
            </w: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F</w:t>
            </w:r>
          </w:p>
        </w:tc>
        <w:tc>
          <w:tcPr>
            <w:tcW w:w="760" w:type="dxa"/>
            <w:vAlign w:val="bottom"/>
          </w:tcPr>
          <w:p>
            <w:pPr>
              <w:ind w:left="220"/>
              <w:spacing w:after="0"/>
              <w:rPr>
                <w:sz w:val="20"/>
                <w:szCs w:val="20"/>
                <w:color w:val="auto"/>
              </w:rPr>
            </w:pPr>
            <w:r>
              <w:rPr>
                <w:rFonts w:ascii="Arial" w:cs="Arial" w:eastAsia="Arial" w:hAnsi="Arial"/>
                <w:sz w:val="17"/>
                <w:szCs w:val="17"/>
                <w:color w:val="0000FF"/>
              </w:rPr>
              <w:t>1,434</w:t>
            </w:r>
          </w:p>
        </w:tc>
        <w:tc>
          <w:tcPr>
            <w:tcW w:w="60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57.79</w:t>
            </w:r>
          </w:p>
        </w:tc>
        <w:tc>
          <w:tcPr>
            <w:tcW w:w="800" w:type="dxa"/>
            <w:vAlign w:val="bottom"/>
            <w:gridSpan w:val="2"/>
          </w:tcPr>
          <w:p>
            <w:pPr>
              <w:jc w:val="center"/>
              <w:ind w:left="317"/>
              <w:spacing w:after="0"/>
              <w:rPr>
                <w:sz w:val="20"/>
                <w:szCs w:val="20"/>
                <w:color w:val="auto"/>
              </w:rPr>
            </w:pPr>
            <w:r>
              <w:rPr>
                <w:rFonts w:ascii="Arial" w:cs="Arial" w:eastAsia="Arial" w:hAnsi="Arial"/>
                <w:sz w:val="17"/>
                <w:szCs w:val="17"/>
                <w:color w:val="0000FF"/>
                <w:w w:val="93"/>
              </w:rPr>
              <w:t>4,957</w:t>
            </w:r>
          </w:p>
        </w:tc>
        <w:tc>
          <w:tcPr>
            <w:tcW w:w="780" w:type="dxa"/>
            <w:vAlign w:val="bottom"/>
          </w:tcPr>
          <w:p>
            <w:pPr>
              <w:spacing w:after="0"/>
              <w:rPr>
                <w:sz w:val="23"/>
                <w:szCs w:val="23"/>
                <w:color w:val="auto"/>
              </w:rPr>
            </w:pPr>
          </w:p>
        </w:tc>
        <w:tc>
          <w:tcPr>
            <w:tcW w:w="600" w:type="dxa"/>
            <w:vAlign w:val="bottom"/>
          </w:tcPr>
          <w:p>
            <w:pPr>
              <w:jc w:val="center"/>
              <w:ind w:right="328"/>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right="299"/>
              <w:spacing w:after="0"/>
              <w:rPr>
                <w:sz w:val="20"/>
                <w:szCs w:val="20"/>
                <w:color w:val="auto"/>
              </w:rPr>
            </w:pPr>
            <w:r>
              <w:rPr>
                <w:rFonts w:ascii="Arial" w:cs="Arial" w:eastAsia="Arial" w:hAnsi="Arial"/>
                <w:sz w:val="17"/>
                <w:szCs w:val="17"/>
                <w:color w:val="0000FF"/>
                <w:w w:val="87"/>
              </w:rPr>
              <w:t>8,066.792</w:t>
            </w:r>
            <w:r>
              <w:rPr>
                <w:rFonts w:ascii="Arial" w:cs="Arial" w:eastAsia="Arial" w:hAnsi="Arial"/>
                <w:sz w:val="22"/>
                <w:szCs w:val="22"/>
                <w:color w:val="008000"/>
                <w:w w:val="87"/>
                <w:vertAlign w:val="superscript"/>
              </w:rPr>
              <w:t>(3)</w:t>
            </w:r>
          </w:p>
        </w:tc>
        <w:tc>
          <w:tcPr>
            <w:tcW w:w="60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rPr>
              <w:t>I</w:t>
            </w:r>
          </w:p>
        </w:tc>
        <w:tc>
          <w:tcPr>
            <w:tcW w:w="94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80" w:type="dxa"/>
            <w:vAlign w:val="bottom"/>
            <w:gridSpan w:val="3"/>
          </w:tcPr>
          <w:p>
            <w:pPr>
              <w:jc w:val="center"/>
              <w:ind w:right="319"/>
              <w:spacing w:after="0" w:line="214" w:lineRule="exact"/>
              <w:rPr>
                <w:sz w:val="20"/>
                <w:szCs w:val="20"/>
                <w:color w:val="auto"/>
              </w:rPr>
            </w:pPr>
            <w:r>
              <w:rPr>
                <w:rFonts w:ascii="Arial" w:cs="Arial" w:eastAsia="Arial" w:hAnsi="Arial"/>
                <w:sz w:val="17"/>
                <w:szCs w:val="17"/>
                <w:color w:val="0000FF"/>
                <w:w w:val="89"/>
              </w:rPr>
              <w:t>32,132.946</w:t>
            </w:r>
            <w:r>
              <w:rPr>
                <w:rFonts w:ascii="Arial" w:cs="Arial" w:eastAsia="Arial" w:hAnsi="Arial"/>
                <w:sz w:val="22"/>
                <w:szCs w:val="22"/>
                <w:color w:val="008000"/>
                <w:w w:val="89"/>
                <w:vertAlign w:val="superscript"/>
              </w:rPr>
              <w:t>(4)</w:t>
            </w:r>
          </w:p>
        </w:tc>
        <w:tc>
          <w:tcPr>
            <w:tcW w:w="600" w:type="dxa"/>
            <w:vAlign w:val="bottom"/>
          </w:tcPr>
          <w:p>
            <w:pPr>
              <w:jc w:val="center"/>
              <w:ind w:right="308"/>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right="319"/>
              <w:spacing w:after="0"/>
              <w:rPr>
                <w:sz w:val="20"/>
                <w:szCs w:val="20"/>
                <w:color w:val="auto"/>
              </w:rPr>
            </w:pPr>
            <w:r>
              <w:rPr>
                <w:rFonts w:ascii="Arial" w:cs="Arial" w:eastAsia="Arial" w:hAnsi="Arial"/>
                <w:sz w:val="17"/>
                <w:szCs w:val="17"/>
                <w:color w:val="0000FF"/>
                <w:w w:val="89"/>
              </w:rPr>
              <w:t>22,088.829</w:t>
            </w:r>
            <w:r>
              <w:rPr>
                <w:rFonts w:ascii="Arial" w:cs="Arial" w:eastAsia="Arial" w:hAnsi="Arial"/>
                <w:sz w:val="22"/>
                <w:szCs w:val="22"/>
                <w:color w:val="008000"/>
                <w:w w:val="89"/>
                <w:vertAlign w:val="superscript"/>
              </w:rPr>
              <w:t>(5)</w:t>
            </w:r>
          </w:p>
        </w:tc>
        <w:tc>
          <w:tcPr>
            <w:tcW w:w="600" w:type="dxa"/>
            <w:vAlign w:val="bottom"/>
            <w:tcBorders>
              <w:bottom w:val="single" w:sz="8" w:color="2C2C2C"/>
            </w:tcBorders>
          </w:tcPr>
          <w:p>
            <w:pPr>
              <w:jc w:val="center"/>
              <w:ind w:right="328"/>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6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2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56.54</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12/09/2016</w:t>
            </w:r>
          </w:p>
        </w:tc>
        <w:tc>
          <w:tcPr>
            <w:tcW w:w="1180" w:type="dxa"/>
            <w:vAlign w:val="bottom"/>
          </w:tcPr>
          <w:p>
            <w:pPr>
              <w:spacing w:after="0"/>
              <w:rPr>
                <w:sz w:val="17"/>
                <w:szCs w:val="17"/>
                <w:color w:val="auto"/>
              </w:rPr>
            </w:pPr>
          </w:p>
        </w:tc>
        <w:tc>
          <w:tcPr>
            <w:tcW w:w="600" w:type="dxa"/>
            <w:vAlign w:val="bottom"/>
          </w:tcPr>
          <w:p>
            <w:pPr>
              <w:ind w:left="180"/>
              <w:spacing w:after="0"/>
              <w:rPr>
                <w:sz w:val="20"/>
                <w:szCs w:val="20"/>
                <w:color w:val="auto"/>
              </w:rPr>
            </w:pPr>
            <w:r>
              <w:rPr>
                <w:rFonts w:ascii="Arial" w:cs="Arial" w:eastAsia="Arial" w:hAnsi="Arial"/>
                <w:sz w:val="13"/>
                <w:szCs w:val="13"/>
                <w:color w:val="0000FF"/>
              </w:rPr>
              <w:t>A</w:t>
            </w:r>
          </w:p>
        </w:tc>
        <w:tc>
          <w:tcPr>
            <w:tcW w:w="240" w:type="dxa"/>
            <w:vAlign w:val="bottom"/>
          </w:tcPr>
          <w:p>
            <w:pPr>
              <w:spacing w:after="0"/>
              <w:rPr>
                <w:sz w:val="17"/>
                <w:szCs w:val="17"/>
                <w:color w:val="auto"/>
              </w:rPr>
            </w:pPr>
          </w:p>
        </w:tc>
        <w:tc>
          <w:tcPr>
            <w:tcW w:w="520" w:type="dxa"/>
            <w:vAlign w:val="bottom"/>
          </w:tcPr>
          <w:p>
            <w:pPr>
              <w:ind w:left="80"/>
              <w:spacing w:after="0"/>
              <w:rPr>
                <w:sz w:val="20"/>
                <w:szCs w:val="20"/>
                <w:color w:val="auto"/>
              </w:rPr>
            </w:pPr>
            <w:r>
              <w:rPr>
                <w:rFonts w:ascii="Arial" w:cs="Arial" w:eastAsia="Arial" w:hAnsi="Arial"/>
                <w:sz w:val="13"/>
                <w:szCs w:val="13"/>
                <w:color w:val="0000FF"/>
              </w:rPr>
              <w:t>12,800</w:t>
            </w:r>
          </w:p>
        </w:tc>
        <w:tc>
          <w:tcPr>
            <w:tcW w:w="320" w:type="dxa"/>
            <w:vAlign w:val="bottom"/>
          </w:tcPr>
          <w:p>
            <w:pPr>
              <w:spacing w:after="0"/>
              <w:rPr>
                <w:sz w:val="17"/>
                <w:szCs w:val="17"/>
                <w:color w:val="auto"/>
              </w:rPr>
            </w:pPr>
          </w:p>
        </w:tc>
        <w:tc>
          <w:tcPr>
            <w:tcW w:w="800" w:type="dxa"/>
            <w:vAlign w:val="bottom"/>
          </w:tcPr>
          <w:p>
            <w:pPr>
              <w:ind w:left="320"/>
              <w:spacing w:after="0"/>
              <w:rPr>
                <w:sz w:val="20"/>
                <w:szCs w:val="20"/>
                <w:color w:val="auto"/>
              </w:rPr>
            </w:pPr>
            <w:r>
              <w:rPr>
                <w:rFonts w:ascii="Arial" w:cs="Arial" w:eastAsia="Arial" w:hAnsi="Arial"/>
                <w:sz w:val="11"/>
                <w:szCs w:val="11"/>
                <w:color w:val="008000"/>
              </w:rPr>
              <w:t>(6)</w:t>
            </w:r>
          </w:p>
        </w:tc>
        <w:tc>
          <w:tcPr>
            <w:tcW w:w="760" w:type="dxa"/>
            <w:vAlign w:val="bottom"/>
          </w:tcPr>
          <w:p>
            <w:pPr>
              <w:jc w:val="right"/>
              <w:ind w:right="13"/>
              <w:spacing w:after="0"/>
              <w:rPr>
                <w:sz w:val="20"/>
                <w:szCs w:val="20"/>
                <w:color w:val="auto"/>
              </w:rPr>
            </w:pPr>
            <w:r>
              <w:rPr>
                <w:rFonts w:ascii="Arial" w:cs="Arial" w:eastAsia="Arial" w:hAnsi="Arial"/>
                <w:sz w:val="13"/>
                <w:szCs w:val="13"/>
                <w:color w:val="0000FF"/>
              </w:rPr>
              <w:t>12/09/2026</w:t>
            </w:r>
          </w:p>
        </w:tc>
        <w:tc>
          <w:tcPr>
            <w:tcW w:w="600" w:type="dxa"/>
            <w:vAlign w:val="bottom"/>
          </w:tcPr>
          <w:p>
            <w:pPr>
              <w:ind w:left="60"/>
              <w:spacing w:after="0"/>
              <w:rPr>
                <w:sz w:val="20"/>
                <w:szCs w:val="20"/>
                <w:color w:val="auto"/>
              </w:rPr>
            </w:pPr>
            <w:r>
              <w:rPr>
                <w:rFonts w:ascii="Arial" w:cs="Arial" w:eastAsia="Arial" w:hAnsi="Arial"/>
                <w:sz w:val="13"/>
                <w:szCs w:val="13"/>
                <w:color w:val="0000FF"/>
                <w:w w:val="98"/>
              </w:rPr>
              <w:t>Common</w:t>
            </w:r>
          </w:p>
        </w:tc>
        <w:tc>
          <w:tcPr>
            <w:tcW w:w="640" w:type="dxa"/>
            <w:vAlign w:val="bottom"/>
          </w:tcPr>
          <w:p>
            <w:pPr>
              <w:ind w:left="100"/>
              <w:spacing w:after="0"/>
              <w:rPr>
                <w:sz w:val="20"/>
                <w:szCs w:val="20"/>
                <w:color w:val="auto"/>
              </w:rPr>
            </w:pPr>
            <w:r>
              <w:rPr>
                <w:rFonts w:ascii="Arial" w:cs="Arial" w:eastAsia="Arial" w:hAnsi="Arial"/>
                <w:sz w:val="17"/>
                <w:szCs w:val="17"/>
                <w:color w:val="0000FF"/>
                <w:w w:val="99"/>
              </w:rPr>
              <w:t>12,800</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tcPr>
          <w:p>
            <w:pPr>
              <w:ind w:left="240"/>
              <w:spacing w:after="0"/>
              <w:rPr>
                <w:sz w:val="20"/>
                <w:szCs w:val="20"/>
                <w:color w:val="auto"/>
              </w:rPr>
            </w:pPr>
            <w:r>
              <w:rPr>
                <w:rFonts w:ascii="Arial" w:cs="Arial" w:eastAsia="Arial" w:hAnsi="Arial"/>
                <w:sz w:val="13"/>
                <w:szCs w:val="13"/>
                <w:color w:val="0000FF"/>
              </w:rPr>
              <w:t>12,800</w:t>
            </w: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jc w:val="center"/>
              <w:spacing w:after="0" w:line="109" w:lineRule="exact"/>
              <w:rPr>
                <w:sz w:val="20"/>
                <w:szCs w:val="20"/>
                <w:color w:val="auto"/>
              </w:rPr>
            </w:pPr>
            <w:r>
              <w:rPr>
                <w:rFonts w:ascii="Arial" w:cs="Arial" w:eastAsia="Arial" w:hAnsi="Arial"/>
                <w:sz w:val="12"/>
                <w:szCs w:val="12"/>
                <w:color w:val="0000FF"/>
                <w:w w:val="99"/>
              </w:rPr>
              <w:t>Stock</w:t>
            </w: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payout of a Performance Share Award for the Fiscal 2014 to Fiscal 2016 Performance Period under The Toro Company Amended and Restated 2010 Equity and Incentive Plan, as amended and restated, (the "Amended and Restated 2010 Plan") as approved by the issuer's Compensation &amp; Human Resources Committee of its Board of Directors on December 6, 2016, and which was conditioned upon and subject to confirmation by the issuer's Fiscal 2016 financial results that were released on December 8, 2016. Performance Share Awards are paid in shares of common stock under the Amended and Restated 2010 Plan.</w:t>
      </w:r>
    </w:p>
    <w:p>
      <w:pPr>
        <w:spacing w:after="0" w:line="25" w:lineRule="exact"/>
        <w:rPr>
          <w:rFonts w:ascii="Arial" w:cs="Arial" w:eastAsia="Arial" w:hAnsi="Arial"/>
          <w:sz w:val="13"/>
          <w:szCs w:val="13"/>
          <w:color w:val="008000"/>
        </w:rPr>
      </w:pPr>
    </w:p>
    <w:p>
      <w:pPr>
        <w:ind w:left="40" w:right="1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16, 2016, the common stock of the issuer split two-for-one (the "Stock Split"), resulting in the reporting person's ownership of 1,062 additional shares of common stock. All future Form 4 and 5 filings made by the reporting person will include adjustments, as necessary, to reflect the Stock Split.</w:t>
      </w:r>
    </w:p>
    <w:p>
      <w:pPr>
        <w:spacing w:after="0" w:line="9" w:lineRule="exact"/>
        <w:rPr>
          <w:rFonts w:ascii="Arial" w:cs="Arial" w:eastAsia="Arial" w:hAnsi="Arial"/>
          <w:sz w:val="13"/>
          <w:szCs w:val="13"/>
          <w:color w:val="008000"/>
        </w:rPr>
      </w:pPr>
    </w:p>
    <w:p>
      <w:pPr>
        <w:ind w:left="40" w:right="1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3,993.724 additional shares of common stock as a result of the Stock Split and 79.344 post-split shares units acquired by the reporting person under the dividend reinvestment feature of the account in which the shares are held since the date of his last report.</w:t>
      </w:r>
    </w:p>
    <w:p>
      <w:pPr>
        <w:spacing w:after="0" w:line="9" w:lineRule="exact"/>
        <w:rPr>
          <w:rFonts w:ascii="Arial" w:cs="Arial" w:eastAsia="Arial" w:hAnsi="Arial"/>
          <w:sz w:val="13"/>
          <w:szCs w:val="13"/>
          <w:color w:val="008000"/>
        </w:rPr>
      </w:pPr>
    </w:p>
    <w:p>
      <w:pPr>
        <w:ind w:left="40" w:right="16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15,863.334 additional shares of common stock as a result of the Stock Split. Also includes 314.31 post-split net shares acquired by the reporting person under the dividend reinvestment feature of The Toro Company Investment, Savings &amp; ESOP (the "IS&amp;ESOP") less quarterly non-discretionary administrative fees and 91.968 post-split shares acquired through issuer annual investment fund contributions to the IS&amp;ESOP since the date of his last report.</w:t>
      </w:r>
    </w:p>
    <w:p>
      <w:pPr>
        <w:spacing w:after="0" w:line="21" w:lineRule="exact"/>
        <w:rPr>
          <w:rFonts w:ascii="Arial" w:cs="Arial" w:eastAsia="Arial" w:hAnsi="Arial"/>
          <w:sz w:val="13"/>
          <w:szCs w:val="13"/>
          <w:color w:val="008000"/>
        </w:rPr>
      </w:pPr>
    </w:p>
    <w:p>
      <w:pPr>
        <w:ind w:left="40" w:right="1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10,935.788 additional performance share units as a result of the Stock Split and 217.253 post-split performance share units acquired by the reporting person under the dividend reinvestment feature of The Toro Company Deferred Compensation Plan for Officers since the date of his last report.</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12/12/2016</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237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2019-12-23T21:03:35Z</dcterms:created>
  <dcterms:modified xsi:type="dcterms:W3CDTF">2019-12-23T21:03:35Z</dcterms:modified>
</cp:coreProperties>
</file>