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173" w:lineRule="exact"/>
        <w:rPr>
          <w:sz w:val="24"/>
          <w:szCs w:val="24"/>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440" w:right="359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 For Fiscal Year Ended October 31, 1998.</w:t>
      </w:r>
    </w:p>
    <w:p>
      <w:pPr>
        <w:spacing w:after="0" w:line="326" w:lineRule="exact"/>
        <w:rPr>
          <w:sz w:val="24"/>
          <w:szCs w:val="24"/>
          <w:color w:val="auto"/>
        </w:rPr>
      </w:pPr>
    </w:p>
    <w:p>
      <w:pPr>
        <w:ind w:left="440" w:right="4019" w:hanging="432"/>
        <w:spacing w:after="0" w:line="250" w:lineRule="auto"/>
        <w:tabs>
          <w:tab w:leader="none" w:pos="18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____________________ to ____________________</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1-8649</w:t>
      </w:r>
    </w:p>
    <w:p>
      <w:pPr>
        <w:spacing w:after="0" w:line="173" w:lineRule="exact"/>
        <w:rPr>
          <w:sz w:val="24"/>
          <w:szCs w:val="24"/>
          <w:color w:val="auto"/>
        </w:rPr>
      </w:pPr>
    </w:p>
    <w:p>
      <w:pPr>
        <w:sectPr>
          <w:pgSz w:w="11900" w:h="16838" w:orient="portrait"/>
          <w:cols w:equalWidth="0" w:num="2">
            <w:col w:w="4320" w:space="160"/>
            <w:col w:w="5759"/>
          </w:cols>
          <w:pgMar w:left="220" w:top="395" w:right="1440" w:bottom="1440" w:gutter="0" w:footer="0" w:header="0"/>
          <w:type w:val="continuous"/>
        </w:sect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3" w:lineRule="exact"/>
        <w:rPr>
          <w:sz w:val="24"/>
          <w:szCs w:val="24"/>
          <w:color w:val="auto"/>
        </w:rPr>
      </w:pPr>
    </w:p>
    <w:p>
      <w:pPr>
        <w:sectPr>
          <w:pgSz w:w="11900" w:h="16838" w:orient="portrait"/>
          <w:cols w:equalWidth="0" w:num="2">
            <w:col w:w="2820" w:space="720"/>
            <w:col w:w="6699"/>
          </w:cols>
          <w:pgMar w:left="220" w:top="395"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4"/>
          <w:szCs w:val="24"/>
          <w:color w:val="auto"/>
        </w:rPr>
      </w:pPr>
    </w:p>
    <w:p>
      <w:pPr>
        <w:jc w:val="center"/>
        <w:ind w:right="2819"/>
        <w:spacing w:after="0"/>
        <w:tabs>
          <w:tab w:leader="none" w:pos="1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TELEPHONE NUMBER: (612) 888-8801</w:t>
      </w:r>
    </w:p>
    <w:p>
      <w:pPr>
        <w:spacing w:after="0" w:line="17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$1.00 per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ectPr>
          <w:pgSz w:w="11900" w:h="16838" w:orient="portrait"/>
          <w:cols w:equalWidth="0" w:num="2">
            <w:col w:w="2860" w:space="420"/>
            <w:col w:w="6959"/>
          </w:cols>
          <w:pgMar w:left="220" w:top="395"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share</w:t>
      </w:r>
    </w:p>
    <w:p>
      <w:pPr>
        <w:sectPr>
          <w:pgSz w:w="11900" w:h="16838" w:orient="portrait"/>
          <w:cols w:equalWidth="0" w:num="1">
            <w:col w:w="10239"/>
          </w:cols>
          <w:pgMar w:left="220" w:top="395"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4"/>
          <w:szCs w:val="24"/>
          <w:color w:val="auto"/>
        </w:rPr>
      </w:pPr>
    </w:p>
    <w:p>
      <w:pPr>
        <w:sectPr>
          <w:pgSz w:w="11900" w:h="16838" w:orient="portrait"/>
          <w:cols w:equalWidth="0" w:num="2">
            <w:col w:w="2680" w:space="600"/>
            <w:col w:w="6959"/>
          </w:cols>
          <w:pgMar w:left="220" w:top="395" w:right="1440" w:bottom="1440" w:gutter="0" w:footer="0" w:header="0"/>
          <w:type w:val="continuous"/>
        </w:sectPr>
      </w:pPr>
    </w:p>
    <w:p>
      <w:pPr>
        <w:jc w:val="center"/>
        <w:ind w:right="289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ind w:left="35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62" w:lineRule="exact"/>
        <w:rPr>
          <w:sz w:val="24"/>
          <w:szCs w:val="24"/>
          <w:color w:val="auto"/>
        </w:rPr>
      </w:pPr>
    </w:p>
    <w:p>
      <w:pPr>
        <w:spacing w:after="0"/>
        <w:tabs>
          <w:tab w:leader="none" w:pos="420" w:val="left"/>
          <w:tab w:leader="none" w:pos="1280" w:val="left"/>
          <w:tab w:leader="none" w:pos="1880" w:val="left"/>
        </w:tabs>
        <w:rPr>
          <w:sz w:val="20"/>
          <w:szCs w:val="20"/>
          <w:color w:val="auto"/>
        </w:rPr>
      </w:pPr>
      <w:r>
        <w:rPr>
          <w:rFonts w:ascii="Courier New" w:cs="Courier New" w:eastAsia="Courier New" w:hAnsi="Courier New"/>
          <w:sz w:val="14"/>
          <w:szCs w:val="14"/>
          <w:color w:val="auto"/>
        </w:rPr>
        <w:t>Yes</w:t>
        <w:tab/>
        <w:t>/ X /</w:t>
      </w:r>
      <w:r>
        <w:rPr>
          <w:sz w:val="20"/>
          <w:szCs w:val="20"/>
          <w:color w:val="auto"/>
        </w:rPr>
        <w:tab/>
      </w:r>
      <w:r>
        <w:rPr>
          <w:rFonts w:ascii="Courier New" w:cs="Courier New" w:eastAsia="Courier New" w:hAnsi="Courier New"/>
          <w:sz w:val="14"/>
          <w:szCs w:val="14"/>
          <w:color w:val="auto"/>
        </w:rPr>
        <w:t>No /</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28" w:lineRule="exact"/>
        <w:rPr>
          <w:sz w:val="24"/>
          <w:szCs w:val="24"/>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January 7, 1999 as reported by the New York Stock Exchange, was approximately $384,891,687.</w:t>
      </w:r>
    </w:p>
    <w:p>
      <w:pPr>
        <w:spacing w:after="0" w:line="163" w:lineRule="exact"/>
        <w:rPr>
          <w:sz w:val="24"/>
          <w:szCs w:val="24"/>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January 7, 1999 was 12,565,257.</w:t>
      </w:r>
    </w:p>
    <w:p>
      <w:pPr>
        <w:spacing w:after="0" w:line="160"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October 31, 1998 are incorporated by reference into Parts I, II, and IV.</w:t>
      </w:r>
    </w:p>
    <w:p>
      <w:pPr>
        <w:spacing w:after="0" w:line="160" w:lineRule="exact"/>
        <w:rPr>
          <w:sz w:val="24"/>
          <w:szCs w:val="24"/>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24, 1999 are incorporated by reference into Part III.</w:t>
      </w:r>
    </w:p>
    <w:p>
      <w:pPr>
        <w:spacing w:after="0" w:line="1"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860" w:type="dxa"/>
            <w:vAlign w:val="bottom"/>
          </w:tcPr>
          <w:p>
            <w:pPr>
              <w:ind w:left="2100"/>
              <w:spacing w:after="0"/>
              <w:rPr>
                <w:sz w:val="20"/>
                <w:szCs w:val="20"/>
                <w:color w:val="auto"/>
              </w:rPr>
            </w:pPr>
            <w:r>
              <w:rPr>
                <w:rFonts w:ascii="Courier New" w:cs="Courier New" w:eastAsia="Courier New" w:hAnsi="Courier New"/>
                <w:sz w:val="14"/>
                <w:szCs w:val="14"/>
                <w:color w:val="auto"/>
              </w:rPr>
              <w:t>THE TORO COMPANY</w:t>
            </w:r>
          </w:p>
        </w:tc>
        <w:tc>
          <w:tcPr>
            <w:tcW w:w="10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FORM 10-K</w:t>
            </w:r>
          </w:p>
        </w:tc>
        <w:tc>
          <w:tcPr>
            <w:tcW w:w="10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TABLE OF CONTENTS</w:t>
            </w:r>
          </w:p>
        </w:tc>
        <w:tc>
          <w:tcPr>
            <w:tcW w:w="1040" w:type="dxa"/>
            <w:vAlign w:val="bottom"/>
          </w:tcPr>
          <w:p>
            <w:pPr>
              <w:spacing w:after="0"/>
              <w:rPr>
                <w:sz w:val="14"/>
                <w:szCs w:val="14"/>
                <w:color w:val="auto"/>
              </w:rPr>
            </w:pPr>
          </w:p>
        </w:tc>
      </w:tr>
      <w:tr>
        <w:trPr>
          <w:trHeight w:val="663"/>
        </w:trPr>
        <w:tc>
          <w:tcPr>
            <w:tcW w:w="92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4860" w:type="dxa"/>
            <w:vAlign w:val="bottom"/>
          </w:tcPr>
          <w:p>
            <w:pPr>
              <w:ind w:left="120"/>
              <w:spacing w:after="0"/>
              <w:rPr>
                <w:sz w:val="20"/>
                <w:szCs w:val="20"/>
                <w:color w:val="auto"/>
              </w:rPr>
            </w:pPr>
            <w:r>
              <w:rPr>
                <w:rFonts w:ascii="Courier New" w:cs="Courier New" w:eastAsia="Courier New" w:hAnsi="Courier New"/>
                <w:sz w:val="14"/>
                <w:szCs w:val="14"/>
                <w:color w:val="auto"/>
              </w:rPr>
              <w:t>DESCRIPTION</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PAGE NUMBERS</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Business.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.3-10</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Properties.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Legal Proceedings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12</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12</w:t>
            </w:r>
          </w:p>
        </w:tc>
      </w:tr>
      <w:tr>
        <w:trPr>
          <w:trHeight w:val="331"/>
        </w:trPr>
        <w:tc>
          <w:tcPr>
            <w:tcW w:w="920" w:type="dxa"/>
            <w:vAlign w:val="bottom"/>
          </w:tcPr>
          <w:p>
            <w:pPr>
              <w:spacing w:after="0"/>
              <w:rPr>
                <w:sz w:val="24"/>
                <w:szCs w:val="24"/>
                <w:color w:val="auto"/>
              </w:rPr>
            </w:pP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Executive Officers of the Registrant.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13-14</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4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Market for the Registrant's Common Stock and Related</w:t>
            </w:r>
          </w:p>
        </w:tc>
        <w:tc>
          <w:tcPr>
            <w:tcW w:w="10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Courier New" w:cs="Courier New" w:eastAsia="Courier New" w:hAnsi="Courier New"/>
                <w:sz w:val="14"/>
                <w:szCs w:val="14"/>
                <w:color w:val="auto"/>
              </w:rPr>
              <w:t>Stockholder Matters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15</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Selected Financial Data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15</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10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Courier New" w:cs="Courier New" w:eastAsia="Courier New" w:hAnsi="Courier New"/>
                <w:sz w:val="14"/>
                <w:szCs w:val="14"/>
                <w:color w:val="auto"/>
              </w:rPr>
              <w:t>Condition and Results of Operations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16-17</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10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Courier New" w:cs="Courier New" w:eastAsia="Courier New" w:hAnsi="Courier New"/>
                <w:sz w:val="14"/>
                <w:szCs w:val="14"/>
                <w:color w:val="auto"/>
              </w:rPr>
              <w:t>Market Risk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17</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Financial Statements and Supplementary Data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17</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Disagreements on Accounting and Financial Disclosure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17</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4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18</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Executive Compensation.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18</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Security Ownership of Certain Beneficial Owners and</w:t>
            </w:r>
          </w:p>
        </w:tc>
        <w:tc>
          <w:tcPr>
            <w:tcW w:w="10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Courier New" w:cs="Courier New" w:eastAsia="Courier New" w:hAnsi="Courier New"/>
                <w:sz w:val="14"/>
                <w:szCs w:val="14"/>
                <w:color w:val="auto"/>
              </w:rPr>
              <w:t>Management.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18</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Certain Relationships and Related Transactions.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18</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9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Exhibits, Financial Statement Schedules, and Reports on</w:t>
            </w:r>
          </w:p>
        </w:tc>
      </w:tr>
      <w:tr>
        <w:trPr>
          <w:trHeight w:val="166"/>
        </w:trPr>
        <w:tc>
          <w:tcPr>
            <w:tcW w:w="9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Courier New" w:cs="Courier New" w:eastAsia="Courier New" w:hAnsi="Courier New"/>
                <w:sz w:val="14"/>
                <w:szCs w:val="14"/>
                <w:color w:val="auto"/>
              </w:rPr>
              <w:t>Form 8-K.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19-21</w:t>
            </w:r>
          </w:p>
        </w:tc>
      </w:tr>
      <w:tr>
        <w:trPr>
          <w:trHeight w:val="331"/>
        </w:trPr>
        <w:tc>
          <w:tcPr>
            <w:tcW w:w="920" w:type="dxa"/>
            <w:vAlign w:val="bottom"/>
          </w:tcPr>
          <w:p>
            <w:pPr>
              <w:spacing w:after="0"/>
              <w:rPr>
                <w:sz w:val="24"/>
                <w:szCs w:val="24"/>
                <w:color w:val="auto"/>
              </w:rPr>
            </w:pPr>
          </w:p>
        </w:tc>
        <w:tc>
          <w:tcPr>
            <w:tcW w:w="4860" w:type="dxa"/>
            <w:vAlign w:val="bottom"/>
          </w:tcPr>
          <w:p>
            <w:pPr>
              <w:ind w:left="380"/>
              <w:spacing w:after="0"/>
              <w:rPr>
                <w:sz w:val="20"/>
                <w:szCs w:val="20"/>
                <w:color w:val="auto"/>
              </w:rPr>
            </w:pPr>
            <w:r>
              <w:rPr>
                <w:rFonts w:ascii="Courier New" w:cs="Courier New" w:eastAsia="Courier New" w:hAnsi="Courier New"/>
                <w:sz w:val="14"/>
                <w:szCs w:val="14"/>
                <w:color w:val="auto"/>
              </w:rPr>
              <w:t>Signatures.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22</w:t>
            </w:r>
          </w:p>
        </w:tc>
      </w:tr>
      <w:tr>
        <w:trPr>
          <w:trHeight w:val="663"/>
        </w:trPr>
        <w:tc>
          <w:tcPr>
            <w:tcW w:w="920" w:type="dxa"/>
            <w:vAlign w:val="bottom"/>
          </w:tcPr>
          <w:p>
            <w:pPr>
              <w:spacing w:after="0"/>
              <w:rPr>
                <w:sz w:val="24"/>
                <w:szCs w:val="24"/>
                <w:color w:val="auto"/>
              </w:rPr>
            </w:pPr>
          </w:p>
        </w:tc>
        <w:tc>
          <w:tcPr>
            <w:tcW w:w="486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ind w:left="3460"/>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designs, manufactures, and markets professional turf maintenance equipment, irrigation systems, landscaping equipment, agricultural irrigation systems, and consumer products. The company produced its first lawn mower for golf course fairways in 1921 and its first lawn mower for home use in 1939 and has continued to enhance its product lines ever since.</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Toro's web sites on the Internet are at www.toro.com, www.exmark.com, www.irritrolsystems.com, www.lawnboy.com, www.lawngenie.com, www.nsn.com. You can learn about the company and its products by visiting these web sites.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The company's commitment and funding for engineering costs, as well as acquisition strategy and its licensing and related agreements, have all contributed to improvement of existing products and new product development efforts. Through these efforts, the company is responsive to trends, which may affect its target markets now and in the future. The company believes that a significant portion of its revenues in recent years have been attributable to its new and enhanced products.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has expanded its product lines and services in recent years by making acquisitions and strategic alliances. See "Acquisitions, Divestitures, and Strategic Alliances" below.</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 owned finance subsidiary.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Toro markets its consumer products to homeowners through a variety of distribution channels, including distributors, dealers, home centers, and mass retailers. These products are sold mainly in North America, Europe, Asia, and Australia, with the exception of snow removal products which are only sold in North America and Europe.</w:t>
      </w:r>
    </w:p>
    <w:p>
      <w:pPr>
        <w:spacing w:after="0" w:line="165"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WALK POWER MOWERS.</w:t>
        <w:tab/>
        <w:t>The company has manufactured walk power mowers for</w:t>
      </w:r>
    </w:p>
    <w:p>
      <w:pPr>
        <w:spacing w:after="0" w:line="7"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residential use since 1939.</w:t>
        <w:tab/>
        <w:t>Its walk power lawn mowers are gasoline,</w:t>
      </w:r>
    </w:p>
    <w:p>
      <w:pPr>
        <w:spacing w:after="0" w:line="7" w:lineRule="exact"/>
        <w:rPr>
          <w:sz w:val="20"/>
          <w:szCs w:val="20"/>
          <w:color w:val="auto"/>
        </w:rPr>
      </w:pPr>
    </w:p>
    <w:p>
      <w:pPr>
        <w:ind w:left="440"/>
        <w:spacing w:after="0"/>
        <w:tabs>
          <w:tab w:leader="none" w:pos="3180" w:val="left"/>
        </w:tabs>
        <w:rPr>
          <w:sz w:val="20"/>
          <w:szCs w:val="20"/>
          <w:color w:val="auto"/>
        </w:rPr>
      </w:pPr>
      <w:r>
        <w:rPr>
          <w:rFonts w:ascii="Courier New" w:cs="Courier New" w:eastAsia="Courier New" w:hAnsi="Courier New"/>
          <w:sz w:val="14"/>
          <w:szCs w:val="14"/>
          <w:color w:val="auto"/>
        </w:rPr>
        <w:t>battery, and electric powered.</w:t>
        <w:tab/>
        <w:t>The company manufactures numerous models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walk power mowers under its brand names Toro-Registered Trademark-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Lawn-Boy-Registered Trademark-, including both four-cycle and two-cycle gas</w:t>
      </w:r>
    </w:p>
    <w:p>
      <w:pPr>
        <w:spacing w:after="0" w:line="7" w:lineRule="exact"/>
        <w:rPr>
          <w:sz w:val="20"/>
          <w:szCs w:val="20"/>
          <w:color w:val="auto"/>
        </w:rPr>
      </w:pPr>
    </w:p>
    <w:p>
      <w:pPr>
        <w:ind w:left="440"/>
        <w:spacing w:after="0"/>
        <w:tabs>
          <w:tab w:leader="none" w:pos="5240" w:val="left"/>
        </w:tabs>
        <w:rPr>
          <w:sz w:val="20"/>
          <w:szCs w:val="20"/>
          <w:color w:val="auto"/>
        </w:rPr>
      </w:pPr>
      <w:r>
        <w:rPr>
          <w:rFonts w:ascii="Courier New" w:cs="Courier New" w:eastAsia="Courier New" w:hAnsi="Courier New"/>
          <w:sz w:val="14"/>
          <w:szCs w:val="14"/>
          <w:color w:val="auto"/>
        </w:rPr>
        <w:t>engine models, and corded and battery electric models.</w:t>
        <w:tab/>
        <w:t>Models differ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cutting width, type of starter mechanism, type of bagging, controls, and</w:t>
      </w:r>
    </w:p>
    <w:p>
      <w:pPr>
        <w:spacing w:after="0" w:line="7" w:lineRule="exact"/>
        <w:rPr>
          <w:sz w:val="20"/>
          <w:szCs w:val="20"/>
          <w:color w:val="auto"/>
        </w:rPr>
      </w:pPr>
    </w:p>
    <w:p>
      <w:pPr>
        <w:ind w:left="440"/>
        <w:spacing w:after="0"/>
        <w:tabs>
          <w:tab w:leader="none" w:pos="5760" w:val="left"/>
        </w:tabs>
        <w:rPr>
          <w:sz w:val="20"/>
          <w:szCs w:val="20"/>
          <w:color w:val="auto"/>
        </w:rPr>
      </w:pPr>
      <w:r>
        <w:rPr>
          <w:rFonts w:ascii="Courier New" w:cs="Courier New" w:eastAsia="Courier New" w:hAnsi="Courier New"/>
          <w:sz w:val="14"/>
          <w:szCs w:val="14"/>
          <w:color w:val="auto"/>
        </w:rPr>
        <w:t>power sources, and are either self-propelled or push mowers.</w:t>
        <w:tab/>
        <w:t>Certain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lawn mowers are backed by the company's "Guaranteed To Start" program</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some Lawn-Boy-Registered Trademark- models are equipped with a</w:t>
      </w:r>
    </w:p>
    <w:p>
      <w:pPr>
        <w:spacing w:after="0" w:line="7" w:lineRule="exact"/>
        <w:rPr>
          <w:sz w:val="20"/>
          <w:szCs w:val="20"/>
          <w:color w:val="auto"/>
        </w:rPr>
      </w:pPr>
    </w:p>
    <w:p>
      <w:pPr>
        <w:ind w:left="440"/>
        <w:spacing w:after="0"/>
        <w:tabs>
          <w:tab w:leader="none" w:pos="4460" w:val="left"/>
        </w:tabs>
        <w:rPr>
          <w:sz w:val="20"/>
          <w:szCs w:val="20"/>
          <w:color w:val="auto"/>
        </w:rPr>
      </w:pPr>
      <w:r>
        <w:rPr>
          <w:rFonts w:ascii="Courier New" w:cs="Courier New" w:eastAsia="Courier New" w:hAnsi="Courier New"/>
          <w:sz w:val="14"/>
          <w:szCs w:val="14"/>
          <w:color w:val="auto"/>
        </w:rPr>
        <w:t>two-cycle engine manufactured by the company.</w:t>
        <w:tab/>
        <w:t>In fiscal 1998, the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introduced its new two-cycle low-emission Lawn-Boy-Registered Trademark-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DuraForce-TM- walk power mower and a new line of shorter-width European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Toro-Registered Trademark- walk power mowers.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left="440" w:right="3339"/>
        <w:spacing w:after="0" w:line="251"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rear engine rider model with a 25 inch deck, to a 23 horsepower diesel engine garden tractor model with a 60 inch side-discharge deck. The front engine model's are available with a variety of decks and accessories. Recycler-Registered Trademark- technology is available in select models. Some models are equipped with hydrostatic transmissions and/or low-emission engines.</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These products, which include homeowner-installed, plastic and metal, low-voltage and solar lighting, gas and electric flexible line trimmers, and electric blowers, are intended to require little or no after sales service. In fiscal 1998, Toro introduced a more powerful and quieter version of its electric blower, the Toro-Registered Trademark- QuieTech-TM-. Toro also sells do-it-yourself irrigation products under the Toro-Registered Trademark- and Lawn Genie-Registered Trademark- brand names to certain home centers and mass retailers.</w:t>
      </w:r>
    </w:p>
    <w:p>
      <w:pPr>
        <w:spacing w:after="0" w:line="163"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SNOW REMOVAL PRODUCTS. The company manufactures and markets a range of electric and gas single-stage and gas two-stage snowthrower models under the Toro-Registered Trademark- and Lawn-Boy-Registered Trademark- brand names. Single-stage snowthrowers, developed by the company and first introduced in 1965, are walk-behind units with a lightweight gasoline engine or electric motor or some including Power Curve-Registered Trademark- snowthrower technology for general residential use. Two-stage snowthrowers are designed for relatively large areas with engines ranging from five to twelve horsepower. Units with eight horsepower and above can be equipped with the Power Shift-Registered Trademark- snowthrower technology.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Toro markets professional turf products worldwide through a network of distributors and dealers. The products are then sold to the end user professional who maintains golf courses, sports fields, municipality properties, and landscapes.</w:t>
      </w:r>
    </w:p>
    <w:p>
      <w:pPr>
        <w:spacing w:after="0" w:line="162"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COMMERCIAL PRODUCTS.</w:t>
        <w:tab/>
        <w:t>Professional turf maintenance equipment marketed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 the Toro-Registered Trademark- brand name is the company's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oldest product line, which began in 1921 with tractor-pulled reel mowers</w:t>
      </w:r>
    </w:p>
    <w:p>
      <w:pPr>
        <w:spacing w:after="0" w:line="7"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 golf courses.</w:t>
        <w:tab/>
        <w:t>Today, the company's expanded product line includes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products designed for large turf areas of schools, parks, cemeteries,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sports fields, plant sites, apartment buildings, and townhouse complexes,</w:t>
      </w:r>
    </w:p>
    <w:p>
      <w:pPr>
        <w:spacing w:after="0" w:line="7" w:lineRule="exact"/>
        <w:rPr>
          <w:sz w:val="20"/>
          <w:szCs w:val="20"/>
          <w:color w:val="auto"/>
        </w:rPr>
      </w:pPr>
    </w:p>
    <w:p>
      <w:pPr>
        <w:ind w:left="440"/>
        <w:spacing w:after="0"/>
        <w:tabs>
          <w:tab w:leader="none" w:pos="2660" w:val="left"/>
        </w:tabs>
        <w:rPr>
          <w:sz w:val="20"/>
          <w:szCs w:val="20"/>
          <w:color w:val="auto"/>
        </w:rPr>
      </w:pPr>
      <w:r>
        <w:rPr>
          <w:rFonts w:ascii="Courier New" w:cs="Courier New" w:eastAsia="Courier New" w:hAnsi="Courier New"/>
          <w:sz w:val="14"/>
          <w:szCs w:val="14"/>
          <w:color w:val="auto"/>
        </w:rPr>
        <w:t>as well as golf courses.</w:t>
        <w:tab/>
        <w:t>Management believes that golf courses will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continue to be a significant market for turf maintenance equipment as new</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golf course construction continues throughout the world, with the exception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Asia which is experiencing an economic recession, and existing courses</w:t>
      </w:r>
    </w:p>
    <w:p>
      <w:pPr>
        <w:spacing w:after="0" w:line="7" w:lineRule="exact"/>
        <w:rPr>
          <w:sz w:val="20"/>
          <w:szCs w:val="20"/>
          <w:color w:val="auto"/>
        </w:rPr>
      </w:pPr>
    </w:p>
    <w:p>
      <w:pPr>
        <w:ind w:left="440"/>
        <w:spacing w:after="0"/>
        <w:tabs>
          <w:tab w:leader="none" w:pos="5580" w:val="left"/>
        </w:tabs>
        <w:rPr>
          <w:sz w:val="20"/>
          <w:szCs w:val="20"/>
          <w:color w:val="auto"/>
        </w:rPr>
      </w:pPr>
      <w:r>
        <w:rPr>
          <w:rFonts w:ascii="Courier New" w:cs="Courier New" w:eastAsia="Courier New" w:hAnsi="Courier New"/>
          <w:sz w:val="14"/>
          <w:szCs w:val="14"/>
          <w:color w:val="auto"/>
        </w:rPr>
        <w:t>continue to provide the greatest market for Toro products.</w:t>
        <w:tab/>
        <w:t>Increasing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emphasis is being placed on the golf and landscape contractor markets.</w:t>
      </w:r>
    </w:p>
    <w:p>
      <w:pPr>
        <w:spacing w:after="0" w:line="173"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Products for the golf course include turf sprayer equipment, utility vehicles, riding and walk power reel mowers for the putting green, and riding and pull-behind large reel and rotary products for the fairway, rough and trim cutting, turf aeration, and sandtrap/bunker maintenance.</w:t>
      </w:r>
    </w:p>
    <w:p>
      <w:pPr>
        <w:spacing w:after="0" w:line="162"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Products for the landscape contractor market include mid-size walk power mowers, zero-turning radius riding mowers, handheld trimmers, and compact utility vehicles. The company markets products for landscape contractors under both the Toro-Registered Trademark- and Exmark-Registered Trademark-brands. See "Recent Developments - Acquisitions, Divestitures, and Strategic Alliances" below for information on the company's recent acquisition of Exmark products.</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company acquired the manufacturing, sales, and distribution rights to Dingo-Registered Trademark- Digging Systems (Dingo) in fiscal 1997. The Dingo-Registered Trademark- utility vehicle is a cornerstone product for the newly established Toro-Registered Trademark- Sitework-TM- Systems product line, which improves efficiency in the construction and creation of landscapes. The company began manufacturing and selling the Toro-Registered Trademark- Sitework-TM- Systems in fiscal 1998 for the U.S. market.</w:t>
      </w:r>
    </w:p>
    <w:p>
      <w:pPr>
        <w:spacing w:after="0" w:line="164"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Other products for all commercial markets include riding rotary units with out-front cutting decks ranging from 52 inches to 16 feet, turf sweepers, and multipurpose vehicles and attachments designed for flexibility of use.</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left="440" w:right="3339"/>
        <w:spacing w:after="0" w:line="251"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and Irritrol-Registered Trademark- Systems brand names include sprinkler heads and electric and hydraulic control devices designed to be used in turf irrigation systems for residential, commercial, golf course, and agricultural use. These products are installed in new systems and can also be used to replace or retrofit existing systems. Most of the product line is designed for underground irrigation systems. Control valves activate the sprinkler heads and controllers typically activate electric or hydraulic lines to control the valves and sprinkler heads. The acquisition of Drip In in fiscal 1998 enhanced Toro's product line for the agricultural micro-irrigation market, including drip tape, hose, emitters, and other micro-irrigation products. The company's irrigation products are used in 74 of the golf courses rated among the top 100 courses in the United States by GOLF DIGEST, dated May 1997.</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See the table entitled "Net Sales By Product Line" under the caption "Results of Operations" in the section entitled "Management's Discussion and Analysis of Financial Condition and Results of Operations" on page 12 of the company's Annual Report to Stockholders for the fiscal year ended October 31, 1998 for information regarding revenues in the consumer, commercial, and irrigation product lines, which information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the United States, Canada, Belgium, the United Kingdom, Australia, Singapore, Japan, and Italy. New product development is pursued primarily in the United States.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Products marketed outside of North America are sold in compliance with local safety standards. All products shipped to Europe are designed to conform to European Community Certification standards. In addition to developing new market-specific products, the International business is adding customers in new regions. Emerging markets in Argentina, Russia, and the Czech Republic have recently been added to the distribution base.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PROFIT IMPROVEMENT PLAN</w:t>
      </w:r>
    </w:p>
    <w:p>
      <w:pPr>
        <w:spacing w:after="0" w:line="7"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In fiscal 1998, Toro implemented a profit improvement plan to reposition the consumer business and improve overall company profitability and competitiveness. This strategy included organizational changes in the consumer division, decentralizing manufacturing and inventory management, initiating a multi-year strategy for warehousing and transportation services with third party vendors, sale of the recycling equipment business, the restructuring of the professional fertilizer business, and plant closings.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ACQUISITIONS, DIVESTITURES, AND STRATEGIC ALLIANCES</w:t>
      </w:r>
    </w:p>
    <w:p>
      <w:pPr>
        <w:spacing w:after="0" w:line="7" w:lineRule="exact"/>
        <w:rPr>
          <w:sz w:val="20"/>
          <w:szCs w:val="20"/>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In fiscal 1998, Toro announced the establishment of Logistics 2000, a multi-year supply chain management program to streamline the supply chain and provide greater inventory control and management. Toro entered into a contract with GATX Logistics, Inc. for logistics management and systems integration services. These services include transportation, storage, and distribution of selected Toro products. The first phase of the plan includes closing leased warehouses in Riverside and Laguna Niguel, California, and transferring their irrigation inventories to GATX's facility in Mira Loma, California. Also, GATX will assume management and warehousing responsibilities of the recently closed Sardis, Mississippi manufacturing facility. The company is currently evaluating expansion of Logistics 2000. Phase two of the program could include additional GATX-managed regional distribution centers for all Toro goods. The expected benefits after Logistics 2000 is fully implemented are greater efficiency along with better fill rates, improved time of delivery, and reduced overall system inventories.</w:t>
      </w:r>
    </w:p>
    <w:p>
      <w:pPr>
        <w:spacing w:after="0" w:line="17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In February 1998, the company acquired GR Driplines, Incorporated (Drip In), a manufacturer of agricultural micro-irrigation products with a reputation for quality and innovation. Drip In is headquartered in Madera, California and employs approximately 60 people in a 58,000 square foot facility.</w:t>
      </w: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left="440" w:right="3679"/>
        <w:spacing w:after="0" w:line="251" w:lineRule="auto"/>
        <w:rPr>
          <w:sz w:val="20"/>
          <w:szCs w:val="20"/>
          <w:color w:val="auto"/>
        </w:rPr>
      </w:pPr>
      <w:r>
        <w:rPr>
          <w:rFonts w:ascii="Courier New" w:cs="Courier New" w:eastAsia="Courier New" w:hAnsi="Courier New"/>
          <w:sz w:val="14"/>
          <w:szCs w:val="14"/>
          <w:color w:val="auto"/>
        </w:rPr>
        <w:t>In November 1997, the company acquired Exmark Manufacturing Company Incorporated (Exmark), a leading manufacturer of equipment for the professional landscape contractor industry. Exmark is headquartered in Beatrice, Nebraska and produces mid-sized walk-behind power mowers and zero-turning radius riding mowers for professional contractors. Exmark employs approximately 280 people in a 164,000 square foot facility.</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 September 1997, the company acquired the manufacturing, sales, and distribution rights to Dingo-Registered Trademark- Digging Systems (Dingo). The Dingo-Registered Trademark- utility vehicle is the cornerstone product for the newly established Toro-Registered Trademark- Sitework-TM- Systems product line. The Dingo-Registered Trademark- is a rugged, compact, and powerful piece of equipment with more than 35 attachments that can dramatically increase landscape contractors' productivity. The company manufactures and sells Dingo-Registered Trademark- landscape products under the Toro-Registered Trademark- Sitework-TM- brand name for U.S markets.</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 December 1996, the company acquired James Hardie Irrigation Group (Hardie) from James Hardie Industries Limited of Australia (JHI Limited). Hardie was a worldwide leader in the production of irrigation systems to the residential/commercial landscape market. Hardie manufactured products for all major segments of the irrigation market, except for the golf market, and sold to distributors and retailers worldwide. Hardie offered a broad range of irrigation products and had leading positions in valves and controllers worldwide. Hardie products are now marketed under the Irritrol-Registered Trademark- Systems brand through its existing global distribution network. The Lawn Genie-Registered Trademark- brand for the mass retailer market is expected to become a leading presence in do-it-yourself home irrigation.</w:t>
      </w:r>
    </w:p>
    <w:p>
      <w:pPr>
        <w:spacing w:after="0" w:line="329"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In the fourth quarter of fiscal 1998, Toro completed the sale of its non-core recycling equipment business. The company also announced that it is restructuring its non-core professional fertilizer business, including the possibility of selling portions of the business.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SOFTWARE AND ISO 9000</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In 1998, the company continued integrating its operations to an enterprise-wide software system, which is expected to be completed in fiscal 1999 with the exception of two domestic subsidiaries and the company's European subsidiaries. ISO 9000 continues to be a priority for the company's manufacturing facilities. The manufacturing facilities at Tomah, Wisconsin, Shakopee, Minnesota, Riverside, California, and the commercial business unit at Bloomington, Minnesota maintained their certification in fiscal 1998 and Windom, Minnesota and Oxford, Mississippi are working towards ISO 9000 certification in fiscal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PRODUCTION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 A majority of the company's manufacturing facilities are located in the United States, with the exception of some irrigation production facilities that are located in Australia and Italy.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Sales to independent distributors and dealers closely correspond with Toro's production levels, which are based on its estimates of the demand for its products, taking into account the timing of shipments, distributor and dealer inventory levels, the need to shut down production to enable manufacturing facilities to be prepared for the manufacture of new or different models, the efficient use of manpower and facilities, labor disruptions, and other matters not within Toro's control.</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on improving product quality, customer response time, and reducing overall product cost.</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SOURCES AND AVAILABILITY OF RAW MATERIALS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Most of the components for the company's products are commercially available from a number of sources and the company is generally not dependent on any one supplier. In fiscal 1998, Toro experienced no significant or unusual problems in the purchase of raw materials or commodities. The largest component costs are generally engines, transmissions, and electric motors. The company purchases most of its engines and motors for consumer and commercial products from several suppliers from around the world. In addition, the company manufactures two-cycle engines for some of its consumer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AND WARRANTY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Toro products are warranted to the end-user to ensure end-user confidence in design, workmanship, and material quality. Warranty lengths vary depending on whether use is "residential" or "commercial" within individual product lines. Some products have an over-the-counter exchange option and some have a 30-day satisfaction guarantee. In general, warranties tend to be for six months to five years, and cover all parts and labor for non-maintenance repairs and wear items, provided the repair was not necessitated by operator abuse, improper use, or negligence. An authorized independent Toro distributor or dealer must perform warranty work. Distributors and dealers submit claims for warranty reimbursement to Toro and are credited for the cost of repairs and labor as long as the repairs meet Toro's prescribed standards. Warranty expense is accrued at the time of sale based upon historical claims by individual products. Special warranty reserves are also accrued for specific known product modifications. Service support outside of the warranty period is provided by independent Toro distributors and dealers at the customer's expense.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Lawn-Boy-Registered Trademark-, Irritrol-Registered Trademark- Systems, and Lawn Genie-Registered Trademark-, all of which are registered in the United States and in the principal foreign countries in which the company markets its products. With the recent acquisitions of Exmark and Drip In, the company acquired the Exmark-Registered Trademark- and Drip In-Registered Trademark- brand names. The company also manufactures and sells Dingo-Registered Trademark- landscape products under the Toro-Registered Trademark- Sitework-TM- Systems brand name for U.S. markets.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materially dependent on any one or more of its patents.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the company's consumer products, which accounted for approximately 34 percent of total sales in fiscal 1998, are seasonal with greater sales of lawn and garden products occurring between February and July, and of snow removal equipment occurring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April as a result of extended payment terms made available to the company's customers. Accounts receivable balances decrease between May and August when payments are made. The seasonal requirements of the business are financed from operations and with short-term bank lines of credit, where the peak borrowing usually occurs between February and May.</w:t>
      </w: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markets the majority of its Toro branded products principally through 39 domestic and 107 foreign distributors, and a number of home centers and mass retailers in more than 70 countries worldwide. Toro-Registered Trademark- and certain Lawn-Boy-Registered Trademark- consumer products such as walk power mowers, riding mowers, and snowthrowers are sold to distributors for resale to retail dealers throughout the United States. Home solutions products and most Lawn-Boy-Registered Trademark- products are also sold directly to home centers and mass retailers. Beginning in the spring of fiscal 1999, the Toro-Registered Trademark- Recycler-Registered Trademark- walk power mower will be sold in certain home centers. Commercial and irrigation products are sold to distributors for resale to irrigation contractors, municipalities, and golf courses. Irrigation products are also sold through distributors to irrigation dealers and direct to irrigation dealers, mass retailers, and home centers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 Wheel Horse-Registered Trademark-, Lawn-Boy-Registered Trademark-, and Irritrol-Registered Trademark- products, as well as the recently acquired Exmark-Registered Trademark- and Drip In-Registered Trademark- products. The Exmark-Registered Trademark- brand is distributed through approximately 25 distributors for resale to retail dealers throughout North America.</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competitive asset in marketing Toro-Registered Trademark-, Toro-Registered Trademark- Wheel Horse-Registered Trademark-, Lawn-Boy-Registered Trademark-, Irritrol-Registered Trademark-, and Exmark-Registered Trademark- products.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paid by the company as well as through cooperative programs with distributors, dealers, home centers, and mass retailers.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 material part of the company's business is dependent upon a single customer. While the loss of any substantial customer could have a material short-term impact on the company's business, Toro believes that its diverse distribution channels should minimize the long-term impact on any such loss.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approximate backlog of orders believed to be firm at October 31, 1998 was $27,693,000.</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Due to the company's implementation of its enterprise-wide software system that was in progress at the time, it was necessary to estimate the backlog of orders at October 31, 1997. That estimate at October 31, 1997 was $68,525,000, which was an estimate based on sales for the first quarter of fiscal 1998. The backlog of orders for October 31, 1998 was based on an actual run from the company's now-installed operating system at October 31, 1998 and should not be compared to the October 31, 1997 number.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that all existing backlog can be filled in 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products are sold in highly competitive markets throughout the world. The principal competitive factors in the company's markets are pricing, product innovation, quality, and service. Pricing has become more of a factor, especially for the consumer and commercial products. Management believes the company offers total solution, full service packages with high quality products that have the latest technology and design innovations. Also, by selling Toro-Registered Trademark-, Toro-Registered Trademark-Wheel Horse-Registered Trademark-, Lawn-Boy-Registered Trademark-, Exmark-Registered Trademark-, and Irritrol-Registered Trademark- Systems branded products through a network of distributors, dealers, hardware, home center, and mass retailers, the company offers comprehensive service support during and after the relevant warranty period. 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company's principal competitors for mowing and snow equipment are Frigidaire Home Products, Inc. (a subsidiary of Electrolux AB), Deere &amp; Company, Honda Motor Co., Ltd., MTD Products, Inc., Murray Ohio Manufacturing Co., Inc. (a subsidiary of Tompkins Corp.), Sears, Roebuck and Co., Snapper Power Equipment (a division of Metro Media), Ariens Company, Cub Cadet Power Equipment, Garden Way, Incorporated, and Simplicity Manufacturing Company. The principal competitors in home solutions products are The Black and Decker Corporation, Malibu Lighting (a registered trademark of Intermatic, Inc.), Poulan/Weed Eater, and Homelite (a division of Deere &amp; Company).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w:t>
      </w:r>
    </w:p>
    <w:p>
      <w:pPr>
        <w:spacing w:after="0" w:line="7"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Lesco Inc., National Mower, Jacobsen/Textron, and Ransomes Sims &amp; Jefferies PLC (recently acquired by Textron, Inc.)</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IRRIGATION</w:t>
      </w:r>
    </w:p>
    <w:p>
      <w:pPr>
        <w:spacing w:after="0" w:line="7"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The company's principal competitors in irrigation products are Hunter Industries, Rain Bird Sprinkler Manufacturing Corporation, Netafim, and T-Systems International.</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REGULATION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consumer products are subject to various federal statutes designed to protect consumers and are subject to the administrative jurisdiction of the Consumer Product Safety Commission. The company is also subject to certain federal and state environmental, occupational safety, transportation, and other regulations, none of which has had a material adverse effect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currently in compliance with these regulations. The company received certification in January 1998 on its own two-cycle walk power mower engines and earlier on the two-cycle snowthrower engines. Both now comply with Phase I regulations. This will allow the company to continue producing its two-cycle engines at its Oxford, Mississippi plant through the calendar year 2002.</w:t>
      </w: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the exception of irrigation production facilities in Australia and Italy, all of the company's production facilities are located in the United States. Substantially all financial transactions are in U.S. dollars, although sales of the company's foreign subsidiaries, which are insignificant when compared to total company sales, may be conducted in local currencies.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foreign currency exchange contracts. These contracts are designed to hedge firm and anticipated foreign currency transactions.</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Export sales were $153,500,000 for the year ended October 31, 1998, $161,836,000 for the year ended October 31, 1997, and $140,919,000 for the year ended October 31, 1996. The identifiable assets attributable to foreign operations were not significant as of October 31, 1998.</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See Notes to the Consolidated Financial Statements of the company contained in the company's Annual Report to Stockholders for the fiscal year ended October 31, 1998 for additional information relating to currency risk management on page 18 and for information on international and export sales by geographic area on page 32, which information is incorporated herein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 FINANCING</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Toro Credit Company, a wholly owned finance subsidiary of the company, provides financing of products manufactured by Toro for North American distributors and approximately 250 domestic dealers. Toro Credit Company purchases selected receivables from Toro and its independent consumer product distributors for extended periods, which enables the independent distributors and dealers to carry representative inventories of equipment. Down payments are not required, and for each product line, finance charges during the pre-season period are incurred primarily by Toro. During the in-season period, finance charges are accrued to the accounts of the distributor or dealers, and during the carry-over period, finance charges may be shared. A security interest is retained in the distributors' and dealers' inventories, and periodic physical checks are made of those inventories. Generally, terms to the distributors and dealers require payments as the equipment which secures the indebtedness is sold to customers. Rates are generally based on prime rate plus a fixed percentage that differs based on whether the financing is for a distributor or dealer. Rates may also vary based upon the product that is financed.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Independent Toro dealers that do not finance through the Toro Credit Company finance their inventories with a third party financing source. The finance charges represent interest for a pre-established length of time at a predefined rate from a contract with this third party financing source.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 and distributor defaults in recent years have not been significant.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discussion of year 2000 issues in the Management Discussion and Analysis section in the Annual Report, on page 17, is incorporated herein by reference.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fiscal 1998, the company employed an average of 4,695 employees. The total number of employees at October 31, 1998 was 4,381. Four collective bargaining agreements, one expiring in October 1999, one expiring in May 2000, one expiring in August 2000, and one expiring in September 2001 cover approximately 22 percent of these employees.</w:t>
      </w:r>
    </w:p>
    <w:p>
      <w:pPr>
        <w:spacing w:after="0" w:line="165"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As a result of the acquisitions of Exmark and Drip In, the company added approximately 320 non-union employees.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left="2940"/>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3,751,000 square feet of space. Toro also utilizes 20.34 acres as a testing facility. Plant utilization varies during the year depending upon the production cycle. In fiscal 1998, the company announced the closing of its production facilities at Sardis, Mississippi and Olathe, Kansas. The company considers each of its current facilities in use to be in good operating condition and adequate for its present use. Management believes that it has sufficient capacity to meet its current production needs. The following schedule outlines the company's significant facilities by location, ownership and function: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3260" w:val="left"/>
          <w:tab w:leader="none" w:pos="602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Consumer components and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Corporate headquarters and test facility</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Consumer and Commercial</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Irrigation and Consumer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 and warehouse,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Consumer and Commercial</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Beatrice, NE</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Commercial products,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Components for consumer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and commercial products</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Irrigation and Consumer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Office and distribution</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Irrigation products and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El Cajon, California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Irrigation products and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Components for consumer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Madera, CA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Owned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Agricultural irrigation</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products and warehouse, office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Laguna, CA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Irrigation products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Braeside, Australia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Irrigation products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Lincoln, NE</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Commercial products warehouse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DFW Airport, TX</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2400" w:type="dxa"/>
            <w:vAlign w:val="bottom"/>
          </w:tcPr>
          <w:p>
            <w:pPr>
              <w:ind w:left="380"/>
              <w:spacing w:after="0"/>
              <w:rPr>
                <w:sz w:val="20"/>
                <w:szCs w:val="20"/>
                <w:color w:val="auto"/>
              </w:rPr>
            </w:pPr>
            <w:r>
              <w:rPr>
                <w:rFonts w:ascii="Courier New" w:cs="Courier New" w:eastAsia="Courier New" w:hAnsi="Courier New"/>
                <w:sz w:val="14"/>
                <w:szCs w:val="14"/>
                <w:color w:val="auto"/>
              </w:rPr>
              <w:t>Distribution facility</w:t>
            </w:r>
          </w:p>
        </w:tc>
        <w:tc>
          <w:tcPr>
            <w:tcW w:w="262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Mountaintop, PA</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Leased</w:t>
            </w:r>
          </w:p>
        </w:tc>
        <w:tc>
          <w:tcPr>
            <w:tcW w:w="5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Parts distribution center</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Toro also owns and leases other facilities that are currently idle and available for sale or subleasing.</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ind w:left="2600"/>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 party to litigation in the ordinary course of its business. Ongoing litigation primarily involves claims for damages arising out of the use of the company's products, some of which include claims for punitive as well as compensatory damages. The company is also subject to administrative proceedings in respect to certain claims involving the discharge of hazardous substances into the environment. Certain of these claims assert damages and liability for remedial investigations and clean up costs. Management is of the opinion that amounts which may be awarded or assessed in connection with these matters will not have a material effect on the company's financial position. Further, the company maintains insurance against product liability losses.</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7, 1999 and positions held by them during the last five years. Officers are elected or appointed annually. A complete list of all officers of the company is found on page 36 of the company's Annual Report to Stockholders for the year ended October 31, 1998.</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620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4"/>
          <w:szCs w:val="14"/>
          <w:color w:val="auto"/>
        </w:rPr>
        <w:t>Business Experience During the Last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right="240"/>
        <w:spacing w:after="0" w:line="250" w:lineRule="auto"/>
        <w:rPr>
          <w:sz w:val="20"/>
          <w:szCs w:val="20"/>
          <w:color w:val="auto"/>
        </w:rPr>
      </w:pPr>
      <w:r>
        <w:rPr>
          <w:rFonts w:ascii="Courier New" w:cs="Courier New" w:eastAsia="Courier New" w:hAnsi="Courier New"/>
          <w:sz w:val="14"/>
          <w:szCs w:val="14"/>
          <w:color w:val="auto"/>
        </w:rPr>
        <w:t>Kendrick B. Melrose Elected Chairman of the Board in December 1987 and Chief Executive Officer in 58, Chairman and Chief Executive Officer December 1983.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33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Elected Executive Vice President,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Professional Businesses and International</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55, Executive Vice President, Professional</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August 1998.</w:t>
            </w:r>
          </w:p>
        </w:tc>
        <w:tc>
          <w:tcPr>
            <w:tcW w:w="1840" w:type="dxa"/>
            <w:vAlign w:val="bottom"/>
          </w:tcPr>
          <w:p>
            <w:pPr>
              <w:ind w:left="160"/>
              <w:spacing w:after="0"/>
              <w:rPr>
                <w:sz w:val="20"/>
                <w:szCs w:val="20"/>
                <w:color w:val="auto"/>
              </w:rPr>
            </w:pPr>
            <w:r>
              <w:rPr>
                <w:rFonts w:ascii="Courier New" w:cs="Courier New" w:eastAsia="Courier New" w:hAnsi="Courier New"/>
                <w:sz w:val="14"/>
                <w:szCs w:val="14"/>
                <w:color w:val="auto"/>
              </w:rPr>
              <w:t>From September 1996</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to August 1998, he served as Group Vice</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Businesses and International</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5420" w:type="dxa"/>
            <w:vAlign w:val="bottom"/>
            <w:gridSpan w:val="2"/>
          </w:tcPr>
          <w:p>
            <w:pPr>
              <w:spacing w:after="0"/>
              <w:rPr>
                <w:sz w:val="20"/>
                <w:szCs w:val="20"/>
                <w:color w:val="auto"/>
              </w:rPr>
            </w:pPr>
            <w:r>
              <w:rPr>
                <w:rFonts w:ascii="Courier New" w:cs="Courier New" w:eastAsia="Courier New" w:hAnsi="Courier New"/>
                <w:sz w:val="14"/>
                <w:szCs w:val="14"/>
                <w:color w:val="auto"/>
              </w:rPr>
              <w:t>From January 1992 to September 1996, he was appointed Vice</w:t>
            </w:r>
          </w:p>
        </w:tc>
      </w:tr>
      <w:tr>
        <w:trPr>
          <w:trHeight w:val="166"/>
        </w:trPr>
        <w:tc>
          <w:tcPr>
            <w:tcW w:w="4080" w:type="dxa"/>
            <w:vAlign w:val="bottom"/>
          </w:tcPr>
          <w:p>
            <w:pPr>
              <w:spacing w:after="0"/>
              <w:rPr>
                <w:sz w:val="14"/>
                <w:szCs w:val="14"/>
                <w:color w:val="auto"/>
              </w:rPr>
            </w:pPr>
          </w:p>
        </w:tc>
        <w:tc>
          <w:tcPr>
            <w:tcW w:w="69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President and General Manager, Consumer Division.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Stephen P. Wolfe</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Elected</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Vice President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Finance,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Treasurer in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1997 and Chief Financial</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50, Vice President Finance, Treasurer and</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Officer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May 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Appointed</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Vice President in</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August 1994.  Elected</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14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President,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Toro Credit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 in July 1990.</w:t>
            </w: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160"/>
        <w:spacing w:after="0" w:line="257"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in 56, Vice President, Secretary and General Counsel August 1993. Prior to July 1993, he was a shareholder with Doherty, Rumble &amp; Butler Professional Association.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500"/>
        <w:spacing w:after="0" w:line="257" w:lineRule="auto"/>
        <w:rPr>
          <w:sz w:val="20"/>
          <w:szCs w:val="20"/>
          <w:color w:val="auto"/>
        </w:rPr>
      </w:pPr>
      <w:r>
        <w:rPr>
          <w:rFonts w:ascii="Courier New" w:cs="Courier New" w:eastAsia="Courier New" w:hAnsi="Courier New"/>
          <w:sz w:val="14"/>
          <w:szCs w:val="14"/>
          <w:color w:val="auto"/>
        </w:rPr>
        <w:t>Karen M. Meyer Elected Vice President, Administration August 1998. From December 1991 to 49, Vice President, Administration August 1998, she served as Vice President, Human Resources/Administrative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Dennis P. Himan</w:t>
            </w:r>
          </w:p>
        </w:tc>
        <w:tc>
          <w:tcPr>
            <w:tcW w:w="50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Appointed Vice President and General Manager, Landscape</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Contractor Businesses</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54, Vice President and General Manager Landscape</w:t>
            </w:r>
          </w:p>
        </w:tc>
        <w:tc>
          <w:tcPr>
            <w:tcW w:w="3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August 1998. From June 1997 to August</w:t>
            </w:r>
          </w:p>
        </w:tc>
        <w:tc>
          <w:tcPr>
            <w:tcW w:w="2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1998, he served as Vice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Contractor Businesses</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Distributor Development</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Mergers/Acquisitions.  From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March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1996 to June</w:t>
            </w:r>
          </w:p>
        </w:tc>
      </w:tr>
      <w:tr>
        <w:trPr>
          <w:trHeight w:val="166"/>
        </w:trPr>
        <w:tc>
          <w:tcPr>
            <w:tcW w:w="434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1997, he served as Vice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President and</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Treasurer.</w:t>
            </w: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2340" w:type="dxa"/>
            <w:vAlign w:val="bottom"/>
          </w:tcPr>
          <w:p>
            <w:pPr>
              <w:spacing w:after="0"/>
              <w:rPr>
                <w:sz w:val="14"/>
                <w:szCs w:val="14"/>
                <w:color w:val="auto"/>
              </w:rPr>
            </w:pPr>
          </w:p>
        </w:tc>
        <w:tc>
          <w:tcPr>
            <w:tcW w:w="1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Appointed Vice</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President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and</w:t>
            </w:r>
          </w:p>
        </w:tc>
        <w:tc>
          <w:tcPr>
            <w:tcW w:w="2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General Manager, Commercial</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Business November</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43, Vice President</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and General Manager</w:t>
            </w:r>
          </w:p>
        </w:tc>
        <w:tc>
          <w:tcPr>
            <w:tcW w:w="28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1997.  From November 1996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2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November 1997, he served as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Manager of</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Commercial Business</w:t>
            </w:r>
          </w:p>
        </w:tc>
        <w:tc>
          <w:tcPr>
            <w:tcW w:w="1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the Commercial</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Division.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He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served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Managing</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Director, Recycling Division</w:t>
            </w:r>
          </w:p>
        </w:tc>
      </w:tr>
      <w:tr>
        <w:trPr>
          <w:trHeight w:val="166"/>
        </w:trPr>
        <w:tc>
          <w:tcPr>
            <w:tcW w:w="1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from March</w:t>
            </w:r>
          </w:p>
        </w:tc>
        <w:tc>
          <w:tcPr>
            <w:tcW w:w="21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1994 to October 1996 and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Marketing and</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r>
      <w:tr>
        <w:trPr>
          <w:trHeight w:val="166"/>
        </w:trPr>
        <w:tc>
          <w:tcPr>
            <w:tcW w:w="1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Commercial</w:t>
            </w:r>
          </w:p>
        </w:tc>
        <w:tc>
          <w:tcPr>
            <w:tcW w:w="396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Division from September 1989 to March 1994.</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William D. Hughes</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Appointed Vice</w:t>
            </w:r>
          </w:p>
        </w:tc>
        <w:tc>
          <w:tcPr>
            <w:tcW w:w="5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President and General Manager, Consumer Business August 1998.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48, Vice President and General Manager</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From September</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1983 to August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1998, he was Chairman and Chief Operating</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Consumer Business</w:t>
            </w:r>
          </w:p>
        </w:tc>
        <w:tc>
          <w:tcPr>
            <w:tcW w:w="3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Officer of Turf Equipment and</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Supply Company, Inc.</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1980"/>
        <w:spacing w:after="0" w:line="247" w:lineRule="auto"/>
        <w:rPr>
          <w:sz w:val="20"/>
          <w:szCs w:val="20"/>
          <w:color w:val="auto"/>
        </w:rPr>
      </w:pPr>
      <w:r>
        <w:rPr>
          <w:rFonts w:ascii="Courier New" w:cs="Courier New" w:eastAsia="Courier New" w:hAnsi="Courier New"/>
          <w:sz w:val="14"/>
          <w:szCs w:val="14"/>
          <w:color w:val="auto"/>
        </w:rPr>
        <w:t>Randy B. James Appointed Vice President and Controller in December 1988. 55, Vice President and Controller</w:t>
      </w:r>
    </w:p>
    <w:p>
      <w:pPr>
        <w:spacing w:after="0" w:line="16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w:t>
      </w:r>
    </w:p>
    <w:p>
      <w:pPr>
        <w:sectPr>
          <w:pgSz w:w="11900" w:h="16838" w:orient="portrait"/>
          <w:cols w:equalWidth="0" w:num="1">
            <w:col w:w="11540"/>
          </w:cols>
          <w:pgMar w:left="220" w:top="616" w:right="1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55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Appointed Vice President and General Manager, Irrigation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Business</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March 1997.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45, Vice President and General Manager</w:t>
            </w:r>
          </w:p>
        </w:tc>
        <w:tc>
          <w:tcPr>
            <w:tcW w:w="55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From December 1993 to March 1997, he served as President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of James</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Hardie</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Irrigation Business</w:t>
            </w:r>
          </w:p>
        </w:tc>
        <w:tc>
          <w:tcPr>
            <w:tcW w:w="2140" w:type="dxa"/>
            <w:vAlign w:val="bottom"/>
          </w:tcPr>
          <w:p>
            <w:pPr>
              <w:ind w:left="640"/>
              <w:spacing w:after="0"/>
              <w:rPr>
                <w:sz w:val="20"/>
                <w:szCs w:val="20"/>
                <w:color w:val="auto"/>
              </w:rPr>
            </w:pPr>
            <w:r>
              <w:rPr>
                <w:rFonts w:ascii="Courier New" w:cs="Courier New" w:eastAsia="Courier New" w:hAnsi="Courier New"/>
                <w:sz w:val="14"/>
                <w:szCs w:val="14"/>
                <w:color w:val="auto"/>
              </w:rPr>
              <w:t>Irrigation, Inc.</w:t>
            </w:r>
          </w:p>
        </w:tc>
        <w:tc>
          <w:tcPr>
            <w:tcW w:w="4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From September 1993 to December 1993, he served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as Chief</w:t>
            </w:r>
          </w:p>
        </w:tc>
      </w:tr>
      <w:tr>
        <w:trPr>
          <w:trHeight w:val="166"/>
        </w:trPr>
        <w:tc>
          <w:tcPr>
            <w:tcW w:w="3920" w:type="dxa"/>
            <w:vAlign w:val="bottom"/>
          </w:tcPr>
          <w:p>
            <w:pPr>
              <w:spacing w:after="0"/>
              <w:rPr>
                <w:sz w:val="14"/>
                <w:szCs w:val="14"/>
                <w:color w:val="auto"/>
              </w:rPr>
            </w:pPr>
          </w:p>
        </w:tc>
        <w:tc>
          <w:tcPr>
            <w:tcW w:w="2140" w:type="dxa"/>
            <w:vAlign w:val="bottom"/>
          </w:tcPr>
          <w:p>
            <w:pPr>
              <w:ind w:left="640"/>
              <w:spacing w:after="0"/>
              <w:rPr>
                <w:sz w:val="20"/>
                <w:szCs w:val="20"/>
                <w:color w:val="auto"/>
              </w:rPr>
            </w:pPr>
            <w:r>
              <w:rPr>
                <w:rFonts w:ascii="Courier New" w:cs="Courier New" w:eastAsia="Courier New" w:hAnsi="Courier New"/>
                <w:sz w:val="14"/>
                <w:szCs w:val="14"/>
                <w:color w:val="auto"/>
              </w:rPr>
              <w:t>Financial Officer</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of James Hardie Irrigation, Inc.</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Richard R. Pollick</w:t>
      </w:r>
      <w:r>
        <w:rPr>
          <w:sz w:val="20"/>
          <w:szCs w:val="20"/>
          <w:color w:val="auto"/>
        </w:rPr>
        <w:tab/>
      </w:r>
      <w:r>
        <w:rPr>
          <w:rFonts w:ascii="Courier New" w:cs="Courier New" w:eastAsia="Courier New" w:hAnsi="Courier New"/>
          <w:sz w:val="14"/>
          <w:szCs w:val="14"/>
          <w:color w:val="auto"/>
        </w:rPr>
        <w:t>Appointed Vice President and General Manager, International Business in March</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59, Vice President and General Manager</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International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4980"/>
        <w:spacing w:after="0" w:line="25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540"/>
          </w:cols>
          <w:pgMar w:left="220" w:top="616" w:right="139" w:bottom="1440" w:gutter="0" w:footer="0" w:header="0"/>
        </w:sectPr>
      </w:pPr>
    </w:p>
    <w:bookmarkStart w:id="14" w:name="page15"/>
    <w:bookmarkEnd w:id="14"/>
    <w:p>
      <w:pPr>
        <w:jc w:val="center"/>
        <w:ind w:right="2899"/>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1998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January 7, 1999 there were 6,393 holders of record of the company's common stock.</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"Quarterly Financial Data" on page 33 of the Annual Report for dividends paid and range of high and low sales prices for the company's common stock on the New York Stock Exchange on a quarterly basis for the period from November 1, 1996 to October 31, 1998, which information is incorporated herein by reference.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Although the company intends to declare cash dividends on a quarterly basis in the future, the determination as to the payment and the amount of any cash dividend will depend upon the company's then current financial condition, capital requirements, results of operations, and other factors deemed relevant by the company's board of directors.</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"Selected Financial Data" on page 20 of the Annual Report for financial data for the years ended October 31, 1998, 1997, 1996, the 3 month period ended October 31, 1995, and the years ended July 31, 1995 and 1994, which information for these periods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jc w:val="center"/>
        <w:ind w:right="2899"/>
        <w:spacing w:after="0"/>
        <w:rPr>
          <w:sz w:val="20"/>
          <w:szCs w:val="20"/>
          <w:color w:val="auto"/>
        </w:rPr>
      </w:pPr>
      <w:r>
        <w:rPr>
          <w:rFonts w:ascii="Courier New" w:cs="Courier New" w:eastAsia="Courier New" w:hAnsi="Courier New"/>
          <w:sz w:val="14"/>
          <w:szCs w:val="14"/>
          <w:color w:val="auto"/>
        </w:rPr>
        <w:t>ITEM 7. MANAGEMENT'S DISCUSSION AND ANALYSIS OF FINANCIAL</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See the section entitled "Management's Discussion and Analysis of Financial Condition and Results of Operations" of the Annual Report to Stockholders on pages 12 through 19, which section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Part I of this Annual Report on Form 10-K and the "Management's Discussion and Analysis of Financial Condition and Results of Operations" in the company's Annual Report to Stockholders for fiscal 1998 referred to above contain forward-looking statements within the meaning of Section 27A of the Securities Act of 1933 and Section 21E of the Securities Exchange Act of 1934. In addition, forward-looking statements may be made orally or in press releases, conferences, reports or otherwise, in the future by or on behalf of the company.</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"estimate", "believe", "intend" and similar expressions generally identify forward-looking statements.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political and economic uncertainty throughout the world; whether the announced profit improvement plan can be successfully implemented; increased competition in the company's businesses from competitors that have greater financial resources; the cost of closing certain plants and selling certain business units; the success of new marketing programs; continued deterioration in the company's markets in Asia and softening in other international markets; the strong dollar which increases the cost of the company's products in foreign markets resulting in cancellation of planned projects and limiting the company's ability to increase prices; competitive implications and price transparencies related to the euro conversion; changing buying patterns affecting the company's consumer business, including but not limited to a trend away from purchases at dealer outlets to price and value conscious purchases at hardware, home center, and mass retailers; changes in distributor ownership; the company's expansion into selected home center markets; the company's ability to integrate business acquisitions and to manage alliances successfully; the addition of outside providers for warehousing and transportation services; the company's ability to develop and manufacture new and existing products profitably; market acceptance of existing and new products; changes in distributors, dealers, home center, or mass retailers' purchasing practices; the company's ability to rationalize its product lines and plant configurations; the ability to eliminate cost overruns affecting selected consumer and irrigation products at the El Paso, Texas facility; the company's ability to maintain good relations with its union employees; and the ability to retain and hire quality employees.</w:t>
      </w:r>
    </w:p>
    <w:p>
      <w:pPr>
        <w:spacing w:after="0" w:line="17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slower growth in the company's markets; financial market changes including increases in interest rates and fluctuations in foreign exchange rates;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unanticipated problems or costs associated with accommodation of the year 2000 in computer applications or products; the inability of the company's suppliers, customers, creditors, government agencies, public utility providers, and financial service organizations to implement computer applications accommodating the year 2000; the inability of the company's suppliers, customers, creditors, government agencies, public utility providers, and financial service organizations to implement computer applications accommodating the year 2000; seasonal factors in the company's industry; unforeseen litigation; government actions including budget levels, regulation and legislation, primarily legislation relating to the environment, commerce, infrastructure spending, health, and safety; and availability of materials.</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ind w:right="3419"/>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exposed to foreign currency exchange risk arising from transactions that are entered into during the normal course of business. To mitigate the risk from foreign currency exchange rate fluctuations, the company will generally enter into forward currency exchange contracts for the purchase or sale of a currency. Decisions on whether to use forward currency exchange contracts to hedge transactions exposed to foreign exchange rate changes are made based on the amount of those exposures, by currency, and an assessment of the near-term market value for each currency. These instruments used as hedges are managed to reduce the risk associated with the exposure being hedged and are designated as a hedge at the inception of the contract. Accordingly, changes in market values of these hedge instruments are highly correlated with changes in market values of underlying hedged items both at inception of the hedge and over the life of the hedge contract. Gains and losses on foreign currency contracts are recorded on the Consolidated Statements of Earnings.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forward exchange contracts held by the company have maturity dates in fiscal year 1999. All items are non-trading and stated in U.S. dollars. The average contracted rate, notional amount, and fair value impact at October 31, 1998 were as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00"/>
        <w:spacing w:after="0"/>
        <w:tabs>
          <w:tab w:leader="none" w:pos="59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ind w:left="180"/>
        <w:spacing w:after="0"/>
        <w:tabs>
          <w:tab w:leader="none" w:pos="3600" w:val="left"/>
          <w:tab w:leader="none" w:pos="4720" w:val="left"/>
          <w:tab w:leader="none" w:pos="61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CONTRACTED</w:t>
      </w:r>
      <w:r>
        <w:rPr>
          <w:sz w:val="20"/>
          <w:szCs w:val="20"/>
          <w:color w:val="auto"/>
        </w:rPr>
        <w:tab/>
      </w:r>
      <w:r>
        <w:rPr>
          <w:rFonts w:ascii="Courier New" w:cs="Courier New" w:eastAsia="Courier New" w:hAnsi="Courier New"/>
          <w:sz w:val="14"/>
          <w:szCs w:val="14"/>
          <w:color w:val="auto"/>
        </w:rPr>
        <w:t>NOTIONAL</w:t>
      </w:r>
      <w:r>
        <w:rPr>
          <w:sz w:val="20"/>
          <w:szCs w:val="20"/>
          <w:color w:val="auto"/>
        </w:rPr>
        <w:tab/>
      </w:r>
      <w:r>
        <w:rPr>
          <w:rFonts w:ascii="Courier New" w:cs="Courier New" w:eastAsia="Courier New" w:hAnsi="Courier New"/>
          <w:sz w:val="14"/>
          <w:szCs w:val="14"/>
          <w:color w:val="auto"/>
        </w:rPr>
        <w:t>IMPACT</w:t>
      </w:r>
    </w:p>
    <w:p>
      <w:pPr>
        <w:spacing w:after="0" w:line="7" w:lineRule="exact"/>
        <w:rPr>
          <w:sz w:val="20"/>
          <w:szCs w:val="20"/>
          <w:color w:val="auto"/>
        </w:rPr>
      </w:pPr>
    </w:p>
    <w:p>
      <w:pPr>
        <w:ind w:left="180"/>
        <w:spacing w:after="0"/>
        <w:tabs>
          <w:tab w:leader="none" w:pos="3860" w:val="left"/>
          <w:tab w:leader="none" w:pos="4820" w:val="left"/>
          <w:tab w:leader="none" w:pos="5940" w:val="left"/>
        </w:tabs>
        <w:rPr>
          <w:sz w:val="20"/>
          <w:szCs w:val="20"/>
          <w:color w:val="auto"/>
        </w:rPr>
      </w:pPr>
      <w:r>
        <w:rPr>
          <w:rFonts w:ascii="Courier New" w:cs="Courier New" w:eastAsia="Courier New" w:hAnsi="Courier New"/>
          <w:sz w:val="14"/>
          <w:szCs w:val="14"/>
          <w:color w:val="auto"/>
        </w:rPr>
        <w:t>(EXCEPT AVERAGE CONTRACTED RATE)</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GAIN (LOSS)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tabs>
          <w:tab w:leader="none" w:pos="3860" w:val="left"/>
          <w:tab w:leader="none" w:pos="4560" w:val="left"/>
          <w:tab w:leader="none" w:pos="4980" w:val="left"/>
          <w:tab w:leader="none" w:pos="5940" w:val="left"/>
          <w:tab w:leader="none" w:pos="6280" w:val="left"/>
        </w:tabs>
        <w:rPr>
          <w:sz w:val="20"/>
          <w:szCs w:val="20"/>
          <w:color w:val="auto"/>
        </w:rPr>
      </w:pPr>
      <w:r>
        <w:rPr>
          <w:rFonts w:ascii="Courier New" w:cs="Courier New" w:eastAsia="Courier New" w:hAnsi="Courier New"/>
          <w:sz w:val="14"/>
          <w:szCs w:val="14"/>
          <w:color w:val="auto"/>
        </w:rPr>
        <w:t>Buy Australian dollar/Sell US dollar</w:t>
      </w:r>
      <w:r>
        <w:rPr>
          <w:sz w:val="20"/>
          <w:szCs w:val="20"/>
          <w:color w:val="auto"/>
        </w:rPr>
        <w:tab/>
      </w:r>
      <w:r>
        <w:rPr>
          <w:rFonts w:ascii="Courier New" w:cs="Courier New" w:eastAsia="Courier New" w:hAnsi="Courier New"/>
          <w:sz w:val="14"/>
          <w:szCs w:val="14"/>
          <w:color w:val="auto"/>
        </w:rPr>
        <w:t>.6368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1,022.8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Buy US dollar/Sell Australian dollar</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.6040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Buy US dollar/Sell Canadian dollar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1.5135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Buy German mark/Sell US dollar</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1.7808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FINANCING</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is exposed to interest rate risk arising from transactions that are entered into during the normal course of business. The company's short-term borrowing rates are dependent upon the LIBOR rate plus an additional percentage based on the company's current borrowing level.</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October 31, 1998, the estimated fair value of long-term debt with fixed interest rates was $182,273,000 compared to its carrying value of $197,424,000. The fair value is estimated by discounting the projected cash flows using the rate at which similar amounts of debt could currently be borrowed.</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See "Quarterly Financial Data" appearing on page 33 of the Annual Report to Stockholders which is incorporated herein by reference.</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ind w:left="336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regarding the directors of the company and additional information regarding certain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information to be contained in the company's Proxy Statement to be filed with the Securities and Exchange Commission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company is incorporated herein by reference to information to be contained in the company's Proxy Statement to be filed with the Securities and Exchange Commission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ind w:left="3360"/>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1.</w:t>
        <w:tab/>
        <w:t>INDEX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Incorporated by reference into Part II,</w:t>
      </w:r>
      <w:r>
        <w:rPr>
          <w:sz w:val="20"/>
          <w:szCs w:val="20"/>
          <w:color w:val="auto"/>
        </w:rPr>
        <w:tab/>
      </w:r>
      <w:r>
        <w:rPr>
          <w:rFonts w:ascii="Courier New" w:cs="Courier New" w:eastAsia="Courier New" w:hAnsi="Courier New"/>
          <w:sz w:val="14"/>
          <w:szCs w:val="14"/>
          <w:color w:val="auto"/>
        </w:rPr>
        <w:t>Pages in Fiscal 1998</w:t>
      </w:r>
    </w:p>
    <w:p>
      <w:pPr>
        <w:spacing w:after="0" w:line="7" w:lineRule="exact"/>
        <w:rPr>
          <w:sz w:val="20"/>
          <w:szCs w:val="20"/>
          <w:color w:val="auto"/>
        </w:rPr>
      </w:pPr>
    </w:p>
    <w:p>
      <w:pPr>
        <w:ind w:left="360"/>
        <w:spacing w:after="0"/>
        <w:tabs>
          <w:tab w:leader="none" w:pos="5320" w:val="left"/>
        </w:tabs>
        <w:rPr>
          <w:sz w:val="20"/>
          <w:szCs w:val="20"/>
          <w:color w:val="auto"/>
        </w:rPr>
      </w:pPr>
      <w:r>
        <w:rPr>
          <w:rFonts w:ascii="Courier New" w:cs="Courier New" w:eastAsia="Courier New" w:hAnsi="Courier New"/>
          <w:sz w:val="14"/>
          <w:szCs w:val="14"/>
          <w:color w:val="auto"/>
        </w:rPr>
        <w:t>Item 8 of this report:</w:t>
      </w:r>
      <w:r>
        <w:rPr>
          <w:sz w:val="20"/>
          <w:szCs w:val="20"/>
          <w:color w:val="auto"/>
        </w:rPr>
        <w:tab/>
      </w:r>
      <w:r>
        <w:rPr>
          <w:rFonts w:ascii="Courier New" w:cs="Courier New" w:eastAsia="Courier New" w:hAnsi="Courier New"/>
          <w:sz w:val="14"/>
          <w:szCs w:val="14"/>
          <w:color w:val="auto"/>
        </w:rPr>
        <w:t>Annual Report</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to Stockholders</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 . . . . . . . . . . . . . . . . . . .21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Earnings for the years ended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31, 1998, 1997, and 1996. . . . . . . . . . . . . . . . .22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of October 31, 1998 and 1997 . . . . . . . . . . . . . . . . .23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 for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years ended October 31, 1998, 1997 and 1996. . . . . . . . . . .24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 . . . . . . . . . . .25-33</w:t>
      </w:r>
    </w:p>
    <w:p>
      <w:pPr>
        <w:spacing w:after="0" w:line="173" w:lineRule="exact"/>
        <w:rPr>
          <w:sz w:val="20"/>
          <w:szCs w:val="20"/>
          <w:color w:val="auto"/>
        </w:rPr>
      </w:pPr>
    </w:p>
    <w:p>
      <w:pPr>
        <w:ind w:right="5139" w:firstLine="8"/>
        <w:spacing w:after="0" w:line="501"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ind w:left="260"/>
        <w:spacing w:after="0"/>
        <w:rPr>
          <w:sz w:val="20"/>
          <w:szCs w:val="20"/>
          <w:color w:val="auto"/>
        </w:rPr>
      </w:pPr>
      <w:r>
        <w:rPr>
          <w:rFonts w:ascii="Courier New" w:cs="Courier New" w:eastAsia="Courier New" w:hAnsi="Courier New"/>
          <w:sz w:val="14"/>
          <w:szCs w:val="14"/>
          <w:color w:val="auto"/>
        </w:rPr>
        <w:t>Independent Auditors' Report . . . . . . . . . . . . . . . . . .23</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Schedule II - Valuation and Qualifying Accounts. . . . . . . . .24</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schedules are omitted because the required information is inapplicable or the information is presented in the consolidated financial statements or related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3. EXHIBITS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3(i)(a) and 4(a)</w:t>
            </w: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Certificate of Incorporation of Registrant</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4.2 to</w:t>
            </w:r>
          </w:p>
        </w:tc>
      </w:tr>
      <w:tr>
        <w:trPr>
          <w:trHeight w:val="166"/>
        </w:trPr>
        <w:tc>
          <w:tcPr>
            <w:tcW w:w="1540" w:type="dxa"/>
            <w:vAlign w:val="bottom"/>
          </w:tcPr>
          <w:p>
            <w:pPr>
              <w:spacing w:after="0"/>
              <w:rPr>
                <w:sz w:val="14"/>
                <w:szCs w:val="14"/>
                <w:color w:val="auto"/>
              </w:rPr>
            </w:pP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Registrant's Registration Statement on Form S-3,</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Registration No.</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33-16125).</w:t>
            </w:r>
          </w:p>
        </w:tc>
        <w:tc>
          <w:tcPr>
            <w:tcW w:w="1500" w:type="dxa"/>
            <w:vAlign w:val="bottom"/>
          </w:tcPr>
          <w:p>
            <w:pPr>
              <w:spacing w:after="0"/>
              <w:rPr>
                <w:sz w:val="14"/>
                <w:szCs w:val="14"/>
                <w:color w:val="auto"/>
              </w:rPr>
            </w:pPr>
          </w:p>
        </w:tc>
      </w:tr>
      <w:tr>
        <w:trPr>
          <w:trHeight w:val="331"/>
        </w:trPr>
        <w:tc>
          <w:tcPr>
            <w:tcW w:w="1540" w:type="dxa"/>
            <w:vAlign w:val="bottom"/>
          </w:tcPr>
          <w:p>
            <w:pPr>
              <w:spacing w:after="0"/>
              <w:rPr>
                <w:sz w:val="20"/>
                <w:szCs w:val="20"/>
                <w:color w:val="auto"/>
              </w:rPr>
            </w:pPr>
            <w:r>
              <w:rPr>
                <w:rFonts w:ascii="Courier New" w:cs="Courier New" w:eastAsia="Courier New" w:hAnsi="Courier New"/>
                <w:sz w:val="14"/>
                <w:szCs w:val="14"/>
                <w:color w:val="auto"/>
              </w:rPr>
              <w:t>3(i)(b) and 4(b)</w:t>
            </w: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Certificate of Amendment to Certificate of</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Incorporation of</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Registrant dated December 9, 1986</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3 to Registrant's</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Quarterly Report</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on Form 10-Q for the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quarter ended</w:t>
            </w:r>
          </w:p>
        </w:tc>
      </w:tr>
      <w:tr>
        <w:trPr>
          <w:trHeight w:val="166"/>
        </w:trPr>
        <w:tc>
          <w:tcPr>
            <w:tcW w:w="1540" w:type="dxa"/>
            <w:vAlign w:val="bottom"/>
          </w:tcPr>
          <w:p>
            <w:pPr>
              <w:spacing w:after="0"/>
              <w:rPr>
                <w:sz w:val="14"/>
                <w:szCs w:val="14"/>
                <w:color w:val="auto"/>
              </w:rPr>
            </w:pP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 30, 1987, Commission File No.</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1-8649).</w:t>
            </w:r>
          </w:p>
        </w:tc>
      </w:tr>
      <w:tr>
        <w:trPr>
          <w:trHeight w:val="331"/>
        </w:trPr>
        <w:tc>
          <w:tcPr>
            <w:tcW w:w="1540" w:type="dxa"/>
            <w:vAlign w:val="bottom"/>
          </w:tcPr>
          <w:p>
            <w:pPr>
              <w:spacing w:after="0"/>
              <w:rPr>
                <w:sz w:val="20"/>
                <w:szCs w:val="20"/>
                <w:color w:val="auto"/>
              </w:rPr>
            </w:pPr>
            <w:r>
              <w:rPr>
                <w:rFonts w:ascii="Courier New" w:cs="Courier New" w:eastAsia="Courier New" w:hAnsi="Courier New"/>
                <w:sz w:val="14"/>
                <w:szCs w:val="14"/>
                <w:color w:val="auto"/>
              </w:rPr>
              <w:t>3(i)(c) and 4(c)</w:t>
            </w: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Certificate of Designation to Certificate of</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Incorporation of</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Registrant dated May</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28, 1998</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(1)(A) to</w:t>
            </w:r>
          </w:p>
        </w:tc>
      </w:tr>
      <w:tr>
        <w:trPr>
          <w:trHeight w:val="166"/>
        </w:trPr>
        <w:tc>
          <w:tcPr>
            <w:tcW w:w="1540" w:type="dxa"/>
            <w:vAlign w:val="bottom"/>
          </w:tcPr>
          <w:p>
            <w:pPr>
              <w:spacing w:after="0"/>
              <w:rPr>
                <w:sz w:val="14"/>
                <w:szCs w:val="14"/>
                <w:color w:val="auto"/>
              </w:rPr>
            </w:pP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Registrants' Current Report on Form 8-K dated May 27,</w:t>
            </w:r>
          </w:p>
        </w:tc>
      </w:tr>
      <w:tr>
        <w:trPr>
          <w:trHeight w:val="166"/>
        </w:trPr>
        <w:tc>
          <w:tcPr>
            <w:tcW w:w="15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1540" w:type="dxa"/>
            <w:vAlign w:val="bottom"/>
          </w:tcPr>
          <w:p>
            <w:pPr>
              <w:spacing w:after="0"/>
              <w:rPr>
                <w:sz w:val="20"/>
                <w:szCs w:val="20"/>
                <w:color w:val="auto"/>
              </w:rPr>
            </w:pPr>
            <w:r>
              <w:rPr>
                <w:rFonts w:ascii="Courier New" w:cs="Courier New" w:eastAsia="Courier New" w:hAnsi="Courier New"/>
                <w:sz w:val="14"/>
                <w:szCs w:val="14"/>
                <w:color w:val="auto"/>
              </w:rPr>
              <w:t>3(ii) and 4(d)</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Bylaws of Registrant, as amended.</w:t>
            </w:r>
          </w:p>
        </w:tc>
        <w:tc>
          <w:tcPr>
            <w:tcW w:w="1500" w:type="dxa"/>
            <w:vAlign w:val="bottom"/>
          </w:tcPr>
          <w:p>
            <w:pPr>
              <w:spacing w:after="0"/>
              <w:rPr>
                <w:sz w:val="24"/>
                <w:szCs w:val="24"/>
                <w:color w:val="auto"/>
              </w:rPr>
            </w:pPr>
          </w:p>
        </w:tc>
      </w:tr>
      <w:tr>
        <w:trPr>
          <w:trHeight w:val="331"/>
        </w:trPr>
        <w:tc>
          <w:tcPr>
            <w:tcW w:w="1540" w:type="dxa"/>
            <w:vAlign w:val="bottom"/>
          </w:tcPr>
          <w:p>
            <w:pPr>
              <w:spacing w:after="0"/>
              <w:rPr>
                <w:sz w:val="20"/>
                <w:szCs w:val="20"/>
                <w:color w:val="auto"/>
              </w:rPr>
            </w:pPr>
            <w:r>
              <w:rPr>
                <w:rFonts w:ascii="Courier New" w:cs="Courier New" w:eastAsia="Courier New" w:hAnsi="Courier New"/>
                <w:sz w:val="14"/>
                <w:szCs w:val="14"/>
                <w:color w:val="auto"/>
              </w:rPr>
              <w:t>4(e)</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Specimen form of</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certificate (incorporated</w:t>
            </w:r>
          </w:p>
        </w:tc>
      </w:tr>
      <w:tr>
        <w:trPr>
          <w:trHeight w:val="166"/>
        </w:trPr>
        <w:tc>
          <w:tcPr>
            <w:tcW w:w="1540" w:type="dxa"/>
            <w:vAlign w:val="bottom"/>
          </w:tcPr>
          <w:p>
            <w:pPr>
              <w:spacing w:after="0"/>
              <w:rPr>
                <w:sz w:val="14"/>
                <w:szCs w:val="14"/>
                <w:color w:val="auto"/>
              </w:rPr>
            </w:pPr>
          </w:p>
        </w:tc>
        <w:tc>
          <w:tcPr>
            <w:tcW w:w="4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by reference to Exhibit 4(c) to Registrant's</w:t>
            </w:r>
          </w:p>
        </w:tc>
      </w:tr>
    </w:tbl>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Registration Statement on Form S-8, Registration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 2-94417).</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tbl>
      <w:tblPr>
        <w:tblLayout w:type="fixed"/>
        <w:tblInd w:w="44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4(f)</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Rights Agreement dated as of May 20, 1998, between</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Registrant and Norwest Bank Minnesota, National</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Association relating to rights to purchase Series B</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Junior Participating Voting Preferred Stock, as amended</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(incorporated by reference to Registrant's Current</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Report on Form 8-K dated May 27, 1998, Commission File</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No. 1-8649).</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4(g)</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Indenture as dated as of January 31, 1997, between</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Registrant and First National Trust Association, as</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Trustee, relating to the Registrant's 7.125% Notes due</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June 15, 2007 and its 7.80% Debentures due June 15,</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2027 (incorporated by reference to Exhibit 4(a) to</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Registrant's Current Report on Form 8-K for June 24,</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1997, Commission File No. 1-8649).</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10(a)</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Form of Employment Agreement in effect for certain</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officers of Registrant (incorporated by reference</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Exhibit 10(iii)(a) to Registrant's Quarterly Report on</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Form 10-Q for the quarter ended May 1, 1998).*</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10(b)</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Directors Stock Plan, as amended.*</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10(c)</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Annual Management Incentive Plan II for officers of</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Registrant, as amended.*</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10(d)</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1985 Incentive Stock Option Plan (incorporated by</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reference to Exhibit 10(b) to Registrant's Annual</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Report on Form 10-K for the fiscal year ended July 31,</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1993).*</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1989 Stock Option Plan, as amended.*</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1993 Stock Option Plan, as amended.*</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10(g)</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Continuous Performance Award Plan, as amended.*</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10(h)</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 Supplemental Management Retirement</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Plan (incorporated by reference to Exhibit 10(iii)(h)</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to Registrant's Annual Report on Form 10-K for the year</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ended October 31, 1996).*</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Chief Executive Officer Succession Incentive Agreement</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dated as of July 31, 1995 (incorporated by reference to</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Exhibit 10(iii)(i) to Registrant's Annual Report on</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Form 10-K for the year ended October 31, 1997).*</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10(j)</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 Deferred Compensation Plan for</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Officers, (incorporated by reference Exhibit 10(iii)(a)</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to Registrant's Quarterly Report on Form 10-Q for the</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quarter ended May 1, 1998).*</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Fiscal 1998 Annual Report to Stockholders for The Toro</w:t>
            </w:r>
          </w:p>
        </w:tc>
      </w:tr>
      <w:tr>
        <w:trPr>
          <w:trHeight w:val="166"/>
        </w:trPr>
        <w:tc>
          <w:tcPr>
            <w:tcW w:w="1080" w:type="dxa"/>
            <w:vAlign w:val="bottom"/>
          </w:tcPr>
          <w:p>
            <w:pPr>
              <w:spacing w:after="0"/>
              <w:rPr>
                <w:sz w:val="14"/>
                <w:szCs w:val="14"/>
                <w:color w:val="auto"/>
              </w:rPr>
            </w:pP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Company.</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Subsidiaries of Registrant.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Independent Auditors' Consent.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380" w:type="dxa"/>
            <w:vAlign w:val="bottom"/>
          </w:tcPr>
          <w:p>
            <w:pPr>
              <w:ind w:left="640"/>
              <w:spacing w:after="0"/>
              <w:rPr>
                <w:sz w:val="20"/>
                <w:szCs w:val="20"/>
                <w:color w:val="auto"/>
              </w:rPr>
            </w:pPr>
            <w:r>
              <w:rPr>
                <w:rFonts w:ascii="Courier New" w:cs="Courier New" w:eastAsia="Courier New" w:hAnsi="Courier New"/>
                <w:sz w:val="14"/>
                <w:szCs w:val="14"/>
                <w:color w:val="auto"/>
              </w:rPr>
              <w:t>Supplemental Data Schedule.</w:t>
            </w:r>
          </w:p>
        </w:tc>
      </w:tr>
    </w:tbl>
    <w:p>
      <w:pPr>
        <w:spacing w:after="0" w:line="33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*Management contract or compensatory plan or arrangements required to be filed as an exhibit to this Annual Report on Form 10-K pursuant to Item 14(c).</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1998,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1" w:name="page22"/>
    <w:bookmarkEnd w:id="21"/>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(Registrant)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Dated: January 29, 1999</w:t>
      </w:r>
    </w:p>
    <w:p>
      <w:pPr>
        <w:spacing w:after="0" w:line="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Treasurer and Chief Financial Officer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spacing w:after="0"/>
        <w:tabs>
          <w:tab w:leader="none" w:pos="3960" w:val="left"/>
          <w:tab w:leader="none" w:pos="740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Kendrick B. Melrose</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Chairman, Chief Executive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300"/>
              <w:spacing w:after="0"/>
              <w:rPr>
                <w:sz w:val="20"/>
                <w:szCs w:val="20"/>
                <w:color w:val="auto"/>
              </w:rPr>
            </w:pPr>
            <w:r>
              <w:rPr>
                <w:rFonts w:ascii="Courier New" w:cs="Courier New" w:eastAsia="Courier New" w:hAnsi="Courier New"/>
                <w:sz w:val="14"/>
                <w:szCs w:val="14"/>
                <w:color w:val="auto"/>
              </w:rPr>
              <w:t>Officer, and Director</w:t>
            </w: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Kendrick B. Melrose</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(principal executive officer)</w:t>
            </w: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Stephen P. Wolfe</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Finance,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300"/>
              <w:spacing w:after="0"/>
              <w:rPr>
                <w:sz w:val="20"/>
                <w:szCs w:val="20"/>
                <w:color w:val="auto"/>
              </w:rPr>
            </w:pPr>
            <w:r>
              <w:rPr>
                <w:rFonts w:ascii="Courier New" w:cs="Courier New" w:eastAsia="Courier New" w:hAnsi="Courier New"/>
                <w:sz w:val="14"/>
                <w:szCs w:val="14"/>
                <w:color w:val="auto"/>
              </w:rPr>
              <w:t>Treasurer and Chief Financial Officer</w:t>
            </w: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Stephen P. Wolfe</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(principal financial officer)</w:t>
            </w: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Randy B. James</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Controller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300"/>
              <w:spacing w:after="0"/>
              <w:rPr>
                <w:sz w:val="20"/>
                <w:szCs w:val="20"/>
                <w:color w:val="auto"/>
              </w:rPr>
            </w:pPr>
            <w:r>
              <w:rPr>
                <w:rFonts w:ascii="Courier New" w:cs="Courier New" w:eastAsia="Courier New" w:hAnsi="Courier New"/>
                <w:sz w:val="14"/>
                <w:szCs w:val="14"/>
                <w:color w:val="auto"/>
              </w:rPr>
              <w:t>(principal accounting officer)</w:t>
            </w: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Randy B. James</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Ronald O. Baukol</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Ronald O. Baukol</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Robert C. Buhrmaster</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Robert C. Buhrmaster</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Winslow H. Buxton</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Winslow H. Buxton</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Janet K. Cooper</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Janet K. Cooper</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Alex A. Meyer</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Alex A. Meyer</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Robert H. Nassau</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Robert H. Nassau</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Dale R. Olseth</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Dale R. Olseth</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Christopher A. Twomey</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Christopher A. Twomey</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 Edwin H. Wingate</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29, 1999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Edwin H. Wingate</w:t>
            </w: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2900" w:type="dxa"/>
            <w:vAlign w:val="bottom"/>
          </w:tcPr>
          <w:p>
            <w:pPr>
              <w:spacing w:after="0"/>
              <w:rPr>
                <w:sz w:val="24"/>
                <w:szCs w:val="24"/>
                <w:color w:val="auto"/>
              </w:rPr>
            </w:pPr>
          </w:p>
        </w:tc>
        <w:tc>
          <w:tcPr>
            <w:tcW w:w="3740" w:type="dxa"/>
            <w:vAlign w:val="bottom"/>
          </w:tcPr>
          <w:p>
            <w:pPr>
              <w:ind w:left="720"/>
              <w:spacing w:after="0"/>
              <w:rPr>
                <w:sz w:val="20"/>
                <w:szCs w:val="20"/>
                <w:color w:val="auto"/>
              </w:rPr>
            </w:pPr>
            <w:r>
              <w:rPr>
                <w:rFonts w:ascii="Courier New" w:cs="Courier New" w:eastAsia="Courier New" w:hAnsi="Courier New"/>
                <w:sz w:val="14"/>
                <w:szCs w:val="14"/>
                <w:color w:val="auto"/>
              </w:rPr>
              <w:t>22</w:t>
            </w:r>
          </w:p>
        </w:tc>
        <w:tc>
          <w:tcPr>
            <w:tcW w:w="164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22" w:name="page23"/>
    <w:bookmarkEnd w:id="22"/>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date of December 11, 1998, we reported on the consolidated balance sheets of The Toro Company and subsidiaries (the Company) as of October 31, 1998 and 1997, and the related consolidated statements of earnings and cash flows for each of the years in the three-year period ended October 31, 1998, as contained in the 1998 annual report to stockholders. These consolidated financial statements and our report thereon are incorporated by reference in the annual report on Form 10-K for the fiscal year 1998.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11, 1998</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3" w:name="page24"/>
    <w:bookmarkEnd w:id="23"/>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0"/>
        <w:spacing w:after="0"/>
        <w:tabs>
          <w:tab w:leader="none" w:pos="576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1560"/>
        <w:spacing w:after="0"/>
        <w:tabs>
          <w:tab w:leader="none" w:pos="4200" w:val="left"/>
          <w:tab w:leader="none" w:pos="5760" w:val="left"/>
          <w:tab w:leader="none" w:pos="7220" w:val="left"/>
          <w:tab w:leader="none" w:pos="8520" w:val="left"/>
          <w:tab w:leader="none" w:pos="100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(a)</w:t>
      </w:r>
      <w:r>
        <w:rPr>
          <w:sz w:val="20"/>
          <w:szCs w:val="20"/>
          <w:color w:val="auto"/>
        </w:rPr>
        <w:tab/>
      </w:r>
      <w:r>
        <w:rPr>
          <w:rFonts w:ascii="Courier New" w:cs="Courier New" w:eastAsia="Courier New" w:hAnsi="Courier New"/>
          <w:sz w:val="14"/>
          <w:szCs w:val="14"/>
          <w:color w:val="auto"/>
        </w:rPr>
        <w:t>DEDUCTIONS (b)</w:t>
      </w:r>
      <w:r>
        <w:rPr>
          <w:sz w:val="20"/>
          <w:szCs w:val="20"/>
          <w:color w:val="auto"/>
        </w:rPr>
        <w:tab/>
      </w:r>
      <w:r>
        <w:rPr>
          <w:rFonts w:ascii="Courier New" w:cs="Courier New" w:eastAsia="Courier New" w:hAnsi="Courier New"/>
          <w:sz w:val="14"/>
          <w:szCs w:val="14"/>
          <w:color w:val="auto"/>
        </w:rPr>
        <w:t>BALANCE AT END</w:t>
      </w:r>
    </w:p>
    <w:p>
      <w:pPr>
        <w:spacing w:after="0" w:line="7" w:lineRule="exact"/>
        <w:rPr>
          <w:sz w:val="20"/>
          <w:szCs w:val="20"/>
          <w:color w:val="auto"/>
        </w:rPr>
      </w:pPr>
    </w:p>
    <w:p>
      <w:pPr>
        <w:ind w:left="4400"/>
        <w:spacing w:after="0"/>
        <w:tabs>
          <w:tab w:leader="none" w:pos="5840" w:val="left"/>
          <w:tab w:leader="none" w:pos="1032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OF YEAR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YEAR ENDED OCTOBER 31, 1998</w:t>
      </w:r>
    </w:p>
    <w:p>
      <w:pPr>
        <w:spacing w:after="0" w:line="173" w:lineRule="exact"/>
        <w:rPr>
          <w:sz w:val="20"/>
          <w:szCs w:val="20"/>
          <w:color w:val="auto"/>
        </w:rPr>
      </w:pPr>
    </w:p>
    <w:p>
      <w:pPr>
        <w:ind w:left="100"/>
        <w:spacing w:after="0"/>
        <w:tabs>
          <w:tab w:leader="none" w:pos="4200" w:val="left"/>
          <w:tab w:leader="none" w:pos="4460" w:val="left"/>
          <w:tab w:leader="none" w:pos="5680" w:val="left"/>
          <w:tab w:leader="none" w:pos="6100" w:val="left"/>
          <w:tab w:leader="none" w:pos="7140" w:val="left"/>
          <w:tab w:leader="none" w:pos="7480" w:val="left"/>
          <w:tab w:leader="none" w:pos="8520" w:val="left"/>
          <w:tab w:leader="none" w:pos="8780" w:val="left"/>
          <w:tab w:leader="none" w:pos="10160" w:val="left"/>
          <w:tab w:leader="none" w:pos="1042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9,832,000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623,000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250,000</w:t>
      </w:r>
      <w:r>
        <w:rPr>
          <w:sz w:val="20"/>
          <w:szCs w:val="20"/>
          <w:color w:val="auto"/>
        </w:rPr>
        <w:tab/>
      </w:r>
      <w:r>
        <w:rPr>
          <w:rFonts w:ascii="Courier New" w:cs="Courier New" w:eastAsia="Courier New" w:hAnsi="Courier New"/>
          <w:sz w:val="14"/>
          <w:szCs w:val="14"/>
          <w:color w:val="auto"/>
        </w:rPr>
        <w:t>$</w:t>
        <w:tab/>
        <w:t>1,381,000</w:t>
      </w:r>
      <w:r>
        <w:rPr>
          <w:sz w:val="20"/>
          <w:szCs w:val="20"/>
          <w:color w:val="auto"/>
        </w:rPr>
        <w:tab/>
      </w:r>
      <w:r>
        <w:rPr>
          <w:rFonts w:ascii="Courier New" w:cs="Courier New" w:eastAsia="Courier New" w:hAnsi="Courier New"/>
          <w:sz w:val="14"/>
          <w:szCs w:val="14"/>
          <w:color w:val="auto"/>
        </w:rPr>
        <w:t>$</w:t>
        <w:tab/>
        <w:t>9,324,000</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 1997</w:t>
      </w:r>
    </w:p>
    <w:p>
      <w:pPr>
        <w:spacing w:after="0" w:line="173" w:lineRule="exact"/>
        <w:rPr>
          <w:sz w:val="20"/>
          <w:szCs w:val="20"/>
          <w:color w:val="auto"/>
        </w:rPr>
      </w:pPr>
    </w:p>
    <w:p>
      <w:pPr>
        <w:ind w:left="100"/>
        <w:spacing w:after="0"/>
        <w:tabs>
          <w:tab w:leader="none" w:pos="4200" w:val="left"/>
          <w:tab w:leader="none" w:pos="5680" w:val="left"/>
          <w:tab w:leader="none" w:pos="6100" w:val="left"/>
          <w:tab w:leader="none" w:pos="7140" w:val="left"/>
          <w:tab w:leader="none" w:pos="8520" w:val="left"/>
          <w:tab w:leader="none" w:pos="8940" w:val="left"/>
          <w:tab w:leader="none" w:pos="10160" w:val="left"/>
          <w:tab w:leader="none" w:pos="1042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$ 10,005,000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812,000</w:t>
      </w:r>
      <w:r>
        <w:rPr>
          <w:sz w:val="20"/>
          <w:szCs w:val="20"/>
          <w:color w:val="auto"/>
        </w:rPr>
        <w:tab/>
      </w:r>
      <w:r>
        <w:rPr>
          <w:rFonts w:ascii="Courier New" w:cs="Courier New" w:eastAsia="Courier New" w:hAnsi="Courier New"/>
          <w:sz w:val="14"/>
          <w:szCs w:val="14"/>
          <w:color w:val="auto"/>
        </w:rPr>
        <w:t>$ (425,000)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560,000</w:t>
      </w:r>
      <w:r>
        <w:rPr>
          <w:sz w:val="20"/>
          <w:szCs w:val="20"/>
          <w:color w:val="auto"/>
        </w:rPr>
        <w:tab/>
      </w:r>
      <w:r>
        <w:rPr>
          <w:rFonts w:ascii="Courier New" w:cs="Courier New" w:eastAsia="Courier New" w:hAnsi="Courier New"/>
          <w:sz w:val="14"/>
          <w:szCs w:val="14"/>
          <w:color w:val="auto"/>
        </w:rPr>
        <w:t>$</w:t>
        <w:tab/>
        <w:t>9,832,000</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 1996</w:t>
      </w:r>
    </w:p>
    <w:p>
      <w:pPr>
        <w:spacing w:after="0" w:line="173" w:lineRule="exact"/>
        <w:rPr>
          <w:sz w:val="20"/>
          <w:szCs w:val="20"/>
          <w:color w:val="auto"/>
        </w:rPr>
      </w:pPr>
    </w:p>
    <w:p>
      <w:pPr>
        <w:ind w:left="100"/>
        <w:spacing w:after="0"/>
        <w:tabs>
          <w:tab w:leader="none" w:pos="4200" w:val="left"/>
          <w:tab w:leader="none" w:pos="4460" w:val="left"/>
          <w:tab w:leader="none" w:pos="5680" w:val="left"/>
          <w:tab w:leader="none" w:pos="5940" w:val="left"/>
          <w:tab w:leader="none" w:pos="7140" w:val="left"/>
          <w:tab w:leader="none" w:pos="7480" w:val="left"/>
          <w:tab w:leader="none" w:pos="8520" w:val="left"/>
          <w:tab w:leader="none" w:pos="8780" w:val="left"/>
          <w:tab w:leader="none" w:pos="1016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7,542,000</w:t>
      </w:r>
      <w:r>
        <w:rPr>
          <w:sz w:val="20"/>
          <w:szCs w:val="20"/>
          <w:color w:val="auto"/>
        </w:rPr>
        <w:tab/>
      </w:r>
      <w:r>
        <w:rPr>
          <w:rFonts w:ascii="Courier New" w:cs="Courier New" w:eastAsia="Courier New" w:hAnsi="Courier New"/>
          <w:sz w:val="14"/>
          <w:szCs w:val="14"/>
          <w:color w:val="auto"/>
        </w:rPr>
        <w:t>$</w:t>
        <w:tab/>
        <w:t>3,358,000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330,000</w:t>
      </w:r>
      <w:r>
        <w:rPr>
          <w:sz w:val="20"/>
          <w:szCs w:val="20"/>
          <w:color w:val="auto"/>
        </w:rPr>
        <w:tab/>
      </w:r>
      <w:r>
        <w:rPr>
          <w:rFonts w:ascii="Courier New" w:cs="Courier New" w:eastAsia="Courier New" w:hAnsi="Courier New"/>
          <w:sz w:val="14"/>
          <w:szCs w:val="14"/>
          <w:color w:val="auto"/>
        </w:rPr>
        <w:t>$</w:t>
        <w:tab/>
        <w:t>1,225,000</w:t>
      </w:r>
      <w:r>
        <w:rPr>
          <w:sz w:val="20"/>
          <w:szCs w:val="20"/>
          <w:color w:val="auto"/>
        </w:rPr>
        <w:tab/>
      </w:r>
      <w:r>
        <w:rPr>
          <w:rFonts w:ascii="Courier New" w:cs="Courier New" w:eastAsia="Courier New" w:hAnsi="Courier New"/>
          <w:sz w:val="14"/>
          <w:szCs w:val="14"/>
          <w:color w:val="auto"/>
        </w:rPr>
        <w:t>$ 10,005,000</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300" w:right="5760" w:hanging="430"/>
        <w:spacing w:after="0" w:line="250" w:lineRule="auto"/>
        <w:tabs>
          <w:tab w:leader="none" w:pos="13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acquisitions and reductions due to reclassification.</w:t>
      </w:r>
    </w:p>
    <w:p>
      <w:pPr>
        <w:ind w:left="1300" w:hanging="430"/>
        <w:spacing w:after="0"/>
        <w:tabs>
          <w:tab w:leader="none" w:pos="13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576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1560"/>
        <w:spacing w:after="0"/>
        <w:tabs>
          <w:tab w:leader="none" w:pos="4200" w:val="left"/>
          <w:tab w:leader="none" w:pos="5760" w:val="left"/>
          <w:tab w:leader="none" w:pos="7220" w:val="left"/>
          <w:tab w:leader="none" w:pos="8520" w:val="left"/>
          <w:tab w:leader="none" w:pos="100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(c)</w:t>
      </w:r>
      <w:r>
        <w:rPr>
          <w:sz w:val="20"/>
          <w:szCs w:val="20"/>
          <w:color w:val="auto"/>
        </w:rPr>
        <w:tab/>
      </w:r>
      <w:r>
        <w:rPr>
          <w:rFonts w:ascii="Courier New" w:cs="Courier New" w:eastAsia="Courier New" w:hAnsi="Courier New"/>
          <w:sz w:val="14"/>
          <w:szCs w:val="14"/>
          <w:color w:val="auto"/>
        </w:rPr>
        <w:t>DEDUCTIONS (d)</w:t>
      </w:r>
      <w:r>
        <w:rPr>
          <w:sz w:val="20"/>
          <w:szCs w:val="20"/>
          <w:color w:val="auto"/>
        </w:rPr>
        <w:tab/>
      </w:r>
      <w:r>
        <w:rPr>
          <w:rFonts w:ascii="Courier New" w:cs="Courier New" w:eastAsia="Courier New" w:hAnsi="Courier New"/>
          <w:sz w:val="14"/>
          <w:szCs w:val="14"/>
          <w:color w:val="auto"/>
        </w:rPr>
        <w:t>BALANCE AT END</w:t>
      </w:r>
    </w:p>
    <w:p>
      <w:pPr>
        <w:spacing w:after="0" w:line="7" w:lineRule="exact"/>
        <w:rPr>
          <w:sz w:val="20"/>
          <w:szCs w:val="20"/>
          <w:color w:val="auto"/>
        </w:rPr>
      </w:pPr>
    </w:p>
    <w:p>
      <w:pPr>
        <w:ind w:left="4400"/>
        <w:spacing w:after="0"/>
        <w:tabs>
          <w:tab w:leader="none" w:pos="5840" w:val="left"/>
          <w:tab w:leader="none" w:pos="1032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OF YEAR</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YEAR ENDED OCTOBER 31, 1998</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Accrued warranties</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$ 40,792,000</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$ 39,877,000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951,000</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$ 35,276,000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$ 46,344,000</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 1997</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Accrued warranties</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$ 34,722,000</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$ 35,045,000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$ 5,940,000</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$ 34,915,000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$ 40,792,000</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 1996</w:t>
      </w:r>
    </w:p>
    <w:p>
      <w:pPr>
        <w:spacing w:after="0" w:line="173" w:lineRule="exact"/>
        <w:rPr>
          <w:sz w:val="20"/>
          <w:szCs w:val="20"/>
          <w:color w:val="auto"/>
        </w:rPr>
      </w:pPr>
    </w:p>
    <w:p>
      <w:pPr>
        <w:ind w:left="100"/>
        <w:spacing w:after="0"/>
        <w:tabs>
          <w:tab w:leader="none" w:pos="4200" w:val="left"/>
          <w:tab w:leader="none" w:pos="5680" w:val="left"/>
          <w:tab w:leader="none" w:pos="7140" w:val="left"/>
          <w:tab w:leader="none" w:pos="8000" w:val="left"/>
          <w:tab w:leader="none" w:pos="8520" w:val="left"/>
          <w:tab w:leader="none" w:pos="10160" w:val="left"/>
        </w:tabs>
        <w:rPr>
          <w:sz w:val="20"/>
          <w:szCs w:val="20"/>
          <w:color w:val="auto"/>
        </w:rPr>
      </w:pPr>
      <w:r>
        <w:rPr>
          <w:rFonts w:ascii="Courier New" w:cs="Courier New" w:eastAsia="Courier New" w:hAnsi="Courier New"/>
          <w:sz w:val="14"/>
          <w:szCs w:val="14"/>
          <w:color w:val="auto"/>
        </w:rPr>
        <w:t>Accrued warranties</w:t>
      </w:r>
      <w:r>
        <w:rPr>
          <w:sz w:val="20"/>
          <w:szCs w:val="20"/>
          <w:color w:val="auto"/>
        </w:rPr>
        <w:tab/>
      </w:r>
      <w:r>
        <w:rPr>
          <w:rFonts w:ascii="Courier New" w:cs="Courier New" w:eastAsia="Courier New" w:hAnsi="Courier New"/>
          <w:sz w:val="14"/>
          <w:szCs w:val="14"/>
          <w:color w:val="auto"/>
        </w:rPr>
        <w:t>$ 35,065,000</w:t>
      </w:r>
      <w:r>
        <w:rPr>
          <w:sz w:val="20"/>
          <w:szCs w:val="20"/>
          <w:color w:val="auto"/>
        </w:rPr>
        <w:tab/>
      </w:r>
      <w:r>
        <w:rPr>
          <w:rFonts w:ascii="Courier New" w:cs="Courier New" w:eastAsia="Courier New" w:hAnsi="Courier New"/>
          <w:sz w:val="14"/>
          <w:szCs w:val="14"/>
          <w:color w:val="auto"/>
        </w:rPr>
        <w:t>$ 28,567,000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$ 28,910,000</w:t>
      </w:r>
      <w:r>
        <w:rPr>
          <w:sz w:val="20"/>
          <w:szCs w:val="20"/>
          <w:color w:val="auto"/>
        </w:rPr>
        <w:tab/>
      </w:r>
      <w:r>
        <w:rPr>
          <w:rFonts w:ascii="Courier New" w:cs="Courier New" w:eastAsia="Courier New" w:hAnsi="Courier New"/>
          <w:sz w:val="14"/>
          <w:szCs w:val="14"/>
          <w:color w:val="auto"/>
        </w:rPr>
        <w:t>$ 34,722,000</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accrued warranties due to acquisitions.</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claims processed.</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616" w:right="139" w:bottom="1440" w:gutter="0" w:footer="0" w:header="0"/>
        </w:sectPr>
      </w:pPr>
    </w:p>
    <w:bookmarkStart w:id="24" w:name="page25"/>
    <w:bookmarkEnd w:id="24"/>
    <w:p>
      <w:pPr>
        <w:jc w:val="center"/>
        <w:ind w:right="2819"/>
        <w:spacing w:after="0"/>
        <w:rPr>
          <w:sz w:val="20"/>
          <w:szCs w:val="20"/>
          <w:color w:val="auto"/>
        </w:rPr>
      </w:pPr>
      <w:r>
        <w:rPr>
          <w:rFonts w:ascii="Courier New" w:cs="Courier New" w:eastAsia="Courier New" w:hAnsi="Courier New"/>
          <w:sz w:val="14"/>
          <w:szCs w:val="14"/>
          <w:color w:val="auto"/>
        </w:rPr>
        <w:t>BYLAWS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OFFICES, CORPORATE SEAL, AND RECORDS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1.1 THE REGISTERED OFFICE OF THE CORPORATION SHALL BE ESTABLISHED AND MAINTAINED AT THE OFFICE OF THE PRENTICE-HALL CORPORATION SYSTEM, INC., IN THE CITY OF DOVER, IN THE COUNTY OF KENT, IN THE STATE OF DELAWARE, AND SAID CORPORATION SHALL BE THE REGISTERED AGENT OF THE CORPORATION IN CHARGE THEREOF,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1.2 THE CORPORATION MAY HAVE A CORPORATE SEAL IN SUCH FORM AS DETERMINED BY THE BOARD OF DIRECTORS, WHICH MAY BE ALTERED AT PLEASURE, AND THE SEAL MAY BE USED BY CAUSING IT OR A FACSIMILE THEREOF TO BE IMPRESSED OR AFFIXED OR IN ANY OTHER MANNER REPRODUCED.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1.3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SECTION 1.4 THE CORPORATION SHALL AT ALL TIMES KEEP AT ITS PRINCIPAL EXECUTIVE OFFICE THE FOLLOWING RECORDS:</w:t>
      </w:r>
    </w:p>
    <w:p>
      <w:pPr>
        <w:spacing w:after="0" w:line="160" w:lineRule="exact"/>
        <w:rPr>
          <w:sz w:val="20"/>
          <w:szCs w:val="20"/>
          <w:color w:val="auto"/>
        </w:rPr>
      </w:pPr>
    </w:p>
    <w:p>
      <w:pPr>
        <w:ind w:left="1300" w:right="3779" w:hanging="430"/>
        <w:spacing w:after="0" w:line="252" w:lineRule="auto"/>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OR COPIES OF RECORDS OF ALL PROCEEDINGS OF STOCKHOLDERS AND DIRECTORS, OF ITS BYLAWS AND ALL AMENDMENTS THERETO, AND OF REPORTS MADE TO STOCKHOLDERS OR ANY OF THEM WITHIN THE NEXT PRECEDING THREE YEARS;</w:t>
      </w:r>
    </w:p>
    <w:p>
      <w:pPr>
        <w:spacing w:after="0" w:line="162" w:lineRule="exact"/>
        <w:rPr>
          <w:rFonts w:ascii="Courier New" w:cs="Courier New" w:eastAsia="Courier New" w:hAnsi="Courier New"/>
          <w:sz w:val="14"/>
          <w:szCs w:val="14"/>
          <w:color w:val="auto"/>
        </w:rPr>
      </w:pPr>
    </w:p>
    <w:p>
      <w:pPr>
        <w:ind w:left="1300" w:right="4119" w:hanging="430"/>
        <w:spacing w:after="0" w:line="255" w:lineRule="auto"/>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NAMES AND USUAL BUSINESS ADDRESSES OF ITS DIRECTORS AND PRINCIPAL OFFICERS;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FINANCIAL STATEMENTS.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 1.5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w:t>
      </w:r>
    </w:p>
    <w:p>
      <w:pPr>
        <w:sectPr>
          <w:pgSz w:w="11900" w:h="16838" w:orient="portrait"/>
          <w:cols w:equalWidth="0" w:num="1">
            <w:col w:w="10239"/>
          </w:cols>
          <w:pgMar w:left="220" w:top="473" w:right="1440" w:bottom="1440" w:gutter="0" w:footer="0" w:header="0"/>
        </w:sectPr>
      </w:pPr>
    </w:p>
    <w:bookmarkStart w:id="25" w:name="page26"/>
    <w:bookmarkEnd w:id="25"/>
    <w:p>
      <w:pPr>
        <w:ind w:right="4019"/>
        <w:spacing w:after="0" w:line="255" w:lineRule="auto"/>
        <w:rPr>
          <w:sz w:val="20"/>
          <w:szCs w:val="20"/>
          <w:color w:val="auto"/>
        </w:rPr>
      </w:pPr>
      <w:r>
        <w:rPr>
          <w:rFonts w:ascii="Courier New" w:cs="Courier New" w:eastAsia="Courier New" w:hAnsi="Courier New"/>
          <w:sz w:val="14"/>
          <w:szCs w:val="14"/>
          <w:color w:val="auto"/>
        </w:rPr>
        <w:t>REQUIRED FINANCIAL STATEMENTS, AND THE RECORDS OF THE PROCEEDINGS OF THE STOCKHOLDERS AND DIRECTORS.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MEETING OF STOCKHOLDERS</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2.1 ALL MEETINGS OF THE STOCKHOLDERS SHALL BE HELD AT SUCH OTHER PLACE WITHIN OR WITHOUT THE STATE OF DELAWARE AS MAY BE DESIGNATED BY THE BOARD OF DIRECTORS IN THE NOTICE OF THE MEETING.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2.2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2.3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2.4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2.5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ALL ELECTIONS FOR DIRECTORS SHALL BE DETERMINED BY A PLURALITY OF THE VOTES OF THE SHARES PRESENT IN PERSON OR REPRESENTED BY PROXY AT THE MEETING AND ENTITLED TO VOTE ON THE ELECTION OF DIRECTORS. ALL OTHER QUESTIONS SHALL BE DECIDED BY THE AFFIRMATIVE VOTE OF A MAJORITY OF THE SHARES PRESENT IN PERSON OR REPRESENTED BY PROXY AT THE MEETING AND ENTITLED TO VOTE ON SUCH QUESTION.</w:t>
      </w:r>
    </w:p>
    <w:p>
      <w:pPr>
        <w:sectPr>
          <w:pgSz w:w="11900" w:h="16838" w:orient="portrait"/>
          <w:cols w:equalWidth="0" w:num="1">
            <w:col w:w="10239"/>
          </w:cols>
          <w:pgMar w:left="220" w:top="616" w:right="1440" w:bottom="1440" w:gutter="0" w:footer="0" w:header="0"/>
        </w:sectPr>
      </w:pPr>
    </w:p>
    <w:bookmarkStart w:id="26" w:name="page27"/>
    <w:bookmarkEnd w:id="26"/>
    <w:p>
      <w:pPr>
        <w:ind w:right="3339"/>
        <w:spacing w:after="0" w:line="251" w:lineRule="auto"/>
        <w:rPr>
          <w:sz w:val="20"/>
          <w:szCs w:val="20"/>
          <w:color w:val="auto"/>
        </w:rPr>
      </w:pPr>
      <w:r>
        <w:rPr>
          <w:rFonts w:ascii="Courier New" w:cs="Courier New" w:eastAsia="Courier New" w:hAnsi="Courier New"/>
          <w:sz w:val="14"/>
          <w:szCs w:val="14"/>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CHAIRMAN OF THE MEETING SHALL FIX AND ANNOUNCE AT THE MEETING THE DATE AND TIME OF THE OPENING AND THE CLOSING OF THE POLLS FOR EACH MATTER UPON WHICH THE STOCKHOLDERS WILL VOTE AT THE MEETING.</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2.6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CHAIRMAN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ectPr>
          <w:pgSz w:w="11900" w:h="16838" w:orient="portrait"/>
          <w:cols w:equalWidth="0" w:num="1">
            <w:col w:w="10239"/>
          </w:cols>
          <w:pgMar w:left="220" w:top="616" w:right="1440" w:bottom="1440" w:gutter="0" w:footer="0" w:header="0"/>
        </w:sectPr>
      </w:pPr>
    </w:p>
    <w:bookmarkStart w:id="27" w:name="page28"/>
    <w:bookmarkEnd w:id="27"/>
    <w:p>
      <w:pPr>
        <w:ind w:right="3599"/>
        <w:spacing w:after="0" w:line="252" w:lineRule="auto"/>
        <w:rPr>
          <w:sz w:val="20"/>
          <w:szCs w:val="20"/>
          <w:color w:val="auto"/>
        </w:rPr>
      </w:pPr>
      <w:r>
        <w:rPr>
          <w:rFonts w:ascii="Courier New" w:cs="Courier New" w:eastAsia="Courier New" w:hAnsi="Courier New"/>
          <w:sz w:val="14"/>
          <w:szCs w:val="14"/>
          <w:color w:val="auto"/>
        </w:rPr>
        <w:t>THE STOCKHOLDERS PRESENT AT A DULY ORGANIZED MEETING MAY CONTINUE TO TRANSACT BUSINESS UNTIL ADJOURNMENT, NOTWITHSTANDING THE WITHDRAWAL OF ENOUGH STOCKHOLDERS TO LEAVE LESS THAN A QUORUM.</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2.7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329"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2.8 SECTION 2.8 (A) (1) NOMINATIONS OF PERSONS FOR ELECTION TO THE BOARD OF DIRECTORS OF THE CORPORATION AND THE PROPOSAL OF BUSINESS TO BE CONSIDERED BY THE STOCKHOLDERS MAY BE MADE AT A REGULAR MEETING OF STOCKHOLDERS</w:t>
      </w:r>
    </w:p>
    <w:p>
      <w:pPr>
        <w:spacing w:after="0" w:line="1" w:lineRule="exact"/>
        <w:rPr>
          <w:sz w:val="20"/>
          <w:szCs w:val="20"/>
          <w:color w:val="auto"/>
        </w:rPr>
      </w:pPr>
    </w:p>
    <w:p>
      <w:pPr>
        <w:ind w:right="3339" w:firstLine="8"/>
        <w:spacing w:after="0" w:line="251"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65" w:lineRule="exact"/>
        <w:rPr>
          <w:sz w:val="20"/>
          <w:szCs w:val="20"/>
          <w:color w:val="auto"/>
        </w:rPr>
      </w:pPr>
    </w:p>
    <w:p>
      <w:pPr>
        <w:ind w:right="3339" w:firstLine="8"/>
        <w:spacing w:after="0" w:line="250"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0" w:lineRule="auto"/>
        <w:rPr>
          <w:sz w:val="20"/>
          <w:szCs w:val="20"/>
          <w:color w:val="auto"/>
        </w:rPr>
      </w:pPr>
      <w:r>
        <w:rPr>
          <w:rFonts w:ascii="Courier New" w:cs="Courier New" w:eastAsia="Courier New" w:hAnsi="Courier New"/>
          <w:sz w:val="14"/>
          <w:szCs w:val="14"/>
          <w:color w:val="auto"/>
        </w:rPr>
        <w:t>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CLASS AND NUMBER OF SHARES OF THE CORPORATION THAT ARE OWNED BENEFICIALLY AND OF RECORD BY SUCH STOCKHOLDER AND SUCH BENEFICIAL OWNER.</w:t>
      </w:r>
    </w:p>
    <w:p>
      <w:pPr>
        <w:spacing w:after="0" w:line="160" w:lineRule="exact"/>
        <w:rPr>
          <w:sz w:val="20"/>
          <w:szCs w:val="20"/>
          <w:color w:val="auto"/>
        </w:rPr>
      </w:pPr>
    </w:p>
    <w:p>
      <w:pPr>
        <w:ind w:right="3339" w:firstLine="8"/>
        <w:spacing w:after="0" w:line="251"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63" w:lineRule="exact"/>
        <w:rPr>
          <w:sz w:val="20"/>
          <w:szCs w:val="20"/>
          <w:color w:val="auto"/>
        </w:rPr>
      </w:pPr>
    </w:p>
    <w:p>
      <w:pPr>
        <w:ind w:right="3339" w:firstLine="8"/>
        <w:spacing w:after="0" w:line="250"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7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CHAIRMAN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ectPr>
          <w:pgSz w:w="11900" w:h="16838" w:orient="portrait"/>
          <w:cols w:equalWidth="0" w:num="1">
            <w:col w:w="10239"/>
          </w:cols>
          <w:pgMar w:left="220" w:top="616" w:right="1440" w:bottom="1440" w:gutter="0" w:footer="0" w:header="0"/>
        </w:sectPr>
      </w:pPr>
    </w:p>
    <w:bookmarkStart w:id="29" w:name="page30"/>
    <w:bookmarkEnd w:id="29"/>
    <w:p>
      <w:pPr>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6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3.1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ELEVEN (11)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3.2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3.3 REGULAR MEETINGS OF THE BOARD SHALL BE HELD AT BI-MONTHLY INTERVALS DURING EACH FISCAL YEAR, OR ON SUCH ALTERNATE INTERVALS OR DATES AS THE BOARD MAY FIX FROM TIME TO TIME IN ITS DISCRETION, AND AT SUCH TIME AND PLACE AS THE CHAIRMAN OF THE BOARD OF DIRECTORS OR, IN HIS</w:t>
      </w:r>
    </w:p>
    <w:p>
      <w:pPr>
        <w:sectPr>
          <w:pgSz w:w="11900" w:h="16838" w:orient="portrait"/>
          <w:cols w:equalWidth="0" w:num="1">
            <w:col w:w="10239"/>
          </w:cols>
          <w:pgMar w:left="220" w:top="616" w:right="1440" w:bottom="1440" w:gutter="0" w:footer="0" w:header="0"/>
        </w:sectPr>
      </w:pPr>
    </w:p>
    <w:bookmarkStart w:id="30" w:name="page31"/>
    <w:bookmarkEnd w:id="30"/>
    <w:p>
      <w:pPr>
        <w:ind w:right="3599"/>
        <w:spacing w:after="0" w:line="250" w:lineRule="auto"/>
        <w:rPr>
          <w:sz w:val="20"/>
          <w:szCs w:val="20"/>
          <w:color w:val="auto"/>
        </w:rPr>
      </w:pPr>
      <w:r>
        <w:rPr>
          <w:rFonts w:ascii="Courier New" w:cs="Courier New" w:eastAsia="Courier New" w:hAnsi="Courier New"/>
          <w:sz w:val="14"/>
          <w:szCs w:val="14"/>
          <w:color w:val="auto"/>
        </w:rPr>
        <w:t>ABSENCE, THE PRESIDENT SHALL DETERMINE, PREFERABLY AT THE PRINCIPAL EXECUTIVE OFFICE OF THE CORPORATION DURING THE THIRD WEEK OF THE MONTH. AT LEAST THREE</w:t>
      </w:r>
    </w:p>
    <w:p>
      <w:pPr>
        <w:spacing w:after="0" w:line="1" w:lineRule="exact"/>
        <w:rPr>
          <w:sz w:val="20"/>
          <w:szCs w:val="20"/>
          <w:color w:val="auto"/>
        </w:rPr>
      </w:pPr>
    </w:p>
    <w:p>
      <w:pPr>
        <w:ind w:right="3679" w:firstLine="8"/>
        <w:spacing w:after="0" w:line="255"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THEREOF SHALL BE GIVEN BY THE SECRETARY TO EACH DIRECTOR, EITHER PERSONALLY OR BY TELEPHONE, MAIL, TELEGRAM OR FACSIMILE TRANSMISSION.</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3.4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 3.5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3.6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3.7 THE BOARD MAY UNANIMOUSLY ELECT FROM AMONG THE DIRECTORS AN EXECUTIVE COMMITTEE, A COMPENSATION COMMITTEE, AN AUDIT COMMITTEE, AND A NOMINATING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3.8 THE EXECUTIVE COMMITTEE SHALL CONSIST OF TWO OR MORE OF THE DIRECTORS OF THE CORPORATION, INCLUDING THE CHAIRMAN OF THE BOARD OF DIRECTORS, AND ONE OF THE MEMBERS SHALL BE DESIGNATED BY THE BOARD OF DIRECTORS AS ITS CHAIRMAN. THE CHAIRMAN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ectPr>
          <w:pgSz w:w="11900" w:h="16838" w:orient="portrait"/>
          <w:cols w:equalWidth="0" w:num="1">
            <w:col w:w="10239"/>
          </w:cols>
          <w:pgMar w:left="220" w:top="616" w:right="1440" w:bottom="1440" w:gutter="0" w:footer="0" w:header="0"/>
        </w:sectPr>
      </w:pPr>
    </w:p>
    <w:bookmarkStart w:id="31" w:name="page32"/>
    <w:bookmarkEnd w:id="31"/>
    <w:p>
      <w:pPr>
        <w:ind w:right="3339"/>
        <w:spacing w:after="0" w:line="250" w:lineRule="auto"/>
        <w:rPr>
          <w:sz w:val="20"/>
          <w:szCs w:val="20"/>
          <w:color w:val="auto"/>
        </w:rPr>
      </w:pPr>
      <w:r>
        <w:rPr>
          <w:rFonts w:ascii="Courier New" w:cs="Courier New" w:eastAsia="Courier New" w:hAnsi="Courier New"/>
          <w:sz w:val="14"/>
          <w:szCs w:val="14"/>
          <w:color w:val="auto"/>
        </w:rPr>
        <w:t>SECTION 3.9 THE AUDIT COMMITTEE SHALL CONSIST OF TWO OR MORE OF THE DIRECTORS OF THE CORPORATION, NONE OF WHOM SHALL BE OFFICERS OR EMPLOYEES OF THE CORPORATION, AND ONE OF THE MEMBERS SHALL BE DESIGNATED BY THE BOARD OF DIRECTORS AS ITS CHAIRMAN. THE CHAIRMAN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ACCOUNTING CONTROLS AND POLICIES, AND REPORTING PRACTICES, INCLUDING MAKING RECOMMENDATIONS REGARDING THE SELECTION, RETENTION AND TERMINATION OF THE CORPORATION'S INDEPENDENT AUDITORS, REVIEW OF PROFESSIONAL SERVICES, PROPOSED FEES AND INDEPENDENCE OF SUCH AUDITORS, SCOPE OF THE AUDIT, AUTHORIZATION OF SPECIAL REVIEWS OR AUDITS, REVIEW OF INTERNAL AUDITING PROCEDURES AND THE ADEQUACY OF INTERNAL CONTROLS, AND REVIEW OF POLICIES AND PRACTICES RESPECTING CONFLICT OF INTEREST AND COMPLIANCE WITH APPLICABLE LAWS. THE MANAGER OF THE CORPORATION'S INTERNAL AUDITING FUNCTION, WHEN OPERATIVE, SHALL HAVE AN INDIRECT REPORTING RELATIONSHIP TO THE CHAIRMAN OF THE AUDIT COMMITTEE, AND SHALL PERFORM SUCH DUTIES AS MAY BE PRESCRIBED BY THE BOARD OF DIRECTORS OR BY THE CHAIRMAN OF THE AUDIT COMMITTEE. THE COMMITTEE SHALL HAVE DISCRETIONARY AUTHORITY TO UNDERTAKE ADDITIONAL ACTIVITIES WITHIN THE SCOPE OF ITS PRIMARY FUNCTIONS.</w:t>
      </w:r>
    </w:p>
    <w:p>
      <w:pPr>
        <w:spacing w:after="0" w:line="34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3.10 THE COMPENSATION COMMITTEE SHALL CONSIST OF TWO OR MORE DIRECTORS OF THE CORPORATION, NONE OF WHOM SHALL BE OFFICERS OR EMPLOYEES OF THE CORPORATION, AND ONE OF THE MEMBERS SHALL BE DESIGNATED BY THE BOARD OF DIRECTORS AS ITS CHAIRMAN. THE CHAIRMAN OF THE COMPENSATION COMMITTEE SHALL PRESIDE AT ALL MEETINGS OF THE COMPENSATION COMMITTEE AND SHALL PERFORM SUCH OTHER DUTIES AS MAY BE PRESCRIBED BY THE BOARD OF DIRECTORS. THE PURPOSES OF THE COMPENSATION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3.11 THE NOMINATING COMMITTEE SHALL CONSIST OF TWO OR MORE DIRECTORS OF THE CORPORATION WHO DO NOT HAVE ANY DIRECT OR INDIRECT ECONOMIC OR PERSONAL ASSOCIATION WITH THE CORPORATION, OR WITH ANY OF ITS AFFILIATES OR THE EMPLOYEES THEREOF. THE CHIEF EXECUTIVE OFFICER OF THE CORPORATION SHALL SERVE AS AN EX OFFICIO NON-VOTING MEMBER. ONE OF THE MEMBERS OF THE COMMITTEE SHALL BE DESIGNATED AS ITS CHAIRMAN BY THE BOARD OF DIRECTORS. THE CHAIRMAN OF THE NOMINATING COMMITTEE SHALL PRESIDE AT ALL MEETINGS OF THE NOMINATING COMMITTEE AND SHALL PERFORM SUCH OTHER DUTIES AS MAY BE PRESCRIBED BY THE BOARD OF DIRECTORS. THE PRIMARY FUNCTIONS OF THE NOMINATING COMMITTEE ARE TO REVIEW WITH THE CHIEF EXECUTIVE OFFICER OF THE CORPORATION AN APPROPRIATE SIZE AND MAKEUP FOR THE BOARD OF DIRECTORS, INCLUDING INDIVIDUALS HAVING SUCH BACKGROUND AND BUSINESS EXPERIENCE AS ARE CONSISTENT WITH AND COMPATIBLE TO THE LONG-RANGE INTERESTS AND FUTURE DIRECTION OF THE CORPORATION; TO CONSIDER THE QUALIFICATIONS OF PERSONS IDENTIFIED AS PROSPECTIVE DIRECTORS TO</w:t>
      </w:r>
    </w:p>
    <w:p>
      <w:pPr>
        <w:sectPr>
          <w:pgSz w:w="11900" w:h="16838" w:orient="portrait"/>
          <w:cols w:equalWidth="0" w:num="1">
            <w:col w:w="10239"/>
          </w:cols>
          <w:pgMar w:left="220" w:top="616" w:right="1440" w:bottom="1440" w:gutter="0" w:footer="0" w:header="0"/>
        </w:sectPr>
      </w:pPr>
    </w:p>
    <w:bookmarkStart w:id="32" w:name="page33"/>
    <w:bookmarkEnd w:id="32"/>
    <w:p>
      <w:pPr>
        <w:ind w:right="3339"/>
        <w:spacing w:after="0" w:line="251" w:lineRule="auto"/>
        <w:rPr>
          <w:sz w:val="20"/>
          <w:szCs w:val="20"/>
          <w:color w:val="auto"/>
        </w:rPr>
      </w:pPr>
      <w:r>
        <w:rPr>
          <w:rFonts w:ascii="Courier New" w:cs="Courier New" w:eastAsia="Courier New" w:hAnsi="Courier New"/>
          <w:sz w:val="14"/>
          <w:szCs w:val="14"/>
          <w:color w:val="auto"/>
        </w:rPr>
        <w:t>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3.12 MEETINGS OF EACH COMMITTEE SHALL BE HELD FROM TIME TO TIME AS THE CHAIRMAN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CHAIRMAN OF EACH BOARD COMMITTEE SHALL PRESIDE AT ALL MEETINGS OF SUCH COMMITTEE AND SHALL PERFORM SUCH OTHER DUTIES AS MAY BE PRESCRIBED BY THE BOARD OF DIRECTORS OR THE CHAIRMAN THEREOF.</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3.13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200" w:lineRule="exact"/>
        <w:rPr>
          <w:sz w:val="20"/>
          <w:szCs w:val="20"/>
          <w:color w:val="auto"/>
        </w:rPr>
      </w:pPr>
    </w:p>
    <w:p>
      <w:pPr>
        <w:spacing w:after="0" w:line="29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OFFICERS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4.1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AND AGENTS AS</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2" w:lineRule="auto"/>
        <w:rPr>
          <w:sz w:val="20"/>
          <w:szCs w:val="20"/>
          <w:color w:val="auto"/>
        </w:rPr>
      </w:pPr>
      <w:r>
        <w:rPr>
          <w:rFonts w:ascii="Courier New" w:cs="Courier New" w:eastAsia="Courier New" w:hAnsi="Courier New"/>
          <w:sz w:val="14"/>
          <w:szCs w:val="14"/>
          <w:color w:val="auto"/>
        </w:rPr>
        <w:t>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4.2 THE SALARY AND OTHER COMPENSATION OF THE CHAIRMAN OF THE BOARD, THE PRESIDENT AND ALL ELECTED VICE PRESIDENTS SHALL BE FIXED BY THE BOARD OF DIRECTORS. IF ANY VACANCY SHALL OCCUR AMONG THE ELECTED OFFICERS, IT SHALL BE FILLED BY THE BOARD.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4.3 THE CHAIRMAN OF THE BOARD OF DIRECTORS, OR IN HIS ABSENCE THE CHAIRMAN OF THE ORGANIZATION AND COMPENSATION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SECTION 4.4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4.5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SUCCEED TO HIS POWERS AND DUTIES, AND IN THE EVENT ALL ARE UNABLE TO SERVE FOR ANY REASON, THE VICE PRESIDENTS SHALL SUCCEED TO THEIR POWER AND DUTIES IN THE ORDER IN WHICH ELECTED.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4.6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4.7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ectPr>
          <w:pgSz w:w="11900" w:h="16838" w:orient="portrait"/>
          <w:cols w:equalWidth="0" w:num="1">
            <w:col w:w="10239"/>
          </w:cols>
          <w:pgMar w:left="220" w:top="616" w:right="1440" w:bottom="1440" w:gutter="0" w:footer="0" w:header="0"/>
        </w:sectPr>
      </w:pPr>
    </w:p>
    <w:bookmarkStart w:id="34" w:name="page35"/>
    <w:bookmarkEnd w:id="34"/>
    <w:p>
      <w:pPr>
        <w:ind w:right="3339"/>
        <w:spacing w:after="0" w:line="252" w:lineRule="auto"/>
        <w:rPr>
          <w:sz w:val="20"/>
          <w:szCs w:val="20"/>
          <w:color w:val="auto"/>
        </w:rPr>
      </w:pPr>
      <w:r>
        <w:rPr>
          <w:rFonts w:ascii="Courier New" w:cs="Courier New" w:eastAsia="Courier New" w:hAnsi="Courier New"/>
          <w:sz w:val="14"/>
          <w:szCs w:val="14"/>
          <w:color w:val="auto"/>
        </w:rPr>
        <w:t>SECTION 4.8 THE ASSISTANT TO ANY OFFICER SHALL, IN THE ABSENCE OR DISABILITY OF THAT OFFICER, PERFORM HIS DUTIES AND SHALL PERFORM SUCH OTHER DUTIES AS MAY BE PRESCRIBED BY THE BOARD OF DIRECTORS.</w:t>
      </w:r>
    </w:p>
    <w:p>
      <w:pPr>
        <w:sectPr>
          <w:pgSz w:w="11900" w:h="16838" w:orient="portrait"/>
          <w:cols w:equalWidth="0" w:num="1">
            <w:col w:w="10239"/>
          </w:cols>
          <w:pgMar w:left="220" w:top="616" w:right="1440" w:bottom="1440" w:gutter="0" w:footer="0" w:header="0"/>
        </w:sectPr>
      </w:pPr>
    </w:p>
    <w:bookmarkStart w:id="35" w:name="page36"/>
    <w:bookmarkEnd w:id="35"/>
    <w:p>
      <w:pPr>
        <w:jc w:val="center"/>
        <w:ind w:right="282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DIRECTORS STOCK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 w:right="3339" w:hanging="432"/>
        <w:spacing w:after="0" w:line="251" w:lineRule="auto"/>
        <w:tabs>
          <w:tab w:leader="none" w:pos="4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1992 Directors Stock Plan ("Plan") is to enable The Toro Company (the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63"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members of the Company's Board of Directors who are not current employees of the Company or any of its subsidiaries ("Nonemployee Directors") are eligible to participate in the Plan.</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AWARDS.</w:t>
      </w:r>
    </w:p>
    <w:p>
      <w:pPr>
        <w:spacing w:after="0" w:line="172" w:lineRule="exact"/>
        <w:rPr>
          <w:rFonts w:ascii="Courier New" w:cs="Courier New" w:eastAsia="Courier New" w:hAnsi="Courier New"/>
          <w:sz w:val="14"/>
          <w:szCs w:val="14"/>
          <w:color w:val="auto"/>
        </w:rPr>
      </w:pPr>
    </w:p>
    <w:p>
      <w:pPr>
        <w:ind w:left="952" w:right="3419" w:hanging="521"/>
        <w:spacing w:after="0" w:line="251" w:lineRule="auto"/>
        <w:tabs>
          <w:tab w:leader="none" w:pos="95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62" w:lineRule="exact"/>
        <w:rPr>
          <w:rFonts w:ascii="Courier New" w:cs="Courier New" w:eastAsia="Courier New" w:hAnsi="Courier New"/>
          <w:sz w:val="14"/>
          <w:szCs w:val="14"/>
          <w:color w:val="auto"/>
        </w:rPr>
      </w:pPr>
    </w:p>
    <w:p>
      <w:pPr>
        <w:ind w:left="952" w:hanging="521"/>
        <w:spacing w:after="0"/>
        <w:tabs>
          <w:tab w:leader="none" w:pos="95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w:t>
      </w:r>
    </w:p>
    <w:p>
      <w:pPr>
        <w:spacing w:after="0" w:line="172" w:lineRule="exact"/>
        <w:rPr>
          <w:rFonts w:ascii="Courier New" w:cs="Courier New" w:eastAsia="Courier New" w:hAnsi="Courier New"/>
          <w:sz w:val="14"/>
          <w:szCs w:val="14"/>
          <w:color w:val="auto"/>
        </w:rPr>
      </w:pPr>
    </w:p>
    <w:p>
      <w:pPr>
        <w:ind w:left="1472" w:right="3419" w:hanging="524"/>
        <w:spacing w:after="0" w:line="251" w:lineRule="auto"/>
        <w:tabs>
          <w:tab w:leader="none" w:pos="1472"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The "fair market value of one share of Common Stock" shall be the closing price of the Common Stock on the New York Stock Exchange on the first business day of the Company's fiscal year with respect to which the grant is made, as reported in The Wall Street Journal.</w:t>
      </w:r>
    </w:p>
    <w:p>
      <w:pPr>
        <w:spacing w:after="0" w:line="163" w:lineRule="exact"/>
        <w:rPr>
          <w:rFonts w:ascii="Courier New" w:cs="Courier New" w:eastAsia="Courier New" w:hAnsi="Courier New"/>
          <w:sz w:val="14"/>
          <w:szCs w:val="14"/>
          <w:color w:val="auto"/>
        </w:rPr>
      </w:pPr>
    </w:p>
    <w:p>
      <w:pPr>
        <w:ind w:left="1472" w:hanging="524"/>
        <w:spacing w:after="0"/>
        <w:tabs>
          <w:tab w:leader="none" w:pos="1472"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w:t>
      </w:r>
    </w:p>
    <w:p>
      <w:pPr>
        <w:spacing w:after="0" w:line="172" w:lineRule="exact"/>
        <w:rPr>
          <w:rFonts w:ascii="Courier New" w:cs="Courier New" w:eastAsia="Courier New" w:hAnsi="Courier New"/>
          <w:sz w:val="14"/>
          <w:szCs w:val="14"/>
          <w:color w:val="auto"/>
        </w:rPr>
      </w:pPr>
    </w:p>
    <w:p>
      <w:pPr>
        <w:ind w:left="2152" w:right="3419" w:hanging="687"/>
        <w:spacing w:after="0" w:line="252" w:lineRule="auto"/>
        <w:tabs>
          <w:tab w:leader="none" w:pos="2152" w:val="left"/>
        </w:tabs>
        <w:numPr>
          <w:ilvl w:val="3"/>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w:t>
      </w:r>
    </w:p>
    <w:p>
      <w:pPr>
        <w:spacing w:after="0" w:line="162" w:lineRule="exact"/>
        <w:rPr>
          <w:rFonts w:ascii="Courier New" w:cs="Courier New" w:eastAsia="Courier New" w:hAnsi="Courier New"/>
          <w:sz w:val="14"/>
          <w:szCs w:val="14"/>
          <w:color w:val="auto"/>
        </w:rPr>
      </w:pPr>
    </w:p>
    <w:p>
      <w:pPr>
        <w:ind w:left="2152" w:right="3339" w:hanging="687"/>
        <w:spacing w:after="0" w:line="252" w:lineRule="auto"/>
        <w:tabs>
          <w:tab w:leader="none" w:pos="2152" w:val="left"/>
        </w:tabs>
        <w:numPr>
          <w:ilvl w:val="3"/>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Directors Option shall be assigned or transferred, except by will or the laws of descent and distribution. An option so transferred may be</w:t>
      </w:r>
    </w:p>
    <w:p>
      <w:pPr>
        <w:sectPr>
          <w:pgSz w:w="11900" w:h="16838" w:orient="portrait"/>
          <w:cols w:equalWidth="0" w:num="1">
            <w:col w:w="10231"/>
          </w:cols>
          <w:pgMar w:left="228" w:top="473" w:right="1440" w:bottom="1440" w:gutter="0" w:footer="0" w:header="0"/>
        </w:sectPr>
      </w:pPr>
    </w:p>
    <w:bookmarkStart w:id="36" w:name="page37"/>
    <w:bookmarkEnd w:id="36"/>
    <w:p>
      <w:pPr>
        <w:ind w:left="2152"/>
        <w:spacing w:after="0"/>
        <w:rPr>
          <w:sz w:val="20"/>
          <w:szCs w:val="20"/>
          <w:color w:val="auto"/>
        </w:rPr>
      </w:pPr>
      <w:r>
        <w:rPr>
          <w:rFonts w:ascii="Courier New" w:cs="Courier New" w:eastAsia="Courier New" w:hAnsi="Courier New"/>
          <w:sz w:val="14"/>
          <w:szCs w:val="14"/>
          <w:color w:val="auto"/>
        </w:rPr>
        <w:t>exercised after the death of the individual to whom it</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is granted only by such individual's legal</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representatives, heirs or legatees, not later than the</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earlier of the date the option expires or one year</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after the date of death of such individual, and only</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with respect to an option exercisable at the time of</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death.</w:t>
      </w:r>
    </w:p>
    <w:p>
      <w:pPr>
        <w:spacing w:after="0" w:line="173" w:lineRule="exact"/>
        <w:rPr>
          <w:sz w:val="20"/>
          <w:szCs w:val="20"/>
          <w:color w:val="auto"/>
        </w:rPr>
      </w:pPr>
    </w:p>
    <w:p>
      <w:pPr>
        <w:ind w:left="2152" w:right="3339" w:hanging="687"/>
        <w:spacing w:after="0" w:line="251" w:lineRule="auto"/>
        <w:tabs>
          <w:tab w:leader="none" w:pos="215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62" w:lineRule="exact"/>
        <w:rPr>
          <w:rFonts w:ascii="Courier New" w:cs="Courier New" w:eastAsia="Courier New" w:hAnsi="Courier New"/>
          <w:sz w:val="14"/>
          <w:szCs w:val="14"/>
          <w:color w:val="auto"/>
        </w:rPr>
      </w:pPr>
    </w:p>
    <w:p>
      <w:pPr>
        <w:ind w:left="2152" w:right="3519" w:hanging="687"/>
        <w:spacing w:after="0" w:line="252" w:lineRule="auto"/>
        <w:tabs>
          <w:tab w:leader="none" w:pos="215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pacing w:after="0" w:line="162" w:lineRule="exact"/>
        <w:rPr>
          <w:rFonts w:ascii="Courier New" w:cs="Courier New" w:eastAsia="Courier New" w:hAnsi="Courier New"/>
          <w:sz w:val="14"/>
          <w:szCs w:val="14"/>
          <w:color w:val="auto"/>
        </w:rPr>
      </w:pPr>
    </w:p>
    <w:p>
      <w:pPr>
        <w:ind w:left="952" w:right="3419" w:hanging="521"/>
        <w:spacing w:after="0" w:line="250" w:lineRule="auto"/>
        <w:tabs>
          <w:tab w:leader="none" w:pos="95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2" w:lineRule="exact"/>
        <w:rPr>
          <w:rFonts w:ascii="Courier New" w:cs="Courier New" w:eastAsia="Courier New" w:hAnsi="Courier New"/>
          <w:sz w:val="14"/>
          <w:szCs w:val="14"/>
          <w:color w:val="auto"/>
        </w:rPr>
      </w:pPr>
    </w:p>
    <w:p>
      <w:pPr>
        <w:ind w:left="952" w:right="3519" w:hanging="521"/>
        <w:spacing w:after="0" w:line="251" w:lineRule="auto"/>
        <w:tabs>
          <w:tab w:leader="none" w:pos="95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and meeting fees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329"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IN LIEU OF FEES. A Nonemployee Director shall have the right to elect to receive shares of Common Stock in lieu of 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amount of the cash that otherwise would have been paid by the market value of one share of Common Stock on the date that the shares are issued.</w:t>
      </w:r>
    </w:p>
    <w:p>
      <w:pPr>
        <w:spacing w:after="0" w:line="163"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w:t>
      </w:r>
    </w:p>
    <w:p>
      <w:pPr>
        <w:spacing w:after="0" w:line="329"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37" w:name="page38"/>
    <w:bookmarkEnd w:id="37"/>
    <w:p>
      <w:pPr>
        <w:ind w:left="432" w:right="3339"/>
        <w:spacing w:after="0" w:line="250" w:lineRule="auto"/>
        <w:rPr>
          <w:sz w:val="20"/>
          <w:szCs w:val="20"/>
          <w:color w:val="auto"/>
        </w:rPr>
      </w:pPr>
      <w:r>
        <w:rPr>
          <w:rFonts w:ascii="Courier New" w:cs="Courier New" w:eastAsia="Courier New" w:hAnsi="Courier New"/>
          <w:sz w:val="14"/>
          <w:szCs w:val="14"/>
          <w:color w:val="auto"/>
        </w:rPr>
        <w:t>available for issuance in connection with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3" w:lineRule="exact"/>
        <w:rPr>
          <w:sz w:val="20"/>
          <w:szCs w:val="20"/>
          <w:color w:val="auto"/>
        </w:rPr>
      </w:pPr>
    </w:p>
    <w:p>
      <w:pPr>
        <w:ind w:left="432" w:right="3339" w:hanging="432"/>
        <w:spacing w:after="0" w:line="250" w:lineRule="auto"/>
        <w:tabs>
          <w:tab w:leader="none" w:pos="43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4" w:lineRule="exact"/>
        <w:rPr>
          <w:rFonts w:ascii="Courier New" w:cs="Courier New" w:eastAsia="Courier New" w:hAnsi="Courier New"/>
          <w:sz w:val="14"/>
          <w:szCs w:val="14"/>
          <w:color w:val="auto"/>
        </w:rPr>
      </w:pPr>
    </w:p>
    <w:p>
      <w:pPr>
        <w:ind w:left="43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337"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w:t>
      </w:r>
    </w:p>
    <w:p>
      <w:pPr>
        <w:spacing w:after="0" w:line="330"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38" w:name="page39"/>
    <w:bookmarkEnd w:id="38"/>
    <w:p>
      <w:pPr>
        <w:jc w:val="both"/>
        <w:ind w:left="432" w:right="3419"/>
        <w:spacing w:after="0" w:line="252" w:lineRule="auto"/>
        <w:rPr>
          <w:sz w:val="20"/>
          <w:szCs w:val="20"/>
          <w:color w:val="auto"/>
        </w:rPr>
      </w:pPr>
      <w:r>
        <w:rPr>
          <w:rFonts w:ascii="Courier New" w:cs="Courier New" w:eastAsia="Courier New" w:hAnsi="Courier New"/>
          <w:sz w:val="14"/>
          <w:szCs w:val="14"/>
          <w:color w:val="auto"/>
        </w:rPr>
        <w:t>receive Directors Shares or Directors Options or to set the value of such Directors Shares or Directors Options, other than to make the calculations required by Section 3.a. and Section 3.b.</w:t>
      </w:r>
    </w:p>
    <w:p>
      <w:pPr>
        <w:spacing w:after="0" w:line="163" w:lineRule="exact"/>
        <w:rPr>
          <w:sz w:val="20"/>
          <w:szCs w:val="20"/>
          <w:color w:val="auto"/>
        </w:rPr>
      </w:pPr>
    </w:p>
    <w:p>
      <w:pPr>
        <w:jc w:val="both"/>
        <w:ind w:left="432" w:right="3599" w:hanging="432"/>
        <w:spacing w:after="0" w:line="255" w:lineRule="auto"/>
        <w:tabs>
          <w:tab w:leader="none" w:pos="43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be perpetual, unless sooner terminated by action of the Board of Directors.</w:t>
      </w:r>
    </w:p>
    <w:p>
      <w:pPr>
        <w:spacing w:after="0" w:line="159"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effective date of any amendment to the Plan shall be the date of its adoption by the Board of Directors. No amendment of the Plan shall adversely affect in a material manner any right of any option holder with respect to any option theretofore granted without such option holder's written consent.</w:t>
      </w:r>
    </w:p>
    <w:p>
      <w:pPr>
        <w:spacing w:after="0" w:line="164"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options and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39" w:name="page40"/>
    <w:bookmarkEnd w:id="39"/>
    <w:p>
      <w:pPr>
        <w:ind w:left="275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92"/>
        <w:spacing w:after="0"/>
        <w:rPr>
          <w:sz w:val="20"/>
          <w:szCs w:val="20"/>
          <w:color w:val="auto"/>
        </w:rPr>
      </w:pPr>
      <w:r>
        <w:rPr>
          <w:rFonts w:ascii="Courier New" w:cs="Courier New" w:eastAsia="Courier New" w:hAnsi="Courier New"/>
          <w:sz w:val="14"/>
          <w:szCs w:val="14"/>
          <w:color w:val="auto"/>
        </w:rPr>
        <w:t>ANNUAL MANAGEMENT INCENTIVE PLAN II</w:t>
      </w:r>
    </w:p>
    <w:p>
      <w:pPr>
        <w:spacing w:after="0" w:line="200" w:lineRule="exact"/>
        <w:rPr>
          <w:sz w:val="20"/>
          <w:szCs w:val="20"/>
          <w:color w:val="auto"/>
        </w:rPr>
      </w:pPr>
    </w:p>
    <w:p>
      <w:pPr>
        <w:spacing w:after="0" w:line="304" w:lineRule="exact"/>
        <w:rPr>
          <w:sz w:val="20"/>
          <w:szCs w:val="20"/>
          <w:color w:val="auto"/>
        </w:rPr>
      </w:pPr>
    </w:p>
    <w:p>
      <w:pPr>
        <w:ind w:left="432" w:right="3339" w:hanging="432"/>
        <w:spacing w:after="0" w:line="251"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II (the "Plan") is to enhance stockholder value of The Toro 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328"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AMOUNTS.</w:t>
      </w:r>
    </w:p>
    <w:p>
      <w:pPr>
        <w:spacing w:after="0" w:line="172"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up to 60% for the Chairman and Chief Executive Officer, up to 55% for the President and Chief Operating Officer if one should be elected, up to 50% for other elected officers and up to 45%for other officers. The Chief Executive Officer may approve modifications to the foregoing Participation Factors for any participant who is not a person referred to in</w:t>
      </w:r>
    </w:p>
    <w:p>
      <w:pPr>
        <w:sectPr>
          <w:pgSz w:w="11900" w:h="16838" w:orient="portrait"/>
          <w:cols w:equalWidth="0" w:num="1">
            <w:col w:w="10231"/>
          </w:cols>
          <w:pgMar w:left="228" w:top="473" w:right="1440" w:bottom="1440" w:gutter="0" w:footer="0" w:header="0"/>
        </w:sectPr>
      </w:pPr>
    </w:p>
    <w:bookmarkStart w:id="40" w:name="page41"/>
    <w:bookmarkEnd w:id="40"/>
    <w:p>
      <w:pPr>
        <w:ind w:left="430" w:right="3599"/>
        <w:spacing w:after="0" w:line="251" w:lineRule="auto"/>
        <w:rPr>
          <w:sz w:val="20"/>
          <w:szCs w:val="20"/>
          <w:color w:val="auto"/>
        </w:rPr>
      </w:pPr>
      <w:r>
        <w:rPr>
          <w:rFonts w:ascii="Courier New" w:cs="Courier New" w:eastAsia="Courier New" w:hAnsi="Courier New"/>
          <w:sz w:val="14"/>
          <w:szCs w:val="14"/>
          <w:color w:val="auto"/>
        </w:rPr>
        <w:t>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than the Target Payout.</w:t>
      </w:r>
    </w:p>
    <w:p>
      <w:pPr>
        <w:spacing w:after="0" w:line="164" w:lineRule="exact"/>
        <w:rPr>
          <w:sz w:val="20"/>
          <w:szCs w:val="20"/>
          <w:color w:val="auto"/>
        </w:rPr>
      </w:pPr>
    </w:p>
    <w:p>
      <w:pPr>
        <w:ind w:left="430" w:right="3339" w:hanging="430"/>
        <w:spacing w:after="0" w:line="251" w:lineRule="auto"/>
        <w:tabs>
          <w:tab w:leader="none" w:pos="43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PAYOUT. The Committee may also establish a maximum potential payout amount (the "Maximum Payout") with respect to an Annual 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63" w:lineRule="exact"/>
        <w:rPr>
          <w:rFonts w:ascii="Courier New" w:cs="Courier New" w:eastAsia="Courier New" w:hAnsi="Courier New"/>
          <w:sz w:val="14"/>
          <w:szCs w:val="14"/>
          <w:color w:val="auto"/>
        </w:rPr>
      </w:pPr>
    </w:p>
    <w:p>
      <w:pPr>
        <w:ind w:left="430" w:right="3339" w:hanging="430"/>
        <w:spacing w:after="0" w:line="251" w:lineRule="auto"/>
        <w:tabs>
          <w:tab w:leader="none" w:pos="43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establish supplemental division-specific Performance 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vice president or general manager based on the Committee's evaluation of the quality of division performance.</w:t>
      </w:r>
    </w:p>
    <w:p>
      <w:pPr>
        <w:spacing w:after="0" w:line="163" w:lineRule="exact"/>
        <w:rPr>
          <w:rFonts w:ascii="Courier New" w:cs="Courier New" w:eastAsia="Courier New" w:hAnsi="Courier New"/>
          <w:sz w:val="14"/>
          <w:szCs w:val="14"/>
          <w:color w:val="auto"/>
        </w:rPr>
      </w:pPr>
    </w:p>
    <w:p>
      <w:pPr>
        <w:ind w:left="430" w:right="3339" w:hanging="430"/>
        <w:spacing w:after="0" w:line="251" w:lineRule="auto"/>
        <w:tabs>
          <w:tab w:leader="none" w:pos="43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PERFORMANCE MEASURE PAYOUT. At the time an Annual Performance Award is made, the Committee may increase the Target Payout and the Maximum Payout (as either may be prorated in accordance with subparagraphs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62" w:lineRule="exact"/>
        <w:rPr>
          <w:rFonts w:ascii="Courier New" w:cs="Courier New" w:eastAsia="Courier New" w:hAnsi="Courier New"/>
          <w:sz w:val="14"/>
          <w:szCs w:val="14"/>
          <w:color w:val="auto"/>
        </w:rPr>
      </w:pPr>
    </w:p>
    <w:p>
      <w:pPr>
        <w:ind w:left="430" w:right="3339" w:hanging="430"/>
        <w:spacing w:after="0" w:line="251" w:lineRule="auto"/>
        <w:tabs>
          <w:tab w:leader="none" w:pos="43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MAXIMUM. With respect to any Plan Participant who is or may become a person referred to in Section 162(m), the maximum dollar amount that may be paid under an Annual Performance Award shall be set at the time the Committee grants the award and establishes Performance Goals under the award.</w:t>
      </w:r>
    </w:p>
    <w:p>
      <w:pPr>
        <w:spacing w:after="0" w:line="330"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0"/>
          </w:cols>
          <w:pgMar w:left="1090" w:top="616" w:right="1440" w:bottom="1440" w:gutter="0" w:footer="0" w:header="0"/>
        </w:sectPr>
      </w:pPr>
    </w:p>
    <w:bookmarkStart w:id="41" w:name="page42"/>
    <w:bookmarkEnd w:id="41"/>
    <w:p>
      <w:pPr>
        <w:ind w:left="432" w:hanging="432"/>
        <w:spacing w:after="0"/>
        <w:tabs>
          <w:tab w:leader="none" w:pos="43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w:t>
      </w:r>
    </w:p>
    <w:p>
      <w:pPr>
        <w:spacing w:after="0" w:line="172"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 award payment under an Annual Performance Award shall be made to a Plan Participant only if the Company, a 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2" w:lineRule="exact"/>
        <w:rPr>
          <w:rFonts w:ascii="Courier New" w:cs="Courier New" w:eastAsia="Courier New" w:hAnsi="Courier New"/>
          <w:sz w:val="14"/>
          <w:szCs w:val="14"/>
          <w:color w:val="auto"/>
        </w:rPr>
      </w:pPr>
    </w:p>
    <w:p>
      <w:pPr>
        <w:ind w:left="1292" w:right="3339" w:hanging="430"/>
        <w:spacing w:after="0" w:line="250" w:lineRule="auto"/>
        <w:tabs>
          <w:tab w:leader="none" w:pos="129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average net asset dollar level, division profit adjustment, division controllable profit contribution, division average asset dollars, return on equity, revenue growth, earnings growth or economic value added . Supplemental Division Performance Goals for division participants that may be established under subparagraph 4.a. may be based on any of the foregoing and/or on division specific operating performance goals including revenue growth, sustained earnings, product warranty experience, product recalls or inventory levels. SPM Performance Goals that may be established under subparagraph 4.a. may be based on quantitative or qualitative factors, and may include, but are not limited to, aggressive revenue growth, sustaining earnings initiative, warranty experience, product recalls, field inventory, or acquisition experience, customer satisfaction (determined by such measurements as product quality, warranty, on-time delivery, fill rate, after-market service or customer satisfaction survey results), inventory reduction and inventory turnover. Each Performance Goal is to be specifically defined by the Committee on a Company, division or individual basis and/or in comparison with peer group performance.</w:t>
      </w:r>
    </w:p>
    <w:p>
      <w:pPr>
        <w:spacing w:after="0" w:line="340"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2"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Plan Participant may be paid under an Annual Performance Award, whether in cash or Common Stock or Common Stock units, with respect to any fiscal year is $1,500,000 . The Committee may, in its discretion, decrease this maximum, but may not, under any circumstances, increase this maximum.</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42" w:name="page43"/>
    <w:bookmarkEnd w:id="42"/>
    <w:p>
      <w:pPr>
        <w:ind w:left="432" w:right="3339" w:hanging="432"/>
        <w:spacing w:after="0" w:line="251"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as reflected in the minutes,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3"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RETENTION PROVISIONS.</w:t>
      </w:r>
    </w:p>
    <w:p>
      <w:pPr>
        <w:spacing w:after="0" w:line="172" w:lineRule="exact"/>
        <w:rPr>
          <w:rFonts w:ascii="Courier New" w:cs="Courier New" w:eastAsia="Courier New" w:hAnsi="Courier New"/>
          <w:sz w:val="14"/>
          <w:szCs w:val="14"/>
          <w:color w:val="auto"/>
        </w:rPr>
      </w:pPr>
    </w:p>
    <w:p>
      <w:pPr>
        <w:ind w:left="1292" w:right="3419" w:hanging="430"/>
        <w:spacing w:after="0" w:line="250" w:lineRule="auto"/>
        <w:tabs>
          <w:tab w:leader="none" w:pos="1292"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STOCK RETENTION AWARD. Subject to the terms and conditions of this paragraph 8 (the "Stock Retention Provisions"), at the time the Committee selects Plan Participants, the Committee may grant to selected Plan Participants ("Stock Participants") a right (a "Stock Retention Award") to elect (i) to convert to shares of Common Stock or</w:t>
      </w:r>
    </w:p>
    <w:p>
      <w:pPr>
        <w:spacing w:after="0" w:line="2" w:lineRule="exact"/>
        <w:rPr>
          <w:rFonts w:ascii="Courier New" w:cs="Courier New" w:eastAsia="Courier New" w:hAnsi="Courier New"/>
          <w:sz w:val="14"/>
          <w:szCs w:val="14"/>
          <w:color w:val="auto"/>
        </w:rPr>
      </w:pPr>
    </w:p>
    <w:p>
      <w:pPr>
        <w:ind w:left="1292" w:right="3339"/>
        <w:spacing w:after="0" w:line="250" w:lineRule="auto"/>
        <w:tabs>
          <w:tab w:leader="none" w:pos="1722"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up to the limit of 50% of the Base Cash Award (the "Matching Shares" or "Matching Units"). The shares or units acquired upon conversion of all or a portion of the Base Cash Award shall be retained by the Company (which shall be called the "Agent" for purposes of the Stock Retention Provisions) during the vesting periods for the Matching Shares or Units described in subparagraph 8.e. Shares of Common Stock issued under the Stock Retention Provisions shall be called "Retained Shares" and units of Common Stock deferred under the Officer Deferred Plan shall be called "Retained Units" under this paragraph 8.</w:t>
      </w:r>
    </w:p>
    <w:p>
      <w:pPr>
        <w:spacing w:after="0" w:line="173"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UNITS. The number of Retained Shares or Retained Units to be issued or credited upon conversion of a Base Cash Award under a Stock Retention Award election shall be equal to the dollar amount of the portion of the Base Cash Award subject to the election, divided by the fair market value of the Common Stock on the date that the Committee makes the certification required under paragraph 7 of this Plan. Fair market value shall be the closing price of one share of Common Stock, as reported in THE WALL STREET JOURNAL. Retained Shares shall be issued in whole shares only and cash shall be paid for fractional shares.</w:t>
      </w:r>
    </w:p>
    <w:p>
      <w:pPr>
        <w:spacing w:after="0" w:line="200" w:lineRule="exact"/>
        <w:rPr>
          <w:sz w:val="20"/>
          <w:szCs w:val="20"/>
          <w:color w:val="auto"/>
        </w:rPr>
      </w:pPr>
    </w:p>
    <w:p>
      <w:pPr>
        <w:spacing w:after="0" w:line="29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43" w:name="page44"/>
    <w:bookmarkEnd w:id="43"/>
    <w:p>
      <w:pPr>
        <w:ind w:left="430" w:hanging="430"/>
        <w:spacing w:after="0"/>
        <w:tabs>
          <w:tab w:leader="none" w:pos="43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EXERCISE STOCK RETENTION AWARD.</w:t>
      </w:r>
    </w:p>
    <w:p>
      <w:pPr>
        <w:spacing w:after="0" w:line="172" w:lineRule="exact"/>
        <w:rPr>
          <w:rFonts w:ascii="Courier New" w:cs="Courier New" w:eastAsia="Courier New" w:hAnsi="Courier New"/>
          <w:sz w:val="14"/>
          <w:szCs w:val="14"/>
          <w:color w:val="auto"/>
        </w:rPr>
      </w:pPr>
    </w:p>
    <w:p>
      <w:pPr>
        <w:ind w:left="430" w:right="3339"/>
        <w:spacing w:after="0" w:line="251" w:lineRule="auto"/>
        <w:tabs>
          <w:tab w:leader="none" w:pos="68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except as otherwise provided in the Officer Deferred Plan with respect to the year in which that plan is first implemented or materially amended or the first year in which a Stock Participant becomes eligible to participate in the Stock Retention Provisions.</w:t>
      </w:r>
    </w:p>
    <w:p>
      <w:pPr>
        <w:spacing w:after="0" w:line="163" w:lineRule="exact"/>
        <w:rPr>
          <w:rFonts w:ascii="Courier New" w:cs="Courier New" w:eastAsia="Courier New" w:hAnsi="Courier New"/>
          <w:sz w:val="14"/>
          <w:szCs w:val="14"/>
          <w:color w:val="auto"/>
        </w:rPr>
      </w:pPr>
    </w:p>
    <w:p>
      <w:pPr>
        <w:ind w:left="430" w:right="3419"/>
        <w:spacing w:after="0" w:line="251" w:lineRule="auto"/>
        <w:tabs>
          <w:tab w:leader="none" w:pos="77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September 15 immediately prior to the last day of the fiscal year to which a Stock Retention Award relates, a Stock Participant who has not elected to convert the maximum permissible portion of the Base Cash Award into Retained Units and who wishes to convert up to the maximum permissible portion of the Base Cash Award into Retained Shares shall notify the Company in writing that he or she has elected to participate in the Stock Retention Provisions and shall specify the percentage of the Base Cash Award to be converted.</w:t>
      </w:r>
    </w:p>
    <w:p>
      <w:pPr>
        <w:spacing w:after="0" w:line="163" w:lineRule="exact"/>
        <w:rPr>
          <w:rFonts w:ascii="Courier New" w:cs="Courier New" w:eastAsia="Courier New" w:hAnsi="Courier New"/>
          <w:sz w:val="14"/>
          <w:szCs w:val="14"/>
          <w:color w:val="auto"/>
        </w:rPr>
      </w:pPr>
    </w:p>
    <w:p>
      <w:pPr>
        <w:ind w:left="430" w:right="3419"/>
        <w:spacing w:after="0" w:line="255" w:lineRule="auto"/>
        <w:tabs>
          <w:tab w:leader="none" w:pos="861"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election to participate is effective only for the fiscal year to which the Stock Retention Award relates.</w:t>
      </w:r>
    </w:p>
    <w:p>
      <w:pPr>
        <w:spacing w:after="0" w:line="159" w:lineRule="exact"/>
        <w:rPr>
          <w:rFonts w:ascii="Courier New" w:cs="Courier New" w:eastAsia="Courier New" w:hAnsi="Courier New"/>
          <w:sz w:val="14"/>
          <w:szCs w:val="14"/>
          <w:color w:val="auto"/>
        </w:rPr>
      </w:pPr>
    </w:p>
    <w:p>
      <w:pPr>
        <w:ind w:left="430" w:right="3339"/>
        <w:spacing w:after="0" w:line="251" w:lineRule="auto"/>
        <w:tabs>
          <w:tab w:leader="none" w:pos="77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 and any Stock Retention Award for that year and any election made by the Stock Participant shall be canceled automatically as of the date of any such event.</w:t>
      </w:r>
    </w:p>
    <w:p>
      <w:pPr>
        <w:spacing w:after="0" w:line="163" w:lineRule="exact"/>
        <w:rPr>
          <w:rFonts w:ascii="Courier New" w:cs="Courier New" w:eastAsia="Courier New" w:hAnsi="Courier New"/>
          <w:sz w:val="14"/>
          <w:szCs w:val="14"/>
          <w:color w:val="auto"/>
        </w:rPr>
      </w:pPr>
    </w:p>
    <w:p>
      <w:pPr>
        <w:ind w:left="430" w:right="3419" w:hanging="430"/>
        <w:spacing w:after="0" w:line="251" w:lineRule="auto"/>
        <w:tabs>
          <w:tab w:leader="none" w:pos="43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MATCHING SHARES OR UNITS. As soon as practical following the conversion of a Base Cash Award to Retained Shares or Retained Units, the Company shall issue one Matching Share or credit one Matching Unit for each two Retained Shares or Units acquired (up to the limit of 50% of the Base Cash Award) (the "Restricted Shares" or "Restricted Units"). Restricted Shares shall be held by the Agent for the Stock Participant's account. Restricted Shares shall be issued in whole shares only and cash shall be paid for fractional shares.</w:t>
      </w:r>
    </w:p>
    <w:p>
      <w:pPr>
        <w:spacing w:after="0" w:line="329"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70"/>
          </w:cols>
          <w:pgMar w:left="1090" w:top="616" w:right="1440" w:bottom="1440" w:gutter="0" w:footer="0" w:header="0"/>
        </w:sectPr>
      </w:pPr>
    </w:p>
    <w:bookmarkStart w:id="44" w:name="page45"/>
    <w:bookmarkEnd w:id="44"/>
    <w:p>
      <w:pPr>
        <w:ind w:left="430" w:hanging="430"/>
        <w:spacing w:after="0"/>
        <w:tabs>
          <w:tab w:leader="none" w:pos="4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DELIVERY AND DISTRIBUTION.</w:t>
      </w:r>
    </w:p>
    <w:p>
      <w:pPr>
        <w:spacing w:after="0" w:line="172" w:lineRule="exact"/>
        <w:rPr>
          <w:rFonts w:ascii="Courier New" w:cs="Courier New" w:eastAsia="Courier New" w:hAnsi="Courier New"/>
          <w:sz w:val="14"/>
          <w:szCs w:val="14"/>
          <w:color w:val="auto"/>
        </w:rPr>
      </w:pPr>
    </w:p>
    <w:p>
      <w:pPr>
        <w:ind w:left="430" w:right="3419"/>
        <w:spacing w:after="0" w:line="251" w:lineRule="auto"/>
        <w:tabs>
          <w:tab w:leader="none" w:pos="68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Restricted Shares and Restricted Units held or credited by the Company shall be forfeitable until they vest and shall vest in increments of 25% of the total number of such Restricted Shares or Units at the end of each of the second, third, fourth and fifth years after the date such Restricted Shares or Units are issued or credited, provided that such Restricted Shares or Units shall vest only if the Stock Participant's Retained Shares or Units have been left on deposit with the Agent through the requisite two, three, four and five year periods and all other requirements of the Plan have been met, except as may otherwise be provided in subparagraph 8.f.</w:t>
      </w:r>
    </w:p>
    <w:p>
      <w:pPr>
        <w:spacing w:after="0" w:line="163" w:lineRule="exact"/>
        <w:rPr>
          <w:rFonts w:ascii="Courier New" w:cs="Courier New" w:eastAsia="Courier New" w:hAnsi="Courier New"/>
          <w:sz w:val="14"/>
          <w:szCs w:val="14"/>
          <w:color w:val="auto"/>
        </w:rPr>
      </w:pPr>
    </w:p>
    <w:p>
      <w:pPr>
        <w:ind w:left="770" w:hanging="340"/>
        <w:spacing w:after="0"/>
        <w:tabs>
          <w:tab w:leader="none" w:pos="77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w:t>
      </w:r>
    </w:p>
    <w:p>
      <w:pPr>
        <w:spacing w:after="0" w:line="172" w:lineRule="exact"/>
        <w:rPr>
          <w:rFonts w:ascii="Courier New" w:cs="Courier New" w:eastAsia="Courier New" w:hAnsi="Courier New"/>
          <w:sz w:val="14"/>
          <w:szCs w:val="14"/>
          <w:color w:val="auto"/>
        </w:rPr>
      </w:pPr>
    </w:p>
    <w:p>
      <w:pPr>
        <w:ind w:left="1290" w:right="3339" w:hanging="429"/>
        <w:spacing w:after="0" w:line="251" w:lineRule="auto"/>
        <w:tabs>
          <w:tab w:leader="none" w:pos="12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Shares and Restricted Shares will be delivered as soon as possible after the applicable vesting requirements (including accelerated vesting under subparagraph 8.f.) have been fulfilled. In the event vesting requirements are not fulfilled, Retained Shares will be returned to a Stock Participant as soon as possible.</w:t>
      </w:r>
    </w:p>
    <w:p>
      <w:pPr>
        <w:spacing w:after="0" w:line="164" w:lineRule="exact"/>
        <w:rPr>
          <w:rFonts w:ascii="Courier New" w:cs="Courier New" w:eastAsia="Courier New" w:hAnsi="Courier New"/>
          <w:sz w:val="14"/>
          <w:szCs w:val="14"/>
          <w:color w:val="auto"/>
        </w:rPr>
      </w:pPr>
    </w:p>
    <w:p>
      <w:pPr>
        <w:ind w:left="1290" w:right="3419" w:hanging="429"/>
        <w:spacing w:after="0" w:line="251" w:lineRule="auto"/>
        <w:tabs>
          <w:tab w:leader="none" w:pos="12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Units and Restricted Units that have vested will be distributed to a Stock Participant consistent with a Stock Participant's distribution election properly made in accordance with the provisions of the Officer Deferred Plan.</w:t>
      </w:r>
    </w:p>
    <w:p>
      <w:pPr>
        <w:spacing w:after="0" w:line="164" w:lineRule="exact"/>
        <w:rPr>
          <w:rFonts w:ascii="Courier New" w:cs="Courier New" w:eastAsia="Courier New" w:hAnsi="Courier New"/>
          <w:sz w:val="14"/>
          <w:szCs w:val="14"/>
          <w:color w:val="auto"/>
        </w:rPr>
      </w:pPr>
    </w:p>
    <w:p>
      <w:pPr>
        <w:ind w:left="430" w:right="3519"/>
        <w:spacing w:after="0" w:line="255" w:lineRule="auto"/>
        <w:tabs>
          <w:tab w:leader="none" w:pos="861"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Shares and Retained Units are fully vested at the time of issuance or crediting.</w:t>
      </w:r>
    </w:p>
    <w:p>
      <w:pPr>
        <w:spacing w:after="0" w:line="159"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CANCELLATION UNDER SPECIAL CONDITIONS.</w:t>
      </w:r>
    </w:p>
    <w:p>
      <w:pPr>
        <w:spacing w:after="0" w:line="172" w:lineRule="exact"/>
        <w:rPr>
          <w:rFonts w:ascii="Courier New" w:cs="Courier New" w:eastAsia="Courier New" w:hAnsi="Courier New"/>
          <w:sz w:val="14"/>
          <w:szCs w:val="14"/>
          <w:color w:val="auto"/>
        </w:rPr>
      </w:pPr>
    </w:p>
    <w:p>
      <w:pPr>
        <w:ind w:left="430" w:right="3339"/>
        <w:spacing w:after="0" w:line="251" w:lineRule="auto"/>
        <w:tabs>
          <w:tab w:leader="none" w:pos="68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or Disability. Notwithstanding the foregoing, all Restricted Shares or Units held in a Stock Participant's account shall vest in full if the participant retires on or after age 65 or becomes permanently disabled and unable to work while a Stock Participant under the Plan. Notwithstanding the foregoing, if within one year after such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early under this subparagraph.</w:t>
      </w:r>
    </w:p>
    <w:p>
      <w:pPr>
        <w:spacing w:after="0" w:line="163" w:lineRule="exact"/>
        <w:rPr>
          <w:rFonts w:ascii="Courier New" w:cs="Courier New" w:eastAsia="Courier New" w:hAnsi="Courier New"/>
          <w:sz w:val="14"/>
          <w:szCs w:val="14"/>
          <w:color w:val="auto"/>
        </w:rPr>
      </w:pPr>
    </w:p>
    <w:p>
      <w:pPr>
        <w:jc w:val="both"/>
        <w:ind w:left="430" w:right="3419"/>
        <w:spacing w:after="0" w:line="252" w:lineRule="auto"/>
        <w:tabs>
          <w:tab w:leader="none" w:pos="77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Restricted Units held in the account of a Stock Participant who retires at or after age 55, but before age 65, shall vest or be forfeited in accordance with the provisions of the Officer Deferred Plan. A</w:t>
      </w:r>
    </w:p>
    <w:p>
      <w:pPr>
        <w:spacing w:after="0" w:line="328"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370"/>
          </w:cols>
          <w:pgMar w:left="1090" w:top="616" w:right="1440" w:bottom="1440" w:gutter="0" w:footer="0" w:header="0"/>
        </w:sectPr>
      </w:pPr>
    </w:p>
    <w:bookmarkStart w:id="45" w:name="page46"/>
    <w:bookmarkEnd w:id="45"/>
    <w:p>
      <w:pPr>
        <w:ind w:left="80" w:right="3599"/>
        <w:spacing w:after="0" w:line="251" w:lineRule="auto"/>
        <w:rPr>
          <w:sz w:val="20"/>
          <w:szCs w:val="20"/>
          <w:color w:val="auto"/>
        </w:rPr>
      </w:pPr>
      <w:r>
        <w:rPr>
          <w:rFonts w:ascii="Courier New" w:cs="Courier New" w:eastAsia="Courier New" w:hAnsi="Courier New"/>
          <w:sz w:val="14"/>
          <w:szCs w:val="14"/>
          <w:color w:val="auto"/>
        </w:rPr>
        <w:t>Stock Participant who retires at or after age 55, but before age 65, may elect to leave Retained Shares on deposit until the participant reaches age 65 or until the applicable vesting requirements of subparagraph 8.e. have been fulfilled, as the case may be, and Restricted Shares shall vest upon the occurrence of the earlier of such event. Notwithstanding the foregoing, if within one year after such early retirement the Stock Participant is employed or retained by a company that competes with the business of the Company, or such individual violates any confidentiality agreement with the Company, the Company may demand return of the economic value of the Restricted Shares which vested after the date of early retirement under this subparagraph.</w:t>
      </w:r>
    </w:p>
    <w:p>
      <w:pPr>
        <w:spacing w:after="0" w:line="163" w:lineRule="exact"/>
        <w:rPr>
          <w:sz w:val="20"/>
          <w:szCs w:val="20"/>
          <w:color w:val="auto"/>
        </w:rPr>
      </w:pPr>
    </w:p>
    <w:p>
      <w:pPr>
        <w:ind w:left="80" w:right="3519"/>
        <w:spacing w:after="0" w:line="251" w:lineRule="auto"/>
        <w:tabs>
          <w:tab w:leader="none" w:pos="51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Withdrawal. In the event that a Stock Participant elects to withdraw Retained Shares or Units from the account prior to age 65, but before the applicable vesting requirements have been fulfilled, Restricted Shares or Units held in such participant's account that have not vested shall not vest and shall be forfeited.</w:t>
      </w:r>
    </w:p>
    <w:p>
      <w:pPr>
        <w:spacing w:after="0" w:line="164" w:lineRule="exact"/>
        <w:rPr>
          <w:rFonts w:ascii="Courier New" w:cs="Courier New" w:eastAsia="Courier New" w:hAnsi="Courier New"/>
          <w:sz w:val="14"/>
          <w:szCs w:val="14"/>
          <w:color w:val="auto"/>
        </w:rPr>
      </w:pPr>
    </w:p>
    <w:p>
      <w:pPr>
        <w:ind w:left="80" w:right="3519"/>
        <w:spacing w:after="0" w:line="252" w:lineRule="auto"/>
        <w:tabs>
          <w:tab w:leader="none" w:pos="42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the event of the death of a Stock Participant before the applicable vesting requirements have been fulfilled, the Restricted Shares or Units shall vest in full.</w:t>
      </w:r>
    </w:p>
    <w:p>
      <w:pPr>
        <w:spacing w:after="0" w:line="162" w:lineRule="exact"/>
        <w:rPr>
          <w:rFonts w:ascii="Courier New" w:cs="Courier New" w:eastAsia="Courier New" w:hAnsi="Courier New"/>
          <w:sz w:val="14"/>
          <w:szCs w:val="14"/>
          <w:color w:val="auto"/>
        </w:rPr>
      </w:pPr>
    </w:p>
    <w:p>
      <w:pPr>
        <w:ind w:left="80" w:right="3339"/>
        <w:spacing w:after="0" w:line="251" w:lineRule="auto"/>
        <w:tabs>
          <w:tab w:leader="none" w:pos="33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In the event that a Stock Participant resigns voluntarily, Restricted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64" w:lineRule="exact"/>
        <w:rPr>
          <w:rFonts w:ascii="Courier New" w:cs="Courier New" w:eastAsia="Courier New" w:hAnsi="Courier New"/>
          <w:sz w:val="14"/>
          <w:szCs w:val="14"/>
          <w:color w:val="auto"/>
        </w:rPr>
      </w:pPr>
    </w:p>
    <w:p>
      <w:pPr>
        <w:ind w:left="420" w:hanging="340"/>
        <w:spacing w:after="0"/>
        <w:tabs>
          <w:tab w:leader="none" w:pos="4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All Restricted Shares and Restricted</w:t>
      </w:r>
    </w:p>
    <w:p>
      <w:pPr>
        <w:spacing w:after="0" w:line="7" w:lineRule="exact"/>
        <w:rPr>
          <w:rFonts w:ascii="Courier New" w:cs="Courier New" w:eastAsia="Courier New" w:hAnsi="Courier New"/>
          <w:sz w:val="14"/>
          <w:szCs w:val="14"/>
          <w:color w:val="auto"/>
        </w:rPr>
      </w:pPr>
    </w:p>
    <w:p>
      <w:pPr>
        <w:ind w:left="8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Units shall vest if there is a Change of Control of the Company. A Change of Control means the earliest to occur of (A) a public announcement that a Person shall have acquired or obtained the right to acquire Beneficial Ownership (within the meaning of Rule 13d-3 under the Securities Exchange Act of 1934 (the "Exchange Act")) of 15% or more of the outstanding shares of Common Stock of the Company, (B) the commencement of, or announcement of an intention to make, a tender offer or exchange offer, the consummation of which would result in the Beneficial Ownership by a Person of 15% or more of the outstanding shares of Common Stock of the Company or (C)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3" w:lineRule="exact"/>
        <w:rPr>
          <w:sz w:val="20"/>
          <w:szCs w:val="20"/>
          <w:color w:val="auto"/>
        </w:rPr>
      </w:pPr>
    </w:p>
    <w:p>
      <w:pPr>
        <w:ind w:left="80" w:right="3859"/>
        <w:spacing w:after="0" w:line="255" w:lineRule="auto"/>
        <w:rPr>
          <w:sz w:val="20"/>
          <w:szCs w:val="20"/>
          <w:color w:val="auto"/>
        </w:rPr>
      </w:pPr>
      <w:r>
        <w:rPr>
          <w:rFonts w:ascii="Courier New" w:cs="Courier New" w:eastAsia="Courier New" w:hAnsi="Courier New"/>
          <w:sz w:val="14"/>
          <w:szCs w:val="14"/>
          <w:color w:val="auto"/>
        </w:rPr>
        <w:t>For purposes of this subparagraph 8.f.vi., Person means any individual,</w:t>
      </w:r>
    </w:p>
    <w:p>
      <w:pPr>
        <w:spacing w:after="0" w:line="326"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16" w:right="1440" w:bottom="1440" w:gutter="0" w:footer="0" w:header="0"/>
        </w:sectPr>
      </w:pPr>
    </w:p>
    <w:bookmarkStart w:id="46" w:name="page47"/>
    <w:bookmarkEnd w:id="46"/>
    <w:p>
      <w:pPr>
        <w:ind w:left="430" w:right="3599"/>
        <w:spacing w:after="0" w:line="250" w:lineRule="auto"/>
        <w:rPr>
          <w:sz w:val="20"/>
          <w:szCs w:val="20"/>
          <w:color w:val="auto"/>
        </w:rPr>
      </w:pPr>
      <w:r>
        <w:rPr>
          <w:rFonts w:ascii="Courier New" w:cs="Courier New" w:eastAsia="Courier New" w:hAnsi="Courier New"/>
          <w:sz w:val="14"/>
          <w:szCs w:val="14"/>
          <w:color w:val="auto"/>
        </w:rPr>
        <w:t>corporation, partnership, trust, other entity or group (within the meaning of Section 13(d)(3) or 14(d)(2) of the Exchange Act) (excluding the Company, a subsidiary of the Company, any employee benefit plan of the Company or any subsidiary or any entity holding shares of Common Stock for or pursuant to the terms of any such plan). For purposes of this subparagraph,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sz w:val="20"/>
          <w:szCs w:val="20"/>
          <w:color w:val="auto"/>
        </w:rPr>
      </w:pPr>
    </w:p>
    <w:p>
      <w:pPr>
        <w:ind w:left="430" w:right="3339" w:hanging="430"/>
        <w:spacing w:after="0" w:line="251" w:lineRule="auto"/>
        <w:tabs>
          <w:tab w:leader="none" w:pos="4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WITHDRAWAL FOR OPTION EXERCISE. A Stock Participant may temporarily withdraw all or a portion of Retained Shares held in the participant's account, but not Restricted Shares or Retained or Restricted Units, in order to exercise Company stock options, provided that an equal number of shares of Common Stock is promptly redeposited with the Agent after such exercise.</w:t>
      </w:r>
    </w:p>
    <w:p>
      <w:pPr>
        <w:spacing w:after="0" w:line="164" w:lineRule="exact"/>
        <w:rPr>
          <w:rFonts w:ascii="Courier New" w:cs="Courier New" w:eastAsia="Courier New" w:hAnsi="Courier New"/>
          <w:sz w:val="14"/>
          <w:szCs w:val="14"/>
          <w:color w:val="auto"/>
        </w:rPr>
      </w:pPr>
    </w:p>
    <w:p>
      <w:pPr>
        <w:ind w:left="430" w:right="3519" w:hanging="430"/>
        <w:spacing w:after="0" w:line="251" w:lineRule="auto"/>
        <w:tabs>
          <w:tab w:leader="none" w:pos="4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VOTING. Dividends on Retained and Restricted Shares may at the election of the Stock Participant be paid to such participant or reinvested under the Company's dividend reinvestment plan as then in effect. Dividends on Retained and Restricted Units shall be credited under the Officer Deferred Plan, in additional units based on the fair market value of one share of the Common Stock on the record date for payment of dividends. A Stock Participant shall have the right to vote Retained and Restricted Shares.</w:t>
      </w:r>
    </w:p>
    <w:p>
      <w:pPr>
        <w:spacing w:after="0" w:line="163" w:lineRule="exact"/>
        <w:rPr>
          <w:rFonts w:ascii="Courier New" w:cs="Courier New" w:eastAsia="Courier New" w:hAnsi="Courier New"/>
          <w:sz w:val="14"/>
          <w:szCs w:val="14"/>
          <w:color w:val="auto"/>
        </w:rPr>
      </w:pPr>
    </w:p>
    <w:p>
      <w:pPr>
        <w:ind w:left="430" w:right="3339" w:hanging="430"/>
        <w:spacing w:after="0" w:line="250" w:lineRule="auto"/>
        <w:tabs>
          <w:tab w:leader="none" w:pos="4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SHARES SUBJECT TO STOCK RETENTION AWARDS. Subject to the provisions of this subparagraph and paragraph 6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Appropriate adjustments in the number of shares of Common Stock that may be available for such purposes under the Plan may be made by the Committee in its discretion to give effect to adjustments made in the number of shares of Common Stock of the Company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339"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0"/>
          </w:cols>
          <w:pgMar w:left="1090" w:top="616" w:right="1440" w:bottom="1440" w:gutter="0" w:footer="0" w:header="0"/>
        </w:sectPr>
      </w:pPr>
    </w:p>
    <w:bookmarkStart w:id="47" w:name="page48"/>
    <w:bookmarkEnd w:id="47"/>
    <w:p>
      <w:pPr>
        <w:ind w:left="432" w:right="333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Annual Performance Awards, Stock Retention Awards, Retained Shares, Restricted Shares, Retained Units, Restricted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Restricted Shares are held by the Agent or the Retained and Restricted Units have not been distributed in accordance with the Officer Deferred Plan, and any sale, pledge, assignment or other attempted transfer shall be null and void.</w:t>
      </w:r>
    </w:p>
    <w:p>
      <w:pPr>
        <w:spacing w:after="0" w:line="163"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Committee shall have the authority to administer the Plan; establish policies under the Plan; amend the Plan, subject to the provisions of paragraph 12;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63"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agreements entered into under the Plan, Retained or Restricted Shares and Retained or Restricted Units shall be construed, administered and governed in all respects under and by the applicable laws of the State of Delaware, without giving effect to principles of conflicts of laws.</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w:t>
      </w:r>
    </w:p>
    <w:p>
      <w:pPr>
        <w:spacing w:after="0" w:line="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Notwithstanding the foregoing, no amendment, modification or termination that would affect benefits accrued under this Plan prior to such amendment, modification or termination may occur after a Change of Control, as defined in subparagraph 8.f.vi., without the written consent of a majority of the Plan Participants determined as of the day before such Change of Control.</w:t>
      </w:r>
    </w:p>
    <w:p>
      <w:pPr>
        <w:spacing w:after="0" w:line="163"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12.</w:t>
      </w:r>
    </w:p>
    <w:p>
      <w:pPr>
        <w:spacing w:after="0" w:line="32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616" w:right="1440" w:bottom="1440" w:gutter="0" w:footer="0" w:header="0"/>
        </w:sectPr>
      </w:pPr>
    </w:p>
    <w:bookmarkStart w:id="48" w:name="page49"/>
    <w:bookmarkEnd w:id="48"/>
    <w:p>
      <w:pPr>
        <w:ind w:right="3339"/>
        <w:spacing w:after="0" w:line="255" w:lineRule="auto"/>
        <w:rPr>
          <w:sz w:val="20"/>
          <w:szCs w:val="20"/>
          <w:color w:val="auto"/>
        </w:rPr>
      </w:pPr>
      <w:r>
        <w:rPr>
          <w:rFonts w:ascii="Courier New" w:cs="Courier New" w:eastAsia="Courier New" w:hAnsi="Courier New"/>
          <w:sz w:val="14"/>
          <w:szCs w:val="14"/>
          <w:color w:val="auto"/>
        </w:rPr>
        <w:t>As amended by the Compensation Committee and Board of Directors on November 18, 1998, subject to stockholder approval on March 24, 1999.</w:t>
      </w:r>
    </w:p>
    <w:p>
      <w:pPr>
        <w:spacing w:after="0" w:line="326"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799"/>
          </w:cols>
          <w:pgMar w:left="660" w:top="616" w:right="1440" w:bottom="1440" w:gutter="0" w:footer="0" w:header="0"/>
        </w:sectPr>
      </w:pPr>
    </w:p>
    <w:bookmarkStart w:id="49" w:name="page50"/>
    <w:bookmarkEnd w:id="49"/>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1989 STOCK OPTION PLAN</w:t>
      </w:r>
    </w:p>
    <w:p>
      <w:pPr>
        <w:spacing w:after="0" w:line="173" w:lineRule="exact"/>
        <w:rPr>
          <w:sz w:val="20"/>
          <w:szCs w:val="20"/>
          <w:color w:val="auto"/>
        </w:rPr>
      </w:pPr>
    </w:p>
    <w:p>
      <w:pPr>
        <w:ind w:left="512" w:right="3419" w:hanging="512"/>
        <w:spacing w:after="0" w:line="250" w:lineRule="auto"/>
        <w:tabs>
          <w:tab w:leader="none" w:pos="51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2" w:lineRule="exact"/>
        <w:rPr>
          <w:rFonts w:ascii="Courier New" w:cs="Courier New" w:eastAsia="Courier New" w:hAnsi="Courier New"/>
          <w:sz w:val="14"/>
          <w:szCs w:val="14"/>
          <w:color w:val="auto"/>
        </w:rPr>
      </w:pPr>
    </w:p>
    <w:p>
      <w:pPr>
        <w:ind w:left="512" w:right="3419" w:hanging="512"/>
        <w:spacing w:after="0" w:line="250" w:lineRule="auto"/>
        <w:tabs>
          <w:tab w:leader="none" w:pos="51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339" w:lineRule="exact"/>
        <w:rPr>
          <w:rFonts w:ascii="Courier New" w:cs="Courier New" w:eastAsia="Courier New" w:hAnsi="Courier New"/>
          <w:sz w:val="14"/>
          <w:szCs w:val="14"/>
          <w:color w:val="auto"/>
        </w:rPr>
      </w:pPr>
    </w:p>
    <w:p>
      <w:pPr>
        <w:ind w:left="512"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31"/>
          </w:cols>
          <w:pgMar w:left="228" w:top="473" w:right="1440" w:bottom="1440" w:gutter="0" w:footer="0" w:header="0"/>
        </w:sectPr>
      </w:pPr>
    </w:p>
    <w:bookmarkStart w:id="50" w:name="page51"/>
    <w:bookmarkEnd w:id="50"/>
    <w:p>
      <w:pPr>
        <w:ind w:left="512" w:right="3419" w:hanging="512"/>
        <w:spacing w:after="0" w:line="250" w:lineRule="auto"/>
        <w:tabs>
          <w:tab w:leader="none" w:pos="51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4"/>
          <w:szCs w:val="14"/>
          <w:color w:val="auto"/>
        </w:rPr>
      </w:pPr>
    </w:p>
    <w:p>
      <w:pPr>
        <w:ind w:left="512" w:right="3419" w:hanging="512"/>
        <w:spacing w:after="0" w:line="250" w:lineRule="auto"/>
        <w:tabs>
          <w:tab w:leader="none" w:pos="51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72" w:lineRule="exact"/>
        <w:rPr>
          <w:rFonts w:ascii="Courier New" w:cs="Courier New" w:eastAsia="Courier New" w:hAnsi="Courier New"/>
          <w:sz w:val="14"/>
          <w:szCs w:val="14"/>
          <w:color w:val="auto"/>
        </w:rPr>
      </w:pPr>
    </w:p>
    <w:p>
      <w:pPr>
        <w:ind w:left="512" w:right="3519" w:hanging="512"/>
        <w:spacing w:after="0" w:line="251" w:lineRule="auto"/>
        <w:tabs>
          <w:tab w:leader="none" w:pos="51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512" w:right="3419" w:hanging="512"/>
        <w:spacing w:after="0" w:line="252" w:lineRule="auto"/>
        <w:tabs>
          <w:tab w:leader="none" w:pos="51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328"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51" w:name="page52"/>
    <w:bookmarkEnd w:id="51"/>
    <w:p>
      <w:pPr>
        <w:ind w:left="435" w:right="3519" w:hanging="435"/>
        <w:spacing w:after="0" w:line="252" w:lineRule="auto"/>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435" w:right="3519" w:hanging="435"/>
        <w:spacing w:after="0" w:line="251" w:lineRule="auto"/>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435" w:right="3419" w:hanging="435"/>
        <w:spacing w:after="0" w:line="251" w:lineRule="auto"/>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not less than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435" w:right="3939" w:hanging="435"/>
        <w:spacing w:after="0" w:line="255" w:lineRule="auto"/>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435" w:hanging="435"/>
        <w:spacing w:after="0"/>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035" w:right="3599" w:hanging="604"/>
        <w:spacing w:after="0" w:line="251" w:lineRule="auto"/>
        <w:tabs>
          <w:tab w:leader="none" w:pos="1035"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4" w:lineRule="exact"/>
        <w:rPr>
          <w:rFonts w:ascii="Courier New" w:cs="Courier New" w:eastAsia="Courier New" w:hAnsi="Courier New"/>
          <w:sz w:val="14"/>
          <w:szCs w:val="14"/>
          <w:color w:val="auto"/>
        </w:rPr>
      </w:pPr>
    </w:p>
    <w:p>
      <w:pPr>
        <w:ind w:left="1035" w:right="3419" w:hanging="604"/>
        <w:spacing w:after="0" w:line="250" w:lineRule="auto"/>
        <w:tabs>
          <w:tab w:leader="none" w:pos="1035"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options may be exercised (I) by an option holder after such individual ceases to be an employee (for reasons other than disability or retirement at or after age 60) up to three months after the day of termination of employment but not later than the date the option expires,</w:t>
      </w:r>
    </w:p>
    <w:p>
      <w:pPr>
        <w:spacing w:after="0" w:line="7" w:lineRule="exact"/>
        <w:rPr>
          <w:rFonts w:ascii="Courier New" w:cs="Courier New" w:eastAsia="Courier New" w:hAnsi="Courier New"/>
          <w:sz w:val="14"/>
          <w:szCs w:val="14"/>
          <w:color w:val="auto"/>
        </w:rPr>
      </w:pPr>
    </w:p>
    <w:p>
      <w:pPr>
        <w:ind w:left="1035" w:right="3419" w:hanging="1"/>
        <w:spacing w:after="0" w:line="251" w:lineRule="auto"/>
        <w:tabs>
          <w:tab w:leader="none" w:pos="1465"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329"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14"/>
          </w:cols>
          <w:pgMar w:left="745" w:top="616" w:right="1440" w:bottom="1440" w:gutter="0" w:footer="0" w:header="0"/>
        </w:sectPr>
      </w:pPr>
    </w:p>
    <w:bookmarkStart w:id="52" w:name="page53"/>
    <w:bookmarkEnd w:id="52"/>
    <w:p>
      <w:pPr>
        <w:ind w:left="1035" w:right="3519"/>
        <w:spacing w:after="0" w:line="250" w:lineRule="auto"/>
        <w:rPr>
          <w:sz w:val="20"/>
          <w:szCs w:val="20"/>
          <w:color w:val="auto"/>
        </w:rPr>
      </w:pPr>
      <w:r>
        <w:rPr>
          <w:rFonts w:ascii="Courier New" w:cs="Courier New" w:eastAsia="Courier New" w:hAnsi="Courier New"/>
          <w:sz w:val="14"/>
          <w:szCs w:val="14"/>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73" w:lineRule="exact"/>
        <w:rPr>
          <w:sz w:val="20"/>
          <w:szCs w:val="20"/>
          <w:color w:val="auto"/>
        </w:rPr>
      </w:pPr>
    </w:p>
    <w:p>
      <w:pPr>
        <w:ind w:left="1035" w:right="3519" w:hanging="604"/>
        <w:spacing w:after="0" w:line="251" w:lineRule="auto"/>
        <w:tabs>
          <w:tab w:leader="none" w:pos="103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2" w:lineRule="exact"/>
        <w:rPr>
          <w:rFonts w:ascii="Courier New" w:cs="Courier New" w:eastAsia="Courier New" w:hAnsi="Courier New"/>
          <w:sz w:val="14"/>
          <w:szCs w:val="14"/>
          <w:color w:val="auto"/>
        </w:rPr>
      </w:pPr>
    </w:p>
    <w:p>
      <w:pPr>
        <w:ind w:left="1035" w:right="3419" w:hanging="604"/>
        <w:spacing w:after="0" w:line="251" w:lineRule="auto"/>
        <w:tabs>
          <w:tab w:leader="none" w:pos="103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035" w:right="3419" w:hanging="604"/>
        <w:spacing w:after="0" w:line="251" w:lineRule="auto"/>
        <w:tabs>
          <w:tab w:leader="none" w:pos="103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035" w:right="3419" w:hanging="604"/>
        <w:spacing w:after="0" w:line="252" w:lineRule="auto"/>
        <w:tabs>
          <w:tab w:leader="none" w:pos="103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35" w:right="3419" w:hanging="435"/>
        <w:spacing w:after="0" w:line="251" w:lineRule="auto"/>
        <w:tabs>
          <w:tab w:leader="none" w:pos="43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329"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4"/>
          </w:cols>
          <w:pgMar w:left="745" w:top="616" w:right="1440" w:bottom="1440" w:gutter="0" w:footer="0" w:header="0"/>
        </w:sectPr>
      </w:pPr>
    </w:p>
    <w:bookmarkStart w:id="53" w:name="page54"/>
    <w:bookmarkEnd w:id="53"/>
    <w:p>
      <w:pPr>
        <w:ind w:left="435" w:right="3419" w:hanging="4"/>
        <w:spacing w:after="0" w:line="251" w:lineRule="auto"/>
        <w:tabs>
          <w:tab w:leader="none" w:pos="8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3" w:lineRule="exact"/>
        <w:rPr>
          <w:sz w:val="20"/>
          <w:szCs w:val="20"/>
          <w:color w:val="auto"/>
        </w:rPr>
      </w:pPr>
    </w:p>
    <w:p>
      <w:pPr>
        <w:ind w:left="435" w:right="4119"/>
        <w:spacing w:after="0" w:line="255" w:lineRule="auto"/>
        <w:rPr>
          <w:sz w:val="20"/>
          <w:szCs w:val="20"/>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60" w:lineRule="exact"/>
        <w:rPr>
          <w:sz w:val="20"/>
          <w:szCs w:val="20"/>
          <w:color w:val="auto"/>
        </w:rPr>
      </w:pPr>
    </w:p>
    <w:p>
      <w:pPr>
        <w:ind w:left="435" w:right="3419" w:hanging="435"/>
        <w:spacing w:after="0" w:line="250" w:lineRule="auto"/>
        <w:tabs>
          <w:tab w:leader="none" w:pos="43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2" w:lineRule="exact"/>
        <w:rPr>
          <w:rFonts w:ascii="Courier New" w:cs="Courier New" w:eastAsia="Courier New" w:hAnsi="Courier New"/>
          <w:sz w:val="14"/>
          <w:szCs w:val="14"/>
          <w:color w:val="auto"/>
        </w:rPr>
      </w:pPr>
    </w:p>
    <w:p>
      <w:pPr>
        <w:ind w:left="435" w:right="3419" w:hanging="435"/>
        <w:spacing w:after="0" w:line="250" w:lineRule="auto"/>
        <w:tabs>
          <w:tab w:leader="none" w:pos="43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w:t>
      </w:r>
    </w:p>
    <w:p>
      <w:pPr>
        <w:spacing w:after="0" w:line="3" w:lineRule="exact"/>
        <w:rPr>
          <w:rFonts w:ascii="Courier New" w:cs="Courier New" w:eastAsia="Courier New" w:hAnsi="Courier New"/>
          <w:sz w:val="14"/>
          <w:szCs w:val="14"/>
          <w:color w:val="auto"/>
        </w:rPr>
      </w:pPr>
    </w:p>
    <w:p>
      <w:pPr>
        <w:ind w:left="435" w:right="3419" w:hanging="4"/>
        <w:spacing w:after="0" w:line="251" w:lineRule="auto"/>
        <w:tabs>
          <w:tab w:leader="none" w:pos="77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200" w:lineRule="exact"/>
        <w:rPr>
          <w:sz w:val="20"/>
          <w:szCs w:val="20"/>
          <w:color w:val="auto"/>
        </w:rPr>
      </w:pPr>
    </w:p>
    <w:p>
      <w:pPr>
        <w:spacing w:after="0" w:line="294"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4"/>
          </w:cols>
          <w:pgMar w:left="745" w:top="616" w:right="1440" w:bottom="1440" w:gutter="0" w:footer="0" w:header="0"/>
        </w:sectPr>
      </w:pPr>
    </w:p>
    <w:bookmarkStart w:id="54" w:name="page55"/>
    <w:bookmarkEnd w:id="54"/>
    <w:p>
      <w:pPr>
        <w:ind w:left="952" w:right="3419"/>
        <w:spacing w:after="0" w:line="250" w:lineRule="auto"/>
        <w:rPr>
          <w:sz w:val="20"/>
          <w:szCs w:val="20"/>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sz w:val="20"/>
          <w:szCs w:val="20"/>
          <w:color w:val="auto"/>
        </w:rPr>
      </w:pPr>
    </w:p>
    <w:p>
      <w:pPr>
        <w:ind w:left="952" w:right="3419" w:hanging="435"/>
        <w:spacing w:after="0" w:line="251" w:lineRule="auto"/>
        <w:tabs>
          <w:tab w:leader="none" w:pos="95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64" w:lineRule="exact"/>
        <w:rPr>
          <w:rFonts w:ascii="Courier New" w:cs="Courier New" w:eastAsia="Courier New" w:hAnsi="Courier New"/>
          <w:sz w:val="14"/>
          <w:szCs w:val="14"/>
          <w:color w:val="auto"/>
        </w:rPr>
      </w:pPr>
    </w:p>
    <w:p>
      <w:pPr>
        <w:ind w:left="952" w:right="3519" w:hanging="435"/>
        <w:spacing w:after="0" w:line="251" w:lineRule="auto"/>
        <w:tabs>
          <w:tab w:leader="none" w:pos="95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64" w:lineRule="exact"/>
        <w:rPr>
          <w:rFonts w:ascii="Courier New" w:cs="Courier New" w:eastAsia="Courier New" w:hAnsi="Courier New"/>
          <w:sz w:val="14"/>
          <w:szCs w:val="14"/>
          <w:color w:val="auto"/>
        </w:rPr>
      </w:pPr>
    </w:p>
    <w:p>
      <w:pPr>
        <w:ind w:left="952" w:right="3419" w:hanging="435"/>
        <w:spacing w:after="0" w:line="251" w:lineRule="auto"/>
        <w:tabs>
          <w:tab w:leader="none" w:pos="95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952" w:right="3519" w:hanging="435"/>
        <w:spacing w:after="0" w:line="251" w:lineRule="auto"/>
        <w:tabs>
          <w:tab w:leader="none" w:pos="95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512" w:right="3599" w:hanging="512"/>
        <w:spacing w:after="0" w:line="251" w:lineRule="auto"/>
        <w:tabs>
          <w:tab w:leader="none" w:pos="51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w:t>
      </w:r>
    </w:p>
    <w:p>
      <w:pPr>
        <w:spacing w:after="0" w:line="330"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616" w:right="1440" w:bottom="1440" w:gutter="0" w:footer="0" w:header="0"/>
        </w:sectPr>
      </w:pPr>
    </w:p>
    <w:bookmarkStart w:id="55" w:name="page56"/>
    <w:bookmarkEnd w:id="55"/>
    <w:p>
      <w:pPr>
        <w:ind w:left="512" w:right="3519"/>
        <w:spacing w:after="0" w:line="251" w:lineRule="auto"/>
        <w:rPr>
          <w:sz w:val="20"/>
          <w:szCs w:val="20"/>
          <w:color w:val="auto"/>
        </w:rPr>
      </w:pPr>
      <w:r>
        <w:rPr>
          <w:rFonts w:ascii="Courier New" w:cs="Courier New" w:eastAsia="Courier New" w:hAnsi="Courier New"/>
          <w:sz w:val="14"/>
          <w:szCs w:val="14"/>
          <w:color w:val="auto"/>
        </w:rPr>
        <w:t>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4" w:lineRule="exact"/>
        <w:rPr>
          <w:sz w:val="20"/>
          <w:szCs w:val="20"/>
          <w:color w:val="auto"/>
        </w:rPr>
      </w:pPr>
    </w:p>
    <w:p>
      <w:pPr>
        <w:ind w:left="952" w:right="3419" w:hanging="435"/>
        <w:spacing w:after="0" w:line="251" w:lineRule="auto"/>
        <w:tabs>
          <w:tab w:leader="none" w:pos="952"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328" w:lineRule="exact"/>
        <w:rPr>
          <w:rFonts w:ascii="Courier New" w:cs="Courier New" w:eastAsia="Courier New" w:hAnsi="Courier New"/>
          <w:sz w:val="14"/>
          <w:szCs w:val="14"/>
          <w:color w:val="auto"/>
        </w:rPr>
      </w:pPr>
    </w:p>
    <w:p>
      <w:pPr>
        <w:ind w:left="952" w:right="3599" w:hanging="435"/>
        <w:spacing w:after="0" w:line="255" w:lineRule="auto"/>
        <w:tabs>
          <w:tab w:leader="none" w:pos="952"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512" w:right="3419" w:hanging="512"/>
        <w:spacing w:after="0" w:line="251" w:lineRule="auto"/>
        <w:tabs>
          <w:tab w:leader="none" w:pos="51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512" w:right="3419" w:hanging="512"/>
        <w:spacing w:after="0" w:line="251" w:lineRule="auto"/>
        <w:tabs>
          <w:tab w:leader="none" w:pos="51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952" w:right="3779" w:hanging="435"/>
        <w:spacing w:after="0" w:line="252" w:lineRule="auto"/>
        <w:tabs>
          <w:tab w:leader="none" w:pos="95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329"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616" w:right="1440" w:bottom="1440" w:gutter="0" w:footer="0" w:header="0"/>
        </w:sectPr>
      </w:pPr>
    </w:p>
    <w:bookmarkStart w:id="56" w:name="page57"/>
    <w:bookmarkEnd w:id="56"/>
    <w:p>
      <w:pPr>
        <w:ind w:left="435" w:right="3599" w:hanging="435"/>
        <w:spacing w:after="0" w:line="252" w:lineRule="auto"/>
        <w:tabs>
          <w:tab w:leader="none" w:pos="43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2" w:lineRule="exact"/>
        <w:rPr>
          <w:rFonts w:ascii="Courier New" w:cs="Courier New" w:eastAsia="Courier New" w:hAnsi="Courier New"/>
          <w:sz w:val="14"/>
          <w:szCs w:val="14"/>
          <w:color w:val="auto"/>
        </w:rPr>
      </w:pPr>
    </w:p>
    <w:p>
      <w:pPr>
        <w:ind w:left="435" w:right="3599" w:hanging="435"/>
        <w:spacing w:after="0" w:line="251" w:lineRule="auto"/>
        <w:tabs>
          <w:tab w:leader="none" w:pos="43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options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14"/>
          </w:cols>
          <w:pgMar w:left="745" w:top="616" w:right="1440" w:bottom="1440" w:gutter="0" w:footer="0" w:header="0"/>
        </w:sectPr>
      </w:pPr>
    </w:p>
    <w:bookmarkStart w:id="57" w:name="page58"/>
    <w:bookmarkEnd w:id="57"/>
    <w:p>
      <w:pPr>
        <w:jc w:val="center"/>
        <w:ind w:right="282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1993 STOCK OPTION PLAN</w:t>
      </w:r>
    </w:p>
    <w:p>
      <w:pPr>
        <w:spacing w:after="0" w:line="338" w:lineRule="exact"/>
        <w:rPr>
          <w:sz w:val="20"/>
          <w:szCs w:val="20"/>
          <w:color w:val="auto"/>
        </w:rPr>
      </w:pPr>
    </w:p>
    <w:p>
      <w:pPr>
        <w:ind w:left="612" w:right="3339" w:hanging="612"/>
        <w:spacing w:after="0" w:line="250" w:lineRule="auto"/>
        <w:tabs>
          <w:tab w:leader="none" w:pos="61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612" w:hanging="612"/>
        <w:spacing w:after="0"/>
        <w:tabs>
          <w:tab w:leader="none" w:pos="61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72" w:lineRule="exact"/>
        <w:rPr>
          <w:rFonts w:ascii="Courier New" w:cs="Courier New" w:eastAsia="Courier New" w:hAnsi="Courier New"/>
          <w:sz w:val="14"/>
          <w:szCs w:val="14"/>
          <w:color w:val="auto"/>
        </w:rPr>
      </w:pPr>
    </w:p>
    <w:p>
      <w:pPr>
        <w:ind w:left="612" w:right="3339" w:hanging="612"/>
        <w:spacing w:after="0" w:line="250" w:lineRule="auto"/>
        <w:tabs>
          <w:tab w:leader="none" w:pos="61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339" w:lineRule="exact"/>
        <w:rPr>
          <w:rFonts w:ascii="Courier New" w:cs="Courier New" w:eastAsia="Courier New" w:hAnsi="Courier New"/>
          <w:sz w:val="14"/>
          <w:szCs w:val="14"/>
          <w:color w:val="auto"/>
        </w:rPr>
      </w:pPr>
    </w:p>
    <w:p>
      <w:pPr>
        <w:ind w:left="61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31"/>
          </w:cols>
          <w:pgMar w:left="228" w:top="473" w:right="1440" w:bottom="1440" w:gutter="0" w:footer="0" w:header="0"/>
        </w:sectPr>
      </w:pPr>
    </w:p>
    <w:bookmarkStart w:id="58" w:name="page59"/>
    <w:bookmarkEnd w:id="58"/>
    <w:p>
      <w:pPr>
        <w:ind w:left="612" w:right="3339" w:hanging="612"/>
        <w:spacing w:after="0" w:line="250"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4"/>
          <w:szCs w:val="14"/>
          <w:color w:val="auto"/>
        </w:rPr>
      </w:pPr>
    </w:p>
    <w:p>
      <w:pPr>
        <w:ind w:left="612" w:right="3339" w:hanging="612"/>
        <w:spacing w:after="0" w:line="250"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72" w:lineRule="exact"/>
        <w:rPr>
          <w:rFonts w:ascii="Courier New" w:cs="Courier New" w:eastAsia="Courier New" w:hAnsi="Courier New"/>
          <w:sz w:val="14"/>
          <w:szCs w:val="14"/>
          <w:color w:val="auto"/>
        </w:rPr>
      </w:pPr>
    </w:p>
    <w:p>
      <w:pPr>
        <w:ind w:left="612" w:right="3419" w:hanging="612"/>
        <w:spacing w:after="0" w:line="251"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612" w:right="3339" w:hanging="612"/>
        <w:spacing w:after="0" w:line="252"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328"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59" w:name="page60"/>
    <w:bookmarkEnd w:id="59"/>
    <w:p>
      <w:pPr>
        <w:ind w:left="609" w:right="3599" w:hanging="609"/>
        <w:spacing w:after="0" w:line="252" w:lineRule="auto"/>
        <w:tabs>
          <w:tab w:leader="none" w:pos="6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609" w:right="3339" w:hanging="609"/>
        <w:spacing w:after="0" w:line="251" w:lineRule="auto"/>
        <w:tabs>
          <w:tab w:leader="none" w:pos="6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609" w:right="3339" w:hanging="609"/>
        <w:spacing w:after="0" w:line="251" w:lineRule="auto"/>
        <w:tabs>
          <w:tab w:leader="none" w:pos="6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not less than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609" w:right="3679" w:hanging="609"/>
        <w:spacing w:after="0" w:line="255" w:lineRule="auto"/>
        <w:tabs>
          <w:tab w:leader="none" w:pos="6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209" w:right="3339" w:hanging="606"/>
        <w:spacing w:after="0" w:line="251" w:lineRule="auto"/>
        <w:tabs>
          <w:tab w:leader="none" w:pos="12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4" w:lineRule="exact"/>
        <w:rPr>
          <w:rFonts w:ascii="Courier New" w:cs="Courier New" w:eastAsia="Courier New" w:hAnsi="Courier New"/>
          <w:sz w:val="14"/>
          <w:szCs w:val="14"/>
          <w:color w:val="auto"/>
        </w:rPr>
      </w:pPr>
    </w:p>
    <w:p>
      <w:pPr>
        <w:ind w:left="1209" w:right="3419" w:hanging="606"/>
        <w:spacing w:after="0" w:line="250" w:lineRule="auto"/>
        <w:tabs>
          <w:tab w:leader="none" w:pos="12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w:t>
      </w:r>
    </w:p>
    <w:p>
      <w:pPr>
        <w:spacing w:after="0" w:line="6" w:lineRule="exact"/>
        <w:rPr>
          <w:rFonts w:ascii="Courier New" w:cs="Courier New" w:eastAsia="Courier New" w:hAnsi="Courier New"/>
          <w:sz w:val="14"/>
          <w:szCs w:val="14"/>
          <w:color w:val="auto"/>
        </w:rPr>
      </w:pPr>
    </w:p>
    <w:p>
      <w:pPr>
        <w:ind w:left="1209" w:right="3339" w:hanging="3"/>
        <w:spacing w:after="0" w:line="251" w:lineRule="auto"/>
        <w:tabs>
          <w:tab w:leader="none" w:pos="1553"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 by an option holder after such individual ceases to be an employee (for reasons other than disability or retirement at or after age 60) up to three months after the day of termination of employment but not later than the date the option expires, (II)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328" w:lineRule="exact"/>
        <w:rPr>
          <w:sz w:val="20"/>
          <w:szCs w:val="20"/>
          <w:color w:val="auto"/>
        </w:rPr>
      </w:pPr>
    </w:p>
    <w:p>
      <w:pPr>
        <w:ind w:left="300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628"/>
          </w:cols>
          <w:pgMar w:left="831" w:top="616" w:right="1440" w:bottom="1440" w:gutter="0" w:footer="0" w:header="0"/>
        </w:sectPr>
      </w:pPr>
    </w:p>
    <w:bookmarkStart w:id="60" w:name="page61"/>
    <w:bookmarkEnd w:id="60"/>
    <w:p>
      <w:pPr>
        <w:ind w:left="1209" w:right="3339"/>
        <w:spacing w:after="0" w:line="250" w:lineRule="auto"/>
        <w:rPr>
          <w:sz w:val="20"/>
          <w:szCs w:val="20"/>
          <w:color w:val="auto"/>
        </w:rPr>
      </w:pPr>
      <w:r>
        <w:rPr>
          <w:rFonts w:ascii="Courier New" w:cs="Courier New" w:eastAsia="Courier New" w:hAnsi="Courier New"/>
          <w:sz w:val="14"/>
          <w:szCs w:val="14"/>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w:t>
      </w:r>
    </w:p>
    <w:p>
      <w:pPr>
        <w:spacing w:after="0" w:line="4" w:lineRule="exact"/>
        <w:rPr>
          <w:sz w:val="20"/>
          <w:szCs w:val="20"/>
          <w:color w:val="auto"/>
        </w:rPr>
      </w:pPr>
    </w:p>
    <w:p>
      <w:pPr>
        <w:ind w:left="1209" w:right="3419" w:hanging="3"/>
        <w:spacing w:after="0" w:line="251" w:lineRule="auto"/>
        <w:tabs>
          <w:tab w:leader="none" w:pos="1553"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63" w:lineRule="exact"/>
        <w:rPr>
          <w:rFonts w:ascii="Courier New" w:cs="Courier New" w:eastAsia="Courier New" w:hAnsi="Courier New"/>
          <w:sz w:val="14"/>
          <w:szCs w:val="14"/>
          <w:color w:val="auto"/>
        </w:rPr>
      </w:pPr>
    </w:p>
    <w:p>
      <w:pPr>
        <w:ind w:left="1209" w:right="3339" w:hanging="606"/>
        <w:spacing w:after="0" w:line="251" w:lineRule="auto"/>
        <w:tabs>
          <w:tab w:leader="none" w:pos="12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2" w:lineRule="exact"/>
        <w:rPr>
          <w:rFonts w:ascii="Courier New" w:cs="Courier New" w:eastAsia="Courier New" w:hAnsi="Courier New"/>
          <w:sz w:val="14"/>
          <w:szCs w:val="14"/>
          <w:color w:val="auto"/>
        </w:rPr>
      </w:pPr>
    </w:p>
    <w:p>
      <w:pPr>
        <w:ind w:left="1209" w:right="3419" w:hanging="606"/>
        <w:spacing w:after="0" w:line="251" w:lineRule="auto"/>
        <w:tabs>
          <w:tab w:leader="none" w:pos="12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209" w:right="3339" w:hanging="606"/>
        <w:spacing w:after="0" w:line="251" w:lineRule="auto"/>
        <w:tabs>
          <w:tab w:leader="none" w:pos="12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209" w:right="3339" w:hanging="606"/>
        <w:spacing w:after="0" w:line="252" w:lineRule="auto"/>
        <w:tabs>
          <w:tab w:leader="none" w:pos="12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609" w:right="3419" w:hanging="609"/>
        <w:spacing w:after="0" w:line="251" w:lineRule="auto"/>
        <w:tabs>
          <w:tab w:leader="none" w:pos="60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329" w:lineRule="exact"/>
        <w:rPr>
          <w:sz w:val="20"/>
          <w:szCs w:val="20"/>
          <w:color w:val="auto"/>
        </w:rPr>
      </w:pPr>
    </w:p>
    <w:p>
      <w:pPr>
        <w:ind w:left="300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628"/>
          </w:cols>
          <w:pgMar w:left="831" w:top="616" w:right="1440" w:bottom="1440" w:gutter="0" w:footer="0" w:header="0"/>
        </w:sectPr>
      </w:pPr>
    </w:p>
    <w:bookmarkStart w:id="61" w:name="page62"/>
    <w:bookmarkEnd w:id="61"/>
    <w:p>
      <w:pPr>
        <w:ind w:left="609" w:right="3339" w:hanging="6"/>
        <w:spacing w:after="0" w:line="251" w:lineRule="auto"/>
        <w:tabs>
          <w:tab w:leader="none" w:pos="103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3" w:lineRule="exact"/>
        <w:rPr>
          <w:sz w:val="20"/>
          <w:szCs w:val="20"/>
          <w:color w:val="auto"/>
        </w:rPr>
      </w:pPr>
    </w:p>
    <w:p>
      <w:pPr>
        <w:ind w:left="609" w:right="3859"/>
        <w:spacing w:after="0" w:line="255" w:lineRule="auto"/>
        <w:rPr>
          <w:sz w:val="20"/>
          <w:szCs w:val="20"/>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60" w:lineRule="exact"/>
        <w:rPr>
          <w:sz w:val="20"/>
          <w:szCs w:val="20"/>
          <w:color w:val="auto"/>
        </w:rPr>
      </w:pPr>
    </w:p>
    <w:p>
      <w:pPr>
        <w:ind w:left="609" w:right="3339" w:hanging="609"/>
        <w:spacing w:after="0" w:line="250" w:lineRule="auto"/>
        <w:tabs>
          <w:tab w:leader="none" w:pos="60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338" w:lineRule="exact"/>
        <w:rPr>
          <w:rFonts w:ascii="Courier New" w:cs="Courier New" w:eastAsia="Courier New" w:hAnsi="Courier New"/>
          <w:sz w:val="14"/>
          <w:szCs w:val="14"/>
          <w:color w:val="auto"/>
        </w:rPr>
      </w:pPr>
    </w:p>
    <w:p>
      <w:pPr>
        <w:ind w:left="609" w:right="3339" w:hanging="609"/>
        <w:spacing w:after="0" w:line="250" w:lineRule="auto"/>
        <w:tabs>
          <w:tab w:leader="none" w:pos="60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200" w:lineRule="exact"/>
        <w:rPr>
          <w:sz w:val="20"/>
          <w:szCs w:val="20"/>
          <w:color w:val="auto"/>
        </w:rPr>
      </w:pPr>
    </w:p>
    <w:p>
      <w:pPr>
        <w:spacing w:after="0" w:line="307" w:lineRule="exact"/>
        <w:rPr>
          <w:sz w:val="20"/>
          <w:szCs w:val="20"/>
          <w:color w:val="auto"/>
        </w:rPr>
      </w:pPr>
    </w:p>
    <w:p>
      <w:pPr>
        <w:ind w:left="300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628"/>
          </w:cols>
          <w:pgMar w:left="831" w:top="616" w:right="1440" w:bottom="1440" w:gutter="0" w:footer="0" w:header="0"/>
        </w:sectPr>
      </w:pPr>
    </w:p>
    <w:bookmarkStart w:id="62" w:name="page63"/>
    <w:bookmarkEnd w:id="62"/>
    <w:p>
      <w:pPr>
        <w:ind w:left="1212" w:right="3339"/>
        <w:spacing w:after="0" w:line="250" w:lineRule="auto"/>
        <w:rPr>
          <w:sz w:val="20"/>
          <w:szCs w:val="20"/>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sz w:val="20"/>
          <w:szCs w:val="20"/>
          <w:color w:val="auto"/>
        </w:rPr>
      </w:pPr>
    </w:p>
    <w:p>
      <w:pPr>
        <w:ind w:left="1212" w:right="3339" w:hanging="609"/>
        <w:spacing w:after="0" w:line="251" w:lineRule="auto"/>
        <w:tabs>
          <w:tab w:leader="none" w:pos="121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64" w:lineRule="exact"/>
        <w:rPr>
          <w:rFonts w:ascii="Courier New" w:cs="Courier New" w:eastAsia="Courier New" w:hAnsi="Courier New"/>
          <w:sz w:val="14"/>
          <w:szCs w:val="14"/>
          <w:color w:val="auto"/>
        </w:rPr>
      </w:pPr>
    </w:p>
    <w:p>
      <w:pPr>
        <w:ind w:left="1212" w:right="3419" w:hanging="609"/>
        <w:spacing w:after="0" w:line="251" w:lineRule="auto"/>
        <w:tabs>
          <w:tab w:leader="none" w:pos="121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64" w:lineRule="exact"/>
        <w:rPr>
          <w:rFonts w:ascii="Courier New" w:cs="Courier New" w:eastAsia="Courier New" w:hAnsi="Courier New"/>
          <w:sz w:val="14"/>
          <w:szCs w:val="14"/>
          <w:color w:val="auto"/>
        </w:rPr>
      </w:pPr>
    </w:p>
    <w:p>
      <w:pPr>
        <w:ind w:left="1212" w:right="3419" w:hanging="609"/>
        <w:spacing w:after="0" w:line="251" w:lineRule="auto"/>
        <w:tabs>
          <w:tab w:leader="none" w:pos="121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2" w:lineRule="exact"/>
        <w:rPr>
          <w:rFonts w:ascii="Courier New" w:cs="Courier New" w:eastAsia="Courier New" w:hAnsi="Courier New"/>
          <w:sz w:val="14"/>
          <w:szCs w:val="14"/>
          <w:color w:val="auto"/>
        </w:rPr>
      </w:pPr>
    </w:p>
    <w:p>
      <w:pPr>
        <w:ind w:left="1212" w:right="3339" w:hanging="609"/>
        <w:spacing w:after="0" w:line="251" w:lineRule="auto"/>
        <w:tabs>
          <w:tab w:leader="none" w:pos="121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612" w:right="3519" w:hanging="612"/>
        <w:spacing w:after="0" w:line="251" w:lineRule="auto"/>
        <w:tabs>
          <w:tab w:leader="none" w:pos="61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w:t>
      </w:r>
    </w:p>
    <w:p>
      <w:pPr>
        <w:spacing w:after="0" w:line="330"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616" w:right="1440" w:bottom="1440" w:gutter="0" w:footer="0" w:header="0"/>
        </w:sectPr>
      </w:pPr>
    </w:p>
    <w:bookmarkStart w:id="63" w:name="page64"/>
    <w:bookmarkEnd w:id="63"/>
    <w:p>
      <w:pPr>
        <w:ind w:left="612" w:right="3419"/>
        <w:spacing w:after="0" w:line="251" w:lineRule="auto"/>
        <w:rPr>
          <w:sz w:val="20"/>
          <w:szCs w:val="20"/>
          <w:color w:val="auto"/>
        </w:rPr>
      </w:pPr>
      <w:r>
        <w:rPr>
          <w:rFonts w:ascii="Courier New" w:cs="Courier New" w:eastAsia="Courier New" w:hAnsi="Courier New"/>
          <w:sz w:val="14"/>
          <w:szCs w:val="14"/>
          <w:color w:val="auto"/>
        </w:rPr>
        <w:t>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4" w:lineRule="exact"/>
        <w:rPr>
          <w:sz w:val="20"/>
          <w:szCs w:val="20"/>
          <w:color w:val="auto"/>
        </w:rPr>
      </w:pPr>
    </w:p>
    <w:p>
      <w:pPr>
        <w:ind w:left="1212" w:right="3339" w:hanging="609"/>
        <w:spacing w:after="0" w:line="250" w:lineRule="auto"/>
        <w:tabs>
          <w:tab w:leader="none" w:pos="1212"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72" w:lineRule="exact"/>
        <w:rPr>
          <w:rFonts w:ascii="Courier New" w:cs="Courier New" w:eastAsia="Courier New" w:hAnsi="Courier New"/>
          <w:sz w:val="14"/>
          <w:szCs w:val="14"/>
          <w:color w:val="auto"/>
        </w:rPr>
      </w:pPr>
    </w:p>
    <w:p>
      <w:pPr>
        <w:ind w:left="1212" w:right="3339" w:hanging="609"/>
        <w:spacing w:after="0" w:line="255" w:lineRule="auto"/>
        <w:tabs>
          <w:tab w:leader="none" w:pos="1212"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612" w:right="3339" w:hanging="612"/>
        <w:spacing w:after="0" w:line="251"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612" w:right="3339" w:hanging="612"/>
        <w:spacing w:after="0" w:line="251"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612" w:hanging="612"/>
        <w:spacing w:after="0"/>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1212" w:right="3519" w:hanging="609"/>
        <w:spacing w:after="0" w:line="252" w:lineRule="auto"/>
        <w:tabs>
          <w:tab w:leader="none" w:pos="1212"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329"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616" w:right="1440" w:bottom="1440" w:gutter="0" w:footer="0" w:header="0"/>
        </w:sectPr>
      </w:pPr>
    </w:p>
    <w:bookmarkStart w:id="64" w:name="page65"/>
    <w:bookmarkEnd w:id="64"/>
    <w:p>
      <w:pPr>
        <w:ind w:left="609" w:right="3339" w:hanging="609"/>
        <w:spacing w:after="0" w:line="252" w:lineRule="auto"/>
        <w:tabs>
          <w:tab w:leader="none" w:pos="6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2" w:lineRule="exact"/>
        <w:rPr>
          <w:rFonts w:ascii="Courier New" w:cs="Courier New" w:eastAsia="Courier New" w:hAnsi="Courier New"/>
          <w:sz w:val="14"/>
          <w:szCs w:val="14"/>
          <w:color w:val="auto"/>
        </w:rPr>
      </w:pPr>
    </w:p>
    <w:p>
      <w:pPr>
        <w:ind w:left="609" w:right="3339" w:hanging="609"/>
        <w:spacing w:after="0" w:line="251" w:lineRule="auto"/>
        <w:tabs>
          <w:tab w:leader="none" w:pos="6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options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628"/>
          </w:cols>
          <w:pgMar w:left="831" w:top="616" w:right="1440" w:bottom="1440" w:gutter="0" w:footer="0" w:header="0"/>
        </w:sectPr>
      </w:pPr>
    </w:p>
    <w:bookmarkStart w:id="65" w:name="page66"/>
    <w:bookmarkEnd w:id="65"/>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338" w:lineRule="exact"/>
        <w:rPr>
          <w:sz w:val="20"/>
          <w:szCs w:val="20"/>
          <w:color w:val="auto"/>
        </w:rPr>
      </w:pPr>
    </w:p>
    <w:p>
      <w:pPr>
        <w:ind w:left="512" w:right="3419" w:hanging="512"/>
        <w:spacing w:after="0" w:line="251" w:lineRule="auto"/>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4" w:lineRule="exact"/>
        <w:rPr>
          <w:rFonts w:ascii="Courier New" w:cs="Courier New" w:eastAsia="Courier New" w:hAnsi="Courier New"/>
          <w:sz w:val="14"/>
          <w:szCs w:val="14"/>
          <w:color w:val="auto"/>
        </w:rPr>
      </w:pPr>
    </w:p>
    <w:p>
      <w:pPr>
        <w:ind w:left="512" w:right="3419" w:hanging="512"/>
        <w:spacing w:after="0" w:line="250" w:lineRule="auto"/>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72" w:lineRule="exact"/>
        <w:rPr>
          <w:rFonts w:ascii="Courier New" w:cs="Courier New" w:eastAsia="Courier New" w:hAnsi="Courier New"/>
          <w:sz w:val="14"/>
          <w:szCs w:val="14"/>
          <w:color w:val="auto"/>
        </w:rPr>
      </w:pPr>
    </w:p>
    <w:p>
      <w:pPr>
        <w:ind w:left="512" w:right="3519" w:hanging="512"/>
        <w:spacing w:after="0" w:line="251" w:lineRule="auto"/>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4" w:lineRule="exact"/>
        <w:rPr>
          <w:rFonts w:ascii="Courier New" w:cs="Courier New" w:eastAsia="Courier New" w:hAnsi="Courier New"/>
          <w:sz w:val="14"/>
          <w:szCs w:val="14"/>
          <w:color w:val="auto"/>
        </w:rPr>
      </w:pPr>
    </w:p>
    <w:p>
      <w:pPr>
        <w:ind w:left="512" w:right="3419" w:hanging="512"/>
        <w:spacing w:after="0" w:line="252" w:lineRule="auto"/>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1032" w:right="3419" w:hanging="515"/>
        <w:spacing w:after="0" w:line="250" w:lineRule="auto"/>
        <w:tabs>
          <w:tab w:leader="none" w:pos="1032"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may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w:t>
      </w:r>
    </w:p>
    <w:p>
      <w:pPr>
        <w:sectPr>
          <w:pgSz w:w="11900" w:h="16838" w:orient="portrait"/>
          <w:cols w:equalWidth="0" w:num="1">
            <w:col w:w="10231"/>
          </w:cols>
          <w:pgMar w:left="228" w:top="473" w:right="1440" w:bottom="1440" w:gutter="0" w:footer="0" w:header="0"/>
        </w:sectPr>
      </w:pPr>
    </w:p>
    <w:bookmarkStart w:id="66" w:name="page67"/>
    <w:bookmarkEnd w:id="66"/>
    <w:p>
      <w:pPr>
        <w:ind w:left="515" w:right="3599"/>
        <w:spacing w:after="0" w:line="255" w:lineRule="auto"/>
        <w:rPr>
          <w:sz w:val="20"/>
          <w:szCs w:val="20"/>
          <w:color w:val="auto"/>
        </w:rPr>
      </w:pPr>
      <w:r>
        <w:rPr>
          <w:rFonts w:ascii="Courier New" w:cs="Courier New" w:eastAsia="Courier New" w:hAnsi="Courier New"/>
          <w:sz w:val="14"/>
          <w:szCs w:val="14"/>
          <w:color w:val="auto"/>
        </w:rPr>
        <w:t>on the same terms and conditions applicable to Performance Awards granted as of the first day of the applicable fiscal year.</w:t>
      </w:r>
    </w:p>
    <w:p>
      <w:pPr>
        <w:spacing w:after="0" w:line="160" w:lineRule="exact"/>
        <w:rPr>
          <w:sz w:val="20"/>
          <w:szCs w:val="20"/>
          <w:color w:val="auto"/>
        </w:rPr>
      </w:pPr>
    </w:p>
    <w:p>
      <w:pPr>
        <w:ind w:left="515" w:right="351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164" w:lineRule="exact"/>
        <w:rPr>
          <w:sz w:val="20"/>
          <w:szCs w:val="20"/>
          <w:color w:val="auto"/>
        </w:rPr>
      </w:pPr>
    </w:p>
    <w:p>
      <w:pPr>
        <w:ind w:left="515" w:right="3599" w:hanging="515"/>
        <w:spacing w:after="0" w:line="252" w:lineRule="auto"/>
        <w:tabs>
          <w:tab w:leader="none" w:pos="51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Except as otherwise permitted under this Plan, Performance Awards, whether one year, two year or three year awards, shall be granted as of the date which marks the first day of any Award Term.</w:t>
      </w:r>
    </w:p>
    <w:p>
      <w:pPr>
        <w:spacing w:after="0" w:line="162" w:lineRule="exact"/>
        <w:rPr>
          <w:rFonts w:ascii="Courier New" w:cs="Courier New" w:eastAsia="Courier New" w:hAnsi="Courier New"/>
          <w:sz w:val="14"/>
          <w:szCs w:val="14"/>
          <w:color w:val="auto"/>
        </w:rPr>
      </w:pPr>
    </w:p>
    <w:p>
      <w:pPr>
        <w:ind w:left="515" w:hanging="515"/>
        <w:spacing w:after="0"/>
        <w:tabs>
          <w:tab w:leader="none" w:pos="51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AWARD.</w:t>
      </w:r>
    </w:p>
    <w:p>
      <w:pPr>
        <w:spacing w:after="0" w:line="172" w:lineRule="exact"/>
        <w:rPr>
          <w:rFonts w:ascii="Courier New" w:cs="Courier New" w:eastAsia="Courier New" w:hAnsi="Courier New"/>
          <w:sz w:val="14"/>
          <w:szCs w:val="14"/>
          <w:color w:val="auto"/>
        </w:rPr>
      </w:pPr>
    </w:p>
    <w:p>
      <w:pPr>
        <w:ind w:left="775" w:right="3679" w:hanging="258"/>
        <w:spacing w:after="0" w:line="251" w:lineRule="auto"/>
        <w:tabs>
          <w:tab w:leader="none" w:pos="775"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 which is intended to reflect the Participant's ability to influence the financial results of the Company or its divisions or subsidiaries and the Participant's relative seniority within management.</w:t>
      </w:r>
    </w:p>
    <w:p>
      <w:pPr>
        <w:spacing w:after="0" w:line="162" w:lineRule="exact"/>
        <w:rPr>
          <w:sz w:val="20"/>
          <w:szCs w:val="20"/>
          <w:color w:val="auto"/>
        </w:rPr>
      </w:pPr>
    </w:p>
    <w:p>
      <w:pPr>
        <w:ind w:left="1035" w:right="3419"/>
        <w:spacing w:after="0" w:line="250" w:lineRule="auto"/>
        <w:rPr>
          <w:sz w:val="20"/>
          <w:szCs w:val="20"/>
          <w:color w:val="auto"/>
        </w:rPr>
      </w:pPr>
      <w:r>
        <w:rPr>
          <w:rFonts w:ascii="Courier New" w:cs="Courier New" w:eastAsia="Courier New" w:hAnsi="Courier New"/>
          <w:sz w:val="14"/>
          <w:szCs w:val="14"/>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172" w:lineRule="exact"/>
        <w:rPr>
          <w:sz w:val="20"/>
          <w:szCs w:val="20"/>
          <w:color w:val="auto"/>
        </w:rPr>
      </w:pPr>
    </w:p>
    <w:p>
      <w:pPr>
        <w:ind w:left="1035" w:right="3419" w:hanging="518"/>
        <w:spacing w:after="0" w:line="251" w:lineRule="auto"/>
        <w:tabs>
          <w:tab w:leader="none" w:pos="103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w:t>
      </w:r>
    </w:p>
    <w:p>
      <w:pPr>
        <w:spacing w:after="0" w:line="329"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14"/>
          </w:cols>
          <w:pgMar w:left="745" w:top="616" w:right="1440" w:bottom="1440" w:gutter="0" w:footer="0" w:header="0"/>
        </w:sectPr>
      </w:pPr>
    </w:p>
    <w:bookmarkStart w:id="67" w:name="page68"/>
    <w:bookmarkEnd w:id="67"/>
    <w:p>
      <w:pPr>
        <w:ind w:left="1035" w:right="3419"/>
        <w:spacing w:after="0" w:line="251" w:lineRule="auto"/>
        <w:rPr>
          <w:sz w:val="20"/>
          <w:szCs w:val="20"/>
          <w:color w:val="auto"/>
        </w:rPr>
      </w:pPr>
      <w:r>
        <w:rPr>
          <w:rFonts w:ascii="Courier New" w:cs="Courier New" w:eastAsia="Courier New" w:hAnsi="Courier New"/>
          <w:sz w:val="14"/>
          <w:szCs w:val="14"/>
          <w:color w:val="auto"/>
        </w:rPr>
        <w:t>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4" w:lineRule="exact"/>
        <w:rPr>
          <w:sz w:val="20"/>
          <w:szCs w:val="20"/>
          <w:color w:val="auto"/>
        </w:rPr>
      </w:pPr>
    </w:p>
    <w:p>
      <w:pPr>
        <w:ind w:left="1035" w:right="341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164" w:lineRule="exact"/>
        <w:rPr>
          <w:sz w:val="20"/>
          <w:szCs w:val="20"/>
          <w:color w:val="auto"/>
        </w:rPr>
      </w:pPr>
    </w:p>
    <w:p>
      <w:pPr>
        <w:ind w:left="515" w:hanging="515"/>
        <w:spacing w:after="0"/>
        <w:tabs>
          <w:tab w:leader="none" w:pos="5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AWARD PAYMENT.</w:t>
      </w:r>
    </w:p>
    <w:p>
      <w:pPr>
        <w:spacing w:after="0" w:line="172" w:lineRule="exact"/>
        <w:rPr>
          <w:rFonts w:ascii="Courier New" w:cs="Courier New" w:eastAsia="Courier New" w:hAnsi="Courier New"/>
          <w:sz w:val="14"/>
          <w:szCs w:val="14"/>
          <w:color w:val="auto"/>
        </w:rPr>
      </w:pPr>
    </w:p>
    <w:p>
      <w:pPr>
        <w:ind w:left="1035" w:right="3419" w:hanging="518"/>
        <w:spacing w:after="0" w:line="250" w:lineRule="auto"/>
        <w:tabs>
          <w:tab w:leader="none" w:pos="1035"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343" w:lineRule="exact"/>
        <w:rPr>
          <w:rFonts w:ascii="Courier New" w:cs="Courier New" w:eastAsia="Courier New" w:hAnsi="Courier New"/>
          <w:sz w:val="14"/>
          <w:szCs w:val="14"/>
          <w:color w:val="auto"/>
        </w:rPr>
      </w:pPr>
    </w:p>
    <w:p>
      <w:pPr>
        <w:ind w:left="1035" w:right="3419" w:hanging="518"/>
        <w:spacing w:after="0" w:line="250" w:lineRule="auto"/>
        <w:tabs>
          <w:tab w:leader="none" w:pos="1035"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4.d., any individual who has participated in the</w:t>
      </w:r>
    </w:p>
    <w:p>
      <w:pPr>
        <w:spacing w:after="0" w:line="1" w:lineRule="exact"/>
        <w:rPr>
          <w:sz w:val="20"/>
          <w:szCs w:val="20"/>
          <w:color w:val="auto"/>
        </w:rPr>
      </w:pPr>
    </w:p>
    <w:tbl>
      <w:tblPr>
        <w:tblLayout w:type="fixed"/>
        <w:tblInd w:w="1035" w:type="dxa"/>
        <w:tblCellMar>
          <w:top w:w="0" w:type="dxa"/>
          <w:left w:w="0" w:type="dxa"/>
          <w:bottom w:w="0" w:type="dxa"/>
          <w:right w:w="0" w:type="dxa"/>
        </w:tblCellMar>
      </w:tblPr>
      <w:tr>
        <w:trPr>
          <w:trHeight w:val="162"/>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Plan for less</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than a full</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during</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one year</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Award Term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shall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receive a</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 only for</w:t>
            </w:r>
          </w:p>
        </w:tc>
        <w:tc>
          <w:tcPr>
            <w:tcW w:w="1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that portion of</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the fiscal</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during which</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the individual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was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Participant</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(expressed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as 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percentage</w:t>
            </w:r>
          </w:p>
        </w:tc>
        <w:tc>
          <w:tcPr>
            <w:tcW w:w="1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and based on a 360 day</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bl>
    <w:p>
      <w:pPr>
        <w:spacing w:after="0" w:line="170" w:lineRule="exact"/>
        <w:rPr>
          <w:sz w:val="20"/>
          <w:szCs w:val="20"/>
          <w:color w:val="auto"/>
        </w:rPr>
      </w:pPr>
    </w:p>
    <w:p>
      <w:pPr>
        <w:ind w:left="515" w:right="3419" w:hanging="515"/>
        <w:spacing w:after="0" w:line="251" w:lineRule="auto"/>
        <w:tabs>
          <w:tab w:leader="none" w:pos="51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Participant may be paid under a Performance Award with respect to any Award Term is $1,500,000. The Committee may in its discretion, decrease this maximum, but may not under any circumstances increase the maximum.</w:t>
      </w:r>
    </w:p>
    <w:p>
      <w:pPr>
        <w:spacing w:after="0" w:line="330"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14"/>
          </w:cols>
          <w:pgMar w:left="745" w:top="616" w:right="1440" w:bottom="1440" w:gutter="0" w:footer="0" w:header="0"/>
        </w:sectPr>
      </w:pPr>
    </w:p>
    <w:bookmarkStart w:id="68" w:name="page69"/>
    <w:bookmarkEnd w:id="68"/>
    <w:p>
      <w:pPr>
        <w:ind w:left="515" w:right="3519" w:hanging="515"/>
        <w:spacing w:after="0" w:line="250" w:lineRule="auto"/>
        <w:tabs>
          <w:tab w:leader="none" w:pos="5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w:t>
      </w:r>
    </w:p>
    <w:p>
      <w:pPr>
        <w:spacing w:after="0" w:line="1" w:lineRule="exact"/>
        <w:rPr>
          <w:rFonts w:ascii="Courier New" w:cs="Courier New" w:eastAsia="Courier New" w:hAnsi="Courier New"/>
          <w:sz w:val="14"/>
          <w:szCs w:val="14"/>
          <w:color w:val="auto"/>
        </w:rPr>
      </w:pPr>
    </w:p>
    <w:p>
      <w:pPr>
        <w:ind w:left="515"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164" w:lineRule="exact"/>
        <w:rPr>
          <w:rFonts w:ascii="Courier New" w:cs="Courier New" w:eastAsia="Courier New" w:hAnsi="Courier New"/>
          <w:sz w:val="14"/>
          <w:szCs w:val="14"/>
          <w:color w:val="auto"/>
        </w:rPr>
      </w:pPr>
    </w:p>
    <w:p>
      <w:pPr>
        <w:ind w:left="515" w:right="3419" w:hanging="515"/>
        <w:spacing w:after="0" w:line="250" w:lineRule="auto"/>
        <w:tabs>
          <w:tab w:leader="none" w:pos="5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 year Award Term, any such Performance Award shall become immediately payable and the calculation of the amount payable shall be based on the ROBE of the Company for the fiscal period most recently ended and the most recent Fortune 500 publication then available. 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41" w:lineRule="exact"/>
        <w:rPr>
          <w:rFonts w:ascii="Courier New" w:cs="Courier New" w:eastAsia="Courier New" w:hAnsi="Courier New"/>
          <w:sz w:val="14"/>
          <w:szCs w:val="14"/>
          <w:color w:val="auto"/>
        </w:rPr>
      </w:pPr>
    </w:p>
    <w:p>
      <w:pPr>
        <w:ind w:left="515"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rFonts w:ascii="Courier New" w:cs="Courier New" w:eastAsia="Courier New" w:hAnsi="Courier New"/>
          <w:sz w:val="14"/>
          <w:szCs w:val="14"/>
          <w:color w:val="auto"/>
        </w:rPr>
      </w:pPr>
    </w:p>
    <w:p>
      <w:pPr>
        <w:ind w:left="515" w:right="3519" w:hanging="515"/>
        <w:spacing w:after="0" w:line="251" w:lineRule="auto"/>
        <w:tabs>
          <w:tab w:leader="none" w:pos="5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330"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4"/>
          </w:cols>
          <w:pgMar w:left="745" w:top="616" w:right="1440" w:bottom="1440" w:gutter="0" w:footer="0" w:header="0"/>
        </w:sectPr>
      </w:pPr>
    </w:p>
    <w:bookmarkStart w:id="69" w:name="page70"/>
    <w:bookmarkEnd w:id="69"/>
    <w:p>
      <w:pPr>
        <w:ind w:left="1552" w:right="3419" w:hanging="518"/>
        <w:spacing w:after="0" w:line="251" w:lineRule="auto"/>
        <w:tabs>
          <w:tab w:leader="none" w:pos="1552" w:val="left"/>
        </w:tabs>
        <w:numPr>
          <w:ilvl w:val="2"/>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 4.d. and 4.e., notwithstanding the earlier occurrence of such event.</w:t>
      </w:r>
    </w:p>
    <w:p>
      <w:pPr>
        <w:spacing w:after="0" w:line="163" w:lineRule="exact"/>
        <w:rPr>
          <w:rFonts w:ascii="Courier New" w:cs="Courier New" w:eastAsia="Courier New" w:hAnsi="Courier New"/>
          <w:sz w:val="14"/>
          <w:szCs w:val="14"/>
          <w:color w:val="auto"/>
        </w:rPr>
      </w:pPr>
    </w:p>
    <w:p>
      <w:pPr>
        <w:ind w:left="1552" w:right="3679" w:hanging="518"/>
        <w:spacing w:after="0" w:line="250" w:lineRule="auto"/>
        <w:tabs>
          <w:tab w:leader="none" w:pos="1552" w:val="left"/>
        </w:tabs>
        <w:numPr>
          <w:ilvl w:val="2"/>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Payout shall be made, if otherwise earned in accordance with subparagraph</w:t>
      </w:r>
    </w:p>
    <w:p>
      <w:pPr>
        <w:spacing w:after="0" w:line="1" w:lineRule="exact"/>
        <w:rPr>
          <w:rFonts w:ascii="Courier New" w:cs="Courier New" w:eastAsia="Courier New" w:hAnsi="Courier New"/>
          <w:sz w:val="14"/>
          <w:szCs w:val="14"/>
          <w:color w:val="auto"/>
        </w:rPr>
      </w:pPr>
    </w:p>
    <w:p>
      <w:pPr>
        <w:ind w:left="15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329" w:lineRule="exact"/>
        <w:rPr>
          <w:rFonts w:ascii="Courier New" w:cs="Courier New" w:eastAsia="Courier New" w:hAnsi="Courier New"/>
          <w:sz w:val="14"/>
          <w:szCs w:val="14"/>
          <w:color w:val="auto"/>
        </w:rPr>
      </w:pPr>
    </w:p>
    <w:p>
      <w:pPr>
        <w:ind w:left="512" w:right="3419" w:hanging="512"/>
        <w:spacing w:after="0" w:line="251" w:lineRule="auto"/>
        <w:tabs>
          <w:tab w:leader="none" w:pos="51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63" w:lineRule="exact"/>
        <w:rPr>
          <w:rFonts w:ascii="Courier New" w:cs="Courier New" w:eastAsia="Courier New" w:hAnsi="Courier New"/>
          <w:sz w:val="14"/>
          <w:szCs w:val="14"/>
          <w:color w:val="auto"/>
        </w:rPr>
      </w:pPr>
    </w:p>
    <w:p>
      <w:pPr>
        <w:ind w:left="1032" w:right="3599" w:hanging="515"/>
        <w:spacing w:after="0" w:line="255" w:lineRule="auto"/>
        <w:tabs>
          <w:tab w:leader="none" w:pos="103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59" w:lineRule="exact"/>
        <w:rPr>
          <w:rFonts w:ascii="Courier New" w:cs="Courier New" w:eastAsia="Courier New" w:hAnsi="Courier New"/>
          <w:sz w:val="14"/>
          <w:szCs w:val="14"/>
          <w:color w:val="auto"/>
        </w:rPr>
      </w:pPr>
    </w:p>
    <w:p>
      <w:pPr>
        <w:ind w:left="1032" w:right="3419" w:hanging="515"/>
        <w:spacing w:after="0" w:line="251" w:lineRule="auto"/>
        <w:tabs>
          <w:tab w:leader="none" w:pos="103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328" w:lineRule="exact"/>
        <w:rPr>
          <w:rFonts w:ascii="Courier New" w:cs="Courier New" w:eastAsia="Courier New" w:hAnsi="Courier New"/>
          <w:sz w:val="14"/>
          <w:szCs w:val="14"/>
          <w:color w:val="auto"/>
        </w:rPr>
      </w:pPr>
    </w:p>
    <w:p>
      <w:pPr>
        <w:ind w:left="1032" w:right="3419" w:hanging="515"/>
        <w:spacing w:after="0" w:line="250" w:lineRule="auto"/>
        <w:tabs>
          <w:tab w:leader="none" w:pos="103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 the option shall expire automatically. The calculation required by this subparagraph shall be made and certified by the Committee promptly after the end of each fiscal year, and any option or portion of an option deemed to expire shall expire automatically upon the making of</w:t>
      </w:r>
    </w:p>
    <w:p>
      <w:pPr>
        <w:spacing w:after="0" w:line="339"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616" w:right="1440" w:bottom="1440" w:gutter="0" w:footer="0" w:header="0"/>
        </w:sectPr>
      </w:pPr>
    </w:p>
    <w:bookmarkStart w:id="70" w:name="page71"/>
    <w:bookmarkEnd w:id="70"/>
    <w:p>
      <w:pPr>
        <w:ind w:left="515" w:right="4199"/>
        <w:spacing w:after="0" w:line="255" w:lineRule="auto"/>
        <w:rPr>
          <w:sz w:val="20"/>
          <w:szCs w:val="20"/>
          <w:color w:val="auto"/>
        </w:rPr>
      </w:pPr>
      <w:r>
        <w:rPr>
          <w:rFonts w:ascii="Courier New" w:cs="Courier New" w:eastAsia="Courier New" w:hAnsi="Courier New"/>
          <w:sz w:val="14"/>
          <w:szCs w:val="14"/>
          <w:color w:val="auto"/>
        </w:rPr>
        <w:t>such calculation. The Committee shall promptly notify the Participants of the results of the calculation.</w:t>
      </w:r>
    </w:p>
    <w:p>
      <w:pPr>
        <w:spacing w:after="0" w:line="160" w:lineRule="exact"/>
        <w:rPr>
          <w:sz w:val="20"/>
          <w:szCs w:val="20"/>
          <w:color w:val="auto"/>
        </w:rPr>
      </w:pPr>
    </w:p>
    <w:p>
      <w:pPr>
        <w:ind w:left="515" w:right="3419" w:hanging="515"/>
        <w:spacing w:after="0" w:line="251" w:lineRule="auto"/>
        <w:tabs>
          <w:tab w:leader="none" w:pos="5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3" w:lineRule="exact"/>
        <w:rPr>
          <w:rFonts w:ascii="Courier New" w:cs="Courier New" w:eastAsia="Courier New" w:hAnsi="Courier New"/>
          <w:sz w:val="14"/>
          <w:szCs w:val="14"/>
          <w:color w:val="auto"/>
        </w:rPr>
      </w:pPr>
    </w:p>
    <w:p>
      <w:pPr>
        <w:ind w:left="515" w:right="3519" w:hanging="515"/>
        <w:spacing w:after="0" w:line="251" w:lineRule="auto"/>
        <w:tabs>
          <w:tab w:leader="none" w:pos="5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5.c. above, shall become exercisable on the date the Company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subparagraph 5.c. shall not be applicable.</w:t>
      </w:r>
    </w:p>
    <w:p>
      <w:pPr>
        <w:spacing w:after="0" w:line="163" w:lineRule="exact"/>
        <w:rPr>
          <w:rFonts w:ascii="Courier New" w:cs="Courier New" w:eastAsia="Courier New" w:hAnsi="Courier New"/>
          <w:sz w:val="14"/>
          <w:szCs w:val="14"/>
          <w:color w:val="auto"/>
        </w:rPr>
      </w:pPr>
    </w:p>
    <w:p>
      <w:pPr>
        <w:ind w:left="515" w:right="3419" w:hanging="515"/>
        <w:spacing w:after="0" w:line="251" w:lineRule="auto"/>
        <w:tabs>
          <w:tab w:leader="none" w:pos="5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165" w:lineRule="exact"/>
        <w:rPr>
          <w:sz w:val="20"/>
          <w:szCs w:val="20"/>
          <w:color w:val="auto"/>
        </w:rPr>
      </w:pPr>
    </w:p>
    <w:p>
      <w:pPr>
        <w:ind w:left="515" w:right="3419" w:hanging="515"/>
        <w:spacing w:after="0" w:line="250" w:lineRule="auto"/>
        <w:tabs>
          <w:tab w:leader="none" w:pos="5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subparagraph 4.e. to a Participant who is a person referred to in Section 162(m), which would change the Performance Goal applicable to a Participant who is a person referred to in Section 162(m) for payment of awards stated under subparagraph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subparagraph 4.c.i.</w:t>
      </w:r>
    </w:p>
    <w:p>
      <w:pPr>
        <w:spacing w:after="0" w:line="172" w:lineRule="exact"/>
        <w:rPr>
          <w:rFonts w:ascii="Courier New" w:cs="Courier New" w:eastAsia="Courier New" w:hAnsi="Courier New"/>
          <w:sz w:val="14"/>
          <w:szCs w:val="14"/>
          <w:color w:val="auto"/>
        </w:rPr>
      </w:pPr>
    </w:p>
    <w:p>
      <w:pPr>
        <w:ind w:left="515" w:right="3519" w:hanging="515"/>
        <w:spacing w:after="0" w:line="251" w:lineRule="auto"/>
        <w:tabs>
          <w:tab w:leader="none" w:pos="5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164" w:lineRule="exact"/>
        <w:rPr>
          <w:rFonts w:ascii="Courier New" w:cs="Courier New" w:eastAsia="Courier New" w:hAnsi="Courier New"/>
          <w:sz w:val="14"/>
          <w:szCs w:val="14"/>
          <w:color w:val="auto"/>
        </w:rPr>
      </w:pPr>
    </w:p>
    <w:p>
      <w:pPr>
        <w:ind w:left="515" w:right="3419" w:hanging="515"/>
        <w:spacing w:after="0" w:line="251" w:lineRule="auto"/>
        <w:tabs>
          <w:tab w:leader="none" w:pos="5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164" w:lineRule="exact"/>
        <w:rPr>
          <w:rFonts w:ascii="Courier New" w:cs="Courier New" w:eastAsia="Courier New" w:hAnsi="Courier New"/>
          <w:sz w:val="14"/>
          <w:szCs w:val="14"/>
          <w:color w:val="auto"/>
        </w:rPr>
      </w:pPr>
    </w:p>
    <w:p>
      <w:pPr>
        <w:ind w:left="515"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amended by the Compensation Committee and Board of Directors July 30, 1998.</w:t>
      </w:r>
    </w:p>
    <w:p>
      <w:pPr>
        <w:spacing w:after="0" w:line="200" w:lineRule="exact"/>
        <w:rPr>
          <w:sz w:val="20"/>
          <w:szCs w:val="20"/>
          <w:color w:val="auto"/>
        </w:rPr>
      </w:pPr>
    </w:p>
    <w:p>
      <w:pPr>
        <w:spacing w:after="0" w:line="291" w:lineRule="exact"/>
        <w:rPr>
          <w:sz w:val="20"/>
          <w:szCs w:val="20"/>
          <w:color w:val="auto"/>
        </w:rPr>
      </w:pPr>
    </w:p>
    <w:p>
      <w:pPr>
        <w:ind w:left="3095"/>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14"/>
          </w:cols>
          <w:pgMar w:left="745" w:top="616" w:right="1440" w:bottom="1440" w:gutter="0" w:footer="0" w:header="0"/>
        </w:sectPr>
      </w:pPr>
    </w:p>
    <w:bookmarkStart w:id="71" w:name="page72"/>
    <w:bookmarkEnd w:id="71"/>
    <w:p>
      <w:pPr>
        <w:ind w:left="5960"/>
        <w:spacing w:after="0"/>
        <w:rPr>
          <w:sz w:val="20"/>
          <w:szCs w:val="20"/>
          <w:color w:val="auto"/>
        </w:rPr>
      </w:pPr>
      <w:r>
        <w:rPr>
          <w:rFonts w:ascii="Courier New" w:cs="Courier New" w:eastAsia="Courier New" w:hAnsi="Courier New"/>
          <w:sz w:val="14"/>
          <w:szCs w:val="14"/>
          <w:color w:val="auto"/>
        </w:rPr>
        <w:t>Exhibit 12</w:t>
      </w:r>
    </w:p>
    <w:p>
      <w:pPr>
        <w:spacing w:after="0" w:line="338"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(Not Covered by Independent Auditors' Report)</w:t>
      </w:r>
    </w:p>
    <w:p>
      <w:pPr>
        <w:spacing w:after="0" w:line="200" w:lineRule="exact"/>
        <w:rPr>
          <w:sz w:val="20"/>
          <w:szCs w:val="20"/>
          <w:color w:val="auto"/>
        </w:rPr>
      </w:pPr>
    </w:p>
    <w:p>
      <w:pPr>
        <w:spacing w:after="0" w:line="304" w:lineRule="exact"/>
        <w:rPr>
          <w:sz w:val="20"/>
          <w:szCs w:val="20"/>
          <w:color w:val="auto"/>
        </w:rPr>
      </w:pPr>
    </w:p>
    <w:p>
      <w:pPr>
        <w:jc w:val="cente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2260"/>
        <w:spacing w:after="0"/>
        <w:tabs>
          <w:tab w:leader="none" w:pos="1620" w:val="left"/>
          <w:tab w:leader="none" w:pos="840" w:val="left"/>
        </w:tabs>
        <w:rPr>
          <w:sz w:val="20"/>
          <w:szCs w:val="20"/>
          <w:color w:val="auto"/>
        </w:rPr>
      </w:pPr>
      <w:r>
        <w:rPr>
          <w:rFonts w:ascii="Courier New" w:cs="Courier New" w:eastAsia="Courier New" w:hAnsi="Courier New"/>
          <w:sz w:val="14"/>
          <w:szCs w:val="14"/>
          <w:color w:val="auto"/>
        </w:rPr>
        <w:t>YEARS ENDED</w:t>
      </w:r>
      <w:r>
        <w:rPr>
          <w:sz w:val="20"/>
          <w:szCs w:val="20"/>
          <w:color w:val="auto"/>
        </w:rPr>
        <w:tab/>
      </w:r>
      <w:r>
        <w:rPr>
          <w:rFonts w:ascii="Courier New" w:cs="Courier New" w:eastAsia="Courier New" w:hAnsi="Courier New"/>
          <w:sz w:val="14"/>
          <w:szCs w:val="14"/>
          <w:color w:val="auto"/>
        </w:rPr>
        <w:t>3 MONTHS</w:t>
      </w:r>
      <w:r>
        <w:rPr>
          <w:sz w:val="20"/>
          <w:szCs w:val="20"/>
          <w:color w:val="auto"/>
        </w:rPr>
        <w:tab/>
      </w:r>
      <w:r>
        <w:rPr>
          <w:rFonts w:ascii="Courier New" w:cs="Courier New" w:eastAsia="Courier New" w:hAnsi="Courier New"/>
          <w:sz w:val="14"/>
          <w:szCs w:val="14"/>
          <w:color w:val="auto"/>
        </w:rPr>
        <w:t>YEARS ENDED</w:t>
      </w:r>
    </w:p>
    <w:p>
      <w:pPr>
        <w:spacing w:after="0" w:line="7"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jc w:val="cente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1660"/>
        <w:spacing w:after="0"/>
        <w:tabs>
          <w:tab w:leader="none" w:pos="500" w:val="left"/>
          <w:tab w:leader="none" w:pos="480" w:val="left"/>
          <w:tab w:leader="none" w:pos="580" w:val="left"/>
          <w:tab w:leader="none" w:pos="500" w:val="left"/>
          <w:tab w:leader="none" w:pos="600" w:val="left"/>
        </w:tabs>
        <w:rPr>
          <w:sz w:val="20"/>
          <w:szCs w:val="20"/>
          <w:color w:val="auto"/>
        </w:rPr>
      </w:pPr>
      <w:r>
        <w:rPr>
          <w:rFonts w:ascii="Courier New" w:cs="Courier New" w:eastAsia="Courier New" w:hAnsi="Courier New"/>
          <w:sz w:val="14"/>
          <w:szCs w:val="14"/>
          <w:color w:val="auto"/>
        </w:rPr>
        <w:t>10/31/98</w:t>
      </w:r>
      <w:r>
        <w:rPr>
          <w:sz w:val="20"/>
          <w:szCs w:val="20"/>
          <w:color w:val="auto"/>
        </w:rPr>
        <w:tab/>
      </w:r>
      <w:r>
        <w:rPr>
          <w:rFonts w:ascii="Courier New" w:cs="Courier New" w:eastAsia="Courier New" w:hAnsi="Courier New"/>
          <w:sz w:val="14"/>
          <w:szCs w:val="14"/>
          <w:color w:val="auto"/>
        </w:rPr>
        <w:t>10/31/97</w:t>
      </w:r>
      <w:r>
        <w:rPr>
          <w:sz w:val="20"/>
          <w:szCs w:val="20"/>
          <w:color w:val="auto"/>
        </w:rPr>
        <w:tab/>
      </w: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r>
        <w:rPr>
          <w:sz w:val="20"/>
          <w:szCs w:val="20"/>
          <w:color w:val="auto"/>
        </w:rPr>
        <w:tab/>
      </w:r>
      <w:r>
        <w:rPr>
          <w:rFonts w:ascii="Courier New" w:cs="Courier New" w:eastAsia="Courier New" w:hAnsi="Courier New"/>
          <w:sz w:val="14"/>
          <w:szCs w:val="14"/>
          <w:color w:val="auto"/>
        </w:rPr>
        <w:t>7/31/94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$ 6,761,000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$60,344,000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$ 60,180,000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$6,606,0000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$61,112,000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$37,050,000</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Plus:  Fixed charges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29,375,000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23,186,000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16,728,000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3,266,000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14,892,000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15,989,000</w:t>
            </w:r>
          </w:p>
        </w:tc>
      </w:tr>
    </w:tbl>
    <w:p>
      <w:pPr>
        <w:spacing w:after="0" w:line="4"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available to cover</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$36,136,000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$83,530,000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$76,908,000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$9,872,000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$76,004,000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$53,039,000</w:t>
            </w:r>
          </w:p>
        </w:tc>
      </w:tr>
    </w:tbl>
    <w:p>
      <w:pPr>
        <w:spacing w:after="0" w:line="4"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earnings to fixed</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3.60</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bl>
    <w:p>
      <w:pPr>
        <w:spacing w:after="0" w:line="4"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$25,428,000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$13,590,000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$2,532,000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$11,902,000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$13,562,000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Rentals (Interest factor)</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3,987,000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3,138,000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734,000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2,990,000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2,427,000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$29,375,000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$23,186,000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$16,728,000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$3,266,000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$14,892,000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$15,989,000</w:t>
            </w:r>
          </w:p>
        </w:tc>
      </w:tr>
    </w:tbl>
    <w:p>
      <w:pPr>
        <w:spacing w:after="0" w:line="4"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340"/>
          </w:cols>
          <w:pgMar w:left="220" w:top="473" w:right="1339" w:bottom="1440" w:gutter="0" w:footer="0" w:header="0"/>
        </w:sectPr>
      </w:pPr>
    </w:p>
    <w:bookmarkStart w:id="72" w:name="page73"/>
    <w:bookmarkEnd w:id="72"/>
    <w:p>
      <w:pPr>
        <w:spacing w:after="0"/>
        <w:tabs>
          <w:tab w:leader="none" w:pos="1880" w:val="left"/>
        </w:tabs>
        <w:rPr>
          <w:sz w:val="20"/>
          <w:szCs w:val="20"/>
          <w:color w:val="auto"/>
        </w:rPr>
      </w:pPr>
      <w:r>
        <w:rPr>
          <w:rFonts w:ascii="Courier New" w:cs="Courier New" w:eastAsia="Courier New" w:hAnsi="Courier New"/>
          <w:sz w:val="14"/>
          <w:szCs w:val="14"/>
          <w:color w:val="auto"/>
        </w:rPr>
        <w:t>FINANCIAL HIGHLIGHTS</w:t>
        <w:tab/>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 and number of stockholders)</w:t>
      </w:r>
    </w:p>
    <w:p>
      <w:pPr>
        <w:spacing w:after="0" w:line="7" w:lineRule="exact"/>
        <w:rPr>
          <w:sz w:val="20"/>
          <w:szCs w:val="20"/>
          <w:color w:val="auto"/>
        </w:rPr>
      </w:pPr>
    </w:p>
    <w:p>
      <w:pPr>
        <w:spacing w:after="0"/>
        <w:tabs>
          <w:tab w:leader="none" w:pos="5760" w:val="left"/>
          <w:tab w:leader="none" w:pos="7140" w:val="left"/>
          <w:tab w:leader="none" w:pos="782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$ 1,110,434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$ 1,051,204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loss*</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7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net earnings per share of common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4020" w:type="dxa"/>
            <w:vAlign w:val="bottom"/>
          </w:tcPr>
          <w:p>
            <w:pPr>
              <w:ind w:left="40"/>
              <w:spacing w:after="0"/>
              <w:rPr>
                <w:sz w:val="20"/>
                <w:szCs w:val="20"/>
                <w:color w:val="auto"/>
              </w:rPr>
            </w:pPr>
            <w:r>
              <w:rPr>
                <w:rFonts w:ascii="Courier New" w:cs="Courier New" w:eastAsia="Courier New" w:hAnsi="Courier New"/>
                <w:sz w:val="14"/>
                <w:szCs w:val="14"/>
                <w:color w:val="auto"/>
              </w:rPr>
              <w:t>before extraordinary loss*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(89.4)</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Dividends</w:t>
            </w:r>
          </w:p>
        </w:tc>
        <w:tc>
          <w:tcPr>
            <w:tcW w:w="4020" w:type="dxa"/>
            <w:vAlign w:val="bottom"/>
          </w:tcPr>
          <w:p>
            <w:pPr>
              <w:ind w:left="40"/>
              <w:spacing w:after="0"/>
              <w:rPr>
                <w:sz w:val="20"/>
                <w:szCs w:val="20"/>
                <w:color w:val="auto"/>
              </w:rPr>
            </w:pPr>
            <w:r>
              <w:rPr>
                <w:rFonts w:ascii="Courier New" w:cs="Courier New" w:eastAsia="Courier New" w:hAnsi="Courier New"/>
                <w:sz w:val="14"/>
                <w:szCs w:val="14"/>
                <w:color w:val="auto"/>
              </w:rPr>
              <w:t>paid per share of common stock outstanding</w:t>
            </w:r>
          </w:p>
        </w:tc>
        <w:tc>
          <w:tcPr>
            <w:tcW w:w="6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5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0.48</w:t>
            </w:r>
          </w:p>
        </w:tc>
        <w:tc>
          <w:tcPr>
            <w:tcW w:w="8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stockholders' equity</w:t>
            </w:r>
          </w:p>
        </w:tc>
        <w:tc>
          <w:tcPr>
            <w:tcW w:w="2400" w:type="dxa"/>
            <w:vAlign w:val="bottom"/>
          </w:tcPr>
          <w:p>
            <w:pPr>
              <w:ind w:left="1580"/>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15.3%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invested capital</w:t>
            </w:r>
          </w:p>
        </w:tc>
        <w:tc>
          <w:tcPr>
            <w:tcW w:w="2400" w:type="dxa"/>
            <w:vAlign w:val="bottom"/>
          </w:tcPr>
          <w:p>
            <w:pPr>
              <w:ind w:left="1580"/>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221,227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234,211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723,991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661,634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228,424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219,015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263,399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241,163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1997, the company recognized an extraordinary loss on the early retirement of debt of $1,663,000 or $0.13 per dilutive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p>
      <w:pPr>
        <w:ind w:left="780" w:hanging="772"/>
        <w:spacing w:after="0"/>
        <w:tabs>
          <w:tab w:leader="none" w:pos="7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$919.4</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$930.9</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$1,051.2</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$1,110.4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780" w:hanging="772"/>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$32.4</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$36.4</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$36.5*</w:t>
      </w:r>
    </w:p>
    <w:p>
      <w:pPr>
        <w:spacing w:after="0" w:line="7" w:lineRule="exact"/>
        <w:rPr>
          <w:rFonts w:ascii="Courier New" w:cs="Courier New" w:eastAsia="Courier New" w:hAnsi="Courier New"/>
          <w:sz w:val="14"/>
          <w:szCs w:val="14"/>
          <w:color w:val="auto"/>
        </w:rPr>
      </w:pPr>
    </w:p>
    <w:p>
      <w:pPr>
        <w:ind w:left="860" w:hanging="852"/>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ON AVERAGE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7" w:lineRule="exact"/>
        <w:rPr>
          <w:sz w:val="20"/>
          <w:szCs w:val="20"/>
          <w:color w:val="auto"/>
        </w:rPr>
      </w:pPr>
    </w:p>
    <w:p>
      <w:pPr>
        <w:ind w:left="860" w:hanging="852"/>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17.5%</w:t>
      </w:r>
    </w:p>
    <w:p>
      <w:pPr>
        <w:spacing w:after="0" w:line="7" w:lineRule="exact"/>
        <w:rPr>
          <w:rFonts w:ascii="Courier New" w:cs="Courier New" w:eastAsia="Courier New" w:hAnsi="Courier New"/>
          <w:sz w:val="14"/>
          <w:szCs w:val="14"/>
          <w:color w:val="auto"/>
        </w:rPr>
      </w:pPr>
    </w:p>
    <w:p>
      <w:pPr>
        <w:ind w:left="860" w:hanging="852"/>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w:t>
      </w:r>
    </w:p>
    <w:p>
      <w:pPr>
        <w:spacing w:after="0" w:line="7" w:lineRule="exact"/>
        <w:rPr>
          <w:rFonts w:ascii="Courier New" w:cs="Courier New" w:eastAsia="Courier New" w:hAnsi="Courier New"/>
          <w:sz w:val="14"/>
          <w:szCs w:val="14"/>
          <w:color w:val="auto"/>
        </w:rPr>
      </w:pPr>
    </w:p>
    <w:p>
      <w:pPr>
        <w:ind w:left="860" w:hanging="852"/>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15.3%</w:t>
      </w:r>
    </w:p>
    <w:p>
      <w:pPr>
        <w:spacing w:after="0" w:line="7" w:lineRule="exact"/>
        <w:rPr>
          <w:rFonts w:ascii="Courier New" w:cs="Courier New" w:eastAsia="Courier New" w:hAnsi="Courier New"/>
          <w:sz w:val="14"/>
          <w:szCs w:val="14"/>
          <w:color w:val="auto"/>
        </w:rPr>
      </w:pPr>
    </w:p>
    <w:p>
      <w:pPr>
        <w:ind w:left="960" w:hanging="952"/>
        <w:spacing w:after="0"/>
        <w:tabs>
          <w:tab w:leader="none" w:pos="9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DOLLARS PER COMMON SHARE)</w:t>
      </w:r>
    </w:p>
    <w:p>
      <w:pPr>
        <w:spacing w:after="0" w:line="7" w:lineRule="exact"/>
        <w:rPr>
          <w:sz w:val="20"/>
          <w:szCs w:val="20"/>
          <w:color w:val="auto"/>
        </w:rPr>
      </w:pPr>
    </w:p>
    <w:p>
      <w:pPr>
        <w:ind w:left="780" w:hanging="772"/>
        <w:spacing w:after="0"/>
        <w:tabs>
          <w:tab w:leader="none" w:pos="7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$15.69</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$17.75</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$19.79</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$20.63</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38"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OF FINANCIAL CONDITION AND RESULTS OF OPERATIONS</w:t>
        <w:tab/>
        <w:t>The Toro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880"/>
        <w:spacing w:after="0" w:line="250" w:lineRule="auto"/>
        <w:rPr>
          <w:sz w:val="20"/>
          <w:szCs w:val="20"/>
          <w:color w:val="auto"/>
        </w:rPr>
      </w:pPr>
      <w:r>
        <w:rPr>
          <w:rFonts w:ascii="Courier New" w:cs="Courier New" w:eastAsia="Courier New" w:hAnsi="Courier New"/>
          <w:sz w:val="14"/>
          <w:szCs w:val="14"/>
          <w:color w:val="auto"/>
        </w:rPr>
        <w:t>Results in fiscal 1998 were disappointing compared to fiscal 1997. Although Toro recorded strong performances from its professional businesses, which now make up 65.7 percent of total consolidated sales, several events had a negative effect on Toro's consumer business and the company as a whole. Toro had strong sales and earnings growth from the commercial and irrigation businesses, and had significant contributions from the acquisitions of Exmark Manufacturing Company Incorporated (Exmark) in the landscape contractor market and GR Driplines, Incorporated (Drip In) in the agricultural irrigation market. The growth of the golf course market continued to be strong around the world, with the exception of Asia, which contributed to the growth in the commercial and irrigation businesses. Toro's consumer business struggled during the year, which resulted in the adoption of a company-wide plan to improve profitability. The lack of snow during the winter of 1997-1998 significantly lowered sales of the profitable snowthrower line. Performance was also hampered by manufacturing problems related to poor execution of the production transfer from Mound, Minnesota to El Paso, Texas, which led to significant cost overruns for certain consumer handheld electric products and certain irrigation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Ended October 31</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680" w:val="left"/>
          <w:tab w:leader="none" w:pos="6440" w:val="left"/>
          <w:tab w:leader="none" w:pos="7920" w:val="left"/>
          <w:tab w:leader="none" w:pos="8680" w:val="left"/>
          <w:tab w:leader="none" w:pos="10160" w:val="left"/>
        </w:tabs>
        <w:rPr>
          <w:sz w:val="20"/>
          <w:szCs w:val="20"/>
          <w:color w:val="auto"/>
        </w:rPr>
      </w:pPr>
      <w:r>
        <w:rPr>
          <w:rFonts w:ascii="Courier New" w:cs="Courier New" w:eastAsia="Courier New" w:hAnsi="Courier New"/>
          <w:sz w:val="14"/>
          <w:szCs w:val="14"/>
          <w:color w:val="auto"/>
        </w:rPr>
        <w:t>(Dollars in millions, except per share data)</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5.6%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$1,051.2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$930.9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726.1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663.2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Gross profit</w:t>
            </w: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341.7</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profit percentage</w:t>
            </w:r>
          </w:p>
        </w:tc>
        <w:tc>
          <w:tcPr>
            <w:tcW w:w="198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administrative expense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345.6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278.3</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Restructuring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other unusual</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478.5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Earnings from</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profit percentage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expense</w:t>
            </w:r>
          </w:p>
        </w:tc>
        <w:tc>
          <w:tcPr>
            <w:tcW w:w="280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Other income, net</w:t>
            </w:r>
          </w:p>
        </w:tc>
        <w:tc>
          <w:tcPr>
            <w:tcW w:w="2800" w:type="dxa"/>
            <w:vAlign w:val="bottom"/>
          </w:tcPr>
          <w:p>
            <w:pPr>
              <w:spacing w:after="0"/>
              <w:rPr>
                <w:sz w:val="14"/>
                <w:szCs w:val="14"/>
                <w:color w:val="auto"/>
              </w:rPr>
            </w:pP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 income</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taxes and extraordinary loss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r>
      <w:tr>
        <w:trPr>
          <w:trHeight w:val="166"/>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w:t>
            </w:r>
          </w:p>
        </w:tc>
        <w:tc>
          <w:tcPr>
            <w:tcW w:w="29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Net earnings before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extraordinary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6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 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of income tax</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benefit of $1.1</w:t>
            </w:r>
          </w:p>
        </w:tc>
        <w:tc>
          <w:tcPr>
            <w:tcW w:w="6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(88.3)%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w:t>
            </w:r>
          </w:p>
        </w:tc>
      </w:tr>
    </w:tbl>
    <w:p>
      <w:pPr>
        <w:spacing w:after="0" w:line="4"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net earnings per share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before extraordinary loss</w:t>
            </w:r>
          </w:p>
        </w:tc>
        <w:tc>
          <w:tcPr>
            <w:tcW w:w="25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0.32</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(89.4)%   $</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Extraordinary loss per share,</w:t>
            </w:r>
          </w:p>
        </w:tc>
        <w:tc>
          <w:tcPr>
            <w:tcW w:w="2500" w:type="dxa"/>
            <w:vAlign w:val="bottom"/>
          </w:tcPr>
          <w:p>
            <w:pPr>
              <w:ind w:left="60"/>
              <w:spacing w:after="0"/>
              <w:rPr>
                <w:sz w:val="20"/>
                <w:szCs w:val="20"/>
                <w:color w:val="auto"/>
              </w:rPr>
            </w:pPr>
            <w:r>
              <w:rPr>
                <w:rFonts w:ascii="Courier New" w:cs="Courier New" w:eastAsia="Courier New" w:hAnsi="Courier New"/>
                <w:sz w:val="14"/>
                <w:szCs w:val="14"/>
                <w:color w:val="auto"/>
              </w:rPr>
              <w:t>net of income tax benefit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 net earnings per share of common stock</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0.32</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(88.9)%   $   2.88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bl>
    <w:p>
      <w:pPr>
        <w:spacing w:after="0" w:line="4"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net earnings per share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before extraordinary loss</w:t>
            </w:r>
          </w:p>
        </w:tc>
        <w:tc>
          <w:tcPr>
            <w:tcW w:w="25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0.31</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(89.4)%   $</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$ 2.90</w:t>
            </w: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Extraordinary loss per share,</w:t>
            </w:r>
          </w:p>
        </w:tc>
        <w:tc>
          <w:tcPr>
            <w:tcW w:w="2500" w:type="dxa"/>
            <w:vAlign w:val="bottom"/>
          </w:tcPr>
          <w:p>
            <w:pPr>
              <w:ind w:left="60"/>
              <w:spacing w:after="0"/>
              <w:rPr>
                <w:sz w:val="20"/>
                <w:szCs w:val="20"/>
                <w:color w:val="auto"/>
              </w:rPr>
            </w:pPr>
            <w:r>
              <w:rPr>
                <w:rFonts w:ascii="Courier New" w:cs="Courier New" w:eastAsia="Courier New" w:hAnsi="Courier New"/>
                <w:sz w:val="14"/>
                <w:szCs w:val="14"/>
                <w:color w:val="auto"/>
              </w:rPr>
              <w:t>net of income tax benefit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Dilutive net earnings per share of common stock</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0.31</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(88.9)%   $   2.80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$ 2.90</w:t>
            </w:r>
          </w:p>
        </w:tc>
      </w:tr>
    </w:tbl>
    <w:p>
      <w:pPr>
        <w:spacing w:after="0" w:line="4"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 BY PRODUCT LINE</w:t>
      </w:r>
    </w:p>
    <w:p>
      <w:pPr>
        <w:spacing w:after="0" w:line="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680" w:val="left"/>
          <w:tab w:leader="none" w:pos="6440" w:val="left"/>
          <w:tab w:leader="none" w:pos="7920" w:val="left"/>
          <w:tab w:leader="none" w:pos="8680" w:val="left"/>
          <w:tab w:leader="none" w:pos="1016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380.9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458.1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$461.0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451.3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322.0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$930.9</w:t>
            </w:r>
          </w:p>
        </w:tc>
      </w:tr>
    </w:tbl>
    <w:p>
      <w:pPr>
        <w:spacing w:after="0" w:line="4"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4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235.9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232.8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bl>
    <w:p>
      <w:pPr>
        <w:spacing w:after="0" w:line="4"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780"/>
          </w:cols>
          <w:pgMar w:left="220" w:top="616" w:right="899" w:bottom="0" w:gutter="0" w:footer="0" w:header="0"/>
        </w:sectPr>
      </w:pPr>
    </w:p>
    <w:bookmarkStart w:id="74" w:name="page75"/>
    <w:bookmarkEnd w:id="74"/>
    <w:p>
      <w:pPr>
        <w:spacing w:after="0" w:line="4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fiscal 1998, Toro's sales increased 5.6 percent, due to the incremental revenue of Exmark and Drip In products. Net sales would have dropped slightly without Exmark and Drip In products due to significantly lower levels of shipments for consumer products, including snowthrowers, gas powered trimmers, and riding products. Lower consumer shipments were partially offset by strong sales of commercial equipment and irrigation products. Asia sales have also dropped from 3.1 percent of total consolidated sales in fiscal 1997 to 1.7 percent in fiscal 1998 due to the political and economic instabilities in that market.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response to the challenges faced in fiscal 1998, Toro continues to evaluate its business units and reinvest in opportunities and initiatives that it believes will help sustain competitiveness and maintain a leadership position. Toro implemented a profit improvement plan to reposition the consumer business and improve overall company profitability and competitiveness. This strategy included organizational changes in the consumer division; decentralizing manufacturing and inventory management; initiating a multi-year strategy for warehousing and transportation services with third party vendors; the sale of the recycling equipment business; the restructuring of the professional fertilizer business; and plant closings. The company expects significant savings from the profit improvement plan by fiscal year 2000.</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conclusion, positive results in the professional sector were offset by the disappointing results in the consumer business. Toro has embarked on a company-wide profit improvement plan that it believes will reposition the consumer business and make the company as a whole more competitive. This plan, combined with a generally favorable outlook in professional markets, positions Toro for significant improvement in fiscal 1999, although earnings per share are not expected to reach fiscal 1997 levels.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November 1997, the company acquired Exmark, a leading manufacturer of equipment for the professional landscape contractor industry. Effective February 1998, the company acquired Drip In, a manufacturer of agricultural micro-irrigation products. These two acquisitions resulted in all of the increase in fiscal 1998 sales.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Worldwide net sales in fiscal 1998 were $1,110.4 million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$1,051.2 million in fiscal 1997, an increase of 5.6 percent. The following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discussion of sales by product lines: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 Net sales of worldwide consumer products in fiscal 1998 were</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$380.9 million compared to $458.1 million in fiscal 1997, a decrease of 16.8 percent. Domestic snowthrower sales, which accounted for a significant portion of this decrease, were down due to the lack of snow experienced during the winter of 1997-1998. Shipments of domestic riding products were also below fiscal 1997 levels as a result of lower than expected demand for a new repositioned higher-priced garden tractor, along with increased competition. Toro also discontinued selling gas powered trimmers to certain home centers due to low product profitability. In addition, wet spring weather experienced in key Sun Belt markets resulted in lower do-it-yourself irrigation product sales. The company also discontinued certain low profit margin Lawn Genie-Registered Trademark- irrigation products. Offsetting the negative points was an increase in sales for walk power mowers, due mainly to a favorable sales comparison to the previous spring, which was late and wet. In fiscal 1998, Toro reduced the price of certain Toro-Registered Trademark-brand walk power mowers. Management believes this strategy maintained market share but did not increase market share as planned. Lawn-Boy-Registered Trademark- also introduced its new DuraForce-TM- engine walk power mower, which had a strong first year in the marketplace. Startup delays with the DuraForce-TM- engine prevented Toro from fully capitalizing on the demand for this low-emissions product. As part of the company's profit improvement plan, the company introduced special marketing programs and reduced shipments of certain consumer products in order to reduce consumer field inventories to historically low levels.</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International consumer sales were down slightly from fiscal 1997. The main factor contributing to this decrease was lower Australian sales due to the conversion of Australian denominated dollar sales into U.S. dollars at a substantially lower exchange rate as a result of the currency movements in fiscal 1998. Offsetting that factor were strong sales to the European market for new diesel riding products introduced in fiscal 1998.</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company also believes that sales were lower as a result of a continuing shift in consumer buying patterns throughout the industry from brand specific purchases at dealer outlets to price and value conscious purchases at hardware, home center, and mass retailers. Because the company expects this trend to continue, the company announced that the Toro-Registered Trademark- Recycler-Registered Trademark- walk power mower will be sold in select home centers beginning in the spring of 1999. In response to struggles of the consumer business in fiscal 1998, the company plans to continue to take steps to reposition the business for a more competitive and stronger performance in fiscal 1999 and beyond.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 Net sales of worldwide commercial products in fiscal 1998 were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$451.3 million compared to $344.6 million in fiscal 1997, a significant increase of 31.0 percent. The increase was attributable to the addition of Exmark, new product introductions in the landscape contractor market, and growth in the golf course market. Despite strong competition, sales of equipment to golf courses did well. International sales were down slightly due to weak sales in Asia, which were partially offset by an increase in demand in the Canadian and European market for golf course equipment and landscape contractor products. The substantial sales increase of commercial products occurred despite aggressive competition and Asian market weakness, and Toro believes it has maintained its</w:t>
      </w:r>
    </w:p>
    <w:p>
      <w:pPr>
        <w:sectPr>
          <w:pgSz w:w="11900" w:h="16886" w:orient="portrait"/>
          <w:cols w:equalWidth="0" w:num="1">
            <w:col w:w="10239"/>
          </w:cols>
          <w:pgMar w:left="220" w:top="616"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market leadership.</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IRRIGATION - Net sales of worldwide irrigation products in fiscal 1998 were $278.2 million compared to $248.5 million in fiscal 1997, an increase of 12.0 percent. The sales increase was driven by strong domestic golf irrigation revenues, sales growth of worldwide agricultural irrigation products, and the addition</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141" w:right="1440" w:bottom="1440" w:gutter="0" w:footer="0" w:header="0"/>
        </w:sectPr>
      </w:pPr>
    </w:p>
    <w:bookmarkStart w:id="76" w:name="page77"/>
    <w:bookmarkEnd w:id="76"/>
    <w:p>
      <w:pPr>
        <w:spacing w:after="0" w:line="51"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of sales from Drip In-Registered Trademark- agricultural micro-irrigation products. Certain residential/commercial irrigation products rebounded well during fiscal 1998, which also contributed to the strong sales increase. International net sales increased from fiscal 1997 due to strong worldwide agricultural irrigation and golf irrigation sales, except for the Asian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December 1996, the company acquired James Hardie Irrigation Group (Hardie) from James Hardie Industries Limited of Australia (JHI Limited). Hardie was a worldwide leader in production of irrigation systems for the residential and commercial landscape markets, and the agricultural irrigation market. Comparisons of fiscal 1997 to fiscal 1996 were significantly impacted by the acquisition.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Worldwide net sales were $1,051.2 million in fiscal 1997 compared to $930.9 million in fiscal 1996, an increase of 12.9 percent. The following is a discussion of sales by product lines: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CONSUMER - Net sales of worldwide consumer products were $458.1 million in fiscal 1997 compared to $461.0 million in fiscal 1996, a decrease of 0.6 percent. Although retail demand for Toro-Registered Trademark- and Lawn-Boy-Registered Trademark- walk power mowers increased slightly, sales to dealers and distributors declined as their levels of field inventories were managed down and they shifted their buying patterns to more closely reflect retail demand. Sales of leaf blowers, Lawn-Boy-Registered Trademark- walk power mowers, and electric trimmers to hardware, home center, and mass retailers were very strong, partially offsetting the reduction in dealer and distributor sales. This reflects a shift in consumer buying patterns from brand specific purchases at dealer outlets to price and value conscious purchases at hardware, home center, and mass retailers. Sales of do-it-yourself irrigation did well in fiscal 1997. Consumer international sales also increased primarily due to product penetration in newer markets such as Eastern Europe.</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COMMERCIAL - Net sales of worldwide commercial products were $344.6 million in fiscal 1997 compared to $322.0 million in fiscal 1996, an increase of 7.0 percent. The increase in sales reflected the growth in the golf market as well as the landscape contractor market. This was partially offset by reduced sales for recycling equipment and commercial parts. Although competitors in the commercial market aggressively pursued market share, the company believes it is maintaining its leadership position. International sales were up 2.2 percent although the strong U.S. dollar dampened growth in foreign golf projects, especially in emerging markets.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IRRIGATION - Net sales of worldwide irrigation products in fiscal 1997 were $248.5 million compared to $147.9 million in fiscal 1996, an increase of 68.0 percent. This increase was almost entirely attributable to the acquisition of Hardie. Strong golf irrigation sales for the year were offset by sluggish sales of residential/commercial irrigation products. International irrigation sales were up 167.4 percent mainly due to the acquisition of Hardie. International sales, without the incremental revenue from Hardie, were flat due principally to the weakening of foreign currencies against the U.S. dollar. Many new golf projects were postponed or cancelled as a result of weakened foreign economies.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jc w:val="both"/>
        <w:ind w:right="3679"/>
        <w:spacing w:after="0" w:line="250" w:lineRule="auto"/>
        <w:rPr>
          <w:sz w:val="20"/>
          <w:szCs w:val="20"/>
          <w:color w:val="auto"/>
        </w:rPr>
      </w:pPr>
      <w:r>
        <w:rPr>
          <w:rFonts w:ascii="Courier New" w:cs="Courier New" w:eastAsia="Courier New" w:hAnsi="Courier New"/>
          <w:sz w:val="14"/>
          <w:szCs w:val="14"/>
          <w:color w:val="auto"/>
        </w:rPr>
        <w:t>Gross profit was $384.3 million in fiscal 1998 compared to $388.0 million in fiscal 1997, a decrease of 1.0 percent. As a percentage of net sales, gross profit was 34.6 percent in fiscal 1998 compared to 36.9 percent in fiscal</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1997. The decline was primarily due to manufacturing cost overruns related to the poor execution of the production transfer from Mound, Minnesota to El Paso, Texas, reduced sales of higher gross margin snowthrowers, and lower pricing of Toro-Registered Trademark- brand walk power mowers due to competitive pressures. For fiscal 1999, the company is focusing on cost containment and supply chain management to partially offset the effects of competitive pressures on gross profit margins.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profit was $388.0 million in fiscal 1997 compared to $341.7 million in fiscal 1996, an increase of 13.6 percent. As a percentage of net sales, gross profit was 36.9 percent in fiscal 1997 compared to 36.7 percent in fiscal 1996. The increase was due primarily to improved production efficiencies, partially offset by the addition of Hardie products which carry somewhat lower gross margins.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SG&amp;A expenses were $345.6 million in fiscal 1998 compared to $313.1 million in fiscal 1997, an increase of 10.4 percent. As a percentage of net sales, SG&amp;A increased to 31.1 percent from 29.8 percent in fiscal 1997. The additions of Exmark and Drip In contributed $17.8 million of incremental SG&amp;A expense during fiscal 1998. Without Exmark and Drip In, SG&amp;A increased 2.1 percent as a percentage of net sales due to higher costs of administrative expenses related to information services and higher warranty expense. The warranty expense increase was attributable to a change in the product mix. Sales of products with overall higher warranty occurrence rates increased as compared to the prior year. Special warranty reserves for product modifications also contributed to the increase in fiscal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SG&amp;A expenses were $313.1 million in fiscal 1997 compared to $278.3 million in fiscal 1996, an increase of 12.5 percent. As a percentage of net sales, SG&amp;A</w:t>
      </w:r>
    </w:p>
    <w:p>
      <w:pPr>
        <w:sectPr>
          <w:pgSz w:w="11900" w:h="16889" w:orient="portrait"/>
          <w:cols w:equalWidth="0" w:num="1">
            <w:col w:w="10239"/>
          </w:cols>
          <w:pgMar w:left="220" w:top="616" w:right="1440" w:bottom="0" w:gutter="0" w:footer="0" w:header="0"/>
        </w:sectPr>
      </w:pPr>
    </w:p>
    <w:bookmarkStart w:id="77" w:name="page78"/>
    <w:bookmarkEnd w:id="77"/>
    <w:p>
      <w:pPr>
        <w:ind w:right="3419"/>
        <w:spacing w:after="0" w:line="251" w:lineRule="auto"/>
        <w:rPr>
          <w:sz w:val="20"/>
          <w:szCs w:val="20"/>
          <w:color w:val="auto"/>
        </w:rPr>
      </w:pPr>
      <w:r>
        <w:rPr>
          <w:rFonts w:ascii="Courier New" w:cs="Courier New" w:eastAsia="Courier New" w:hAnsi="Courier New"/>
          <w:sz w:val="14"/>
          <w:szCs w:val="14"/>
          <w:color w:val="auto"/>
        </w:rPr>
        <w:t>decreased slightly from fiscal 1996. Hardie accounted for $34.8 million of the increase. Increases in sales and marketing, warranty, and research and development expenses were completely offset by lower administrative expense, after the impact of Hardie, due to cost containment efforts initiated in the second half of fiscal 1997. SG&amp;A expense for distributor/dealer financing costs were slightly below fiscal 1996.</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4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RESTRUCTURING AND OTHER UNUSUAL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Restructuring and other unusual expense was $15.0 million in fiscal 1998 compared to $2.6 million in fiscal 1997. The restructuring charge in fiscal 1998 consisted of $4.3 million for severance and asset write-down related to the closure of two manufacturing facilities, and $1.4 million for other severance costs. Other unusual expense consisted of $5.3 million representing an impairment loss on the expected sale of the recycling equipment business and portions of the professional fertilizer business, and $4.0 million for special consumer marketing programs. These programs consist of rebates and co-op advertising credits designed to reduce certain consumer field inventories to historically low levels by providing incentives to increase retail sales in preparation for potential changes in warehousing and transportation in fiscal 1999.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$2.6 million restructuring and other unusual expense in fiscal 1997 related to the closing of a manufacturing facility in Mound, Minnesota and relocation of those operations to other company facilities throughout the U.S. The closure of the manufacturing facilities is part of a long-term corporate strategy to reduce costs.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was $25.4 million in fiscal 1998 compared to $19.9 million in fiscal 1997, an increase of $5.5 million. Higher average working capital levels, as a result of higher inventory, and incremental cash and debt required for the acquisitions of Exmark and Drip In, contributed to the increase in interest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Interest expense was $19.9 million in fiscal 1997 compared to $13.5 million in fiscal 1996, an increase of $6.4 million. The Hardie acquisition debt accounted for approximately $7.1 million of interest expense. This was offset by reductions in previously outstanding debt and related interest expense as cash generated by operations was used to pay off debt. In addition, the company redeemed higher rate debt by replacing 11% Debentures with lower rate debt ranging from 7.125 percent to 7.80 percent during fiscal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Other income, net, was $8.5 million in fiscal 1998 compared to $7.9 million in fiscal 1997. The increase was mainly attributed to a favorable settlement of a trade secret lawsuit.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income, net, totaled $7.9 million in fiscal 1997 compared to $10.3 million in fiscal 1996. The reduction was primarily attributable to a favorable patent infringement lawsuit settlement in fiscal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for fiscal 1998 and fiscal 1997 was 39.5 percent. The company has determined that it is not necessary to establish a valuation reserve for deferred income tax benefit because it believes that the net deferred income tax asset of $42.8 million will be principally realized through carrybacks to taxable income in prior years, future reversals of existing taxable temporary differences and, to a lesser extent, future taxable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tax rate for fiscal 1997 and fiscal 1996 was 39.5 percent.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WITH FISCAL 1997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earnings were $4.1 million compared to $34.8 million in fiscal 1997 after the effect of an extraordinary loss of $1.7 million on the early retirement of debt in fiscal 1997. Dilutive earnings per share were $0.31 in fiscal 1998 compared to $2.80 after the extraordinary loss of $0.13 in fiscal 1997. Earnings were down sharply from fiscal 1997 due to the significant decrease in consumer sales, restructuring and other unusual expense of $15.0 million, and lower operating margins due to manufacturing inefficiencies experienced in the transition to the El Paso, Texas, facility as described previously.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Net earnings were $34.8 million after the effect of an extraordinary loss of $1.7 million due to the early retirement of debt in fiscal 1997 compared to $36.4 million in fiscal 1996. Net earnings before the extraordinary loss were $36.5 million, a slight increase from fiscal 1996 net earnings. Dilutive earnings per share before the effect of the extraordinary loss in fiscal 1997 were $2.93, up slightly from $2.90 of dilutive earnings per share in fiscal 1996.</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Although Hardie contributed most of the sales increase in fiscal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 resulted in a loss of $0.08 per dilutive share. Beginning in fiscal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Hardier operations were integrated into the company's irrigation business.</w:t>
      </w:r>
    </w:p>
    <w:p>
      <w:pPr>
        <w:sectPr>
          <w:pgSz w:w="11900" w:h="16838" w:orient="portrait"/>
          <w:cols w:equalWidth="0" w:num="1">
            <w:col w:w="10239"/>
          </w:cols>
          <w:pgMar w:left="220" w:top="616"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Working capital at October 31, 1998 was $221.2 million compared to $234.2 million at October 31, 1997, a decrease of 5.5 percent. The current ratio for fiscal 1998 was 1.86 compared to 1.98 in fiscal 1997. Working capital as a percent of sales was 19.9 percent in fiscal 1998 and 22.3 percent in fiscal 1997.</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decrease in working capital was due primarily to lower levels of accounts receivable, and higher accounts payable and accrued liability balances, offset by higher levels of inventory. The decrease in accounts receivable was mainly attributable to the lower levels of consumer sales. The increase in inventory and accounts payable was due to the acquisitions of Exmark and</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80" w:name="page81"/>
    <w:bookmarkEnd w:id="80"/>
    <w:p>
      <w:pPr>
        <w:spacing w:after="0" w:line="5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Drip In, along with increased inventory balances for new products introduced in fiscal 1998 in the landscape contractor business. The increase in accrued liabilities was due to increased accruals for warranty, and restructuring and other unusual expense.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TERM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Long-term assets at October 31, 1998 were $244.6 million compared to $189.6 million at October 31, 1997, an increase of $55.0 million. Net property, plant, and equipment increased $10.3 million due primarily to the acquisition of Exmark and Drip In assets. Goodwill and other assets increased $42.1 million over fiscal 1997 mainly as a result of the goodwill representing the excess purchase price of Exmark and Drip In over the fair value of the net assets acquired.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Long-term debt at October 31, 1998 was $197.4 million compared to $178.0 million at October 31, 1997, an increase of $19.4 million. The increase in long-term debt was a result of the issuance of additional debt and debt assumed in connection with the acquisitions of Exmark and Drip In. The total debt to capital ratio was 46.4 percent in fiscal 1998 compared to 47.6 percent in fiscal 1997. The decrease in debt to capital ratio was due to the reduction of working capital as compared to fiscal 1997 as well as the increase in equity due to stock issued for the Exmark acquisition.</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Total capitalization at October 31, 1998 consisted of $197.4 million of long-term debt, $31.0 million of short-term borrowings, and $263.4 million of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CASH FLOW - Cash provided by operating activities decreased by $14.8 million from fiscal 1997 due primarily to the decrease in net earnings. The increase in inventory also contributed to the decline. However, lower levels of accounts receivable and increased levels of accounts payable and accrued expenses provided cash from operating activities.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Cash used in investing activities decreased significantly in fiscal 1998 from fiscal 1997 as the purchase price net of cash acquired for Hardie in fiscal 1997 of $118.0 million exceeded the net cash purchase price for Exmark and Drip In, which was $17.2 million. In addition, property, plant, and equipment expenditures were down comparatively because a majority of the corporate facility expansion expenditures were incurred in fiscal 1997.</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Cash provided by financing activities decreased primarily due to lower borrowing needs in fiscal 1998 as compared to fiscal 1997 when debt was used to finance the Hardie acquisition in fiscal 1997.</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necessary capital resources for the company's anticipated working capital, capital additions, acquisitions, and potential stock repurchases.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LINES AND OTHER CAPITAL RESOURCES - The company's seasonal U.S. working capital requirements are funded with $237.0 million of committed and uncommitted unsecured bank credit lines. The company also has bankers' acceptance agreements under which an additional $40.0 million of credit lines are available. Average borrowings under these lines were $143.2 million in fiscal 1998 and $149.6 million in fiscal 1997. The decrease in the average borrowings was mainly the result of higher levels of average short-term borrowings in fiscal 1997 due to the acquisition of Hardie in December 1996, which was financed with short-term debt until June 1997. In addition, in fiscal 1998, the company's non-U.S. operations maintained unsecured short-term lines of credit of $6.9 million. At October 31, 1998, the company had $252.9 million of unutilized availability under these credit lines.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April as a result of extended payment terms made available to the company's customers, and decreasing between May and August when payments become due. The company's peak borrowing usually occurs between February and May. The seasonal working capital requirements are financed primarily with short-term financing arrangements described above.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ACQUISITION FINANCING - The acquisitions of Exmark and Drip In were financed through the issuance of shares of the company's common stock, issuance of long-term debt to sellers, and short-term borrowings under the company's current facilities. See Acquisitions and Strategic Alliances included in this MD&amp;A, and Business Acquisitions and Divestitures Footnote 2 in the Notes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February 1998, the company completed the acquisition of Drip In. Drip In is a manufacturer of agricultural micro-irrigation products headquartered in Madera,</w:t>
      </w:r>
    </w:p>
    <w:p>
      <w:pPr>
        <w:sectPr>
          <w:pgSz w:w="11900" w:h="16889" w:orient="portrait"/>
          <w:cols w:equalWidth="0" w:num="1">
            <w:col w:w="10239"/>
          </w:cols>
          <w:pgMar w:left="220" w:top="616"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California, which employs approximately 60 people.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1997, the company acquired Exmark, a leading manufacturer of equipment for the professional landscape contractor industry. Exmark is headquartered in Beatrice, Nebraska and produces mid-sized walk power mowers and zero-turning radius riding mowers for professional contractors. Exmark employs approximately 280 people in a 164,000 square foot facility.</w:t>
      </w:r>
    </w:p>
    <w:p>
      <w:pPr>
        <w:spacing w:after="0" w:line="165"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In September 1997, the company announced that it had acquired the manufacturing, sales, and distribution rights to</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82" w:name="page83"/>
    <w:bookmarkEnd w:id="82"/>
    <w:p>
      <w:pPr>
        <w:spacing w:after="0" w:line="4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Dingo-Registered Trademark- under which the company manufactures and sells Dingo-Registered Trademark- landscape products under the Toro-Registered Trademark- Sitework-TM- Systems brand name for the U.S. markets.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December 1996, the company acquired Hardie from JHI Limited for $118.0 million in cash. The price was subsequently reduced by approximately $10 million based on estimated equity used as the closing date purchase price. In addition, the company entered into an arbitration process related to valuation and accounting issues used in determining the purchase price of Hardie. This process was completed on April 20, 1998 and resulted in an additional $1.8 million reduction of the purchase price.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1998, Toro continued its company-wide program to prepare the company's computer systems for year 2000 compliance. The year 2000 issue relates to computer systems that use the last two digits rather than all four to define a year and whether such systems will properly and accurately process information when the year changes to 2000. Incomplete or untimely resolution of year 2000 issues by the company, by its important suppliers and customers, by public utility providers, or by governmental entities could have a material adverse impact on the company's business, operations, or financial condition.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 OF READINESS - The company is nearing completion of its project to replace core-business information systems with an Enterprise Resource Planning (ERP) software package, which the company has been informed is year 2000 compliant. The package includes software to support the company's facilities and business units with the exception of two domestic subsidiaries and the company's European facilities, which are believed to be year 2000 compliant. The ERP is expected to be in place by mid-1999.</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Toro has assessed its products and believes them to be year 2000 compliant with the exception of six irrigation control systems. After testing is completed, Toro will distribute year 2000 remediations by mid-1999.</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Toro's year 2000 issues list, based on the company's initial assessment, has over three hundred software and hardware items, the majority of which are single-user, departmental or plant systems. The company continues to request year 2000 compliance information from its software and hardware vendors and is in the process of prioritizing business-critical systems that require testing. The company also plans to test its ERP, payroll, and Product Data Management (PDM) systems, even though the vendors claim the systems are year 2000 compliant.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Communications have been sent to Toro's customers (dealers and distributors) informing them of the company's efforts and asking them to ensure that their business operations will not be adversely impacted by year 2000 issues. Surveys have also been sent to the company's suppliers requesting information on their year 2000 efforts. The company has also been communicating with certain home centers and mass retailers about their readiness for the year 2000.</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COSTS - Year 2000 costs through October 31, 1998 were approximately $1.3 million and have been expensed as incurred. These costs include contractor support and ERP implementation for the company's recently-acquired businesses. Costs remaining that have been identified are estimated to be less than $2.0 million, which include expenses for contract support, telephone system upgrades, software modifications for irrigation systems, and business unit system upgrades. The estimated cost of year 2000 modifications is less than 10 percent of the company's information system budget. No significant information system projects have been deferred to accommodate the year 2000 issues.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RISKS - The company is currently undergoing the testing of its core-business operating and financial systems and as such, the company remains uncertain of the risks the year 2000 will have on its business operations. Another area of risk appears to be whether the company's business partners, including dealers, distributors, home center and mass retailers, banks, and suppliers will be compliant with the year 2000. The scope of Toro's year 2000 project does not include ensuring public utility and governmental agency's readiness for the year 2000. Toro has little to no control over these institutions, thereby introducing some level of risk in the company's ability to continue normal operations through the turn of the century.</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Testing remains to be performed to validate assumptions, which is planned to continue through mid-1999. The company believes this timetable should allow enough time to fix or replace any business-critical problems discovered during the testing phase.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CONTINGENCY PLANS - The company's contingency plans will evolve as the testing phase of the business-critical systems and technologies is completed. The company is in the stage of defining a Business Resumption Plan, which will include documented manual processes for critical business functions that could be invoked for any type of business interruption, including any year 2000 issues.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is also planning on performing complete, system-wide backups on December 30 and 31, 1999 and is also discussing the possibility of shutting down all systems so they are not actually running at the turn of the century. Key information system personnel will also be on-site and on-call for the month of January 2000 to deal with any problems that may occur.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non-compliant irrigation systems that have been identified, the company intends to develop software modifications to correct the year 2000 problem and complete testing by mid-1999. The worst case scenario to make the irrigation systems year 2000 compliant would be to replace the Toro manufactured hardware and software systems, at a cost of approximately $2.0 million. However,</w:t>
      </w:r>
    </w:p>
    <w:p>
      <w:pPr>
        <w:sectPr>
          <w:pgSz w:w="11900" w:h="16885" w:orient="portrait"/>
          <w:cols w:equalWidth="0" w:num="1">
            <w:col w:w="10239"/>
          </w:cols>
          <w:pgMar w:left="220" w:top="616" w:right="1440" w:bottom="0" w:gutter="0" w:footer="0" w:header="0"/>
        </w:sectPr>
      </w:pPr>
    </w:p>
    <w:bookmarkStart w:id="83" w:name="page84"/>
    <w:bookmarkEnd w:id="83"/>
    <w:p>
      <w:pPr>
        <w:ind w:right="3339"/>
        <w:spacing w:after="0" w:line="255" w:lineRule="auto"/>
        <w:rPr>
          <w:sz w:val="20"/>
          <w:szCs w:val="20"/>
          <w:color w:val="auto"/>
        </w:rPr>
      </w:pPr>
      <w:r>
        <w:rPr>
          <w:rFonts w:ascii="Courier New" w:cs="Courier New" w:eastAsia="Courier New" w:hAnsi="Courier New"/>
          <w:sz w:val="14"/>
          <w:szCs w:val="14"/>
          <w:color w:val="auto"/>
        </w:rPr>
        <w:t>the company believes a simple software modification or a minor upgrade will make the units compliant.</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41" w:right="1440" w:bottom="1440" w:gutter="0" w:footer="0" w:header="0"/>
        </w:sectPr>
      </w:pPr>
    </w:p>
    <w:bookmarkStart w:id="84" w:name="page85"/>
    <w:bookmarkEnd w:id="84"/>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RISK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exposed to foreign currency exchange risk arising from transactions that are entered into during the normal course of business. To mitigate the risk from foreign currency exchange rate fluctuations, the company will generally enter into forward currency exchange contracts for the purchase or sale of a currency. Decisions on whether to use forward currency exchange contracts to hedge transactions exposed to foreign exchange rate changes are made based on the amount of those exposures, by currency, and an assessment of the near-term market value for each currency. These instruments used as hedges are managed to reduce the risk associated with the exposure being hedged and are designated as a hedge at the inception of the contract. Accordingly, changes in market values of these hedge instruments are highly correlated with changes in market values of underlying hedged items both at inception of the hedge and over the life of the hedge contract. Gains and losses on foreign currency contracts are recorded to the Consolidated Statements of Earnings. See Financial Instruments Footnote 14 in the Notes to the Consolidated Financial Statements for more detail.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CURRENCY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Beginning in January 1999, the European Monetary Union (EMU) will enter into a three-year transition phase during which a common currency called the euro will be introduced in participating countries. Initially, this new currency will be used for financial transactions, and progressively, it will replace the old national currencies that will be withdrawn by July 2002. The transition to the euro currency will involve changing budgetary, accounting, and fiscal systems in companies and public administrations, as well as simultaneous handling of parallel currencies and conversion of legacy data. Uncertainty exists as to the effects the conversion to euro currency will have on the marketplace. One of the largest unknowns for the company is the potential equalization of prices to customers among countries and the resulting competitive impact on our distributor partner sales and Toro sales, and market support given to its distribution partners in those countries. The euro will make price differences on goods in the various countries transparent to the consumer and make comparisons much easier. The company at this time cannot estimate the effects of the above items on its operations, cash flows, or financial conditions in future periods.</w:t>
      </w:r>
    </w:p>
    <w:p>
      <w:pPr>
        <w:spacing w:after="0" w:line="338"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The company continued its program to evaluate whether the company's computer systems and programs will experience operational problems when the euro is fully implemented. The company's European subsidiaries' financial systems have completed initial testing and no problems were discovered for their ability to function using the euro. These subsidiaries began disclosing the euro value on each customer's invoice in January 1999. The company plans to continue testing its computer systems in fiscal 1999 for additional euro functionality. The risk is thought to be minimal as billing and banking functions are already being performed in multiple currencies within these entities. Further, the company is monitoring the rules and regulations as they become known in order to make any changes to its computer programs that are deemed necessary to comply. Although the company believes that it will be able to accommodate any required euro currency changes in its computer programs, there can be no assurance that once the final rules and regulations are completed that the company's computer programs will contain all of the necessary changes or meet all of the euro currency requirements. Based on its evaluation to date, management currently believes that, while the company will incur internal and external costs to adjust to the euro, such costs are not expected to have a material impact on operations, cash flows or the financial condition of the company and its subsidiaries, taken as a whole, in future periods.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CONDITIONS AND OUTLOOK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Toro expects overall demand for its products to be good in fiscal 1999. New products, new markets, and acquisitions over the past two years have helped Toro maintain its leadership across many professional markets. Management believes Toro is well positioned in the marketplace.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professional markets in which Toro operates are generally healthy and are expected to grow. The golf course industry continues to expand with new course openings scheduled in the U.S. and abroad, except for Asia. Toro continues to be the provider of choice for premium golf venues, such as the 1999 U.S. Open at Pinehurst, North Carolina, the 1999 Ryder Cup at The Country Club in Brookline, Massachusetts, and the 2000 British Open at Old St. Andrews in Scotland. Toro has also been named an official equipment and irrigation provider for The First Tee, a project aimed at expanding opportunities for youth in the game of golf. The sports market is also growing, driven by gender equity at the collegiate and high school level, and a demand for better quality and safer turf fields. Toro is expanding its popular Workman-Registered Trademark- vehicle into the industrial sector, which is expected to become another market niche for this product.</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landscaping industry is one of the fastest growing professional markets, fueled by demographic and environmental trends. Professional and residential customers continue to desire beautiful and eco-balanced landscapes, and increasingly they demand contractor services to provide it. Toro is well positioned in this market with equipment and irrigation products. Toro's dual branding strategy of Exmark-Registered Trademark- and Toro-Registered Trademark-, widely believed to be the top two premium brands in this market based on size, number, quality of products, and distribution channels, provides a strong market share. Toro's multi-branded irrigation strategy of Toro-Registered Trademark-, Irritrol-Registered Trademark-, and Lawn Genie-Registered Trademark-, likewise gives Toro a preeminent position, with diversity in product lines and distribution, for a balanced approach to the</w:t>
      </w:r>
    </w:p>
    <w:p>
      <w:pPr>
        <w:sectPr>
          <w:pgSz w:w="11900" w:h="16886" w:orient="portrait"/>
          <w:cols w:equalWidth="0" w:num="1">
            <w:col w:w="10239"/>
          </w:cols>
          <w:pgMar w:left="220" w:top="616"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market.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agricultural irrigation market has many opportunities for Toro as the need grows for more arable land to feed the world's expanding population. Although new to the company, Toro Agricultural Irrigation, and its recent acquisition, Drip In, have operated in this industry for many years and bring a growth business that is positioned to diversify Toro's overall professional irrigation business.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86" w:name="page87"/>
    <w:bookmarkEnd w:id="86"/>
    <w:p>
      <w:pPr>
        <w:spacing w:after="0" w:line="47"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Toro's consumer business struggled in fiscal 1998, but the profit improvement plan has reduced costs and increased the likelihood for profitability for the consumer business in fiscal 1999. An expanded distribution strategy, providing certain Toro-Registered Trademark- brand lawn mowers to 1,600 select home centers in fiscal 1999, is expected to provide added sales momentum for the Toro-Registered Trademark- brand. Demand for Lawn-Boy's-Registered Trademark- new DuraForce-TM- low-emission engine lawn mowers, was strong in fiscal 1998, and is expected to continue into fiscal 1999. Expanded distribution of Toro-Registered Trademark- electric products is expected to add incremental sales to that product line. Another environmentally sensitive product, a quieter version of Toro's powerful electric leaf blower vacuum, was introduced in late fiscal 1998 and is expected to have a positive market impact in fiscal 1999. Manufacturing improvements at Toro's El Paso, Texas, plant are expected to provide better margins than experienced in fiscal 1998. Toro's snowthrower business is expected to be modest in fiscal 1999. Toro has planned conservatively for its snowthrower business and will be utilizing a promotional program that ties price discounts to snowfall levels. This promotional program is substantially insured with a third party.</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international sector remains unpredictable entering the new year. Sales to the Asian market will likely be down, but Asia accounted for less than 2 percent of overall revenues in fiscal 1998 and the expected decline is not expected to have a material impact on the company's operations. The Latin American market is also expected to be soft in fiscal 1999, but also accounts for a small part of overall sales. The European, Canadian, and Australian markets expect good performance in fiscal 1999, which should partially offset struggling Asian and Latin American markets.</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Overall, Toro is expecting a good year in fiscal 1999, while keeping a cautionary eye on the weather, competition, and the world economic scene.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This annual report contains not only historical information, but also forward-looking statements regarding expectations for future company performance. Statements that are not historical are forward-looking. When used by or on behalf of the company, the words "expect", "anticipate", "believe", "intend", and similar expressions generally identify forward-looking statements.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political and economic uncertainty throughout the world; whether the announced profit improvement plan will be successful; increased competition in the company's businesses from competitors that have greater financial resources; the cost of closing certain plants and selling certain business units; the success of new marketing programs; continued deterioration in the company's markets in Asia and softening in other international markets; the strong dollar which increases the cost of the company's products in foreign markets resulting in cancellation of planned projects and limiting the company's ability to increase prices; competitive implications and price transparencies related to the euro conversion; changing buying patterns affecting the company's consumer business, including but not limited to a trend away from purchases at dealer outlets to price and value conscious purchases at hardware, home center, and mass retailers; changes in distributor ownership; the company's expansion into selected home center markets; the company's ability to integrate business acquisitions and to manage alliances successfully; the addition of outside providers for warehousing and transportation services; the company's ability to develop and manufacture new and existing products profitably; market acceptance of existing and new products; changes in distributors, dealers, home center or mass retailers' purchasing practices; the company's ability to rationalize its product lines and plant configurations; the ability to eliminate cost overruns affecting selected consumer and irrigation products at the El Paso, Texas facility; the company's ability to maintain good relations with its union employees; and the ability to retain and hire quality employees.</w:t>
      </w:r>
    </w:p>
    <w:p>
      <w:pPr>
        <w:spacing w:after="0" w:line="17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slower growth in the company's markets; financial market changes including increases in interest rates and fluctuations in foreign exchange rates;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unanticipated problems or costs associated with accommodation of the year 2000 in computer applications or products; the inability of the company's suppliers, customers, creditors, government agencies, public utility providers, and financial service organizations to implement computer applications accommodating the year 2000; seasonal factors in the company's industry; unforeseen litigation; government action, including budget levels, regulation and legislation, primarily legislation relating to the environment, commerce, infrastructure spending, health, and safety; and availability of materials.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is included</w:t>
      </w:r>
    </w:p>
    <w:p>
      <w:pPr>
        <w:sectPr>
          <w:pgSz w:w="11900" w:h="16886" w:orient="portrait"/>
          <w:cols w:equalWidth="0" w:num="1">
            <w:col w:w="10239"/>
          </w:cols>
          <w:pgMar w:left="220" w:top="616" w:right="1440" w:bottom="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in the company's filings with the Securities and Exchange Commission.</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type w:val="continuous"/>
        </w:sectPr>
      </w:pPr>
    </w:p>
    <w:bookmarkStart w:id="88" w:name="page89"/>
    <w:bookmarkEnd w:id="88"/>
    <w:p>
      <w:pPr>
        <w:spacing w:after="0"/>
        <w:tabs>
          <w:tab w:leader="none" w:pos="2220" w:val="left"/>
        </w:tabs>
        <w:rPr>
          <w:sz w:val="20"/>
          <w:szCs w:val="20"/>
          <w:color w:val="auto"/>
        </w:rPr>
      </w:pP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 Months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(Dollars and shares in</w:t>
            </w: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Years Ended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Years Ended</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thousands, except per share</w:t>
            </w:r>
          </w:p>
        </w:tc>
        <w:tc>
          <w:tcPr>
            <w:tcW w:w="18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data, number of employees and</w:t>
            </w:r>
          </w:p>
        </w:tc>
        <w:tc>
          <w:tcPr>
            <w:tcW w:w="1440" w:type="dxa"/>
            <w:vAlign w:val="bottom"/>
          </w:tcPr>
          <w:p>
            <w:pPr>
              <w:jc w:val="right"/>
              <w:ind w:right="45"/>
              <w:spacing w:after="0"/>
              <w:rPr>
                <w:sz w:val="20"/>
                <w:szCs w:val="20"/>
                <w:color w:val="auto"/>
              </w:rPr>
            </w:pPr>
            <w:r>
              <w:rPr>
                <w:rFonts w:ascii="Courier New" w:cs="Courier New" w:eastAsia="Courier New" w:hAnsi="Courier New"/>
                <w:sz w:val="14"/>
                <w:szCs w:val="14"/>
                <w:color w:val="auto"/>
              </w:rPr>
              <w:t>October 31</w:t>
            </w:r>
          </w:p>
        </w:tc>
        <w:tc>
          <w:tcPr>
            <w:tcW w:w="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October 31</w:t>
            </w:r>
          </w:p>
        </w:tc>
        <w:tc>
          <w:tcPr>
            <w:tcW w:w="3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1440" w:type="dxa"/>
            <w:vAlign w:val="bottom"/>
          </w:tcPr>
          <w:p>
            <w:pPr>
              <w:jc w:val="right"/>
              <w:ind w:right="45"/>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1,110,434</w:t>
            </w:r>
          </w:p>
        </w:tc>
        <w:tc>
          <w:tcPr>
            <w:tcW w:w="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1,051,204</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930,909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192,278</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932,853</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794,341</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sales growth from</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prior year(5)</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Gross profit percentage</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Earnings from operations(3)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23,716</w:t>
            </w:r>
          </w:p>
        </w:tc>
        <w:tc>
          <w:tcPr>
            <w:tcW w:w="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72,347</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6,655</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64,821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42,582</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25,428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19,900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11,902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13,562</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 before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36,508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22,230</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w:t>
            </w:r>
          </w:p>
        </w:tc>
        <w:tc>
          <w:tcPr>
            <w:tcW w:w="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34,845</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22,230</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Dilutive earnings per share(4)</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Return on average common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26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479,437</w:t>
            </w:r>
          </w:p>
        </w:tc>
        <w:tc>
          <w:tcPr>
            <w:tcW w:w="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472,044</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405,001</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386,259</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381,610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364,495</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258,210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237,833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207,857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221,173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212,659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188,712</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221,227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234,211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197,144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168,951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175,783</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723,991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661,634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496,877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472,653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468,315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443,639</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197,424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178,015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68,699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81,025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101,325</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263,399</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241,163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213,567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190,892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185,471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168,652</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c>
          <w:tcPr>
            <w:tcW w:w="26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33,893</w:t>
            </w:r>
          </w:p>
        </w:tc>
        <w:tc>
          <w:tcPr>
            <w:tcW w:w="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37,023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21,389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3,302</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28,162</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18,173</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38,240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30,878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18,839</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20.63</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13.43</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Number of common shares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12,770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12,189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12,561</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6,560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7,347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7,541</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Market price range-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High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3/4  $</w:t>
            </w: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Low</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w:t>
            </w: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3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3,434</w:t>
            </w:r>
          </w:p>
        </w:tc>
        <w:tc>
          <w:tcPr>
            <w:tcW w:w="2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right="430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Exmark from November 1, 1997 and Drip In from February 1, 1998, the dates of acquisition.</w:t>
      </w:r>
    </w:p>
    <w:p>
      <w:pPr>
        <w:spacing w:after="0" w:line="162" w:lineRule="exact"/>
        <w:rPr>
          <w:rFonts w:ascii="Courier New" w:cs="Courier New" w:eastAsia="Courier New" w:hAnsi="Courier New"/>
          <w:sz w:val="14"/>
          <w:szCs w:val="14"/>
          <w:color w:val="auto"/>
        </w:rPr>
      </w:pPr>
    </w:p>
    <w:p>
      <w:pPr>
        <w:ind w:left="440" w:right="404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62" w:lineRule="exact"/>
        <w:rPr>
          <w:rFonts w:ascii="Courier New" w:cs="Courier New" w:eastAsia="Courier New" w:hAnsi="Courier New"/>
          <w:sz w:val="14"/>
          <w:szCs w:val="14"/>
          <w:color w:val="auto"/>
        </w:rPr>
      </w:pPr>
    </w:p>
    <w:p>
      <w:pPr>
        <w:ind w:left="440" w:right="4300" w:hanging="432"/>
        <w:spacing w:after="0" w:line="255"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and 1997 earnings from operations includes restructuring and other unusual expense of $15.0 million and $2.6 million, respectively.</w:t>
      </w:r>
    </w:p>
    <w:p>
      <w:pPr>
        <w:spacing w:after="0" w:line="159" w:lineRule="exact"/>
        <w:rPr>
          <w:rFonts w:ascii="Courier New" w:cs="Courier New" w:eastAsia="Courier New" w:hAnsi="Courier New"/>
          <w:sz w:val="14"/>
          <w:szCs w:val="14"/>
          <w:color w:val="auto"/>
        </w:rPr>
      </w:pPr>
    </w:p>
    <w:p>
      <w:pPr>
        <w:ind w:left="440" w:right="422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earnings per share data includes the extraordinary loss on early retirement of debt of $1,663,000, or $0.13 per dilutive share.</w:t>
      </w:r>
    </w:p>
    <w:p>
      <w:pPr>
        <w:spacing w:after="0" w:line="162" w:lineRule="exact"/>
        <w:rPr>
          <w:rFonts w:ascii="Courier New" w:cs="Courier New" w:eastAsia="Courier New" w:hAnsi="Courier New"/>
          <w:sz w:val="14"/>
          <w:szCs w:val="14"/>
          <w:color w:val="auto"/>
        </w:rPr>
      </w:pPr>
    </w:p>
    <w:p>
      <w:pPr>
        <w:ind w:left="440" w:right="4040" w:hanging="432"/>
        <w:spacing w:after="0" w:line="255"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growth from prior year for October 31, 1996 was compared to the year ended July 31, 1995.</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860"/>
          </w:cols>
          <w:pgMar w:left="220" w:top="616" w:right="819" w:bottom="1440" w:gutter="0" w:footer="0" w:header="0"/>
        </w:sectPr>
      </w:pPr>
    </w:p>
    <w:bookmarkStart w:id="89" w:name="page90"/>
    <w:bookmarkEnd w:id="89"/>
    <w:p>
      <w:pPr>
        <w:spacing w:after="0"/>
        <w:tabs>
          <w:tab w:leader="none" w:pos="1960" w:val="left"/>
        </w:tabs>
        <w:rPr>
          <w:sz w:val="20"/>
          <w:szCs w:val="20"/>
          <w:color w:val="auto"/>
        </w:rPr>
      </w:pPr>
      <w:r>
        <w:rPr>
          <w:rFonts w:ascii="Courier New" w:cs="Courier New" w:eastAsia="Courier New" w:hAnsi="Courier New"/>
          <w:sz w:val="14"/>
          <w:szCs w:val="14"/>
          <w:color w:val="auto"/>
        </w:rPr>
        <w:t>REPORT OF MANAGEMENT</w:t>
        <w:tab/>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is responsible for the integrity and objectivity of the financial information included in this report. The financial statements have been prepared in accordance with generally accepted accounting principles. Where necessary, the financial statements reflect estimates based on management judgement.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Established accounting procedures and related systems of internal control provide reasonable assurance that assets are safeguarded, transactions are appropriately authorized and included in the financial records in all material aspects, and that policies and procedures are implemented by qualified personnel. This system of financial controls and procedures is reviewed, modified, and improved as changes occur in business conditions and operations, and as a result of suggestions from independent auditors.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independent auditors, KPMG Peat Marwick LLP, in their audit of The Toro Company's consolidated financial statements, considered the internal control structure of the company to gain a basic understanding of the accounting system in order to design an effective and efficient audit approach, not for the purpose of providing assurance on the system of internal control.</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comprised of members of the Board of Directors who are not employees of the company, meets periodically with the independent auditors and management of the company to monitor the functioning of the accounting control systems and discuss auditing and financial reporting matters. The Audit Committee recommends the selection of the independent auditors, who are then appointed by the board of directors, subject to ratification by the shareholders.</w:t>
      </w:r>
    </w:p>
    <w:p>
      <w:pPr>
        <w:spacing w:after="0" w:line="33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independent auditors conduct an independent audit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Kendrick B. Melrose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Board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Stephen P. Wolfe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Finance, Treasurer and 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1998 and 1997, and the related consolidated statements of earnings and cash flows for each of the three years in the period ended October 31, 1998.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1998 and 1997, and the results of their operations and their cash flows for each of the three years in the period ended October 31, 1998 in conformity with generally accepted accounting principles.</w:t>
      </w:r>
    </w:p>
    <w:p>
      <w:pPr>
        <w:spacing w:after="0" w:line="16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11, 1998</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90" w:name="page91"/>
    <w:bookmarkEnd w:id="90"/>
    <w:p>
      <w:pPr>
        <w:spacing w:after="0"/>
        <w:tabs>
          <w:tab w:leader="none" w:pos="326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20"/>
                <w:szCs w:val="20"/>
                <w:color w:val="auto"/>
              </w:rPr>
            </w:pPr>
            <w:r>
              <w:rPr>
                <w:rFonts w:ascii="Courier New" w:cs="Courier New" w:eastAsia="Courier New" w:hAnsi="Courier New"/>
                <w:sz w:val="14"/>
                <w:szCs w:val="14"/>
                <w:color w:val="auto"/>
              </w:rPr>
              <w:t>(Dollars and shares in thousands, except per share data) Years ended October 31</w:t>
            </w: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1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$1,110,434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$1,051,204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$930,909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1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726,118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663,167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589,186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profit</w:t>
            </w:r>
          </w:p>
        </w:tc>
        <w:tc>
          <w:tcPr>
            <w:tcW w:w="4180" w:type="dxa"/>
            <w:vAlign w:val="bottom"/>
          </w:tcPr>
          <w:p>
            <w:pPr>
              <w:spacing w:after="0"/>
              <w:rPr>
                <w:sz w:val="14"/>
                <w:szCs w:val="14"/>
                <w:color w:val="auto"/>
              </w:rPr>
            </w:pP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384,316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388,037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341,723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 expense</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345,558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313,090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278,284</w:t>
            </w:r>
          </w:p>
        </w:tc>
      </w:tr>
      <w:tr>
        <w:trPr>
          <w:trHeight w:val="16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Restructuring and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other unusual expense</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15,042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from</w:t>
            </w:r>
          </w:p>
        </w:tc>
        <w:tc>
          <w:tcPr>
            <w:tcW w:w="354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23,716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72,347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63,439</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3540" w:type="dxa"/>
            <w:vAlign w:val="bottom"/>
          </w:tcPr>
          <w:p>
            <w:pPr>
              <w:spacing w:after="0"/>
              <w:rPr>
                <w:sz w:val="14"/>
                <w:szCs w:val="14"/>
                <w:color w:val="auto"/>
              </w:rPr>
            </w:pPr>
          </w:p>
        </w:tc>
        <w:tc>
          <w:tcPr>
            <w:tcW w:w="3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(25,428)</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(13,590)</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7,897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Earnings before income taxes and extraordinary loss</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6,761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60,344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60,180</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23,836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23,771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Net earnings before extraordinary loss</w:t>
            </w:r>
          </w:p>
        </w:tc>
        <w:tc>
          <w:tcPr>
            <w:tcW w:w="15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36,508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36,409</w:t>
            </w:r>
          </w:p>
        </w:tc>
      </w:tr>
      <w:tr>
        <w:trPr>
          <w:trHeight w:val="166"/>
        </w:trPr>
        <w:tc>
          <w:tcPr>
            <w:tcW w:w="604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 net of income tax benefit of $1,087</w:t>
            </w:r>
          </w:p>
        </w:tc>
        <w:tc>
          <w:tcPr>
            <w:tcW w:w="15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34,845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$ 36,409</w:t>
            </w:r>
          </w:p>
        </w:tc>
      </w:tr>
    </w:tbl>
    <w:p>
      <w:pPr>
        <w:spacing w:after="0" w:line="4"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Basic net earnings per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extraordinary loss</w:t>
            </w:r>
          </w:p>
        </w:tc>
        <w:tc>
          <w:tcPr>
            <w:tcW w:w="358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Extraordinary loss per</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net of income tax benefit</w:t>
            </w:r>
          </w:p>
        </w:tc>
        <w:tc>
          <w:tcPr>
            <w:tcW w:w="16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300" w:val="left"/>
          <w:tab w:leader="none" w:pos="7820" w:val="left"/>
          <w:tab w:leader="none" w:pos="8600" w:val="left"/>
          <w:tab w:leader="none" w:pos="9120" w:val="left"/>
          <w:tab w:leader="none" w:pos="10060" w:val="left"/>
          <w:tab w:leader="none" w:pos="10420" w:val="left"/>
        </w:tabs>
        <w:rPr>
          <w:sz w:val="20"/>
          <w:szCs w:val="20"/>
          <w:color w:val="auto"/>
        </w:rPr>
      </w:pPr>
      <w:r>
        <w:rPr>
          <w:rFonts w:ascii="Courier New" w:cs="Courier New" w:eastAsia="Courier New" w:hAnsi="Courier New"/>
          <w:sz w:val="14"/>
          <w:szCs w:val="14"/>
          <w:color w:val="auto"/>
        </w:rPr>
        <w:t>Basic net earnings per share of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3.00</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w:t>
            </w: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shares outstanding</w:t>
            </w:r>
          </w:p>
        </w:tc>
        <w:tc>
          <w:tcPr>
            <w:tcW w:w="3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12,794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12,141</w:t>
            </w:r>
          </w:p>
        </w:tc>
      </w:tr>
    </w:tbl>
    <w:p>
      <w:pPr>
        <w:spacing w:after="0" w:line="4"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20"/>
                <w:szCs w:val="20"/>
                <w:color w:val="auto"/>
              </w:rPr>
            </w:pPr>
            <w:r>
              <w:rPr>
                <w:rFonts w:ascii="Courier New" w:cs="Courier New" w:eastAsia="Courier New" w:hAnsi="Courier New"/>
                <w:sz w:val="14"/>
                <w:szCs w:val="14"/>
                <w:color w:val="auto"/>
              </w:rPr>
              <w:t>Dilutive net earnings per share of common stock</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before extraordinary loss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2.90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Extraordinary loss per share, net of income tax benefit</w:t>
            </w:r>
          </w:p>
        </w:tc>
        <w:tc>
          <w:tcPr>
            <w:tcW w:w="16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300" w:val="left"/>
          <w:tab w:leader="none" w:pos="7820" w:val="left"/>
          <w:tab w:leader="none" w:pos="8600" w:val="left"/>
          <w:tab w:leader="none" w:pos="9120" w:val="left"/>
          <w:tab w:leader="none" w:pos="10060" w:val="left"/>
          <w:tab w:leader="none" w:pos="10420" w:val="left"/>
        </w:tabs>
        <w:rPr>
          <w:sz w:val="20"/>
          <w:szCs w:val="20"/>
          <w:color w:val="auto"/>
        </w:rPr>
      </w:pPr>
      <w:r>
        <w:rPr>
          <w:rFonts w:ascii="Courier New" w:cs="Courier New" w:eastAsia="Courier New" w:hAnsi="Courier New"/>
          <w:sz w:val="14"/>
          <w:szCs w:val="14"/>
          <w:color w:val="auto"/>
        </w:rPr>
        <w:t>Dilutive net earnings per share of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p>
    <w:p>
      <w:pPr>
        <w:spacing w:after="0" w:line="7"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and assumed</w:t>
            </w:r>
          </w:p>
        </w:tc>
        <w:tc>
          <w:tcPr>
            <w:tcW w:w="2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conversion shares outstanding</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13,198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12,555</w:t>
            </w:r>
          </w:p>
        </w:tc>
      </w:tr>
    </w:tbl>
    <w:p>
      <w:pPr>
        <w:spacing w:after="0" w:line="4"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72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940"/>
          </w:cols>
          <w:pgMar w:left="220" w:top="616" w:right="739" w:bottom="1440" w:gutter="0" w:footer="0" w:header="0"/>
        </w:sectPr>
      </w:pPr>
    </w:p>
    <w:bookmarkStart w:id="91" w:name="page92"/>
    <w:bookmarkEnd w:id="91"/>
    <w:p>
      <w:pPr>
        <w:spacing w:after="0"/>
        <w:tabs>
          <w:tab w:leader="none" w:pos="258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share amounts) October 31</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jc w:val="right"/>
              <w:ind w:right="3248"/>
              <w:spacing w:after="0"/>
              <w:rPr>
                <w:sz w:val="20"/>
                <w:szCs w:val="20"/>
                <w:color w:val="auto"/>
              </w:rPr>
            </w:pPr>
            <w:r>
              <w:rPr>
                <w:rFonts w:ascii="Courier New" w:cs="Courier New" w:eastAsia="Courier New" w:hAnsi="Courier New"/>
                <w:sz w:val="14"/>
                <w:szCs w:val="14"/>
                <w:color w:val="auto"/>
                <w:w w:val="99"/>
              </w:rPr>
              <w:t>ASSETS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Cash and cash equivalents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84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Receivables: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Customers</w:t>
            </w:r>
          </w:p>
        </w:tc>
        <w:tc>
          <w:tcPr>
            <w:tcW w:w="1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246,504</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255,318</w:t>
            </w:r>
          </w:p>
        </w:tc>
      </w:tr>
      <w:tr>
        <w:trPr>
          <w:trHeight w:val="166"/>
        </w:trPr>
        <w:tc>
          <w:tcPr>
            <w:tcW w:w="38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Other</w:t>
            </w:r>
          </w:p>
        </w:tc>
        <w:tc>
          <w:tcPr>
            <w:tcW w:w="1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250,750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268,966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9,832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Total receivables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241,426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259,134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184,306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160,122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10,454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38,997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42,326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479,437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472,044</w:t>
            </w:r>
          </w:p>
        </w:tc>
      </w:tr>
    </w:tbl>
    <w:p>
      <w:pPr>
        <w:spacing w:after="0" w:line="4"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Land and land</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improvements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12,130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9,334</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Buildings and</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leasehold improvements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85,392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67,627</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294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233,017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220,880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330,539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297,841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203,402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180,989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127,137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116,852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1,182</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Goodwill</w:t>
            </w: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and other assets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113,654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71,556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$723,991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$661,634</w:t>
            </w:r>
          </w:p>
        </w:tc>
      </w:tr>
    </w:tbl>
    <w:p>
      <w:pPr>
        <w:spacing w:after="0" w:line="4"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debt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31,000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41,000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65,273</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58,397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warranties</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46,344</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40,792</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marketing programs</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28,946</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22,691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and benefit costs</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36,344</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32,552</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accrued liabilities</w:t>
            </w:r>
          </w:p>
        </w:tc>
        <w:tc>
          <w:tcPr>
            <w:tcW w:w="10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49,723</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42,036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258,210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237,833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196,844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177,650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Stock, par value $1.00, authorized 35,000,000 shares;</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12,769,560 shares in 1998</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(net of 738,495 treasury shares) and 12,189,244</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shares in 1997 (net of 720,760 treasury shares)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12,770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12,189</w:t>
            </w: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56,546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31,371</w:t>
            </w: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200,609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202,681</w:t>
            </w: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5320" w:val="left"/>
          <w:tab w:leader="none" w:pos="670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263,399</w:t>
      </w:r>
      <w:r>
        <w:rPr>
          <w:sz w:val="20"/>
          <w:szCs w:val="20"/>
          <w:color w:val="auto"/>
        </w:rPr>
        <w:tab/>
      </w:r>
      <w:r>
        <w:rPr>
          <w:rFonts w:ascii="Courier New" w:cs="Courier New" w:eastAsia="Courier New" w:hAnsi="Courier New"/>
          <w:sz w:val="14"/>
          <w:szCs w:val="14"/>
          <w:color w:val="auto"/>
        </w:rPr>
        <w:t>241,163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5240" w:val="left"/>
          <w:tab w:leader="none" w:pos="662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$723,991</w:t>
      </w:r>
      <w:r>
        <w:rPr>
          <w:sz w:val="20"/>
          <w:szCs w:val="20"/>
          <w:color w:val="auto"/>
        </w:rPr>
        <w:tab/>
      </w:r>
      <w:r>
        <w:rPr>
          <w:rFonts w:ascii="Courier New" w:cs="Courier New" w:eastAsia="Courier New" w:hAnsi="Courier New"/>
          <w:sz w:val="14"/>
          <w:szCs w:val="14"/>
          <w:color w:val="auto"/>
        </w:rPr>
        <w:t>$661,634</w:t>
      </w:r>
    </w:p>
    <w:p>
      <w:pPr>
        <w:spacing w:after="0" w:line="7"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92" w:name="page93"/>
    <w:bookmarkEnd w:id="92"/>
    <w:p>
      <w:pPr>
        <w:spacing w:after="0"/>
        <w:tabs>
          <w:tab w:leader="none" w:pos="344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(Dollars in thousands) Years ended October 31</w:t>
            </w:r>
          </w:p>
        </w:tc>
        <w:tc>
          <w:tcPr>
            <w:tcW w:w="2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Net earnings</w:t>
            </w:r>
          </w:p>
        </w:tc>
        <w:tc>
          <w:tcPr>
            <w:tcW w:w="392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4,090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34,845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$ 36,409</w:t>
            </w:r>
          </w:p>
        </w:tc>
      </w:tr>
      <w:tr>
        <w:trPr>
          <w:trHeight w:val="166"/>
        </w:trPr>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cash provided by</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operating activities:</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Extraordinary loss on early extinguishment of debt</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38,240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18,170</w:t>
            </w:r>
          </w:p>
        </w:tc>
      </w:tr>
      <w:tr>
        <w:trPr>
          <w:trHeight w:val="166"/>
        </w:trPr>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(gain) on disposal of property, plant, and equipment</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789</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5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Change in deferred income taxes</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1,229</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Tax benefits related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to employee stock option transactions</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491</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assets and liabilities:</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Net receivables</w:t>
            </w:r>
          </w:p>
        </w:tc>
        <w:tc>
          <w:tcPr>
            <w:tcW w:w="392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26,391</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(40,821)</w:t>
            </w:r>
          </w:p>
        </w:tc>
      </w:tr>
      <w:tr>
        <w:trPr>
          <w:trHeight w:val="166"/>
        </w:trPr>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392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(12,755)</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15,574</w:t>
            </w:r>
          </w:p>
        </w:tc>
      </w:tr>
      <w:tr>
        <w:trPr>
          <w:trHeight w:val="166"/>
        </w:trPr>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and other current assets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(3,629)</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(1,131)</w:t>
            </w:r>
          </w:p>
        </w:tc>
      </w:tr>
      <w:tr>
        <w:trPr>
          <w:trHeight w:val="166"/>
        </w:trPr>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and accrued expenses</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14,248</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69,094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83,873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32,433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Purchases of property,</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(33,893)</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(21,389)</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disposal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543</w:t>
            </w:r>
          </w:p>
        </w:tc>
      </w:tr>
      <w:tr>
        <w:trPr>
          <w:trHeight w:val="166"/>
        </w:trPr>
        <w:tc>
          <w:tcPr>
            <w:tcW w:w="6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other assets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(857)</w:t>
            </w:r>
          </w:p>
        </w:tc>
      </w:tr>
      <w:tr>
        <w:trPr>
          <w:trHeight w:val="166"/>
        </w:trPr>
        <w:tc>
          <w:tcPr>
            <w:tcW w:w="6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Acquisition of James Hardie Irrigation, net of cash acquired</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acquisitions, net of cash acquired</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(17,173)</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(48,039)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(166,674)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Repayments of</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short-term borrowing</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issuance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175,000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Repayments of</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long-term debt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r>
        <w:trPr>
          <w:trHeight w:val="166"/>
        </w:trPr>
        <w:tc>
          <w:tcPr>
            <w:tcW w:w="2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Payments of debt issue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costs and prepayment penalty</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Decrease in other long-term liabilities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payments for termination of interest rate swap agreements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(23,650)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interest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rate swap agreement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12,742</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exercise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2,219</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8,407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4,627</w:t>
            </w:r>
          </w:p>
        </w:tc>
      </w:tr>
      <w:tr>
        <w:trPr>
          <w:trHeight w:val="166"/>
        </w:trPr>
        <w:tc>
          <w:tcPr>
            <w:tcW w:w="6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Purchases of common stock</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(13,339)</w:t>
            </w:r>
          </w:p>
        </w:tc>
      </w:tr>
      <w:tr>
        <w:trPr>
          <w:trHeight w:val="166"/>
        </w:trPr>
        <w:tc>
          <w:tcPr>
            <w:tcW w:w="6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Dividends on common stock</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(6,162)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87,264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(17,688)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7"/>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5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(7,636)</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the fiscal year</w:t>
            </w:r>
          </w:p>
        </w:tc>
        <w:tc>
          <w:tcPr>
            <w:tcW w:w="1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c>
          <w:tcPr>
            <w:tcW w:w="4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the fiscal year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w:t>
            </w:r>
          </w:p>
        </w:tc>
      </w:tr>
    </w:tbl>
    <w:p>
      <w:pPr>
        <w:spacing w:after="0" w:line="4"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Cash paid during the fiscal year for:</w:t>
            </w: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80" w:type="dxa"/>
            <w:vAlign w:val="bottom"/>
          </w:tcPr>
          <w:p>
            <w:pPr>
              <w:ind w:left="620"/>
              <w:spacing w:after="0"/>
              <w:rPr>
                <w:sz w:val="20"/>
                <w:szCs w:val="20"/>
                <w:color w:val="auto"/>
              </w:rPr>
            </w:pPr>
            <w:r>
              <w:rPr>
                <w:rFonts w:ascii="Courier New" w:cs="Courier New" w:eastAsia="Courier New" w:hAnsi="Courier New"/>
                <w:sz w:val="14"/>
                <w:szCs w:val="14"/>
                <w:color w:val="auto"/>
              </w:rPr>
              <w:t>Interest</w:t>
            </w: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$ 24,363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16,829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$ 15,335</w:t>
            </w:r>
          </w:p>
        </w:tc>
      </w:tr>
      <w:tr>
        <w:trPr>
          <w:trHeight w:val="166"/>
        </w:trPr>
        <w:tc>
          <w:tcPr>
            <w:tcW w:w="5480" w:type="dxa"/>
            <w:vAlign w:val="bottom"/>
          </w:tcPr>
          <w:p>
            <w:pPr>
              <w:ind w:left="62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20,447</w:t>
            </w: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Stock issued in connection with an acquisition</w:t>
            </w: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24,770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Debt issued in connection with an acquisition</w:t>
            </w: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15,761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93" w:name="page94"/>
    <w:bookmarkEnd w:id="93"/>
    <w:p>
      <w:pPr>
        <w:spacing w:after="0" w:line="38"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440" w:hanging="432"/>
        <w:spacing w:after="0"/>
        <w:tabs>
          <w:tab w:leader="none" w:pos="4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RELATED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 owned and majority-owned domestic and foreign subsidiaries (the company). The company records its investment in each unconsolidated affiliated company (20 to 50 percent ownership) at its related equity in the net assets of such affiliate and other investments (less than 20 percent ownership) are recorded at cost. All material intercompany accounts and transactions have been eliminated from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3 months or less to be cash equivalents. At October 31, 1998 and 1997, the company had $12,951,000 and $4,598,000, respectively, included in trade payables that represented the reclassification of outstanding checks in excess of related bank balances.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majority of all inventories are valued at the lower of cost or net realizable value with cost determined by the last-in, first-out (LIFO) method.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at October 31 were as follows:</w:t>
      </w:r>
    </w:p>
    <w:p>
      <w:pPr>
        <w:spacing w:after="0" w:line="338"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Raw materials and work in process</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$ 97,248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$ 85,020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128,747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117,699</w:t>
            </w:r>
          </w:p>
        </w:tc>
      </w:tr>
    </w:tbl>
    <w:p>
      <w:pPr>
        <w:spacing w:after="0" w:line="4" w:lineRule="exact"/>
        <w:rPr>
          <w:sz w:val="20"/>
          <w:szCs w:val="20"/>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225,995202,719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Less LIFO and other reserves</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41,689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42,597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$184,306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$160,122</w:t>
            </w:r>
          </w:p>
        </w:tc>
      </w:tr>
    </w:tbl>
    <w:p>
      <w:pPr>
        <w:spacing w:after="0" w:line="4" w:lineRule="exact"/>
        <w:rPr>
          <w:sz w:val="20"/>
          <w:szCs w:val="20"/>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Interest is capitalized during the construction period for significant capital projects. During the years ended October 31, 1998 and 1997, the company capitalized $447,000 and $500,000 of interest,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OTHER ASSETS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Goodwill is amortized on a straight-line basis over periods ranging from 3 to 20 years. Goodwill totaled $91,433,000 and $53,667,000 at October 31, 1998 and 1997, respectively, net of accumulated amortization of $19,368,000 at October 31, 1998 and $13,744,000 at October 31,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reviews long-lived assets, including identifiable intangibles and associated goodwill, for impairment when events or changes in circumstances warrant such a review. An asset is deemed impaired and written down to its fair value if expected associated undiscounted future cash flows are less than its carrying value.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WARRANTIES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 by product line.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Derivative financial instruments are used by the company to manage foreign exchange risks. These financial exposures are managed in accordance with the company's policies and procedures. The company does not hold or issue derivative financial instruments for trading purposes.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Foreign exchange contracts are accounted for as hedges to the extent they are designated as, and are effective as, hedges of firm foreign currency commitments. Foreign currency exchange contract gains and losses are included in other income, net on the Consolidated Statements of Earnings.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AND TRANSACTIONS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for balance sheet accounts using current exchange rates in effect at the balance sheet date and for revenue and expense accounts using a weighted average exchange rate during the period. The translation adjustments are deferred as a separate component of stockholders' equity. Gains or losses resulting from transactions denominated in foreign currencies are included in other income, net.</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25</w:t>
      </w:r>
    </w:p>
    <w:p>
      <w:pPr>
        <w:sectPr>
          <w:pgSz w:w="11900" w:h="16877" w:orient="portrait"/>
          <w:cols w:equalWidth="0" w:num="1">
            <w:col w:w="10239"/>
          </w:cols>
          <w:pgMar w:left="220" w:top="450"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STOCK-BASED COMPENSATION</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SFAS No. 123, "Accounting for Stock-Based Compensation," requires companies to measure employee stock compensation plans based on the fair value method of accounting or to continue to apply APB No. 25, "Accounting for Stock Issued to Employees," and provide pro forma footnote disclosures under the fair value method in SFAS No. 123. The company continues to apply the principals of APB No. 25 and has provided pro forma fair value disclosures in Note 9.</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is recognized at the time products are shipped to customers.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General advertising expenditures and the related production are expensed in the period in which costs are incurred or the first time advertising takes place. Cooperative advertising represents expenditures for advertising costs that the company reimburses customers for some or all of their advertising costs. These obligations are accrued and expensed when the related revenues are recognized in accordance with the program established for the various product lines. Advertising costs were $36,055,000, $35,220,000, and $32,247,000 for the fiscal years ended 1998, 1997, and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part of dealer agreements, the company enters into certain inventory repurchase agreements with third party financing companies. The company records sales when product is shipped to distributors, and the distributors then sell product to dealers. The company has only repurchased immaterial amounts of inventory from third party financing companies over the last three years. Any expected inventory that would need to be repurchased has been provided for in the allowance for doubtful accounts. The company was contingently liable to repurchase $20,272,000 at October 31, 1998 and $9,438,000 at October 31, 1997 of inventory relating to receivables under dealer financing arrangements.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programs in which the company shares the expense of financing distributor and dealer inventories. This charge represents interest for a pre-established length of time at a predefined rate from a contract with a third party financing source to finance dealer inventory purchases. These financing arrangements are used by the company as a marketing tool to enable customers to buy inventory. The financing costs for distributor and dealer inventories were $10,499,000, $10,192,000, and $10,252,000 for the fiscal years ended 1998, 1997, and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in the company's independent distribution channels. These costs were $510,000, $898,000, and $2,533,000 for the fiscal years ended 1998, 1997, and 1996, respectively. Those costs associated with business changes are accrued on the basis of historical experience, while costs related to specific changes to the company's independent distribution system are recorded when authorized.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reflected the necessary deferred tax asset/liability in the accompanying balance sheets. Management believes the future tax deductions will be realized principally through carryback to taxable income in prior years, future reversals of existing taxable temporary differences, and to a lesser extent, future taxable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PER SHARE</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1998, the company adopted Statement of Financial Accounting Standards (SFAS) No. 128, "Earnings per Share." SFAS No. 128 replaced the calculation of primary and fully diluted earnings per share with basic and dilutive earnings per share. Basic earnings per share is calculated using net earnings available to common stockholders divided by the weighted average number of shares of common stock outstanding during the year. Dilutive earnings per share is similar to basic earnings per share except that the weighted average number of shares of common stock outstanding is increased to include the number of additional shares of common stock that would have been outstanding, such as stock to be issued upon exercise of options. The treasury stock method is used to calculate the number of dilutive shares, which reduces the gross number of dilutive shares by the number of shares purchasable from the proceeds of the options assumed to be exercised. All prior year earnings per share have been restated in accordance with the provisions of SFAS 128. Adoption of SFAS 128 did not have a material effect on the companys historical disclosure of earnings per share.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95" w:name="page96"/>
    <w:bookmarkEnd w:id="95"/>
    <w:p>
      <w:pPr>
        <w:ind w:right="3679" w:firstLine="431"/>
        <w:spacing w:after="0" w:line="255" w:lineRule="auto"/>
        <w:rPr>
          <w:sz w:val="20"/>
          <w:szCs w:val="20"/>
          <w:color w:val="auto"/>
        </w:rPr>
      </w:pPr>
      <w:r>
        <w:rPr>
          <w:rFonts w:ascii="Courier New" w:cs="Courier New" w:eastAsia="Courier New" w:hAnsi="Courier New"/>
          <w:sz w:val="14"/>
          <w:szCs w:val="14"/>
          <w:color w:val="auto"/>
        </w:rPr>
        <w:t>Reconciliations of basic and dilutive weighted average shares of common stock outstanding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average number of</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shares outstanding</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12,794,128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12,095,475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12,140,689</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Assumed conversion of stock</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options and contingently</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issuable shares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403,548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371,007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414,026</w:t>
            </w:r>
          </w:p>
        </w:tc>
      </w:tr>
    </w:tbl>
    <w:p>
      <w:pPr>
        <w:spacing w:after="0" w:line="4" w:lineRule="exact"/>
        <w:rPr>
          <w:sz w:val="20"/>
          <w:szCs w:val="20"/>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number of common shares and assumed</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conversion shares outstanding</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13,197,676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12,466,482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12,554,715</w:t>
            </w:r>
          </w:p>
        </w:tc>
      </w:tr>
    </w:tbl>
    <w:p>
      <w:pPr>
        <w:spacing w:after="0" w:line="4" w:lineRule="exact"/>
        <w:rPr>
          <w:sz w:val="20"/>
          <w:szCs w:val="20"/>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amounts from prior years financial statements have been reclassified to conform with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During fiscal 1998, the Financial Accounting Standards Board (FASB) issued SFAS No. 133, "Accounting for Derivative Instruments and Hedging Activities," and the Accounting Standards Executive Committee issued Statement of Position (SOP) 98-1, "Accounting for the Costs of Computer Software Developed or Obtained for Internal Use."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SFAS 133 establishes new standards for recognizing all derivatives as either assets or liabilities, and measuring those instruments at fair value. The company plans to adopt the new standard beginning with the first quarter of fiscal year 2000, as required. The company is in the process of evaluating SFAS 133 and the impact on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SOP 98-1 provides guidance on accounting for the costs of computer software developed or obtained for internal use and does not require additional disclosures. The company plans to adopt the SOP in the beginning of fiscal year 2000, as required. Costs incurred prior to the initial application of the SOP will not be adjusted to conform with SOP 98-1. The adoption of SOP 98-1 is not expected to have a material impact on the company's consolidated financial statements.</w:t>
      </w:r>
    </w:p>
    <w:p>
      <w:pPr>
        <w:spacing w:after="0" w:line="330"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During fiscal 1997, the FASB issued SFAS No. 130, "Reporting Comprehensive Income" and SFAS No. 131, "Disclosures about Segments of an Enterprise and Related Information."</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SFAS 130 establishes standards for reporting and displaying the components of comprehensive income and the accumulated balance of other comprehensive income within total stockholders' equity. The company is required to adopt SFAS 130 beginning in the fiscal year 1999, with reclassification of prior period information for comparative purposes. The adoption of SFAS 130 will require additional disclosures, but will not have a material impact on the company's consolidated financial statements.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The company will be required to adopt SFAS 131 beginning with its 1999 fiscal year-end annual report. The company is in the process of evaluating SFAS 131 and the impact on the companys current disclosures.</w:t>
      </w:r>
    </w:p>
    <w:p>
      <w:pPr>
        <w:spacing w:after="0" w:line="164" w:lineRule="exact"/>
        <w:rPr>
          <w:sz w:val="20"/>
          <w:szCs w:val="20"/>
          <w:color w:val="auto"/>
        </w:rPr>
      </w:pPr>
    </w:p>
    <w:p>
      <w:pPr>
        <w:ind w:left="440" w:hanging="432"/>
        <w:spacing w:after="0"/>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ACQUISITIONS AND DIVESTITURES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February 19, 1998, the company completed the acquisition of Drip In, which is a manufacturer of agricultural micro-irrigation products headquartered in Madera, California.</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On November 25, 1997 the company completed the acquisition of Exmark, a leading manufacturer of equipment for the professional landscape contractor industry. In exchange for all of the capital stock of Exmark, the company issued 598,051 shares of its common stock and paid approximately $5.5 million in cash. In addition, under the terms of the purchase agreement, the company will be required to make contingent payments to Exmark shareholders if Exmark's post-acquisition earnings and sales growth from November 1, 1997 through October 31, 1999 exceed minimum levels established in the purchase agreement. The maximum amount of these contingent payments is $28.0 million. Contingent payments will be paid with a combination of cash and the company's common stock. The company expects to issue approximately 512,000 shares of stock and pay approximately $1,800,000 of cash in January 1999 related to the fiscal 1998 contingent payment.</w:t>
      </w:r>
    </w:p>
    <w:p>
      <w:pPr>
        <w:sectPr>
          <w:pgSz w:w="11900" w:h="16838" w:orient="portrait"/>
          <w:cols w:equalWidth="0" w:num="1">
            <w:col w:w="10239"/>
          </w:cols>
          <w:pgMar w:left="220" w:top="616" w:right="1440" w:bottom="0" w:gutter="0" w:footer="0" w:header="0"/>
        </w:sectPr>
      </w:pPr>
    </w:p>
    <w:bookmarkStart w:id="96" w:name="page97"/>
    <w:bookmarkEnd w:id="96"/>
    <w:p>
      <w:pPr>
        <w:ind w:right="3339" w:firstLine="431"/>
        <w:spacing w:after="0" w:line="255" w:lineRule="auto"/>
        <w:rPr>
          <w:sz w:val="20"/>
          <w:szCs w:val="20"/>
          <w:color w:val="auto"/>
        </w:rPr>
      </w:pPr>
      <w:r>
        <w:rPr>
          <w:rFonts w:ascii="Courier New" w:cs="Courier New" w:eastAsia="Courier New" w:hAnsi="Courier New"/>
          <w:sz w:val="14"/>
          <w:szCs w:val="14"/>
          <w:color w:val="auto"/>
        </w:rPr>
        <w:t>Effective December 1, 1996 the company acquired Hardie from JHI Limited for an adjusted price of $106.9 million.</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141" w:right="1440" w:bottom="1440" w:gutter="0" w:footer="0" w:header="0"/>
        </w:sectPr>
      </w:pPr>
    </w:p>
    <w:bookmarkStart w:id="97" w:name="page98"/>
    <w:bookmarkEnd w:id="97"/>
    <w:p>
      <w:pPr>
        <w:ind w:right="3339" w:firstLine="431"/>
        <w:spacing w:after="0" w:line="251" w:lineRule="auto"/>
        <w:rPr>
          <w:sz w:val="20"/>
          <w:szCs w:val="20"/>
          <w:color w:val="auto"/>
        </w:rPr>
      </w:pPr>
      <w:r>
        <w:rPr>
          <w:rFonts w:ascii="Courier New" w:cs="Courier New" w:eastAsia="Courier New" w:hAnsi="Courier New"/>
          <w:sz w:val="14"/>
          <w:szCs w:val="14"/>
          <w:color w:val="auto"/>
        </w:rPr>
        <w:t>The acquisitions described above were accounted for using the purchase accounting method and, accordingly, the purchase price was allocated based on the estimated fair values of assets acquired and liabilities assumed on the date of acquisition. The excess purchase price over the estimated fair value of net tangible assets acquired was recorded as goodwill, and is being amortized on a straight-line basis over a 20 year period.</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During the fourth quarter of fiscal 1998, Toro recognized a $1.8 million impairment loss related to the restructuring of its professional fertilizer business, including the expected sale of portions of this business.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During the third quarter of fiscal 1998, Toro recognized a $3.5 million impairment loss related to the expected sale of its recycling equipment business. On September 23, 1998, Toro entered into an agreement to sell this business, which resulted in no additional loss.</w:t>
      </w:r>
    </w:p>
    <w:p>
      <w:pPr>
        <w:spacing w:after="0" w:line="162" w:lineRule="exact"/>
        <w:rPr>
          <w:sz w:val="20"/>
          <w:szCs w:val="20"/>
          <w:color w:val="auto"/>
        </w:rPr>
      </w:pPr>
    </w:p>
    <w:p>
      <w:pPr>
        <w:ind w:left="440" w:hanging="432"/>
        <w:spacing w:after="0"/>
        <w:tabs>
          <w:tab w:leader="none" w:pos="4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CHARGES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fiscal 1998, the company committed itself to a profit improvement plan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 the company as a whole more competitive. The elements of this strategy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broad organizational initiatives for profit improvement, organizational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consumer division, initiating a multi-year strategy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warehousing and transportation services with third party vendors, product 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business rationalizations, and reducing the number of manufacturing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company recorded a charge of $15,042,000 for restructuring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unusual expenses. The restructuring charges of $5,770,000 consisted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$4,359,000 for the severance and asset write-down related to the closure of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facilities and $1,411,000 for other severance costs. Other unusual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consisted of $5,321,000 for the impairment loss related to the expected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the recycling equipment business and portions of the professional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fertilizer business, and $3,951,000 for special marketing programs.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consist of rebates and co-op advertising credits designed to reduce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consumer field inventories to historically low levels by providing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incentives to increase retail sales in preparation for potential changes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warehousing and transportation in fiscal 1999. Restructuring and other unusual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included approximately $8,600,000 of cash charges primarily related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 marketing programs, and approximately $6,400,000 of non-cash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related to the write-down of assets.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fiscal 1997, the company recorded a restructuring charge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$2,600,000 for the severance and costs related to the closure of a manufacturing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October 31, 1998, the company had $10,716,000 of restructuring and other unusual expense remaining in other accrued liabilities. The company expects the majority of these reserves to be utilized by the end of fiscal 1999.</w:t>
      </w:r>
    </w:p>
    <w:p>
      <w:pPr>
        <w:spacing w:after="0" w:line="329" w:lineRule="exact"/>
        <w:rPr>
          <w:sz w:val="20"/>
          <w:szCs w:val="20"/>
          <w:color w:val="auto"/>
        </w:rPr>
      </w:pPr>
    </w:p>
    <w:p>
      <w:pPr>
        <w:ind w:left="440" w:hanging="432"/>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w:t>
      </w:r>
    </w:p>
    <w:p>
      <w:pPr>
        <w:spacing w:after="0" w:line="7"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 is as follows:</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853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$1,129</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Gross finance</w:t>
            </w: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charge revenue</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4,503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4,519</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Royalties</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Exchange rate losses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(328)</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$7,897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$10,331</w:t>
            </w:r>
          </w:p>
        </w:tc>
      </w:tr>
    </w:tbl>
    <w:p>
      <w:pPr>
        <w:spacing w:after="0" w:line="4"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October 31, 1998, the company had available committed and uncommitted unsecured lines of credit with domestic banks in the aggregate of $237,000,000. Most of these agreements require the company to pay a fee of 0.175 percent per year on the available lines of credit, which is included in interest expense. The company also has bankers' acceptance agreements under which an additional $40.0 million of credit lines are available. The company's non-U.S. operations maintain unsecured short-term lines of credit of $6,946,000. These facilities bear interest at various rates depending on the rates in their respective countries of operations.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had $31,000,000 outstanding at October 31, 1998 and $41,000,000 outstanding at October 31, 1997 under these lines of credit. The weighted average interest rate on short-term borrowings outstanding at October 31, 1998 and 1997 was 5.64 percent and 5.95 percent, respectively.</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the terms of the short-term debt agreements, the company is subject to certain covenants. As of October 31, 1998, the company amended its U.S. unsecured credit lines with its banks. The debt interest coverage covenant was modified and the company is in compliance with all of its covenants at October 31, 1998.</w:t>
      </w:r>
    </w:p>
    <w:p>
      <w:pPr>
        <w:sectPr>
          <w:pgSz w:w="11900" w:h="16838" w:orient="portrait"/>
          <w:cols w:equalWidth="0" w:num="1">
            <w:col w:w="10239"/>
          </w:cols>
          <w:pgMar w:left="220" w:top="616" w:right="1440" w:bottom="0" w:gutter="0" w:footer="0" w:header="0"/>
        </w:sectPr>
      </w:pPr>
    </w:p>
    <w:bookmarkStart w:id="98" w:name="page99"/>
    <w:bookmarkEnd w:id="98"/>
    <w:p>
      <w:pPr>
        <w:ind w:left="2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307" w:right="1440" w:bottom="1440" w:gutter="0" w:footer="0" w:header="0"/>
        </w:sectPr>
      </w:pPr>
    </w:p>
    <w:bookmarkStart w:id="99" w:name="page100"/>
    <w:bookmarkEnd w:id="99"/>
    <w:p>
      <w:pPr>
        <w:spacing w:after="0" w:line="38" w:lineRule="exact"/>
        <w:rPr>
          <w:sz w:val="20"/>
          <w:szCs w:val="20"/>
          <w:color w:val="auto"/>
        </w:rPr>
      </w:pPr>
    </w:p>
    <w:p>
      <w:pPr>
        <w:ind w:left="440" w:hanging="432"/>
        <w:spacing w:after="0"/>
        <w:tabs>
          <w:tab w:leader="none" w:pos="4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long-term debt is as follows:</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Industrial</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Revenue Bond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due June 1999-2004</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with various interest</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rates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3,015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7.000%</w:t>
            </w:r>
          </w:p>
        </w:tc>
        <w:tc>
          <w:tcPr>
            <w:tcW w:w="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Notes,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due February 17, 2003</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7.125%</w:t>
            </w:r>
          </w:p>
        </w:tc>
        <w:tc>
          <w:tcPr>
            <w:tcW w:w="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Notes,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due June 15, 2007</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Industrial</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Revenue Bond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November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2017 at 4.500%</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7.800%</w:t>
            </w:r>
          </w:p>
        </w:tc>
        <w:tc>
          <w:tcPr>
            <w:tcW w:w="3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Debentures, due June 15, 2027</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197,424178,015</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$177,650</w:t>
            </w:r>
          </w:p>
        </w:tc>
      </w:tr>
    </w:tbl>
    <w:p>
      <w:pPr>
        <w:spacing w:after="0" w:line="4"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June 1997, the company issued $175.0 million of debt securities consisting of $75.0 million of 7.125 percent coupon 10-year Notes and $100.0 million of 7.80 percent coupon 30-year Debentures. The proceeds from the debt securities issued were used, in part, to repay short-term indebtedness, which was primarily related to the acquisition of Hardie, and to redeem on August 1, 1997 the company's $50.0 million principal amount of 11% Sinking Fund Debentures. The company paid a prepayment penalty of $2.8 million for the early retirement of the 11% Debentures. This penalty is reported in the consolidated statement of earnings as an extraordinary loss, net of the related income tax benefit.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issuance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At the inception of one of the swap agreements, the company had received payments,which were recorded as deferred income to be recognized as an adjustment to interest expense over the term of the new debt securities. At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1999, $580,000; 2000, $540,000; 2001, $461,000; 2002, $473,000; 2003, $16,265,000; and after 2003, $179,105,000.</w:t>
      </w:r>
    </w:p>
    <w:p>
      <w:pPr>
        <w:spacing w:after="0" w:line="163" w:lineRule="exact"/>
        <w:rPr>
          <w:sz w:val="20"/>
          <w:szCs w:val="20"/>
          <w:color w:val="auto"/>
        </w:rPr>
      </w:pPr>
    </w:p>
    <w:p>
      <w:pPr>
        <w:ind w:left="440" w:hanging="432"/>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Increase (reduction)</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in income taxes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resulting from:</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Benefits from</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foreign sales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corporation</w:t>
            </w:r>
          </w:p>
        </w:tc>
        <w:tc>
          <w:tcPr>
            <w:tcW w:w="184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State and local</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of federal income tax benefit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Effect of foreign source income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Goodwill amortization</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184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4"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ectPr>
          <w:pgSz w:w="11900" w:h="16877" w:orient="portrait"/>
          <w:cols w:equalWidth="0" w:num="1">
            <w:col w:w="10239"/>
          </w:cols>
          <w:pgMar w:left="220" w:top="616" w:right="1440" w:bottom="0" w:gutter="0" w:footer="0" w:header="0"/>
        </w:sectPr>
      </w:pPr>
    </w:p>
    <w:bookmarkStart w:id="100" w:name="page101"/>
    <w:bookmarkEnd w:id="100"/>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$22,479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4,903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25,233</w:t>
            </w:r>
          </w:p>
        </w:tc>
      </w:tr>
    </w:tbl>
    <w:p>
      <w:pPr>
        <w:spacing w:after="0" w:line="4"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780" w:val="left"/>
          <w:tab w:leader="none" w:pos="5160" w:val="left"/>
          <w:tab w:leader="none" w:pos="6280" w:val="left"/>
        </w:tabs>
        <w:rPr>
          <w:sz w:val="20"/>
          <w:szCs w:val="20"/>
          <w:color w:val="auto"/>
        </w:rPr>
      </w:pPr>
      <w:r>
        <w:rPr>
          <w:rFonts w:ascii="Courier New" w:cs="Courier New" w:eastAsia="Courier New" w:hAnsi="Courier New"/>
          <w:sz w:val="14"/>
          <w:szCs w:val="14"/>
          <w:color w:val="auto"/>
        </w:rPr>
        <w:t>Deferred provision</w:t>
      </w:r>
      <w:r>
        <w:rPr>
          <w:sz w:val="20"/>
          <w:szCs w:val="20"/>
          <w:color w:val="auto"/>
        </w:rPr>
        <w:tab/>
      </w:r>
      <w:r>
        <w:rPr>
          <w:rFonts w:ascii="Courier New" w:cs="Courier New" w:eastAsia="Courier New" w:hAnsi="Courier New"/>
          <w:sz w:val="14"/>
          <w:szCs w:val="14"/>
          <w:color w:val="auto"/>
        </w:rPr>
        <w:t>(2,232)</w:t>
      </w:r>
      <w:r>
        <w:rPr>
          <w:sz w:val="20"/>
          <w:szCs w:val="20"/>
          <w:color w:val="auto"/>
        </w:rPr>
        <w:tab/>
      </w:r>
      <w:r>
        <w:rPr>
          <w:rFonts w:ascii="Courier New" w:cs="Courier New" w:eastAsia="Courier New" w:hAnsi="Courier New"/>
          <w:sz w:val="14"/>
          <w:szCs w:val="14"/>
          <w:color w:val="auto"/>
        </w:rPr>
        <w:t>5,319</w:t>
      </w:r>
      <w:r>
        <w:rPr>
          <w:sz w:val="20"/>
          <w:szCs w:val="20"/>
          <w:color w:val="auto"/>
        </w:rPr>
        <w:tab/>
      </w:r>
      <w:r>
        <w:rPr>
          <w:rFonts w:ascii="Courier New" w:cs="Courier New" w:eastAsia="Courier New" w:hAnsi="Courier New"/>
          <w:sz w:val="14"/>
          <w:szCs w:val="14"/>
          <w:color w:val="auto"/>
        </w:rPr>
        <w:t>(1,462)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4980" w:val="left"/>
          <w:tab w:leader="none" w:pos="6200" w:val="left"/>
        </w:tabs>
        <w:rPr>
          <w:sz w:val="20"/>
          <w:szCs w:val="20"/>
          <w:color w:val="auto"/>
        </w:rPr>
      </w:pPr>
      <w:r>
        <w:rPr>
          <w:rFonts w:ascii="Courier New" w:cs="Courier New" w:eastAsia="Courier New" w:hAnsi="Courier New"/>
          <w:sz w:val="14"/>
          <w:szCs w:val="14"/>
          <w:color w:val="auto"/>
        </w:rPr>
        <w:t>Total provision for income taxes</w:t>
      </w:r>
      <w:r>
        <w:rPr>
          <w:sz w:val="20"/>
          <w:szCs w:val="20"/>
          <w:color w:val="auto"/>
        </w:rPr>
        <w:tab/>
      </w:r>
      <w:r>
        <w:rPr>
          <w:rFonts w:ascii="Courier New" w:cs="Courier New" w:eastAsia="Courier New" w:hAnsi="Courier New"/>
          <w:sz w:val="14"/>
          <w:szCs w:val="14"/>
          <w:color w:val="auto"/>
        </w:rPr>
        <w:t>$2,671</w:t>
      </w:r>
      <w:r>
        <w:rPr>
          <w:sz w:val="20"/>
          <w:szCs w:val="20"/>
          <w:color w:val="auto"/>
        </w:rPr>
        <w:tab/>
      </w:r>
      <w:r>
        <w:rPr>
          <w:rFonts w:ascii="Courier New" w:cs="Courier New" w:eastAsia="Courier New" w:hAnsi="Courier New"/>
          <w:sz w:val="14"/>
          <w:szCs w:val="14"/>
          <w:color w:val="auto"/>
        </w:rPr>
        <w:t>$22,749</w:t>
      </w:r>
      <w:r>
        <w:rPr>
          <w:sz w:val="20"/>
          <w:szCs w:val="20"/>
          <w:color w:val="auto"/>
        </w:rPr>
        <w:tab/>
      </w:r>
      <w:r>
        <w:rPr>
          <w:rFonts w:ascii="Courier New" w:cs="Courier New" w:eastAsia="Courier New" w:hAnsi="Courier New"/>
          <w:sz w:val="14"/>
          <w:szCs w:val="14"/>
          <w:color w:val="auto"/>
        </w:rPr>
        <w:t>$23,771</w:t>
      </w:r>
    </w:p>
    <w:p>
      <w:pPr>
        <w:spacing w:after="0" w:line="7"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income tax assets at October 31, 1998 and 1997 are presented below:</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$ 4,357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$ 5,070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Inventory items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4,228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2,201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15,028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6,491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6,048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nondeductible accruals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10,933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income tax assets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$42,760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$43,508</w:t>
            </w:r>
          </w:p>
        </w:tc>
      </w:tr>
    </w:tbl>
    <w:p>
      <w:pPr>
        <w:spacing w:after="0" w:line="4"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During the years ended October 31, 1998 and 1997, respectively, $491,000 and $2,611,000 was added to additional paid-in capital in accordance with Accounting Principal Board Opinion 25 reflecting the permanent book to tax difference in accounting for tax benefits related to employee stock option transactions.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141" w:right="1440" w:bottom="1440" w:gutter="0" w:footer="0" w:header="0"/>
        </w:sectPr>
      </w:pPr>
    </w:p>
    <w:bookmarkStart w:id="101" w:name="page102"/>
    <w:bookmarkEnd w:id="101"/>
    <w:p>
      <w:pPr>
        <w:ind w:left="440" w:hanging="432"/>
        <w:spacing w:after="0"/>
        <w:tabs>
          <w:tab w:leader="none" w:pos="4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Changes in the components of stockholders' equity during the fiscal years ended 1998, 1997, and 1996 were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ind w:left="6460"/>
        <w:spacing w:after="0"/>
        <w:tabs>
          <w:tab w:leader="none" w:pos="9200" w:val="left"/>
        </w:tabs>
        <w:rPr>
          <w:sz w:val="20"/>
          <w:szCs w:val="20"/>
          <w:color w:val="auto"/>
        </w:rPr>
      </w:pP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Currency</w:t>
      </w:r>
    </w:p>
    <w:p>
      <w:pPr>
        <w:spacing w:after="0" w:line="7" w:lineRule="exact"/>
        <w:rPr>
          <w:sz w:val="20"/>
          <w:szCs w:val="20"/>
          <w:color w:val="auto"/>
        </w:rPr>
      </w:pPr>
    </w:p>
    <w:p>
      <w:pPr>
        <w:ind w:left="5520"/>
        <w:spacing w:after="0"/>
        <w:tabs>
          <w:tab w:leader="none" w:pos="6700" w:val="left"/>
          <w:tab w:leader="none" w:pos="7920" w:val="left"/>
          <w:tab w:leader="none" w:pos="886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Translation</w:t>
      </w:r>
    </w:p>
    <w:p>
      <w:pPr>
        <w:spacing w:after="0" w:line="7" w:lineRule="exact"/>
        <w:rPr>
          <w:sz w:val="20"/>
          <w:szCs w:val="20"/>
          <w:color w:val="auto"/>
        </w:rPr>
      </w:pPr>
    </w:p>
    <w:p>
      <w:pPr>
        <w:spacing w:after="0"/>
        <w:tabs>
          <w:tab w:leader="none" w:pos="5580" w:val="left"/>
          <w:tab w:leader="none" w:pos="6700" w:val="left"/>
          <w:tab w:leader="none" w:pos="7920" w:val="left"/>
          <w:tab w:leader="none" w:pos="9040" w:val="left"/>
          <w:tab w:leader="none" w:pos="107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Adjustment</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420" w:val="left"/>
          <w:tab w:leader="none" w:pos="6620" w:val="left"/>
          <w:tab w:leader="none" w:pos="7920" w:val="left"/>
          <w:tab w:leader="none" w:pos="9200" w:val="left"/>
          <w:tab w:leader="none" w:pos="9640" w:val="left"/>
          <w:tab w:leader="none" w:pos="10500" w:val="left"/>
        </w:tabs>
        <w:rPr>
          <w:sz w:val="20"/>
          <w:szCs w:val="20"/>
          <w:color w:val="auto"/>
        </w:rPr>
      </w:pPr>
      <w:r>
        <w:rPr>
          <w:rFonts w:ascii="Courier New" w:cs="Courier New" w:eastAsia="Courier New" w:hAnsi="Courier New"/>
          <w:sz w:val="14"/>
          <w:szCs w:val="14"/>
          <w:color w:val="auto"/>
        </w:rPr>
        <w:t>Balance at October 31, 1995</w:t>
      </w:r>
      <w:r>
        <w:rPr>
          <w:sz w:val="20"/>
          <w:szCs w:val="20"/>
          <w:color w:val="auto"/>
        </w:rPr>
        <w:tab/>
      </w:r>
      <w:r>
        <w:rPr>
          <w:rFonts w:ascii="Courier New" w:cs="Courier New" w:eastAsia="Courier New" w:hAnsi="Courier New"/>
          <w:sz w:val="14"/>
          <w:szCs w:val="14"/>
          <w:color w:val="auto"/>
        </w:rPr>
        <w:t>$12,168</w:t>
      </w:r>
      <w:r>
        <w:rPr>
          <w:sz w:val="20"/>
          <w:szCs w:val="20"/>
          <w:color w:val="auto"/>
        </w:rPr>
        <w:tab/>
      </w:r>
      <w:r>
        <w:rPr>
          <w:rFonts w:ascii="Courier New" w:cs="Courier New" w:eastAsia="Courier New" w:hAnsi="Courier New"/>
          <w:sz w:val="14"/>
          <w:szCs w:val="14"/>
          <w:color w:val="auto"/>
        </w:rPr>
        <w:t>$ 35,712</w:t>
      </w:r>
      <w:r>
        <w:rPr>
          <w:sz w:val="20"/>
          <w:szCs w:val="20"/>
          <w:color w:val="auto"/>
        </w:rPr>
        <w:tab/>
      </w:r>
      <w:r>
        <w:rPr>
          <w:rFonts w:ascii="Courier New" w:cs="Courier New" w:eastAsia="Courier New" w:hAnsi="Courier New"/>
          <w:sz w:val="14"/>
          <w:szCs w:val="14"/>
          <w:color w:val="auto"/>
        </w:rPr>
        <w:t>$142,891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$190,892</w:t>
      </w:r>
    </w:p>
    <w:p>
      <w:pPr>
        <w:spacing w:after="0" w:line="7"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(5,834)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(5,834)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294,324</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shares under stock option plans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4,333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429,692</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shares of common stock</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(13,073)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(13,503)</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36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36,409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at October 31, 1996</w:t>
            </w: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$12,032</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$28,462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$173,630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$213,567</w:t>
            </w:r>
          </w:p>
        </w:tc>
      </w:tr>
    </w:tbl>
    <w:p>
      <w:pPr>
        <w:spacing w:after="0" w:line="4"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(5,794)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(5,794)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389,101</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shares under stock option plans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8,018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8,407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232,000</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shares of common stock</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(7,952)</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36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34,845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at October 31, 1997</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$12,189</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$ 31,371</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$202,681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$241,163</w:t>
            </w:r>
          </w:p>
        </w:tc>
      </w:tr>
    </w:tbl>
    <w:p>
      <w:pPr>
        <w:spacing w:after="0" w:line="4"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(6,162)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(6,162)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Issuance of 82,386 shares under stock option plans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2,136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Issuance of 598,051 shares of common stock for</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Exmark</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24,172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24,770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Purchase of 100,000 shares of common stock</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(1,724)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at October 31, 1998</w:t>
            </w: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$12,770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$56,546</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$200,609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$263,399</w:t>
            </w:r>
          </w:p>
        </w:tc>
      </w:tr>
    </w:tbl>
    <w:p>
      <w:pPr>
        <w:spacing w:after="0" w:line="4"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Under the terms of a Rights Agreement effective May 20, 1998,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$180 per one one-hundredth of a Preferred Share. The rights become exercisable and tradable 10 days after a person or a group acquires 15 percent or more, or makes an offer to acquire 15 percent or more, of the company's outstanding common stock. At no time do the rights have any voting power. The rights may be redeemed by the company for $0.01 per right at any time prior to the time that a person or group has acquired beneficial ownership of 15 percent or more of the common shares.</w:t>
      </w:r>
    </w:p>
    <w:p>
      <w:pPr>
        <w:spacing w:after="0" w:line="163"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During November and December, 1998, Toro repurchased 152,600 shares of stock in anticipation of shares to be issued in connection with a prior acquisition as discussed in Footnote 2, Business Acquisitions and Divestitures.</w:t>
      </w:r>
    </w:p>
    <w:p>
      <w:pPr>
        <w:spacing w:after="0" w:line="163" w:lineRule="exact"/>
        <w:rPr>
          <w:sz w:val="20"/>
          <w:szCs w:val="20"/>
          <w:color w:val="auto"/>
        </w:rPr>
      </w:pPr>
    </w:p>
    <w:p>
      <w:pPr>
        <w:ind w:left="440" w:hanging="432"/>
        <w:spacing w:after="0"/>
        <w:tabs>
          <w:tab w:leader="none" w:pos="4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Under the company's stock option plans, certain employees and non-employee directors have been granted options to purchase shares of common stock at prices equal to the fair market value on the date the option was granted, except for performance-based stock options discussed below. The stock options are generally exercisable immediately, and expire five to ten years after the date of grant.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460"/>
          </w:cols>
          <w:pgMar w:left="220" w:top="616" w:right="219" w:bottom="1440" w:gutter="0" w:footer="0" w:header="0"/>
        </w:sectPr>
      </w:pPr>
    </w:p>
    <w:bookmarkStart w:id="102" w:name="page103"/>
    <w:bookmarkEnd w:id="102"/>
    <w:p>
      <w:pPr>
        <w:spacing w:after="0" w:line="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acquisition of Drip In, the company granted Drip In's former owner an option to purchase 80,000 shares of common stock at a price based on the fair market value prior to the closing of the acquisition. The option will vest on the seventh anniversary of grant, except that vesting will be accelerated if certain performance goals are achieved. The option will expire seven years after grant.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Performance-based stock options have been granted under the Continuous Performance Award Plan (CPAP). The exercise price is an average of the closing stock prices for the three months preceding the grant date. These options generally vest upon the public release of fiscal year-end earnings for the last year of the three year award term, and expire 90 days thereafter. Options granted under this plan totaled 53,871, 40,474, and 36,768 in the fiscal years ended 1998, 1997, and 1996, respectively. CPAP options cancelled were 26,607, 33,812, and 0 during the fiscal years ended 1998, 1997, and 1996,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stock options. Accordingly, no compensation expense has been recognized for stock option grants, except with respect to performance-based options. The company recognized compensation expense of $267,000, $545,000, and $483,000 for the fiscal years ended 1998, 1997, and 1996, respectively. If the company elected to recognize compensation expense consistent with the methodology prescribed in SFAS 123, "Accounting for Stock-Based Compensation," the company's net income and dilutive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income, as reported</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$34,845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Pro</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forma net income</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34,289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Dilutive earnings per share, as</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$ 0.31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2.80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Pro forma dilutive earnings per</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bl>
    <w:p>
      <w:pPr>
        <w:spacing w:after="0" w:line="4"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fair value of stock options is estimated at the grant date using the Black-Scholes option pricing model with the following weighted average assumptions:</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of option in years</w:t>
            </w:r>
          </w:p>
        </w:tc>
        <w:tc>
          <w:tcPr>
            <w:tcW w:w="2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dividend yield</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stock volatility</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weighted average fair market value of options was estimated to be $10.01 and $6.14 per share for the years ended October 31, 1998 and 1997, respectively.</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 summary of stock option activity under the plans described above is presented below:</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jc w:val="right"/>
        <w:ind w:right="3419"/>
        <w:spacing w:after="0"/>
        <w:tabs>
          <w:tab w:leader="none" w:pos="2480" w:val="left"/>
          <w:tab w:leader="none" w:pos="840" w:val="left"/>
        </w:tabs>
        <w:rPr>
          <w:sz w:val="20"/>
          <w:szCs w:val="20"/>
          <w:color w:val="auto"/>
        </w:rPr>
      </w:pPr>
      <w:r>
        <w:rPr>
          <w:rFonts w:ascii="Courier New" w:cs="Courier New" w:eastAsia="Courier New" w:hAnsi="Courier New"/>
          <w:sz w:val="14"/>
          <w:szCs w:val="14"/>
          <w:color w:val="auto"/>
        </w:rPr>
        <w:t>Options available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jc w:val="right"/>
        <w:ind w:right="3419"/>
        <w:spacing w:after="0"/>
        <w:tabs>
          <w:tab w:leader="none" w:pos="2840" w:val="left"/>
          <w:tab w:leader="none" w:pos="1460" w:val="left"/>
        </w:tabs>
        <w:rPr>
          <w:sz w:val="20"/>
          <w:szCs w:val="20"/>
          <w:color w:val="auto"/>
        </w:rPr>
      </w:pPr>
      <w:r>
        <w:rPr>
          <w:rFonts w:ascii="Courier New" w:cs="Courier New" w:eastAsia="Courier New" w:hAnsi="Courier New"/>
          <w:sz w:val="14"/>
          <w:szCs w:val="14"/>
          <w:color w:val="auto"/>
        </w:rPr>
        <w:t>for grant</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October 31, 1995</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455,669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1,253,311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(48,768)</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48,768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29.77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(193,221)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18.85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29.13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Increase in options</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available for grant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600,000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October 31, 1996</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1,007,901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1,107,858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(251,620)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251,620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32.74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(443,516)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33,812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(33,812)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October 31, 1997</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790,093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882,150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(397,882)</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397,882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41.97</w:t>
            </w:r>
          </w:p>
        </w:tc>
      </w:tr>
      <w:tr>
        <w:trPr>
          <w:trHeight w:val="166"/>
        </w:trPr>
        <w:tc>
          <w:tcPr>
            <w:tcW w:w="14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Increase in options</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ectPr>
          <w:pgSz w:w="11900" w:h="16880" w:orient="portrait"/>
          <w:cols w:equalWidth="0" w:num="1">
            <w:col w:w="10239"/>
          </w:cols>
          <w:pgMar w:left="220" w:top="616" w:right="1440" w:bottom="0" w:gutter="0" w:footer="0" w:header="0"/>
        </w:sectPr>
      </w:pPr>
    </w:p>
    <w:bookmarkStart w:id="103" w:name="page104"/>
    <w:bookmarkEnd w:id="103"/>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available for grant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(103,792)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25.37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62,869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(64,514)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October 31, 1998</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535,080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1,111,726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bl>
    <w:p>
      <w:pPr>
        <w:spacing w:after="0" w:line="4"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table below presents the number, weighted average remaining contractual life, and weighted average exercise price for options outstanding at October 31, 1998: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Exercise price range</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of options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price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contractual life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Options exercisable at</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$14.75</w:t>
            </w:r>
          </w:p>
        </w:tc>
        <w:tc>
          <w:tcPr>
            <w:tcW w:w="160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300,000</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$23.625 - $29.125</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223,032</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$31.75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 $36.375</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156,108</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2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$43.376 - $43.50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246,039</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3260" w:val="left"/>
          <w:tab w:leader="none" w:pos="4640" w:val="left"/>
          <w:tab w:leader="none" w:pos="60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925,179</w:t>
      </w:r>
      <w:r>
        <w:rPr>
          <w:sz w:val="20"/>
          <w:szCs w:val="20"/>
          <w:color w:val="auto"/>
        </w:rPr>
        <w:tab/>
      </w:r>
      <w:r>
        <w:rPr>
          <w:rFonts w:ascii="Courier New" w:cs="Courier New" w:eastAsia="Courier New" w:hAnsi="Courier New"/>
          <w:sz w:val="14"/>
          <w:szCs w:val="14"/>
          <w:color w:val="auto"/>
        </w:rPr>
        <w:t>$28.57</w:t>
      </w:r>
      <w:r>
        <w:rPr>
          <w:sz w:val="20"/>
          <w:szCs w:val="20"/>
          <w:color w:val="auto"/>
        </w:rPr>
        <w:tab/>
      </w:r>
      <w:r>
        <w:rPr>
          <w:rFonts w:ascii="Courier New" w:cs="Courier New" w:eastAsia="Courier New" w:hAnsi="Courier New"/>
          <w:sz w:val="14"/>
          <w:szCs w:val="14"/>
          <w:color w:val="auto"/>
        </w:rPr>
        <w:t>4.2 years</w:t>
      </w:r>
    </w:p>
    <w:p>
      <w:pPr>
        <w:spacing w:after="0" w:line="7"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9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not exercisable at October 31, 1998:</w:t>
      </w:r>
    </w:p>
    <w:p>
      <w:pPr>
        <w:spacing w:after="0" w:line="1" w:lineRule="exact"/>
        <w:rPr>
          <w:sz w:val="20"/>
          <w:szCs w:val="20"/>
          <w:color w:val="auto"/>
        </w:rPr>
      </w:pPr>
    </w:p>
    <w:p>
      <w:pPr>
        <w:ind w:left="440"/>
        <w:spacing w:after="0"/>
        <w:tabs>
          <w:tab w:leader="none" w:pos="3260" w:val="left"/>
          <w:tab w:leader="none" w:pos="4640" w:val="left"/>
          <w:tab w:leader="none" w:pos="6020" w:val="left"/>
        </w:tabs>
        <w:rPr>
          <w:sz w:val="20"/>
          <w:szCs w:val="20"/>
          <w:color w:val="auto"/>
        </w:rPr>
      </w:pPr>
      <w:r>
        <w:rPr>
          <w:rFonts w:ascii="Courier New" w:cs="Courier New" w:eastAsia="Courier New" w:hAnsi="Courier New"/>
          <w:sz w:val="14"/>
          <w:szCs w:val="14"/>
          <w:color w:val="auto"/>
        </w:rPr>
        <w:t>$29.796 - $39.316</w:t>
      </w:r>
      <w:r>
        <w:rPr>
          <w:sz w:val="20"/>
          <w:szCs w:val="20"/>
          <w:color w:val="auto"/>
        </w:rPr>
        <w:tab/>
      </w:r>
      <w:r>
        <w:rPr>
          <w:rFonts w:ascii="Courier New" w:cs="Courier New" w:eastAsia="Courier New" w:hAnsi="Courier New"/>
          <w:sz w:val="14"/>
          <w:szCs w:val="14"/>
          <w:color w:val="auto"/>
        </w:rPr>
        <w:t>186,547</w:t>
      </w:r>
      <w:r>
        <w:rPr>
          <w:sz w:val="20"/>
          <w:szCs w:val="20"/>
          <w:color w:val="auto"/>
        </w:rPr>
        <w:tab/>
      </w:r>
      <w:r>
        <w:rPr>
          <w:rFonts w:ascii="Courier New" w:cs="Courier New" w:eastAsia="Courier New" w:hAnsi="Courier New"/>
          <w:sz w:val="14"/>
          <w:szCs w:val="14"/>
          <w:color w:val="auto"/>
        </w:rPr>
        <w:t>$36.58</w:t>
      </w:r>
      <w:r>
        <w:rPr>
          <w:sz w:val="20"/>
          <w:szCs w:val="20"/>
          <w:color w:val="auto"/>
        </w:rPr>
        <w:tab/>
      </w:r>
      <w:r>
        <w:rPr>
          <w:rFonts w:ascii="Courier New" w:cs="Courier New" w:eastAsia="Courier New" w:hAnsi="Courier New"/>
          <w:sz w:val="14"/>
          <w:szCs w:val="14"/>
          <w:color w:val="auto"/>
        </w:rPr>
        <w:t>3.5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3080" w:val="left"/>
          <w:tab w:leader="none" w:pos="4640" w:val="left"/>
          <w:tab w:leader="none" w:pos="6020" w:val="left"/>
        </w:tabs>
        <w:rPr>
          <w:sz w:val="20"/>
          <w:szCs w:val="20"/>
          <w:color w:val="auto"/>
        </w:rPr>
      </w:pPr>
      <w:r>
        <w:rPr>
          <w:rFonts w:ascii="Courier New" w:cs="Courier New" w:eastAsia="Courier New" w:hAnsi="Courier New"/>
          <w:sz w:val="14"/>
          <w:szCs w:val="14"/>
          <w:color w:val="auto"/>
        </w:rPr>
        <w:t>Grand total</w:t>
      </w:r>
      <w:r>
        <w:rPr>
          <w:sz w:val="20"/>
          <w:szCs w:val="20"/>
          <w:color w:val="auto"/>
        </w:rPr>
        <w:tab/>
      </w:r>
      <w:r>
        <w:rPr>
          <w:rFonts w:ascii="Courier New" w:cs="Courier New" w:eastAsia="Courier New" w:hAnsi="Courier New"/>
          <w:sz w:val="14"/>
          <w:szCs w:val="14"/>
          <w:color w:val="auto"/>
        </w:rPr>
        <w:t>1,111,726</w:t>
      </w:r>
      <w:r>
        <w:rPr>
          <w:sz w:val="20"/>
          <w:szCs w:val="20"/>
          <w:color w:val="auto"/>
        </w:rPr>
        <w:tab/>
      </w:r>
      <w:r>
        <w:rPr>
          <w:rFonts w:ascii="Courier New" w:cs="Courier New" w:eastAsia="Courier New" w:hAnsi="Courier New"/>
          <w:sz w:val="14"/>
          <w:szCs w:val="14"/>
          <w:color w:val="auto"/>
        </w:rPr>
        <w:t>$29.92</w:t>
      </w:r>
      <w:r>
        <w:rPr>
          <w:sz w:val="20"/>
          <w:szCs w:val="20"/>
          <w:color w:val="auto"/>
        </w:rPr>
        <w:tab/>
      </w:r>
      <w:r>
        <w:rPr>
          <w:rFonts w:ascii="Courier New" w:cs="Courier New" w:eastAsia="Courier New" w:hAnsi="Courier New"/>
          <w:sz w:val="14"/>
          <w:szCs w:val="14"/>
          <w:color w:val="auto"/>
        </w:rPr>
        <w:t>4.1 years</w:t>
      </w:r>
    </w:p>
    <w:p>
      <w:pPr>
        <w:spacing w:after="0" w:line="7" w:lineRule="exact"/>
        <w:rPr>
          <w:sz w:val="20"/>
          <w:szCs w:val="20"/>
          <w:color w:val="auto"/>
        </w:rPr>
      </w:pPr>
    </w:p>
    <w:p>
      <w:pPr>
        <w:ind w:left="180" w:hanging="172"/>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31, 1995, the company issued 17,467 shares of restricted stock and 17,467 performance units to the CEO under the terms of the Chief Executive Officer Succession Plan. The value of each performance unit is equal to the fair market value of a share of common stock. The restricted stock and performance units vest based upon achievement of specified succession planning goals. Dividends are paid with respect to the restricted stock and those shares may be voted. Portions of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104" w:name="page105"/>
    <w:bookmarkEnd w:id="104"/>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and performance unit awards will be forfeited if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goals are not achieved at various dates, ending on October 31, 2003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Compensation expense related to this plan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$89,000, $350,000, and $254,000 for the fiscal years ended 1998, 1997, and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EMPLOYEE BENEFIT PROGRAMS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maintains the following significant plans for eligible employees:</w:t>
      </w:r>
    </w:p>
    <w:p>
      <w:pPr>
        <w:spacing w:after="0" w:line="7" w:lineRule="exact"/>
        <w:rPr>
          <w:sz w:val="20"/>
          <w:szCs w:val="20"/>
          <w:color w:val="auto"/>
        </w:rPr>
      </w:pPr>
    </w:p>
    <w:p>
      <w:pPr>
        <w:ind w:left="860" w:hanging="421"/>
        <w:spacing w:after="0"/>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Investment and Savings Plan</w:t>
      </w:r>
    </w:p>
    <w:p>
      <w:pPr>
        <w:spacing w:after="0" w:line="7"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Employee Stock Ownership Plan</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expenses under these plans were $11,245,000, $10,797,000, and $9,476,000 for fiscal years ended 1998, 1997, and 1996, respectively.</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The expense related to these plans was not significant.</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SEGMENT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International sales were $235,940,000, $232,808,000, and $174,249,000 for the fiscal years ended 1998, 1997, and 1996, respectively. Of these amounts, export sales were $153,500,000, $161,836,000, and $140,919,000 for the years ended 1998, 1997, and 1996, respectively. Export sales by geographic area were as follows:</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$ 86,953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$ 79,515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$ 71,325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29,578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16,693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34,975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export sales</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$153,500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$161,836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$140,919</w:t>
            </w:r>
          </w:p>
        </w:tc>
      </w:tr>
    </w:tbl>
    <w:p>
      <w:pPr>
        <w:spacing w:after="0" w:line="4"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 of October 31, 1998, future minimum lease payments under capital leases totaled $949,000. Total rental expense for operating leases was $11,962,000, $12,467,000, and $11,048,000 for the fiscal years ended 1998, 1997, and 1996, respectively. At October 31, 1998, future minimum lease payments under noncancelable operating leases amounted to $15,703,000 as follows: 1999, $7,270,000; 2000, $4,031,000; 2001, $2,647,000; 2002, $1,000,000; 2003, $424,000; and beyond, $331,000.</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COMMITMENTS AND CONTINGENT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599"/>
        <w:spacing w:after="0" w:line="255" w:lineRule="auto"/>
        <w:rPr>
          <w:sz w:val="20"/>
          <w:szCs w:val="20"/>
          <w:color w:val="auto"/>
        </w:rPr>
      </w:pPr>
      <w:r>
        <w:rPr>
          <w:rFonts w:ascii="Courier New" w:cs="Courier New" w:eastAsia="Courier New" w:hAnsi="Courier New"/>
          <w:sz w:val="14"/>
          <w:szCs w:val="14"/>
          <w:color w:val="auto"/>
        </w:rPr>
        <w:t>Debts incurred by certain distributors, aggregating $4,172,000 at October 31, 1998 and $5,600,000 at October 31, 1997, have been guaranteed by the company.</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FINANCIAL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1998 and 1997, the company had $28,007,000 and $25,985,000, respectively, in outstanding letters of credit.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various foreign currency exchange contracts designed to manage its exposure to exchange rate fluctuations on foreign currency transactions. These instruments used as hedges are managed to reduce the risk associated with the exposure being hedged and are designated as a hedge at the inception of the contract. Accordingly, changes in market values of hedge instruments must be highly correlated with changes in market values of underlying hedged items both at inception of the hedge and over the life of the hedge contract. Gains and losses on foreign currency contracts are recorded to</w:t>
      </w:r>
    </w:p>
    <w:p>
      <w:pPr>
        <w:sectPr>
          <w:pgSz w:w="11900" w:h="16886" w:orient="portrait"/>
          <w:cols w:equalWidth="0" w:num="1">
            <w:col w:w="10239"/>
          </w:cols>
          <w:pgMar w:left="220" w:top="616" w:right="1440" w:bottom="0" w:gutter="0" w:footer="0" w:header="0"/>
        </w:sectPr>
      </w:pPr>
    </w:p>
    <w:bookmarkStart w:id="105" w:name="page106"/>
    <w:bookmarkEnd w:id="105"/>
    <w:p>
      <w:pPr>
        <w:ind w:right="3419"/>
        <w:spacing w:after="0" w:line="252" w:lineRule="auto"/>
        <w:rPr>
          <w:sz w:val="20"/>
          <w:szCs w:val="20"/>
          <w:color w:val="auto"/>
        </w:rPr>
      </w:pPr>
      <w:r>
        <w:rPr>
          <w:rFonts w:ascii="Courier New" w:cs="Courier New" w:eastAsia="Courier New" w:hAnsi="Courier New"/>
          <w:sz w:val="14"/>
          <w:szCs w:val="14"/>
          <w:color w:val="auto"/>
        </w:rPr>
        <w:t>the Consolidated Statements of Earnings. The company also enters into forward currency exchange contracts on behalf of certain distributors in order to cover a portion of the payments owed by the distributor to the company. Any currency losses incurred by the company are reimbursed by the distributor.</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141" w:right="1440" w:bottom="1440" w:gutter="0" w:footer="0" w:header="0"/>
        </w:sectPr>
      </w:pPr>
    </w:p>
    <w:bookmarkStart w:id="106" w:name="page107"/>
    <w:bookmarkEnd w:id="106"/>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forward exchange contracts held by the company have maturity dates in fiscal year 1999. All items are non-trading and stated in U.S. dollars. The average contracted rate, notional amount, and fair value impact at October 31, 1998 were as follows:</w:t>
      </w: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8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spacing w:after="0"/>
        <w:tabs>
          <w:tab w:leader="none" w:pos="3440" w:val="left"/>
          <w:tab w:leader="none" w:pos="4820" w:val="left"/>
          <w:tab w:leader="none" w:pos="62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Contracted</w:t>
      </w:r>
      <w:r>
        <w:rPr>
          <w:sz w:val="20"/>
          <w:szCs w:val="20"/>
          <w:color w:val="auto"/>
        </w:rPr>
        <w:tab/>
      </w:r>
      <w:r>
        <w:rPr>
          <w:rFonts w:ascii="Courier New" w:cs="Courier New" w:eastAsia="Courier New" w:hAnsi="Courier New"/>
          <w:sz w:val="14"/>
          <w:szCs w:val="14"/>
          <w:color w:val="auto"/>
        </w:rPr>
        <w:t>Notional</w:t>
      </w:r>
      <w:r>
        <w:rPr>
          <w:sz w:val="20"/>
          <w:szCs w:val="20"/>
          <w:color w:val="auto"/>
        </w:rPr>
        <w:tab/>
      </w:r>
      <w:r>
        <w:rPr>
          <w:rFonts w:ascii="Courier New" w:cs="Courier New" w:eastAsia="Courier New" w:hAnsi="Courier New"/>
          <w:sz w:val="13"/>
          <w:szCs w:val="13"/>
          <w:color w:val="auto"/>
        </w:rPr>
        <w:t>Impact</w:t>
      </w:r>
    </w:p>
    <w:p>
      <w:pPr>
        <w:spacing w:after="0" w:line="7" w:lineRule="exact"/>
        <w:rPr>
          <w:sz w:val="20"/>
          <w:szCs w:val="20"/>
          <w:color w:val="auto"/>
        </w:rPr>
      </w:pPr>
    </w:p>
    <w:p>
      <w:pPr>
        <w:spacing w:after="0"/>
        <w:tabs>
          <w:tab w:leader="none" w:pos="3960" w:val="left"/>
          <w:tab w:leader="none" w:pos="4980" w:val="left"/>
          <w:tab w:leader="none" w:pos="5840" w:val="left"/>
        </w:tabs>
        <w:rPr>
          <w:sz w:val="20"/>
          <w:szCs w:val="20"/>
          <w:color w:val="auto"/>
        </w:rPr>
      </w:pPr>
      <w:r>
        <w:rPr>
          <w:rFonts w:ascii="Courier New" w:cs="Courier New" w:eastAsia="Courier New" w:hAnsi="Courier New"/>
          <w:sz w:val="14"/>
          <w:szCs w:val="14"/>
          <w:color w:val="auto"/>
        </w:rPr>
        <w:t>(except average contracted rate)</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Gain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Australian dollar/Sell U $</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Buy US $/Sell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Australian dollar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(206.9)</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Buy US $/Sell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Canadian dollar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7,168.8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German mark/Sell US $</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1.7808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2,948.2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251.5</w:t>
            </w:r>
          </w:p>
        </w:tc>
      </w:tr>
    </w:tbl>
    <w:p>
      <w:pPr>
        <w:spacing w:after="0" w:line="4"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w:t>
      </w:r>
    </w:p>
    <w:p>
      <w:pPr>
        <w:spacing w:after="0" w:line="32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October 31, 1998, the estimated fair value of long-term debt with fixed interest rates was $182,273,000 compared to its carrying value of $197,424,000. The fair value is estimated by discounting the projected cash flows using the rate at which similar amounts of debt could currently be borrowed.</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QUARTERLY FINANCIAL DATA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Summarized quarterly financial data for fiscal 1998 and fiscal 1997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OCTOBER 31, 1998</w:t>
      </w:r>
    </w:p>
    <w:p>
      <w:pPr>
        <w:spacing w:after="0" w:line="7" w:lineRule="exact"/>
        <w:rPr>
          <w:sz w:val="20"/>
          <w:szCs w:val="20"/>
          <w:color w:val="auto"/>
        </w:rPr>
      </w:pPr>
    </w:p>
    <w:p>
      <w:pPr>
        <w:jc w:val="right"/>
        <w:ind w:right="499"/>
        <w:spacing w:after="0" w:line="250" w:lineRule="auto"/>
        <w:rPr>
          <w:sz w:val="20"/>
          <w:szCs w:val="20"/>
          <w:color w:val="auto"/>
        </w:rPr>
      </w:pPr>
      <w:r>
        <w:rPr>
          <w:rFonts w:ascii="Courier New" w:cs="Courier New" w:eastAsia="Courier New" w:hAnsi="Courier New"/>
          <w:sz w:val="14"/>
          <w:szCs w:val="14"/>
          <w:color w:val="auto"/>
        </w:rPr>
        <w:t>--------------------------------------------------------- Quarter (Dollars in thousands, except per share data)          FIRST         SECOND          THIRD         FOURTH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$210,059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$379,686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$290,993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$229,696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73,052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132,949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101,280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77,035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Restructuring and other unusual expense</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10,452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(12,349)</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Basic net earnings (loss)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(0.96)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Dilutive net earnings (loss)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(0.96)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High sales price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10/16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9/16</w:t>
            </w: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Low sales price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October 31, 1997</w:t>
      </w:r>
    </w:p>
    <w:p>
      <w:pPr>
        <w:spacing w:after="0" w:line="7" w:lineRule="exact"/>
        <w:rPr>
          <w:sz w:val="20"/>
          <w:szCs w:val="20"/>
          <w:color w:val="auto"/>
        </w:rPr>
      </w:pPr>
    </w:p>
    <w:p>
      <w:pPr>
        <w:jc w:val="right"/>
        <w:ind w:right="499"/>
        <w:spacing w:after="0" w:line="250" w:lineRule="auto"/>
        <w:rPr>
          <w:sz w:val="20"/>
          <w:szCs w:val="20"/>
          <w:color w:val="auto"/>
        </w:rPr>
      </w:pPr>
      <w:r>
        <w:rPr>
          <w:rFonts w:ascii="Courier New" w:cs="Courier New" w:eastAsia="Courier New" w:hAnsi="Courier New"/>
          <w:sz w:val="14"/>
          <w:szCs w:val="14"/>
          <w:color w:val="auto"/>
        </w:rPr>
        <w:t>--------------------------------------------------------- Quarter (Dollars in thousands, except per share data)          First         Second          Third         Fourth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$208,957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$352,203</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$249,274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$240,770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75,227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125,117</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92,395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95,298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Restructuring and other unusual expense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loss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19,040</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5,028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19,040</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8,286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5,028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net earnings per share, before extraordinary loss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net earnings per share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Dilutive net earnings per share, before extraordinary loss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0.80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Dilutive net earnings per share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0.67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High sales price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Low sales price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r>
    </w:tbl>
    <w:p>
      <w:pPr>
        <w:spacing w:after="0" w:line="4" w:lineRule="exact"/>
        <w:rPr>
          <w:sz w:val="20"/>
          <w:szCs w:val="20"/>
          <w:color w:val="auto"/>
        </w:rPr>
      </w:pPr>
    </w:p>
    <w:p>
      <w:pPr>
        <w:ind w:left="180" w:hanging="172"/>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of January 7, 1999, the company had 6,393 stockholders of record.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260" w:gutter="0" w:footer="0" w:header="0"/>
        </w:sectPr>
      </w:pPr>
    </w:p>
    <w:bookmarkStart w:id="107" w:name="page108"/>
    <w:bookmarkEnd w:id="107"/>
    <w:p>
      <w:pPr>
        <w:spacing w:after="0"/>
        <w:tabs>
          <w:tab w:leader="none" w:pos="3180" w:val="left"/>
        </w:tabs>
        <w:rPr>
          <w:sz w:val="20"/>
          <w:szCs w:val="20"/>
          <w:color w:val="auto"/>
        </w:rPr>
      </w:pPr>
      <w:r>
        <w:rPr>
          <w:rFonts w:ascii="Courier New" w:cs="Courier New" w:eastAsia="Courier New" w:hAnsi="Courier New"/>
          <w:sz w:val="14"/>
          <w:szCs w:val="14"/>
          <w:color w:val="auto"/>
        </w:rPr>
        <w:t>ELEVEN-YEAR SELECTED FINANCIAL DATA</w:t>
        <w:tab/>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and shares in thousands, except per share data, number of employees and stockholders)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Years ended October 31(8)</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 (1)(2)</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 (4)(5)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1,110,400</w:t>
            </w: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1,051,200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930,900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sales growth from prior year</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loss(3)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w:t>
            </w: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w:t>
            </w: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34,845</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Dilutive earnings (loss) per share, before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loss(3)</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 equity</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26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479,400</w:t>
            </w: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472,000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405,000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258,200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237,800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207,900</w:t>
            </w:r>
          </w:p>
        </w:tc>
        <w:tc>
          <w:tcPr>
            <w:tcW w:w="26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221,200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234,200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197,100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196,800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177,700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263,400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241,200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213,600</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c>
          <w:tcPr>
            <w:tcW w:w="26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Book value per share of common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20.63</w:t>
            </w:r>
          </w:p>
        </w:tc>
        <w:tc>
          <w:tcPr>
            <w:tcW w:w="4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19.79</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12,770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12,189</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12,032</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stockholders(9)</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6,841</w:t>
            </w:r>
          </w:p>
        </w:tc>
        <w:tc>
          <w:tcPr>
            <w:tcW w:w="26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Market price range -</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4,695</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4,309</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3,610</w:t>
            </w:r>
          </w:p>
        </w:tc>
        <w:tc>
          <w:tcPr>
            <w:tcW w:w="2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385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expenses of $15.0 million in fiscal 1998.</w:t>
      </w:r>
    </w:p>
    <w:p>
      <w:pPr>
        <w:ind w:left="440" w:right="367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Exmark from November 1, 1997 and Drip In from February 1, 1998, dates of acquisitions.</w:t>
      </w:r>
    </w:p>
    <w:p>
      <w:pPr>
        <w:spacing w:after="0" w:line="1" w:lineRule="exact"/>
        <w:rPr>
          <w:rFonts w:ascii="Courier New" w:cs="Courier New" w:eastAsia="Courier New" w:hAnsi="Courier New"/>
          <w:sz w:val="14"/>
          <w:szCs w:val="14"/>
          <w:color w:val="auto"/>
        </w:rPr>
      </w:pPr>
    </w:p>
    <w:p>
      <w:pPr>
        <w:ind w:left="440" w:right="351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earnings per dilutive share after the extraordinary loss on early retirement of debt of $1,663,000, or $0.13 per dilutive share, were $34,845,000 and $2.80, respectively.</w:t>
      </w:r>
    </w:p>
    <w:p>
      <w:pPr>
        <w:spacing w:after="0" w:line="1" w:lineRule="exact"/>
        <w:rPr>
          <w:rFonts w:ascii="Courier New" w:cs="Courier New" w:eastAsia="Courier New" w:hAnsi="Courier New"/>
          <w:sz w:val="14"/>
          <w:szCs w:val="14"/>
          <w:color w:val="auto"/>
        </w:rPr>
      </w:pPr>
    </w:p>
    <w:p>
      <w:pPr>
        <w:ind w:left="440" w:right="341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 w:lineRule="exact"/>
        <w:rPr>
          <w:rFonts w:ascii="Courier New" w:cs="Courier New" w:eastAsia="Courier New" w:hAnsi="Courier New"/>
          <w:sz w:val="14"/>
          <w:szCs w:val="14"/>
          <w:color w:val="auto"/>
        </w:rPr>
      </w:pPr>
    </w:p>
    <w:p>
      <w:pPr>
        <w:ind w:left="440" w:right="341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 of $2.6 million in fiscal 1997.</w:t>
      </w:r>
    </w:p>
    <w:p>
      <w:pPr>
        <w:ind w:left="440" w:hanging="432"/>
        <w:spacing w:after="0"/>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in fiscal 1992.</w:t>
      </w:r>
    </w:p>
    <w:p>
      <w:pPr>
        <w:spacing w:after="0" w:line="7" w:lineRule="exact"/>
        <w:rPr>
          <w:rFonts w:ascii="Courier New" w:cs="Courier New" w:eastAsia="Courier New" w:hAnsi="Courier New"/>
          <w:sz w:val="14"/>
          <w:szCs w:val="14"/>
          <w:color w:val="auto"/>
        </w:rPr>
      </w:pPr>
    </w:p>
    <w:p>
      <w:pPr>
        <w:ind w:left="440" w:right="333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left="440" w:right="3599" w:hanging="432"/>
        <w:spacing w:after="0" w:line="250"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1995, the company changed its fiscal year end from July 31 to October 31. Therefore, actual date of the yearend for years prior to 1995 are unaudited and were restated to include twelve months of data through the Friday closest to October 31 for comparative purposes.</w:t>
      </w:r>
    </w:p>
    <w:p>
      <w:pPr>
        <w:spacing w:after="0" w:line="1"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stockholders at July 31 for the years starting in 1988 and ending in 1994.</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08" w:name="page109"/>
    <w:bookmarkEnd w:id="108"/>
    <w:p>
      <w:pPr>
        <w:spacing w:after="0" w:line="38"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and shares in thousands, except per share data, number of employees and stockholders)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Years ended October 31(8)</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1992 (6)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919,400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864,300</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706,600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638,700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sales growth from prior year</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loss(3)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32,400</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(21,700)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32,400</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(21,700)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Dilutive earnings (loss) per share, before</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loss(3)</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(15.5)%</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386,300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373,400</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326,100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324,200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221,200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197,200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169,200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132,500</w:t>
            </w:r>
          </w:p>
        </w:tc>
        <w:tc>
          <w:tcPr>
            <w:tcW w:w="24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165,100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176,200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156,900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191,700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147,900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190,900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178,700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141,900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126,400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c>
          <w:tcPr>
            <w:tcW w:w="24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Book value per share of common stock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10.50</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12,041</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stockholders(9)</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7,541</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8,386</w:t>
            </w:r>
          </w:p>
        </w:tc>
        <w:tc>
          <w:tcPr>
            <w:tcW w:w="2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Market price range -</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1/2</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5/8</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7/8</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1/8</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3/8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3,434</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3,117</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3,084</w:t>
            </w:r>
          </w:p>
        </w:tc>
        <w:tc>
          <w:tcPr>
            <w:tcW w:w="2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and shares in thousands, except per share data, number of employees and stockholders)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Years ended October 31(8)</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1991</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1990 (7)</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706,200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747,300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639,200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626,200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sales growth from prior year</w:t>
            </w:r>
          </w:p>
        </w:tc>
        <w:tc>
          <w:tcPr>
            <w:tcW w:w="5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loss(3)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9,100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5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9,100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Dilutive earnings (loss) per share, before</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loss(3)</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0.77</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 equity</w:t>
            </w:r>
          </w:p>
        </w:tc>
        <w:tc>
          <w:tcPr>
            <w:tcW w:w="5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w:t>
            </w:r>
          </w:p>
        </w:tc>
        <w:tc>
          <w:tcPr>
            <w:tcW w:w="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26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322,000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306,800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271,200</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103,800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133,000</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125,000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144,200</w:t>
            </w:r>
          </w:p>
        </w:tc>
        <w:tc>
          <w:tcPr>
            <w:tcW w:w="2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Working capital</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218,200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173,800</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146,200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152,200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154,100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125,300</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153,400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146,300</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5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51.9%</w:t>
            </w:r>
          </w:p>
        </w:tc>
        <w:tc>
          <w:tcPr>
            <w:tcW w:w="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26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Book value per share of common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0.48</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11,950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11,859</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10,059</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stockholders(9)</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8,503</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7,706</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7,527</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6,802</w:t>
            </w:r>
          </w:p>
        </w:tc>
        <w:tc>
          <w:tcPr>
            <w:tcW w:w="2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Market price range -</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High price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 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7/8</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Low price</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7/8</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3,580</w:t>
            </w: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3,771</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3,105</w:t>
            </w:r>
          </w:p>
        </w:tc>
        <w:tc>
          <w:tcPr>
            <w:tcW w:w="2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448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expenses of $15.0 million in fiscal 1998.</w:t>
      </w:r>
    </w:p>
    <w:p>
      <w:pPr>
        <w:ind w:left="440" w:right="430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Exmark from November 1, 1997 and Drip In from February 1, 1998, dates of acquisitions.</w:t>
      </w:r>
    </w:p>
    <w:p>
      <w:pPr>
        <w:spacing w:after="0" w:line="1" w:lineRule="exact"/>
        <w:rPr>
          <w:rFonts w:ascii="Courier New" w:cs="Courier New" w:eastAsia="Courier New" w:hAnsi="Courier New"/>
          <w:sz w:val="14"/>
          <w:szCs w:val="14"/>
          <w:color w:val="auto"/>
        </w:rPr>
      </w:pPr>
    </w:p>
    <w:p>
      <w:pPr>
        <w:ind w:left="440" w:right="414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earnings per dilutive share after the extraordinary loss on early retirement of debt of $1,663,000, or $0.13 per dilutive share, were $34,845,000 and $2.80, respectively.</w:t>
      </w:r>
    </w:p>
    <w:p>
      <w:pPr>
        <w:spacing w:after="0" w:line="1"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 of $2.6 million in fiscal 1997.</w:t>
      </w:r>
    </w:p>
    <w:p>
      <w:pPr>
        <w:ind w:left="440" w:hanging="432"/>
        <w:spacing w:after="0"/>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in fiscal 1992.</w:t>
      </w:r>
    </w:p>
    <w:p>
      <w:pPr>
        <w:spacing w:after="0" w:line="7" w:lineRule="exact"/>
        <w:rPr>
          <w:rFonts w:ascii="Courier New" w:cs="Courier New" w:eastAsia="Courier New" w:hAnsi="Courier New"/>
          <w:sz w:val="14"/>
          <w:szCs w:val="14"/>
          <w:color w:val="auto"/>
        </w:rPr>
      </w:pPr>
    </w:p>
    <w:p>
      <w:pPr>
        <w:ind w:left="440" w:right="396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left="440" w:right="4220" w:hanging="432"/>
        <w:spacing w:after="0" w:line="250"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1995, the company changed its fiscal year end from July 31 to October 31. Therefore, actual date of the yearend for years prior to 1995 are unaudited and were restated to include twelve months of data through the Friday closest to October 31 for comparative purposes.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stockholders at July 31 for the years starting in</w:t>
      </w:r>
    </w:p>
    <w:p>
      <w:pPr>
        <w:sectPr>
          <w:pgSz w:w="11900" w:h="16877" w:orient="portrait"/>
          <w:cols w:equalWidth="0" w:num="1">
            <w:col w:w="10860"/>
          </w:cols>
          <w:pgMar w:left="220" w:top="947" w:right="819" w:bottom="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1988 and ending in 1994.</w:t>
      </w:r>
    </w:p>
    <w:p>
      <w:pPr>
        <w:spacing w:after="0" w:line="338"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799"/>
          </w:cols>
          <w:pgMar w:left="660" w:top="141" w:right="1440" w:bottom="1440" w:gutter="0" w:footer="0" w:header="0"/>
        </w:sectPr>
      </w:pPr>
    </w:p>
    <w:bookmarkStart w:id="110" w:name="page111"/>
    <w:bookmarkEnd w:id="110"/>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O. Baukol (C/E/N)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C. Buhrmaster (A/E/N)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Jostens,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Winslow H. Buxton (A/E/N)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Pentair,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Janet K. Cooper (A*/C)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Denver, Colorado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 (E*/N**)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 A. Meyer (A/C)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Amana Refrigeration,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Amana, Iowa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H. Nassau (C/N)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Raymond Wood Products Holding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Dale R. Olseth (A/C*/E)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SurModics,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Christopher A. Twomey (C/N)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Arctic Cat,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Thief River Falls,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Edwin H. Wingate (A/E/N*)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Dayton Hudson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338" w:lineRule="exact"/>
        <w:rPr>
          <w:sz w:val="20"/>
          <w:szCs w:val="20"/>
          <w:color w:val="auto"/>
        </w:rPr>
      </w:pPr>
    </w:p>
    <w:p>
      <w:pPr>
        <w:ind w:left="440" w:hanging="432"/>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Member</w:t>
      </w:r>
    </w:p>
    <w:p>
      <w:pPr>
        <w:spacing w:after="0" w:line="7" w:lineRule="exact"/>
        <w:rPr>
          <w:sz w:val="20"/>
          <w:szCs w:val="20"/>
          <w:color w:val="auto"/>
        </w:rPr>
      </w:pPr>
    </w:p>
    <w:p>
      <w:pPr>
        <w:ind w:left="440" w:hanging="432"/>
        <w:spacing w:after="0"/>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 Member</w:t>
      </w:r>
    </w:p>
    <w:p>
      <w:pPr>
        <w:spacing w:after="0" w:line="7" w:lineRule="exact"/>
        <w:rPr>
          <w:sz w:val="20"/>
          <w:szCs w:val="20"/>
          <w:color w:val="auto"/>
        </w:rPr>
      </w:pPr>
    </w:p>
    <w:p>
      <w:pPr>
        <w:ind w:left="440" w:hanging="432"/>
        <w:spacing w:after="0"/>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 Member</w:t>
      </w:r>
    </w:p>
    <w:p>
      <w:pPr>
        <w:spacing w:after="0" w:line="7" w:lineRule="exact"/>
        <w:rPr>
          <w:sz w:val="20"/>
          <w:szCs w:val="20"/>
          <w:color w:val="auto"/>
        </w:rPr>
      </w:pPr>
    </w:p>
    <w:p>
      <w:pPr>
        <w:ind w:left="440" w:hanging="432"/>
        <w:spacing w:after="0"/>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Committee Member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Chairman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Ex-officio Non-voting Member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David McIntosh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Businesses and International+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D. Hughes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P. Hansen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Information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P. Himan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Landscape Contractor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Hoffman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Randy B. James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Controller+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D. Keating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 Investor Relations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 N. Kumar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Distributor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New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Lawrence McIntyre</w:t>
      </w:r>
    </w:p>
    <w:p>
      <w:pPr>
        <w:sectPr>
          <w:pgSz w:w="11900" w:h="16877" w:orient="portrait"/>
          <w:cols w:equalWidth="0" w:num="1">
            <w:col w:w="10239"/>
          </w:cols>
          <w:pgMar w:left="220" w:top="616"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Vice President, Secretary and General Counsel+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Karen M. Meyer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Administration+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W. Parod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R. Pollick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Jeanne Ryan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Treasurer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subject to Section 16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112" w:name="page113"/>
    <w:bookmarkEnd w:id="112"/>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Communications concerning transfer requirements, address changes, dividends and lost certificates should be addressed to:</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 Assistance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Norwest Bank Minnesota, N.A.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 Paul, Minnesota 55164-0854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651-450-4064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1-800-468-9716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The company sponsors an Automatic Dividend Reinvestment Plan. For enrollment information contact: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Bloomington, Minnesota 55420-1196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Inquiries about existing dividend reinvestment accounts should be addressed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 Reinvestment Plan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Norwest Bank Minnesota, N.A.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 Paul, Minnesota 55164-0854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651-450-4064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1-800-468-9716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earnings results are expected to be announced on the following dates: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23, 1999</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May 26, 1999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August 25, 1999</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December 14, 1999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obtain a copy of the quarterly financial results, contact: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Bloomington, Minnesota 55420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E-mail: invest@toro.com</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Phone: 612-887-7141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ANNUAL REPORT ON FORM 10-K FILED WITH THE SECURITIES AND EXCHANGE COMMISSION IS AVAILABLE WITHOUT CHARGE UPON WRITTEN REQUEST BY A STOCKHOLDER TO:</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Bloomington, Minnesota 55420-1196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E-mail: invest@toro.com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LISTING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 (TTC)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1999, 3:00 p.m. (CST)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 Corporate Offices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Bloomington, Minnesota 55420-1196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INTERNET ADDRESSES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www.toro.com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www.lawnboy.com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www.irritrolsystems.com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www.lawngenie.com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www.exmark.com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www.nsn.com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LOCATIONS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Abilene,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Baraboo,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Beatrice,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Bloomington,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Cajon,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Paso,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Evansville, Indiana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Laguna,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Lakeville,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Madera,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Mountaintop,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Oxford, Mississippi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Plymouth,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Riverside,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Sanford, Florida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Shakopee,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Tomah,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Windom,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AROUND THE WORLD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Balcatta,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Beverly, Australia</w:t>
      </w:r>
    </w:p>
    <w:p>
      <w:pPr>
        <w:sectPr>
          <w:pgSz w:w="11900" w:h="16877" w:orient="portrait"/>
          <w:cols w:equalWidth="0" w:num="1">
            <w:col w:w="10239"/>
          </w:cols>
          <w:pgMar w:left="220" w:top="616" w:right="1440" w:bottom="0" w:gutter="0" w:footer="0" w:header="0"/>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Braeside,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Eagle Farm,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Murray Bridge,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Oevel, Belgium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Parramatta,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Rome, Italy</w:t>
      </w:r>
    </w:p>
    <w:p>
      <w:pPr>
        <w:sectPr>
          <w:pgSz w:w="11900" w:h="16838" w:orient="portrait"/>
          <w:cols w:equalWidth="0" w:num="1">
            <w:col w:w="10239"/>
          </w:cols>
          <w:pgMar w:left="220" w:top="141" w:right="1440" w:bottom="1440" w:gutter="0" w:footer="0" w:header="0"/>
        </w:sectPr>
      </w:pPr>
    </w:p>
    <w:bookmarkStart w:id="114" w:name="page115"/>
    <w:bookmarkEnd w:id="114"/>
    <w:p>
      <w:pPr>
        <w:ind w:left="5960"/>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All of the following are subsidiaries of The Toro Company as of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NAME</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 SECURITIES</w:t>
            </w:r>
          </w:p>
        </w:tc>
      </w:tr>
      <w:tr>
        <w:trPr>
          <w:trHeight w:val="166"/>
        </w:trPr>
        <w:tc>
          <w:tcPr>
            <w:tcW w:w="2660" w:type="dxa"/>
            <w:vAlign w:val="bottom"/>
          </w:tcPr>
          <w:p>
            <w:pPr>
              <w:spacing w:after="0"/>
              <w:rPr>
                <w:sz w:val="14"/>
                <w:szCs w:val="14"/>
                <w:color w:val="auto"/>
              </w:rPr>
            </w:pPr>
          </w:p>
        </w:tc>
        <w:tc>
          <w:tcPr>
            <w:tcW w:w="2720" w:type="dxa"/>
            <w:vAlign w:val="bottom"/>
          </w:tcPr>
          <w:p>
            <w:pPr>
              <w:ind w:left="700"/>
              <w:spacing w:after="0"/>
              <w:rPr>
                <w:sz w:val="20"/>
                <w:szCs w:val="20"/>
                <w:color w:val="auto"/>
              </w:rPr>
            </w:pPr>
            <w:r>
              <w:rPr>
                <w:rFonts w:ascii="Courier New" w:cs="Courier New" w:eastAsia="Courier New" w:hAnsi="Courier New"/>
                <w:sz w:val="14"/>
                <w:szCs w:val="14"/>
                <w:color w:val="auto"/>
              </w:rPr>
              <w:t>INCORPORATION</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 BY IMMEDIATE PARENT</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Australia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Belgium</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663"/>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Barbados</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Delaware</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California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Texas</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Texas, Inc.</w:t>
            </w:r>
          </w:p>
        </w:tc>
        <w:tc>
          <w:tcPr>
            <w:tcW w:w="27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Minnesota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ACN 007 664 315 Pty. Limited</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Australia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(formerly James Hardie</w:t>
            </w:r>
          </w:p>
        </w:tc>
        <w:tc>
          <w:tcPr>
            <w:tcW w:w="27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Irrigation Pty. Limited)</w:t>
            </w:r>
          </w:p>
        </w:tc>
        <w:tc>
          <w:tcPr>
            <w:tcW w:w="27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Irritrol Systems Europe, S.p.A.</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Italy</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Exmark Manufacturing Company</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Nebraska</w:t>
            </w:r>
          </w:p>
        </w:tc>
        <w:tc>
          <w:tcPr>
            <w:tcW w:w="2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Incorporated</w:t>
            </w:r>
          </w:p>
        </w:tc>
        <w:tc>
          <w:tcPr>
            <w:tcW w:w="272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ectPr>
          <w:pgSz w:w="11900" w:h="16838" w:orient="portrait"/>
          <w:cols w:equalWidth="0" w:num="1">
            <w:col w:w="10239"/>
          </w:cols>
          <w:pgMar w:left="220" w:top="472" w:right="1440" w:bottom="1440" w:gutter="0" w:footer="0" w:header="0"/>
        </w:sectPr>
      </w:pPr>
    </w:p>
    <w:bookmarkStart w:id="115" w:name="page116"/>
    <w:bookmarkEnd w:id="115"/>
    <w:p>
      <w:pPr>
        <w:ind w:left="5960"/>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33-26268, 33-31586, 33-38308, 33-44668, 33-51563, 33-55550, 33-59563, 333-44879, and 333-20901) on Forms S-3 and S-8 of The Toro Company of our reports dated December 11, 1998, relating to the consolidated balance sheets of The Toro Company and subsidiaries as of October 31, 1998 and 1997, and the related consolidated statements of earnings and cash flows and related financial statement schedule for each of the years in the three-year period ended October 31, 1998, which reports are included in 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28, 1999</w:t>
      </w:r>
    </w:p>
    <w:p>
      <w:pPr>
        <w:sectPr>
          <w:pgSz w:w="11900" w:h="16838" w:orient="portrait"/>
          <w:cols w:equalWidth="0" w:num="1">
            <w:col w:w="10239"/>
          </w:cols>
          <w:pgMar w:left="220" w:top="473" w:right="1440"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4099"/>
        <w:spacing w:after="0" w:line="250"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STATEMENTS OF EARNINGS, BALANCE SHEETS, AND 10-K SCHEDULE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II, AND IS QUALIFIED IN ITS ENTIRETY BY REFERENCE TO SUCH FINANCIAL STATEMENTS.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OCT-31-1998</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NOV-01-1997</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OCT-31-1998</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246,504</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9,324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184,306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479,437</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330,539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203,402</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723,991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258,210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197,424</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12,770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250,629</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723,991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1,110,434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1,110,434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726,118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360,600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(8,473)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623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25,428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6,761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2,671</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4,090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4,090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0.32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NOT INCLUDE ADDITIONAL PAID-IN-CAPITAL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1)"/>
      <w:numFmt w:val="lowerLetter"/>
      <w:start w:val="1"/>
    </w:lvl>
  </w:abstractNum>
  <w:abstractNum w:abstractNumId="9">
    <w:nsid w:val="74DE0EE3"/>
    <w:multiLevelType w:val="hybridMultilevel"/>
    <w:lvl w:ilvl="0">
      <w:lvlJc w:val="left"/>
      <w:lvlText w:val="(%1)"/>
      <w:numFmt w:val="lowerLetter"/>
      <w:start w:val="2"/>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lvl w:ilvl="1">
      <w:lvlJc w:val="left"/>
      <w:lvlText w:val="(%2)"/>
      <w:numFmt w:val="lowerLetter"/>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lvl w:ilvl="1">
      <w:lvlJc w:val="left"/>
      <w:lvlText w:val="(%2)"/>
      <w:numFmt w:val="lowerLetter"/>
      <w:start w:val="3"/>
    </w:lvl>
  </w:abstractNum>
  <w:abstractNum w:abstractNumId="18">
    <w:nsid w:val="60EF0119"/>
    <w:multiLevelType w:val="hybridMultilevel"/>
    <w:lvl w:ilvl="0">
      <w:lvlJc w:val="left"/>
      <w:lvlText w:val="(%1)"/>
      <w:numFmt w:val="lowerLetter"/>
      <w:start w:val="1"/>
    </w:lvl>
  </w:abstractNum>
  <w:abstractNum w:abstractNumId="19">
    <w:nsid w:val="26F324BA"/>
    <w:multiLevelType w:val="hybridMultilevel"/>
    <w:lvl w:ilvl="0">
      <w:lvlJc w:val="left"/>
      <w:lvlText w:val="(%1)"/>
      <w:numFmt w:val="lowerLetter"/>
      <w:start w:val="1"/>
    </w:lvl>
  </w:abstractNum>
  <w:abstractNum w:abstractNumId="20">
    <w:nsid w:val="7F01579B"/>
    <w:multiLevelType w:val="hybridMultilevel"/>
    <w:lvl w:ilvl="0">
      <w:lvlJc w:val="left"/>
      <w:lvlText w:val="(%1)"/>
      <w:numFmt w:val="decimal"/>
      <w:start w:val="2"/>
    </w:lvl>
  </w:abstractNum>
  <w:abstractNum w:abstractNumId="21">
    <w:nsid w:val="49DA307D"/>
    <w:multiLevelType w:val="hybridMultilevel"/>
    <w:lvl w:ilvl="0">
      <w:lvlJc w:val="left"/>
      <w:lvlText w:val="(%1)"/>
      <w:numFmt w:val="decimal"/>
      <w:start w:val="30"/>
    </w:lvl>
  </w:abstractNum>
  <w:abstractNum w:abstractNumId="22">
    <w:nsid w:val="7055A5F5"/>
    <w:multiLevelType w:val="hybridMultilevel"/>
    <w:lvl w:ilvl="0">
      <w:lvlJc w:val="left"/>
      <w:lvlText w:val="(%1)"/>
      <w:numFmt w:val="decimal"/>
      <w:start w:val="3"/>
    </w:lvl>
  </w:abstractNum>
  <w:abstractNum w:abstractNumId="23">
    <w:nsid w:val="5FB8370B"/>
    <w:multiLevelType w:val="hybridMultilevel"/>
    <w:lvl w:ilvl="0">
      <w:lvlJc w:val="left"/>
      <w:lvlText w:val="(%1)"/>
      <w:numFmt w:val="upperLetter"/>
      <w:start w:val="2"/>
    </w:lvl>
  </w:abstractNum>
  <w:abstractNum w:abstractNumId="24">
    <w:nsid w:val="50801EE1"/>
    <w:multiLevelType w:val="hybridMultilevel"/>
    <w:lvl w:ilvl="0">
      <w:lvlJc w:val="left"/>
      <w:lvlText w:val="(%1)"/>
      <w:numFmt w:val="decimal"/>
      <w:start w:val="2"/>
    </w:lvl>
  </w:abstractNum>
  <w:abstractNum w:abstractNumId="25">
    <w:nsid w:val="488AC1A"/>
    <w:multiLevelType w:val="hybridMultilevel"/>
    <w:lvl w:ilvl="0">
      <w:lvlJc w:val="left"/>
      <w:lvlText w:val="(%1)"/>
      <w:numFmt w:val="decimal"/>
      <w:start w:val="3"/>
    </w:lvl>
  </w:abstractNum>
  <w:abstractNum w:abstractNumId="26">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7">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8">
    <w:nsid w:val="7672BD2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9">
    <w:nsid w:val="6FC75AF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0">
    <w:nsid w:val="6A5F7029"/>
    <w:multiLevelType w:val="hybridMultilevel"/>
    <w:lvl w:ilvl="0">
      <w:lvlJc w:val="left"/>
      <w:lvlText w:val="%1."/>
      <w:numFmt w:val="decimal"/>
      <w:start w:val="6"/>
    </w:lvl>
  </w:abstractNum>
  <w:abstractNum w:abstractNumId="31">
    <w:nsid w:val="7D5E18F8"/>
    <w:multiLevelType w:val="hybridMultilevel"/>
    <w:lvl w:ilvl="0">
      <w:lvlJc w:val="left"/>
      <w:lvlText w:val="%1."/>
      <w:numFmt w:val="decimal"/>
      <w:start w:val="8"/>
    </w:lvl>
  </w:abstractNum>
  <w:abstractNum w:abstractNumId="32">
    <w:nsid w:val="5F3534A4"/>
    <w:multiLevelType w:val="hybridMultilevel"/>
    <w:lvl w:ilvl="0">
      <w:lvlJc w:val="left"/>
      <w:lvlText w:val="%1."/>
      <w:numFmt w:val="decimal"/>
      <w:start w:val="1"/>
    </w:lvl>
    <w:lvl w:ilvl="1">
      <w:lvlJc w:val="left"/>
      <w:lvlText w:val="%2."/>
      <w:numFmt w:val="lowerLetter"/>
      <w:start w:val="1"/>
    </w:lvl>
  </w:abstractNum>
  <w:abstractNum w:abstractNumId="33">
    <w:nsid w:val="73A1821B"/>
    <w:multiLevelType w:val="hybridMultilevel"/>
    <w:lvl w:ilvl="0">
      <w:lvlJc w:val="left"/>
      <w:lvlText w:val="%1."/>
      <w:numFmt w:val="lowerLetter"/>
      <w:start w:val="2"/>
    </w:lvl>
  </w:abstractNum>
  <w:abstractNum w:abstractNumId="34">
    <w:nsid w:val="7DE67713"/>
    <w:multiLevelType w:val="hybridMultilevel"/>
    <w:lvl w:ilvl="0">
      <w:lvlJc w:val="left"/>
      <w:lvlText w:val="%1."/>
      <w:numFmt w:val="decimal"/>
      <w:start w:val="4"/>
    </w:lvl>
    <w:lvl w:ilvl="1">
      <w:lvlJc w:val="left"/>
      <w:lvlText w:val="%2."/>
      <w:numFmt w:val="lowerLetter"/>
      <w:start w:val="1"/>
    </w:lvl>
  </w:abstractNum>
  <w:abstractNum w:abstractNumId="35">
    <w:nsid w:val="555C55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2"/>
    </w:lvl>
  </w:abstractNum>
  <w:abstractNum w:abstractNumId="36">
    <w:nsid w:val="3FA62ACA"/>
    <w:multiLevelType w:val="hybridMultilevel"/>
    <w:lvl w:ilvl="0">
      <w:lvlJc w:val="left"/>
      <w:lvlText w:val="%1."/>
      <w:numFmt w:val="lowerLetter"/>
      <w:start w:val="3"/>
    </w:lvl>
    <w:lvl w:ilvl="1">
      <w:lvlJc w:val="left"/>
      <w:lvlText w:val="%2."/>
      <w:numFmt w:val="lowerRoman"/>
      <w:start w:val="1"/>
    </w:lvl>
  </w:abstractNum>
  <w:abstractNum w:abstractNumId="37">
    <w:nsid w:val="14FCE74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8">
    <w:nsid w:val="6A3DD3E8"/>
    <w:multiLevelType w:val="hybridMultilevel"/>
    <w:lvl w:ilvl="0">
      <w:lvlJc w:val="left"/>
      <w:lvlText w:val="%1."/>
      <w:numFmt w:val="lowerRoman"/>
      <w:start w:val="3"/>
    </w:lvl>
  </w:abstractNum>
  <w:abstractNum w:abstractNumId="39">
    <w:nsid w:val="71C91298"/>
    <w:multiLevelType w:val="hybridMultilevel"/>
    <w:lvl w:ilvl="0">
      <w:lvlJc w:val="left"/>
      <w:lvlText w:val="%1."/>
      <w:numFmt w:val="lowerLetter"/>
      <w:start w:val="7"/>
    </w:lvl>
  </w:abstractNum>
  <w:abstractNum w:abstractNumId="40">
    <w:nsid w:val="9DAF632"/>
    <w:multiLevelType w:val="hybridMultilevel"/>
    <w:lvl w:ilvl="0">
      <w:lvlJc w:val="left"/>
      <w:lvlText w:val="%1."/>
      <w:numFmt w:val="decimal"/>
      <w:start w:val="9"/>
    </w:lvl>
  </w:abstractNum>
  <w:abstractNum w:abstractNumId="41">
    <w:nsid w:val="53299938"/>
    <w:multiLevelType w:val="hybridMultilevel"/>
    <w:lvl w:ilvl="0">
      <w:lvlJc w:val="left"/>
      <w:lvlText w:val="%1."/>
      <w:numFmt w:val="decimal"/>
      <w:start w:val="1"/>
    </w:lvl>
  </w:abstractNum>
  <w:abstractNum w:abstractNumId="42">
    <w:nsid w:val="1FBFE8E0"/>
    <w:multiLevelType w:val="hybridMultilevel"/>
    <w:lvl w:ilvl="0">
      <w:lvlJc w:val="left"/>
      <w:lvlText w:val="%1."/>
      <w:numFmt w:val="decimal"/>
      <w:start w:val="4"/>
    </w:lvl>
  </w:abstractNum>
  <w:abstractNum w:abstractNumId="43">
    <w:nsid w:val="5092CA7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5"/>
    </w:lvl>
  </w:abstractNum>
  <w:abstractNum w:abstractNumId="44">
    <w:nsid w:val="1D545C4D"/>
    <w:multiLevelType w:val="hybridMultilevel"/>
    <w:lvl w:ilvl="0">
      <w:lvlJc w:val="left"/>
      <w:lvlText w:val="%1"/>
      <w:numFmt w:val="upperLetter"/>
      <w:start w:val="1"/>
    </w:lvl>
    <w:lvl w:ilvl="1">
      <w:lvlJc w:val="left"/>
      <w:lvlText w:val="(%2)"/>
      <w:numFmt w:val="lowerRoman"/>
      <w:start w:val="3"/>
    </w:lvl>
  </w:abstractNum>
  <w:abstractNum w:abstractNumId="45">
    <w:nsid w:val="59ADEA3D"/>
    <w:multiLevelType w:val="hybridMultilevel"/>
    <w:lvl w:ilvl="0">
      <w:lvlJc w:val="left"/>
      <w:lvlText w:val="%1."/>
      <w:numFmt w:val="upperLetter"/>
      <w:start w:val="6"/>
    </w:lvl>
    <w:lvl w:ilvl="1">
      <w:lvlJc w:val="left"/>
      <w:lvlText w:val="%2"/>
      <w:numFmt w:val="lowerRoman"/>
      <w:start w:val="1"/>
    </w:lvl>
  </w:abstractNum>
  <w:abstractNum w:abstractNumId="46">
    <w:nsid w:val="288F1A34"/>
    <w:multiLevelType w:val="hybridMultilevel"/>
    <w:lvl w:ilvl="0">
      <w:lvlJc w:val="left"/>
      <w:lvlText w:val="(%1)"/>
      <w:numFmt w:val="lowerRoman"/>
      <w:start w:val="2"/>
    </w:lvl>
  </w:abstractNum>
  <w:abstractNum w:abstractNumId="47">
    <w:nsid w:val="2A155DBC"/>
    <w:multiLevelType w:val="hybridMultilevel"/>
    <w:lvl w:ilvl="0">
      <w:lvlJc w:val="left"/>
      <w:lvlText w:val="%1."/>
      <w:numFmt w:val="upperLetter"/>
      <w:start w:val="7"/>
    </w:lvl>
    <w:lvl w:ilvl="1">
      <w:lvlJc w:val="left"/>
      <w:lvlText w:val="(%2)"/>
      <w:numFmt w:val="lowerRoman"/>
      <w:start w:val="1"/>
    </w:lvl>
  </w:abstractNum>
  <w:abstractNum w:abstractNumId="48">
    <w:nsid w:val="1D9F6E5F"/>
    <w:multiLevelType w:val="hybridMultilevel"/>
    <w:lvl w:ilvl="0">
      <w:lvlJc w:val="left"/>
      <w:lvlText w:val="%1"/>
      <w:numFmt w:val="decimal"/>
      <w:start w:val="1"/>
    </w:lvl>
    <w:lvl w:ilvl="1">
      <w:lvlJc w:val="left"/>
      <w:lvlText w:val="%2."/>
      <w:numFmt w:val="upperLetter"/>
      <w:start w:val="9"/>
    </w:lvl>
  </w:abstractNum>
  <w:abstractNum w:abstractNumId="49">
    <w:nsid w:val="97E1B4E"/>
    <w:multiLevelType w:val="hybridMultilevel"/>
    <w:lvl w:ilvl="0">
      <w:lvlJc w:val="left"/>
      <w:lvlText w:val="%1."/>
      <w:numFmt w:val="decimal"/>
      <w:start w:val="8"/>
    </w:lvl>
    <w:lvl w:ilvl="1">
      <w:lvlJc w:val="left"/>
      <w:lvlText w:val="%2"/>
      <w:numFmt w:val="upperLetter"/>
      <w:start w:val="1"/>
    </w:lvl>
  </w:abstractNum>
  <w:abstractNum w:abstractNumId="50">
    <w:nsid w:val="51088277"/>
    <w:multiLevelType w:val="hybridMultilevel"/>
    <w:lvl w:ilvl="0">
      <w:lvlJc w:val="left"/>
      <w:lvlText w:val="%1"/>
      <w:numFmt w:val="decimal"/>
      <w:start w:val="1"/>
    </w:lvl>
    <w:lvl w:ilvl="1">
      <w:lvlJc w:val="left"/>
      <w:lvlText w:val="%2."/>
      <w:numFmt w:val="upperLetter"/>
      <w:start w:val="1"/>
    </w:lvl>
  </w:abstractNum>
  <w:abstractNum w:abstractNumId="51">
    <w:nsid w:val="1CA0C5FA"/>
    <w:multiLevelType w:val="hybridMultilevel"/>
    <w:lvl w:ilvl="0">
      <w:lvlJc w:val="left"/>
      <w:lvlText w:val="%1."/>
      <w:numFmt w:val="decimal"/>
      <w:start w:val="9"/>
    </w:lvl>
    <w:lvl w:ilvl="1">
      <w:lvlJc w:val="left"/>
      <w:lvlText w:val="%2."/>
      <w:numFmt w:val="upperLetter"/>
      <w:start w:val="1"/>
    </w:lvl>
  </w:abstractNum>
  <w:abstractNum w:abstractNumId="52">
    <w:nsid w:val="53584BCB"/>
    <w:multiLevelType w:val="hybridMultilevel"/>
    <w:lvl w:ilvl="0">
      <w:lvlJc w:val="left"/>
      <w:lvlText w:val="%1."/>
      <w:numFmt w:val="upperLetter"/>
      <w:start w:val="2"/>
    </w:lvl>
  </w:abstractNum>
  <w:abstractNum w:abstractNumId="53">
    <w:nsid w:val="415E286C"/>
    <w:multiLevelType w:val="hybridMultilevel"/>
    <w:lvl w:ilvl="0">
      <w:lvlJc w:val="left"/>
      <w:lvlText w:val="%1."/>
      <w:numFmt w:val="decimal"/>
      <w:start w:val="1"/>
    </w:lvl>
  </w:abstractNum>
  <w:abstractNum w:abstractNumId="54">
    <w:nsid w:val="7C58FD05"/>
    <w:multiLevelType w:val="hybridMultilevel"/>
    <w:lvl w:ilvl="0">
      <w:lvlJc w:val="left"/>
      <w:lvlText w:val="%1."/>
      <w:numFmt w:val="decimal"/>
      <w:start w:val="4"/>
    </w:lvl>
  </w:abstractNum>
  <w:abstractNum w:abstractNumId="55">
    <w:nsid w:val="23D86AA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56">
    <w:nsid w:val="45E6D48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57">
    <w:nsid w:val="5C10FE21"/>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58">
    <w:nsid w:val="E7FFA2B"/>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59">
    <w:nsid w:val="3C5991AA"/>
    <w:multiLevelType w:val="hybridMultilevel"/>
    <w:lvl w:ilvl="0">
      <w:lvlJc w:val="left"/>
      <w:lvlText w:val="(%1)"/>
      <w:numFmt w:val="lowerRoman"/>
      <w:start w:val="2"/>
    </w:lvl>
  </w:abstractNum>
  <w:abstractNum w:abstractNumId="60">
    <w:nsid w:val="4BD8591A"/>
    <w:multiLevelType w:val="hybridMultilevel"/>
    <w:lvl w:ilvl="0">
      <w:lvlJc w:val="left"/>
      <w:lvlText w:val="%1."/>
      <w:numFmt w:val="upperLetter"/>
      <w:start w:val="7"/>
    </w:lvl>
  </w:abstractNum>
  <w:abstractNum w:abstractNumId="61">
    <w:nsid w:val="78DF6A55"/>
    <w:multiLevelType w:val="hybridMultilevel"/>
    <w:lvl w:ilvl="0">
      <w:lvlJc w:val="left"/>
      <w:lvlText w:val="%1"/>
      <w:numFmt w:val="decimal"/>
      <w:start w:val="1"/>
    </w:lvl>
    <w:lvl w:ilvl="1">
      <w:lvlJc w:val="left"/>
      <w:lvlText w:val="%2."/>
      <w:numFmt w:val="upperLetter"/>
      <w:start w:val="9"/>
    </w:lvl>
  </w:abstractNum>
  <w:abstractNum w:abstractNumId="62">
    <w:nsid w:val="39B7AAA2"/>
    <w:multiLevelType w:val="hybridMultilevel"/>
    <w:lvl w:ilvl="0">
      <w:lvlJc w:val="left"/>
      <w:lvlText w:val="%1."/>
      <w:numFmt w:val="decimal"/>
      <w:start w:val="8"/>
    </w:lvl>
    <w:lvl w:ilvl="1">
      <w:lvlJc w:val="left"/>
      <w:lvlText w:val="%2"/>
      <w:numFmt w:val="upperLetter"/>
      <w:start w:val="1"/>
    </w:lvl>
  </w:abstractNum>
  <w:abstractNum w:abstractNumId="63">
    <w:nsid w:val="2B0D8DBE"/>
    <w:multiLevelType w:val="hybridMultilevel"/>
    <w:lvl w:ilvl="0">
      <w:lvlJc w:val="left"/>
      <w:lvlText w:val="%1"/>
      <w:numFmt w:val="decimal"/>
      <w:start w:val="1"/>
    </w:lvl>
    <w:lvl w:ilvl="1">
      <w:lvlJc w:val="left"/>
      <w:lvlText w:val="%2."/>
      <w:numFmt w:val="upperLetter"/>
      <w:start w:val="1"/>
    </w:lvl>
  </w:abstractNum>
  <w:abstractNum w:abstractNumId="64">
    <w:nsid w:val="6C80EC70"/>
    <w:multiLevelType w:val="hybridMultilevel"/>
    <w:lvl w:ilvl="0">
      <w:lvlJc w:val="left"/>
      <w:lvlText w:val="%1."/>
      <w:numFmt w:val="decimal"/>
      <w:start w:val="9"/>
    </w:lvl>
    <w:lvl w:ilvl="1">
      <w:lvlJc w:val="left"/>
      <w:lvlText w:val="%2."/>
      <w:numFmt w:val="upperLetter"/>
      <w:start w:val="1"/>
    </w:lvl>
  </w:abstractNum>
  <w:abstractNum w:abstractNumId="65">
    <w:nsid w:val="379E21B5"/>
    <w:multiLevelType w:val="hybridMultilevel"/>
    <w:lvl w:ilvl="0">
      <w:lvlJc w:val="left"/>
      <w:lvlText w:val="%1."/>
      <w:numFmt w:val="upperLetter"/>
      <w:start w:val="2"/>
    </w:lvl>
  </w:abstractNum>
  <w:abstractNum w:abstractNumId="66">
    <w:nsid w:val="69E373"/>
    <w:multiLevelType w:val="hybridMultilevel"/>
    <w:lvl w:ilvl="0">
      <w:lvlJc w:val="left"/>
      <w:lvlText w:val="%1."/>
      <w:numFmt w:val="decimal"/>
      <w:start w:val="1"/>
    </w:lvl>
    <w:lvl w:ilvl="1">
      <w:lvlJc w:val="left"/>
      <w:lvlText w:val="%2."/>
      <w:numFmt w:val="lowerLetter"/>
      <w:start w:val="1"/>
    </w:lvl>
  </w:abstractNum>
  <w:abstractNum w:abstractNumId="67">
    <w:nsid w:val="2C27173B"/>
    <w:multiLevelType w:val="hybridMultilevel"/>
    <w:lvl w:ilvl="0">
      <w:lvlJc w:val="left"/>
      <w:lvlText w:val="%1."/>
      <w:numFmt w:val="lowerLetter"/>
      <w:start w:val="2"/>
    </w:lvl>
    <w:lvl w:ilvl="1">
      <w:lvlJc w:val="left"/>
      <w:lvlText w:val="%2."/>
      <w:numFmt w:val="lowerRoman"/>
      <w:start w:val="1"/>
    </w:lvl>
  </w:abstractNum>
  <w:abstractNum w:abstractNumId="68">
    <w:nsid w:val="4C9B0904"/>
    <w:multiLevelType w:val="hybridMultilevel"/>
    <w:lvl w:ilvl="0">
      <w:lvlJc w:val="left"/>
      <w:lvlText w:val="%1."/>
      <w:numFmt w:val="lowerRoman"/>
      <w:start w:val="2"/>
    </w:lvl>
  </w:abstractNum>
  <w:abstractNum w:abstractNumId="69">
    <w:nsid w:val="6AA7B75C"/>
    <w:multiLevelType w:val="hybridMultilevel"/>
    <w:lvl w:ilvl="0">
      <w:lvlJc w:val="left"/>
      <w:lvlText w:val="%1."/>
      <w:numFmt w:val="lowerLetter"/>
      <w:start w:val="4"/>
    </w:lvl>
    <w:lvl w:ilvl="1">
      <w:lvlJc w:val="left"/>
      <w:lvlText w:val="%2."/>
      <w:numFmt w:val="lowerRoman"/>
      <w:start w:val="1"/>
    </w:lvl>
  </w:abstractNum>
  <w:abstractNum w:abstractNumId="70">
    <w:nsid w:val="1DF029D3"/>
    <w:multiLevelType w:val="hybridMultilevel"/>
    <w:lvl w:ilvl="0">
      <w:lvlJc w:val="left"/>
      <w:lvlText w:val="%1."/>
      <w:numFmt w:val="lowerLetter"/>
      <w:start w:val="5"/>
    </w:lvl>
  </w:abstractNum>
  <w:abstractNum w:abstractNumId="71">
    <w:nsid w:val="5675FF36"/>
    <w:multiLevelType w:val="hybridMultilevel"/>
    <w:lvl w:ilvl="0">
      <w:lvlJc w:val="left"/>
      <w:lvlText w:val="%1."/>
      <w:numFmt w:val="lowerLetter"/>
      <w:start w:val="6"/>
    </w:lvl>
  </w:abstractNum>
  <w:abstractNum w:abstractNumId="72">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3DB012B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2708C9AF"/>
    <w:multiLevelType w:val="hybridMultilevel"/>
    <w:lvl w:ilvl="0">
      <w:lvlJc w:val="left"/>
      <w:lvlText w:val="%1."/>
      <w:numFmt w:val="lowerLetter"/>
      <w:start w:val="4"/>
    </w:lvl>
  </w:abstractNum>
  <w:abstractNum w:abstractNumId="75">
    <w:nsid w:val="5B25ACE2"/>
    <w:multiLevelType w:val="hybridMultilevel"/>
    <w:lvl w:ilvl="0">
      <w:lvlJc w:val="left"/>
      <w:lvlText w:val="%1."/>
      <w:numFmt w:val="decimal"/>
      <w:start w:val="6"/>
    </w:lvl>
  </w:abstractNum>
  <w:abstractNum w:abstractNumId="76">
    <w:nsid w:val="175DFCF0"/>
    <w:multiLevelType w:val="hybridMultilevel"/>
    <w:lvl w:ilvl="0">
      <w:lvlJc w:val="left"/>
      <w:lvlText w:val="-"/>
      <w:numFmt w:val="bullet"/>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
      <w:numFmt w:val="bullet"/>
      <w:start w:val="1"/>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1"/>
      <w:numFmt w:val="decimal"/>
      <w:start w:val="95"/>
    </w:lvl>
  </w:abstractNum>
  <w:abstractNum w:abstractNumId="84">
    <w:nsid w:val="17A1B582"/>
    <w:multiLevelType w:val="hybridMultilevel"/>
    <w:lvl w:ilvl="0">
      <w:lvlJc w:val="left"/>
      <w:lvlText w:val="%1"/>
      <w:numFmt w:val="decimal"/>
      <w:start w:val="95"/>
    </w:lvl>
  </w:abstractNum>
  <w:abstractNum w:abstractNumId="85">
    <w:nsid w:val="4DF72E4E"/>
    <w:multiLevelType w:val="hybridMultilevel"/>
    <w:lvl w:ilvl="0">
      <w:lvlJc w:val="left"/>
      <w:lvlText w:val="%1"/>
      <w:numFmt w:val="decimal"/>
      <w:start w:val="95"/>
    </w:lvl>
  </w:abstractNum>
  <w:abstractNum w:abstractNumId="86">
    <w:nsid w:val="5046B5A9"/>
    <w:multiLevelType w:val="hybridMultilevel"/>
    <w:lvl w:ilvl="0">
      <w:lvlJc w:val="left"/>
      <w:lvlText w:val="%1"/>
      <w:numFmt w:val="decimal"/>
      <w:start w:val="95"/>
    </w:lvl>
  </w:abstractNum>
  <w:abstractNum w:abstractNumId="87">
    <w:nsid w:val="5D888A08"/>
    <w:multiLevelType w:val="hybridMultilevel"/>
    <w:lvl w:ilvl="0">
      <w:lvlJc w:val="left"/>
      <w:lvlText w:val="-"/>
      <w:numFmt w:val="bullet"/>
      <w:start w:val="1"/>
    </w:lvl>
  </w:abstractNum>
  <w:abstractNum w:abstractNumId="88">
    <w:nsid w:val="2A082C70"/>
    <w:multiLevelType w:val="hybridMultilevel"/>
    <w:lvl w:ilvl="0">
      <w:lvlJc w:val="left"/>
      <w:lvlText w:val="-"/>
      <w:numFmt w:val="bullet"/>
      <w:start w:val="1"/>
    </w:lvl>
  </w:abstractNum>
  <w:abstractNum w:abstractNumId="89">
    <w:nsid w:val="5EC6AFD4"/>
    <w:multiLevelType w:val="hybridMultilevel"/>
    <w:lvl w:ilvl="0">
      <w:lvlJc w:val="left"/>
      <w:lvlText w:val="-"/>
      <w:numFmt w:val="bullet"/>
      <w:start w:val="1"/>
    </w:lvl>
  </w:abstractNum>
  <w:abstractNum w:abstractNumId="90">
    <w:nsid w:val="19E21BB2"/>
    <w:multiLevelType w:val="hybridMultilevel"/>
    <w:lvl w:ilvl="0">
      <w:lvlJc w:val="left"/>
      <w:lvlText w:val="-"/>
      <w:numFmt w:val="bullet"/>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
      <w:numFmt w:val="bullet"/>
      <w:start w:val="1"/>
    </w:lvl>
  </w:abstractNum>
  <w:abstractNum w:abstractNumId="93">
    <w:nsid w:val="5399C654"/>
    <w:multiLevelType w:val="hybridMultilevel"/>
    <w:lvl w:ilvl="0">
      <w:lvlJc w:val="left"/>
      <w:lvlText w:val="-"/>
      <w:numFmt w:val="bullet"/>
      <w:start w:val="1"/>
    </w:lvl>
  </w:abstractNum>
  <w:abstractNum w:abstractNumId="94">
    <w:nsid w:val="20EE1348"/>
    <w:multiLevelType w:val="hybridMultilevel"/>
    <w:lvl w:ilvl="0">
      <w:lvlJc w:val="left"/>
      <w:lvlText w:val="-"/>
      <w:numFmt w:val="bullet"/>
      <w:start w:val="1"/>
    </w:lvl>
  </w:abstractNum>
  <w:abstractNum w:abstractNumId="95">
    <w:nsid w:val="4427069A"/>
    <w:multiLevelType w:val="hybridMultilevel"/>
    <w:lvl w:ilvl="0">
      <w:lvlJc w:val="left"/>
      <w:lvlText w:val="(%1)"/>
      <w:numFmt w:val="decimal"/>
      <w:start w:val="1"/>
    </w:lvl>
  </w:abstractNum>
  <w:abstractNum w:abstractNumId="96">
    <w:nsid w:val="B37E80A"/>
    <w:multiLevelType w:val="hybridMultilevel"/>
    <w:lvl w:ilvl="0">
      <w:lvlJc w:val="left"/>
      <w:lvlText w:val="-"/>
      <w:numFmt w:val="bullet"/>
      <w:start w:val="1"/>
    </w:lvl>
  </w:abstractNum>
  <w:abstractNum w:abstractNumId="97">
    <w:nsid w:val="2157F6BC"/>
    <w:multiLevelType w:val="hybridMultilevel"/>
    <w:lvl w:ilvl="0">
      <w:lvlJc w:val="left"/>
      <w:lvlText w:val="-"/>
      <w:numFmt w:val="bullet"/>
      <w:start w:val="1"/>
    </w:lvl>
  </w:abstractNum>
  <w:abstractNum w:abstractNumId="98">
    <w:nsid w:val="704E1DD5"/>
    <w:multiLevelType w:val="hybridMultilevel"/>
    <w:lvl w:ilvl="0">
      <w:lvlJc w:val="left"/>
      <w:lvlText w:val="-"/>
      <w:numFmt w:val="bullet"/>
      <w:start w:val="1"/>
    </w:lvl>
  </w:abstractNum>
  <w:abstractNum w:abstractNumId="99">
    <w:nsid w:val="57D2F10E"/>
    <w:multiLevelType w:val="hybridMultilevel"/>
    <w:lvl w:ilvl="0">
      <w:lvlJc w:val="left"/>
      <w:lvlText w:val="-"/>
      <w:numFmt w:val="bullet"/>
      <w:start w:val="1"/>
    </w:lvl>
  </w:abstractNum>
  <w:abstractNum w:abstractNumId="100">
    <w:nsid w:val="BFFAE18"/>
    <w:multiLevelType w:val="hybridMultilevel"/>
    <w:lvl w:ilvl="0">
      <w:lvlJc w:val="left"/>
      <w:lvlText w:val="-"/>
      <w:numFmt w:val="bullet"/>
      <w:start w:val="1"/>
    </w:lvl>
  </w:abstractNum>
  <w:abstractNum w:abstractNumId="101">
    <w:nsid w:val="E3E47A8"/>
    <w:multiLevelType w:val="hybridMultilevel"/>
    <w:lvl w:ilvl="0">
      <w:lvlJc w:val="left"/>
      <w:lvlText w:val="-"/>
      <w:numFmt w:val="bullet"/>
      <w:start w:val="1"/>
    </w:lvl>
  </w:abstractNum>
  <w:abstractNum w:abstractNumId="102">
    <w:nsid w:val="2E48F044"/>
    <w:multiLevelType w:val="hybridMultilevel"/>
    <w:lvl w:ilvl="0">
      <w:lvlJc w:val="left"/>
      <w:lvlText w:val="-"/>
      <w:numFmt w:val="bullet"/>
      <w:start w:val="1"/>
    </w:lvl>
  </w:abstractNum>
  <w:abstractNum w:abstractNumId="103">
    <w:nsid w:val="49D0FEAC"/>
    <w:multiLevelType w:val="hybridMultilevel"/>
    <w:lvl w:ilvl="0">
      <w:lvlJc w:val="left"/>
      <w:lvlText w:val="-"/>
      <w:numFmt w:val="bullet"/>
      <w:start w:val="1"/>
    </w:lvl>
  </w:abstractNum>
  <w:abstractNum w:abstractNumId="104">
    <w:nsid w:val="4BEE5A5B"/>
    <w:multiLevelType w:val="hybridMultilevel"/>
    <w:lvl w:ilvl="0">
      <w:lvlJc w:val="left"/>
      <w:lvlText w:val="-"/>
      <w:numFmt w:val="bullet"/>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
      <w:numFmt w:val="bullet"/>
      <w:start w:val="1"/>
    </w:lvl>
  </w:abstractNum>
  <w:abstractNum w:abstractNumId="108">
    <w:nsid w:val="24E99DD7"/>
    <w:multiLevelType w:val="hybridMultilevel"/>
    <w:lvl w:ilvl="0">
      <w:lvlJc w:val="left"/>
      <w:lvlText w:val="-"/>
      <w:numFmt w:val="bullet"/>
      <w:start w:val="1"/>
    </w:lvl>
  </w:abstractNum>
  <w:abstractNum w:abstractNumId="109">
    <w:nsid w:val="2A31B62D"/>
    <w:multiLevelType w:val="hybridMultilevel"/>
    <w:lvl w:ilvl="0">
      <w:lvlJc w:val="left"/>
      <w:lvlText w:val="-"/>
      <w:numFmt w:val="bullet"/>
      <w:start w:val="1"/>
    </w:lvl>
  </w:abstractNum>
  <w:abstractNum w:abstractNumId="110">
    <w:nsid w:val="1849C29B"/>
    <w:multiLevelType w:val="hybridMultilevel"/>
    <w:lvl w:ilvl="0">
      <w:lvlJc w:val="left"/>
      <w:lvlText w:val="1"/>
      <w:numFmt w:val="bullet"/>
      <w:start w:val="1"/>
    </w:lvl>
  </w:abstractNum>
  <w:abstractNum w:abstractNumId="111">
    <w:nsid w:val="7DFF9D09"/>
    <w:multiLevelType w:val="hybridMultilevel"/>
    <w:lvl w:ilvl="0">
      <w:lvlJc w:val="left"/>
      <w:lvlText w:val="-"/>
      <w:numFmt w:val="bullet"/>
      <w:start w:val="1"/>
    </w:lvl>
  </w:abstractNum>
  <w:abstractNum w:abstractNumId="112">
    <w:nsid w:val="754342"/>
    <w:multiLevelType w:val="hybridMultilevel"/>
    <w:lvl w:ilvl="0">
      <w:lvlJc w:val="left"/>
      <w:lvlText w:val="-"/>
      <w:numFmt w:val="bullet"/>
      <w:start w:val="1"/>
    </w:lvl>
  </w:abstractNum>
  <w:abstractNum w:abstractNumId="113">
    <w:nsid w:val="69E7F3E5"/>
    <w:multiLevelType w:val="hybridMultilevel"/>
    <w:lvl w:ilvl="0">
      <w:lvlJc w:val="left"/>
      <w:lvlText w:val="-"/>
      <w:numFmt w:val="bullet"/>
      <w:start w:val="1"/>
    </w:lvl>
  </w:abstractNum>
  <w:abstractNum w:abstractNumId="114">
    <w:nsid w:val="2A6DE806"/>
    <w:multiLevelType w:val="hybridMultilevel"/>
    <w:lvl w:ilvl="0">
      <w:lvlJc w:val="left"/>
      <w:lvlText w:val="-"/>
      <w:numFmt w:val="bullet"/>
      <w:start w:val="1"/>
    </w:lvl>
  </w:abstractNum>
  <w:abstractNum w:abstractNumId="115">
    <w:nsid w:val="1816F8C4"/>
    <w:multiLevelType w:val="hybridMultilevel"/>
    <w:lvl w:ilvl="0">
      <w:lvlJc w:val="left"/>
      <w:lvlText w:val="-"/>
      <w:numFmt w:val="bullet"/>
      <w:start w:val="1"/>
    </w:lvl>
  </w:abstractNum>
  <w:abstractNum w:abstractNumId="116">
    <w:nsid w:val="37DF2233"/>
    <w:multiLevelType w:val="hybridMultilevel"/>
    <w:lvl w:ilvl="0">
      <w:lvlJc w:val="left"/>
      <w:lvlText w:val="-"/>
      <w:numFmt w:val="bullet"/>
      <w:start w:val="1"/>
    </w:lvl>
  </w:abstractNum>
  <w:abstractNum w:abstractNumId="117">
    <w:nsid w:val="7AB49DAF"/>
    <w:multiLevelType w:val="hybridMultilevel"/>
    <w:lvl w:ilvl="0">
      <w:lvlJc w:val="left"/>
      <w:lvlText w:val="2"/>
      <w:numFmt w:val="bullet"/>
      <w:start w:val="1"/>
    </w:lvl>
  </w:abstractNum>
  <w:abstractNum w:abstractNumId="118">
    <w:nsid w:val="759F82CD"/>
    <w:multiLevelType w:val="hybridMultilevel"/>
    <w:lvl w:ilvl="0">
      <w:lvlJc w:val="left"/>
      <w:lvlText w:val="3"/>
      <w:numFmt w:val="bullet"/>
      <w:start w:val="1"/>
    </w:lvl>
  </w:abstractNum>
  <w:abstractNum w:abstractNumId="119">
    <w:nsid w:val="61E74EA3"/>
    <w:multiLevelType w:val="hybridMultilevel"/>
    <w:lvl w:ilvl="0">
      <w:lvlJc w:val="left"/>
      <w:lvlText w:val="4"/>
      <w:numFmt w:val="bullet"/>
      <w:start w:val="1"/>
    </w:lvl>
  </w:abstractNum>
  <w:abstractNum w:abstractNumId="120">
    <w:nsid w:val="597B4D84"/>
    <w:multiLevelType w:val="hybridMultilevel"/>
    <w:lvl w:ilvl="0">
      <w:lvlJc w:val="left"/>
      <w:lvlText w:val="-"/>
      <w:numFmt w:val="bullet"/>
      <w:start w:val="1"/>
    </w:lvl>
  </w:abstractNum>
  <w:abstractNum w:abstractNumId="121">
    <w:nsid w:val="F819E7F"/>
    <w:multiLevelType w:val="hybridMultilevel"/>
    <w:lvl w:ilvl="0">
      <w:lvlJc w:val="left"/>
      <w:lvlText w:val="-"/>
      <w:numFmt w:val="bullet"/>
      <w:start w:val="1"/>
    </w:lvl>
  </w:abstractNum>
  <w:abstractNum w:abstractNumId="122">
    <w:nsid w:val="57C7D42D"/>
    <w:multiLevelType w:val="hybridMultilevel"/>
    <w:lvl w:ilvl="0">
      <w:lvlJc w:val="left"/>
      <w:lvlText w:val="5"/>
      <w:numFmt w:val="bullet"/>
      <w:start w:val="1"/>
    </w:lvl>
  </w:abstractNum>
  <w:abstractNum w:abstractNumId="123">
    <w:nsid w:val="312167AD"/>
    <w:multiLevelType w:val="hybridMultilevel"/>
    <w:lvl w:ilvl="0">
      <w:lvlJc w:val="left"/>
      <w:lvlText w:val="6"/>
      <w:numFmt w:val="bullet"/>
      <w:start w:val="1"/>
    </w:lvl>
  </w:abstractNum>
  <w:abstractNum w:abstractNumId="124">
    <w:nsid w:val="631B64D4"/>
    <w:multiLevelType w:val="hybridMultilevel"/>
    <w:lvl w:ilvl="0">
      <w:lvlJc w:val="left"/>
      <w:lvlText w:val="-"/>
      <w:numFmt w:val="bullet"/>
      <w:start w:val="1"/>
    </w:lvl>
  </w:abstractNum>
  <w:abstractNum w:abstractNumId="125">
    <w:nsid w:val="78B5E776"/>
    <w:multiLevelType w:val="hybridMultilevel"/>
    <w:lvl w:ilvl="0">
      <w:lvlJc w:val="left"/>
      <w:lvlText w:val="-"/>
      <w:numFmt w:val="bullet"/>
      <w:start w:val="1"/>
    </w:lvl>
  </w:abstractNum>
  <w:abstractNum w:abstractNumId="126">
    <w:nsid w:val="75486E47"/>
    <w:multiLevelType w:val="hybridMultilevel"/>
    <w:lvl w:ilvl="0">
      <w:lvlJc w:val="left"/>
      <w:lvlText w:val="-"/>
      <w:numFmt w:val="bullet"/>
      <w:start w:val="1"/>
    </w:lvl>
  </w:abstractNum>
  <w:abstractNum w:abstractNumId="127">
    <w:nsid w:val="6E534CDE"/>
    <w:multiLevelType w:val="hybridMultilevel"/>
    <w:lvl w:ilvl="0">
      <w:lvlJc w:val="left"/>
      <w:lvlText w:val="7"/>
      <w:numFmt w:val="bullet"/>
      <w:start w:val="1"/>
    </w:lvl>
  </w:abstractNum>
  <w:abstractNum w:abstractNumId="128">
    <w:nsid w:val="1A0DDE32"/>
    <w:multiLevelType w:val="hybridMultilevel"/>
    <w:lvl w:ilvl="0">
      <w:lvlJc w:val="left"/>
      <w:lvlText w:val="-"/>
      <w:numFmt w:val="bullet"/>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
      <w:numFmt w:val="bullet"/>
      <w:start w:val="1"/>
    </w:lvl>
  </w:abstractNum>
  <w:abstractNum w:abstractNumId="131">
    <w:nsid w:val="260D8C4A"/>
    <w:multiLevelType w:val="hybridMultilevel"/>
    <w:lvl w:ilvl="0">
      <w:lvlJc w:val="left"/>
      <w:lvlText w:val="-"/>
      <w:numFmt w:val="bullet"/>
      <w:start w:val="1"/>
    </w:lvl>
  </w:abstractNum>
  <w:abstractNum w:abstractNumId="132">
    <w:nsid w:val="73D4D3C4"/>
    <w:multiLevelType w:val="hybridMultilevel"/>
    <w:lvl w:ilvl="0">
      <w:lvlJc w:val="left"/>
      <w:lvlText w:val="-"/>
      <w:numFmt w:val="bullet"/>
      <w:start w:val="1"/>
    </w:lvl>
  </w:abstractNum>
  <w:abstractNum w:abstractNumId="133">
    <w:nsid w:val="746F2E30"/>
    <w:multiLevelType w:val="hybridMultilevel"/>
    <w:lvl w:ilvl="0">
      <w:lvlJc w:val="left"/>
      <w:lvlText w:val="-"/>
      <w:numFmt w:val="bullet"/>
      <w:start w:val="1"/>
    </w:lvl>
  </w:abstractNum>
  <w:abstractNum w:abstractNumId="134">
    <w:nsid w:val="6FDE8AF6"/>
    <w:multiLevelType w:val="hybridMultilevel"/>
    <w:lvl w:ilvl="0">
      <w:lvlJc w:val="left"/>
      <w:lvlText w:val="-"/>
      <w:numFmt w:val="bullet"/>
      <w:start w:val="1"/>
    </w:lvl>
  </w:abstractNum>
  <w:abstractNum w:abstractNumId="135">
    <w:nsid w:val="3FC32E20"/>
    <w:multiLevelType w:val="hybridMultilevel"/>
    <w:lvl w:ilvl="0">
      <w:lvlJc w:val="left"/>
      <w:lvlText w:val="-"/>
      <w:numFmt w:val="bullet"/>
      <w:start w:val="1"/>
    </w:lvl>
  </w:abstractNum>
  <w:abstractNum w:abstractNumId="136">
    <w:nsid w:val="49C0E823"/>
    <w:multiLevelType w:val="hybridMultilevel"/>
    <w:lvl w:ilvl="0">
      <w:lvlJc w:val="left"/>
      <w:lvlText w:val="8"/>
      <w:numFmt w:val="bullet"/>
      <w:start w:val="1"/>
    </w:lvl>
  </w:abstractNum>
  <w:abstractNum w:abstractNumId="137">
    <w:nsid w:val="14D53685"/>
    <w:multiLevelType w:val="hybridMultilevel"/>
    <w:lvl w:ilvl="0">
      <w:lvlJc w:val="left"/>
      <w:lvlText w:val="-"/>
      <w:numFmt w:val="bullet"/>
      <w:start w:val="1"/>
    </w:lvl>
  </w:abstractNum>
  <w:abstractNum w:abstractNumId="138">
    <w:nsid w:val="230F856C"/>
    <w:multiLevelType w:val="hybridMultilevel"/>
    <w:lvl w:ilvl="0">
      <w:lvlJc w:val="left"/>
      <w:lvlText w:val="-"/>
      <w:numFmt w:val="bullet"/>
      <w:start w:val="1"/>
    </w:lvl>
  </w:abstractNum>
  <w:abstractNum w:abstractNumId="139">
    <w:nsid w:val="6EAA85FB"/>
    <w:multiLevelType w:val="hybridMultilevel"/>
    <w:lvl w:ilvl="0">
      <w:lvlJc w:val="left"/>
      <w:lvlText w:val="-"/>
      <w:numFmt w:val="bullet"/>
      <w:start w:val="1"/>
    </w:lvl>
  </w:abstractNum>
  <w:abstractNum w:abstractNumId="140">
    <w:nsid w:val="3F06ECB2"/>
    <w:multiLevelType w:val="hybridMultilevel"/>
    <w:lvl w:ilvl="0">
      <w:lvlJc w:val="left"/>
      <w:lvlText w:val="-"/>
      <w:numFmt w:val="bullet"/>
      <w:start w:val="1"/>
    </w:lvl>
  </w:abstractNum>
  <w:abstractNum w:abstractNumId="141">
    <w:nsid w:val="3B594807"/>
    <w:multiLevelType w:val="hybridMultilevel"/>
    <w:lvl w:ilvl="0">
      <w:lvlJc w:val="left"/>
      <w:lvlText w:val="-"/>
      <w:numFmt w:val="bullet"/>
      <w:start w:val="1"/>
    </w:lvl>
  </w:abstractNum>
  <w:abstractNum w:abstractNumId="142">
    <w:nsid w:val="6CAA2304"/>
    <w:multiLevelType w:val="hybridMultilevel"/>
    <w:lvl w:ilvl="0">
      <w:lvlJc w:val="left"/>
      <w:lvlText w:val="9"/>
      <w:numFmt w:val="bullet"/>
      <w:start w:val="1"/>
    </w:lvl>
  </w:abstractNum>
  <w:abstractNum w:abstractNumId="143">
    <w:nsid w:val="3F7C2FF4"/>
    <w:multiLevelType w:val="hybridMultilevel"/>
    <w:lvl w:ilvl="0">
      <w:lvlJc w:val="left"/>
      <w:lvlText w:val="-"/>
      <w:numFmt w:val="bullet"/>
      <w:start w:val="1"/>
    </w:lvl>
  </w:abstractNum>
  <w:abstractNum w:abstractNumId="144">
    <w:nsid w:val="25413BEC"/>
    <w:multiLevelType w:val="hybridMultilevel"/>
    <w:lvl w:ilvl="0">
      <w:lvlJc w:val="left"/>
      <w:lvlText w:val="-"/>
      <w:numFmt w:val="bullet"/>
      <w:start w:val="1"/>
    </w:lvl>
  </w:abstractNum>
  <w:abstractNum w:abstractNumId="145">
    <w:nsid w:val="17180B0B"/>
    <w:multiLevelType w:val="hybridMultilevel"/>
    <w:lvl w:ilvl="0">
      <w:lvlJc w:val="left"/>
      <w:lvlText w:val="-"/>
      <w:numFmt w:val="bullet"/>
      <w:start w:val="1"/>
    </w:lvl>
  </w:abstractNum>
  <w:abstractNum w:abstractNumId="146">
    <w:nsid w:val="579328B9"/>
    <w:multiLevelType w:val="hybridMultilevel"/>
    <w:lvl w:ilvl="0">
      <w:lvlJc w:val="left"/>
      <w:lvlText w:val="-"/>
      <w:numFmt w:val="bullet"/>
      <w:start w:val="1"/>
    </w:lvl>
  </w:abstractNum>
  <w:abstractNum w:abstractNumId="147">
    <w:nsid w:val="5D205E20"/>
    <w:multiLevelType w:val="hybridMultilevel"/>
    <w:lvl w:ilvl="0">
      <w:lvlJc w:val="left"/>
      <w:lvlText w:val="-"/>
      <w:numFmt w:val="bullet"/>
      <w:start w:val="1"/>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
      <w:numFmt w:val="bullet"/>
      <w:start w:val="1"/>
    </w:lvl>
  </w:abstractNum>
  <w:abstractNum w:abstractNumId="150">
    <w:nsid w:val="3F07ACC3"/>
    <w:multiLevelType w:val="hybridMultilevel"/>
    <w:lvl w:ilvl="0">
      <w:lvlJc w:val="left"/>
      <w:lvlText w:val="-"/>
      <w:numFmt w:val="bullet"/>
      <w:start w:val="1"/>
    </w:lvl>
  </w:abstractNum>
  <w:abstractNum w:abstractNumId="151">
    <w:nsid w:val="6B47F63E"/>
    <w:multiLevelType w:val="hybridMultilevel"/>
    <w:lvl w:ilvl="0">
      <w:lvlJc w:val="left"/>
      <w:lvlText w:val="-"/>
      <w:numFmt w:val="bullet"/>
      <w:start w:val="1"/>
    </w:lvl>
  </w:abstractNum>
  <w:abstractNum w:abstractNumId="152">
    <w:nsid w:val="5CB44A05"/>
    <w:multiLevelType w:val="hybridMultilevel"/>
    <w:lvl w:ilvl="0">
      <w:lvlJc w:val="left"/>
      <w:lvlText w:val="-"/>
      <w:numFmt w:val="bullet"/>
      <w:start w:val="1"/>
    </w:lvl>
  </w:abstractNum>
  <w:abstractNum w:abstractNumId="153">
    <w:nsid w:val="16CF80F1"/>
    <w:multiLevelType w:val="hybridMultilevel"/>
    <w:lvl w:ilvl="0">
      <w:lvlJc w:val="left"/>
      <w:lvlText w:val="-"/>
      <w:numFmt w:val="bullet"/>
      <w:start w:val="1"/>
    </w:lvl>
  </w:abstractNum>
  <w:abstractNum w:abstractNumId="154">
    <w:nsid w:val="1C695DEC"/>
    <w:multiLevelType w:val="hybridMultilevel"/>
    <w:lvl w:ilvl="0">
      <w:lvlJc w:val="left"/>
      <w:lvlText w:val="-"/>
      <w:numFmt w:val="bullet"/>
      <w:start w:val="1"/>
    </w:lvl>
  </w:abstractNum>
  <w:abstractNum w:abstractNumId="155">
    <w:nsid w:val="3FCFAED9"/>
    <w:multiLevelType w:val="hybridMultilevel"/>
    <w:lvl w:ilvl="0">
      <w:lvlJc w:val="left"/>
      <w:lvlText w:val="-"/>
      <w:numFmt w:val="bullet"/>
      <w:start w:val="1"/>
    </w:lvl>
  </w:abstractNum>
  <w:abstractNum w:abstractNumId="156">
    <w:nsid w:val="F856867"/>
    <w:multiLevelType w:val="hybridMultilevel"/>
    <w:lvl w:ilvl="0">
      <w:lvlJc w:val="left"/>
      <w:lvlText w:val="-"/>
      <w:numFmt w:val="bullet"/>
      <w:start w:val="1"/>
    </w:lvl>
  </w:abstractNum>
  <w:abstractNum w:abstractNumId="157">
    <w:nsid w:val="11B1CC33"/>
    <w:multiLevelType w:val="hybridMultilevel"/>
    <w:lvl w:ilvl="0">
      <w:lvlJc w:val="left"/>
      <w:lvlText w:val="-"/>
      <w:numFmt w:val="bullet"/>
      <w:start w:val="1"/>
    </w:lvl>
  </w:abstractNum>
  <w:abstractNum w:abstractNumId="158">
    <w:nsid w:val="2E22FBB7"/>
    <w:multiLevelType w:val="hybridMultilevel"/>
    <w:lvl w:ilvl="0">
      <w:lvlJc w:val="left"/>
      <w:lvlText w:val="-"/>
      <w:numFmt w:val="bullet"/>
      <w:start w:val="1"/>
    </w:lvl>
  </w:abstractNum>
  <w:abstractNum w:abstractNumId="159">
    <w:nsid w:val="29934699"/>
    <w:multiLevelType w:val="hybridMultilevel"/>
    <w:lvl w:ilvl="0">
      <w:lvlJc w:val="left"/>
      <w:lvlText w:val="-"/>
      <w:numFmt w:val="bullet"/>
      <w:start w:val="1"/>
    </w:lvl>
  </w:abstractNum>
  <w:abstractNum w:abstractNumId="160">
    <w:nsid w:val="77485850"/>
    <w:multiLevelType w:val="hybridMultilevel"/>
    <w:lvl w:ilvl="0">
      <w:lvlJc w:val="left"/>
      <w:lvlText w:val="-"/>
      <w:numFmt w:val="bullet"/>
      <w:start w:val="1"/>
    </w:lvl>
  </w:abstractNum>
  <w:abstractNum w:abstractNumId="161">
    <w:nsid w:val="744939A3"/>
    <w:multiLevelType w:val="hybridMultilevel"/>
    <w:lvl w:ilvl="0">
      <w:lvlJc w:val="left"/>
      <w:lvlText w:val="(%1)"/>
      <w:numFmt w:val="decimal"/>
      <w:start w:val="1"/>
    </w:lvl>
  </w:abstractNum>
  <w:abstractNum w:abstractNumId="162">
    <w:nsid w:val="4FA0D2E3"/>
    <w:multiLevelType w:val="hybridMultilevel"/>
    <w:lvl w:ilvl="0">
      <w:lvlJc w:val="left"/>
      <w:lvlText w:val="-"/>
      <w:numFmt w:val="bullet"/>
      <w:start w:val="1"/>
    </w:lvl>
  </w:abstractNum>
  <w:abstractNum w:abstractNumId="163">
    <w:nsid w:val="6B1D2C14"/>
    <w:multiLevelType w:val="hybridMultilevel"/>
    <w:lvl w:ilvl="0">
      <w:lvlJc w:val="left"/>
      <w:lvlText w:val="-"/>
      <w:numFmt w:val="bullet"/>
      <w:start w:val="1"/>
    </w:lvl>
  </w:abstractNum>
  <w:abstractNum w:abstractNumId="164">
    <w:nsid w:val="68B867D3"/>
    <w:multiLevelType w:val="hybridMultilevel"/>
    <w:lvl w:ilvl="0">
      <w:lvlJc w:val="left"/>
      <w:lvlText w:val="(%1)"/>
      <w:numFmt w:val="decimal"/>
      <w:start w:val="1"/>
    </w:lvl>
  </w:abstractNum>
  <w:abstractNum w:abstractNumId="165">
    <w:nsid w:val="3F7F5DD9"/>
    <w:multiLevelType w:val="hybridMultilevel"/>
    <w:lvl w:ilvl="0">
      <w:lvlJc w:val="left"/>
      <w:lvlText w:val="(%1)"/>
      <w:numFmt w:val="upperLetter"/>
      <w:start w:val="1"/>
    </w:lvl>
  </w:abstractNum>
  <w:abstractNum w:abstractNumId="166">
    <w:nsid w:val="2AE05A34"/>
    <w:multiLevelType w:val="hybridMultilevel"/>
    <w:lvl w:ilvl="0">
      <w:lvlJc w:val="left"/>
      <w:lvlText w:val="(%1)"/>
      <w:numFmt w:val="upperLetter"/>
      <w:start w:val="3"/>
    </w:lvl>
  </w:abstractNum>
  <w:abstractNum w:abstractNumId="167">
    <w:nsid w:val="32794FF7"/>
    <w:multiLevelType w:val="hybridMultilevel"/>
    <w:lvl w:ilvl="0">
      <w:lvlJc w:val="left"/>
      <w:lvlText w:val="(%1)"/>
      <w:numFmt w:val="upperLetter"/>
      <w:start w:val="5"/>
    </w:lvl>
  </w:abstractNum>
  <w:abstractNum w:abstractNumId="168">
    <w:nsid w:val="5454945E"/>
    <w:multiLevelType w:val="hybridMultilevel"/>
    <w:lvl w:ilvl="0">
      <w:lvlJc w:val="left"/>
      <w:lvlText w:val="(%1)"/>
      <w:numFmt w:val="upp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2019-12-12T07:18:27Z</dcterms:created>
  <dcterms:modified xsi:type="dcterms:W3CDTF">2019-12-12T07:18:27Z</dcterms:modified>
</cp:coreProperties>
</file>