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693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9341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6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Young Grant</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12/17/2025</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VP, Golf, Grounds &amp; Irrigation</w:t>
      </w:r>
    </w:p>
    <w:p>
      <w:pPr>
        <w:spacing w:after="0" w:line="319" w:lineRule="exact"/>
        <w:rPr>
          <w:sz w:val="24"/>
          <w:szCs w:val="24"/>
          <w:color w:val="auto"/>
        </w:rPr>
      </w:pPr>
    </w:p>
    <w:p>
      <w:pPr>
        <w:sectPr>
          <w:pgSz w:w="11900" w:h="16838" w:orient="portrait"/>
          <w:cols w:equalWidth="0" w:num="3">
            <w:col w:w="3200" w:space="720"/>
            <w:col w:w="3104" w:space="720"/>
            <w:col w:w="3336"/>
          </w:cols>
          <w:pgMar w:left="460" w:top="216" w:right="359" w:bottom="699"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5"/>
          </w:tcPr>
          <w:p>
            <w:pPr>
              <w:ind w:left="260"/>
              <w:spacing w:after="0"/>
              <w:rPr>
                <w:sz w:val="20"/>
                <w:szCs w:val="20"/>
                <w:color w:val="auto"/>
              </w:rPr>
            </w:pPr>
            <w:r>
              <w:rPr>
                <w:rFonts w:ascii="Arial" w:cs="Arial" w:eastAsia="Arial" w:hAnsi="Arial"/>
                <w:sz w:val="13"/>
                <w:szCs w:val="13"/>
                <w:color w:val="auto"/>
                <w:w w:val="99"/>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gridSpan w:val="8"/>
          </w:tcPr>
          <w:p>
            <w:pPr>
              <w:ind w:left="26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w w:val="97"/>
              </w:rPr>
              <w:t>Person</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12/17/2025</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5"/>
              </w:rPr>
              <w:t>266</w:t>
            </w:r>
            <w:r>
              <w:rPr>
                <w:rFonts w:ascii="Times New Roman" w:cs="Times New Roman" w:eastAsia="Times New Roman" w:hAnsi="Times New Roman"/>
                <w:sz w:val="21"/>
                <w:szCs w:val="21"/>
                <w:color w:val="008000"/>
                <w:w w:val="95"/>
                <w:vertAlign w:val="superscript"/>
              </w:rPr>
              <w:t>(1)</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2,513.27</w:t>
            </w:r>
            <w:r>
              <w:rPr>
                <w:rFonts w:ascii="Times New Roman" w:cs="Times New Roman" w:eastAsia="Times New Roman" w:hAnsi="Times New Roman"/>
                <w:sz w:val="21"/>
                <w:szCs w:val="21"/>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1,881.834</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2,552.722</w:t>
            </w:r>
            <w:r>
              <w:rPr>
                <w:rFonts w:ascii="Times New Roman" w:cs="Times New Roman" w:eastAsia="Times New Roman" w:hAnsi="Times New Roman"/>
                <w:sz w:val="21"/>
                <w:szCs w:val="21"/>
                <w:color w:val="008000"/>
                <w:w w:val="94"/>
                <w:vertAlign w:val="superscript"/>
              </w:rPr>
              <w:t>(3)</w:t>
            </w:r>
          </w:p>
        </w:tc>
        <w:tc>
          <w:tcPr>
            <w:tcW w:w="340" w:type="dxa"/>
            <w:vAlign w:val="bottom"/>
          </w:tcPr>
          <w:p>
            <w:pPr>
              <w:spacing w:after="0"/>
              <w:rPr>
                <w:sz w:val="18"/>
                <w:szCs w:val="18"/>
                <w:color w:val="auto"/>
              </w:rPr>
            </w:pPr>
          </w:p>
        </w:tc>
        <w:tc>
          <w:tcPr>
            <w:tcW w:w="54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660" w:type="dxa"/>
            <w:vAlign w:val="bottom"/>
            <w:tcBorders>
              <w:bottom w:val="single" w:sz="8" w:color="2C2C2C"/>
            </w:tcBorders>
            <w:gridSpan w:val="5"/>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11"/>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3,438</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gridSpan w:val="2"/>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3,438</w:t>
            </w:r>
          </w:p>
        </w:tc>
        <w:tc>
          <w:tcPr>
            <w:tcW w:w="54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2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2023 to Fiscal 2025 Performance Period under The Toro Company 2022 Equity and Incentive Plan, as approved by the Issuer's Compensation &amp; Human Resources Committee of its Board of Directors on December 9, 2025, and which was conditioned upon and subject to confirmation by the Issuer's Fiscal 2025 financial results that were released on December 17, 2025.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11.183 performance share units acquired by the reporting person since the date of his last report under the dividend reinvestment feature of the Deferred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12.699 net shares acquired under the dividend reinvestment feature of The Toro Company Retirement Plan less quarterly non-discretionary administrative fees.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and related dividend equivalents vest and become non-forfeitable in three equal annual installments commencing on the first anniversary of the October 10, 2025.</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304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480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443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2025-12-18T15:37:38Z</dcterms:created>
  <dcterms:modified xsi:type="dcterms:W3CDTF">2025-12-18T15:37:38Z</dcterms:modified>
</cp:coreProperties>
</file>