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-232410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20320</wp:posOffset>
            </wp:positionV>
            <wp:extent cx="7046595" cy="4948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4855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HARMENING JEFFREY L</w:t>
        </w:r>
      </w:hyperlink>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(Last)</w:t>
            </w:r>
          </w:p>
        </w:tc>
        <w:tc>
          <w:tcPr>
            <w:tcW w:w="1640" w:type="dxa"/>
            <w:vAlign w:val="bottom"/>
          </w:tcPr>
          <w:p>
            <w:pPr>
              <w:ind w:left="42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2460" w:type="dxa"/>
            <w:vAlign w:val="bottom"/>
            <w:gridSpan w:val="2"/>
          </w:tcPr>
          <w:p>
            <w:pPr>
              <w:ind w:left="20"/>
              <w:spacing w:after="0"/>
              <w:rPr>
                <w:sz w:val="20"/>
                <w:szCs w:val="20"/>
                <w:color w:val="auto"/>
              </w:rPr>
            </w:pPr>
            <w:r>
              <w:rPr>
                <w:rFonts w:ascii="Arial" w:cs="Arial" w:eastAsia="Arial" w:hAnsi="Arial"/>
                <w:sz w:val="17"/>
                <w:szCs w:val="17"/>
                <w:color w:val="0000FF"/>
                <w:w w:val="93"/>
              </w:rPr>
              <w:t>8111 LYNDALE AVENUE SOUTH</w:t>
            </w:r>
          </w:p>
        </w:tc>
        <w:tc>
          <w:tcPr>
            <w:tcW w:w="1200" w:type="dxa"/>
            <w:vAlign w:val="bottom"/>
          </w:tcPr>
          <w:p>
            <w:pPr>
              <w:spacing w:after="0"/>
              <w:rPr>
                <w:sz w:val="23"/>
                <w:szCs w:val="23"/>
                <w:color w:val="auto"/>
              </w:rPr>
            </w:pPr>
          </w:p>
        </w:tc>
      </w:tr>
      <w:tr>
        <w:trPr>
          <w:trHeight w:val="200"/>
        </w:trPr>
        <w:tc>
          <w:tcPr>
            <w:tcW w:w="20" w:type="dxa"/>
            <w:vAlign w:val="bottom"/>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r>
      <w:tr>
        <w:trPr>
          <w:trHeight w:val="2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200" w:type="dxa"/>
            <w:vAlign w:val="bottom"/>
          </w:tcPr>
          <w:p>
            <w:pPr>
              <w:jc w:val="right"/>
              <w:ind w:right="669"/>
              <w:spacing w:after="0"/>
              <w:rPr>
                <w:sz w:val="20"/>
                <w:szCs w:val="20"/>
                <w:color w:val="auto"/>
              </w:rPr>
            </w:pPr>
            <w:r>
              <w:rPr>
                <w:rFonts w:ascii="Arial" w:cs="Arial" w:eastAsia="Arial" w:hAnsi="Arial"/>
                <w:sz w:val="17"/>
                <w:szCs w:val="17"/>
                <w:color w:val="0000FF"/>
                <w:w w:val="92"/>
              </w:rPr>
              <w:t>55420</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640" w:type="dxa"/>
            <w:vAlign w:val="bottom"/>
          </w:tcPr>
          <w:p>
            <w:pPr>
              <w:ind w:left="420"/>
              <w:spacing w:after="0"/>
              <w:rPr>
                <w:sz w:val="20"/>
                <w:szCs w:val="20"/>
                <w:color w:val="auto"/>
              </w:rPr>
            </w:pPr>
            <w:r>
              <w:rPr>
                <w:rFonts w:ascii="Arial" w:cs="Arial" w:eastAsia="Arial" w:hAnsi="Arial"/>
                <w:sz w:val="13"/>
                <w:szCs w:val="13"/>
                <w:color w:val="auto"/>
              </w:rPr>
              <w:t>(State)</w:t>
            </w:r>
          </w:p>
        </w:tc>
        <w:tc>
          <w:tcPr>
            <w:tcW w:w="120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3760" w:type="dxa"/>
            <w:vAlign w:val="bottom"/>
            <w:gridSpan w:val="3"/>
          </w:tcPr>
          <w:p>
            <w:pPr>
              <w:spacing w:after="0" w:line="137" w:lineRule="exact"/>
              <w:rPr>
                <w:rFonts w:ascii="Arial" w:cs="Arial" w:eastAsia="Arial" w:hAnsi="Arial"/>
                <w:sz w:val="15"/>
                <w:szCs w:val="15"/>
                <w:color w:val="0000EE"/>
              </w:rPr>
            </w:pPr>
            <w:hyperlink r:id="rId13">
              <w:r>
                <w:rPr>
                  <w:rFonts w:ascii="Arial" w:cs="Arial" w:eastAsia="Arial" w:hAnsi="Arial"/>
                  <w:sz w:val="15"/>
                  <w:szCs w:val="15"/>
                  <w:color w:val="0000EE"/>
                </w:rPr>
                <w:t xml:space="preserve">TORO CO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TTC</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780" w:type="dxa"/>
            <w:vAlign w:val="bottom"/>
            <w:tcBorders>
              <w:bottom w:val="single" w:sz="8" w:color="0000EE"/>
            </w:tcBorders>
          </w:tcPr>
          <w:p>
            <w:pPr>
              <w:spacing w:after="0"/>
              <w:rPr>
                <w:sz w:val="3"/>
                <w:szCs w:val="3"/>
                <w:color w:val="auto"/>
              </w:rPr>
            </w:pPr>
          </w:p>
        </w:tc>
        <w:tc>
          <w:tcPr>
            <w:tcW w:w="2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0"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8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3"/>
        </w:trPr>
        <w:tc>
          <w:tcPr>
            <w:tcW w:w="960" w:type="dxa"/>
            <w:vAlign w:val="bottom"/>
            <w:gridSpan w:val="3"/>
          </w:tcPr>
          <w:p>
            <w:pPr>
              <w:ind w:left="60"/>
              <w:spacing w:after="0"/>
              <w:rPr>
                <w:sz w:val="20"/>
                <w:szCs w:val="20"/>
                <w:color w:val="auto"/>
              </w:rPr>
            </w:pPr>
            <w:r>
              <w:rPr>
                <w:rFonts w:ascii="Arial" w:cs="Arial" w:eastAsia="Arial" w:hAnsi="Arial"/>
                <w:sz w:val="17"/>
                <w:szCs w:val="17"/>
                <w:color w:val="0000FF"/>
              </w:rPr>
              <w:t>11/01/2023</w:t>
            </w: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1"/>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9"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5" w:lineRule="exact"/>
        <w:rPr>
          <w:sz w:val="24"/>
          <w:szCs w:val="24"/>
          <w:color w:val="auto"/>
        </w:rPr>
      </w:pPr>
    </w:p>
    <w:p>
      <w:pPr>
        <w:ind w:left="320" w:right="320"/>
        <w:spacing w:after="0" w:line="23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820"/>
              <w:spacing w:after="0" w:line="12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2540" w:type="dxa"/>
            <w:vAlign w:val="bottom"/>
            <w:gridSpan w:val="4"/>
          </w:tcPr>
          <w:p>
            <w:pPr>
              <w:ind w:left="60"/>
              <w:spacing w:after="0" w:line="125" w:lineRule="exact"/>
              <w:rPr>
                <w:sz w:val="20"/>
                <w:szCs w:val="20"/>
                <w:color w:val="auto"/>
              </w:rPr>
            </w:pPr>
            <w:r>
              <w:rPr>
                <w:rFonts w:ascii="Arial" w:cs="Arial" w:eastAsia="Arial" w:hAnsi="Arial"/>
                <w:sz w:val="12"/>
                <w:szCs w:val="12"/>
                <w:b w:val="1"/>
                <w:bCs w:val="1"/>
                <w:color w:val="auto"/>
                <w:w w:val="98"/>
              </w:rPr>
              <w:t>Transaction  Disposed Of (D) (Instr. 3, 4 and</w:t>
            </w:r>
          </w:p>
        </w:tc>
        <w:tc>
          <w:tcPr>
            <w:tcW w:w="1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520" w:type="dxa"/>
            <w:vAlign w:val="bottom"/>
            <w:vMerge w:val="restart"/>
          </w:tcPr>
          <w:p>
            <w:pPr>
              <w:jc w:val="right"/>
              <w:ind w:right="7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11/01/2023</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68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83"/>
              </w:rPr>
              <w:t>943</w:t>
            </w:r>
            <w:r>
              <w:rPr>
                <w:rFonts w:ascii="Arial" w:cs="Arial" w:eastAsia="Arial" w:hAnsi="Arial"/>
                <w:sz w:val="21"/>
                <w:szCs w:val="21"/>
                <w:color w:val="008000"/>
                <w:w w:val="83"/>
                <w:vertAlign w:val="superscript"/>
              </w:rPr>
              <w:t>(1)</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2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7,012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9"/>
          </w:tcPr>
          <w:p>
            <w:pPr>
              <w:jc w:val="right"/>
              <w:ind w:right="7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6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w:t>
            </w:r>
          </w:p>
        </w:tc>
        <w:tc>
          <w:tcPr>
            <w:tcW w:w="26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3"/>
                <w:szCs w:val="13"/>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81.03</w:t>
            </w:r>
          </w:p>
        </w:tc>
        <w:tc>
          <w:tcPr>
            <w:tcW w:w="1040" w:type="dxa"/>
            <w:vAlign w:val="bottom"/>
          </w:tcPr>
          <w:p>
            <w:pPr>
              <w:jc w:val="right"/>
              <w:ind w:right="161"/>
              <w:spacing w:after="0"/>
              <w:rPr>
                <w:sz w:val="20"/>
                <w:szCs w:val="20"/>
                <w:color w:val="auto"/>
              </w:rPr>
            </w:pPr>
            <w:r>
              <w:rPr>
                <w:rFonts w:ascii="Arial" w:cs="Arial" w:eastAsia="Arial" w:hAnsi="Arial"/>
                <w:sz w:val="13"/>
                <w:szCs w:val="13"/>
                <w:color w:val="0000FF"/>
              </w:rPr>
              <w:t>11/01/2023</w:t>
            </w:r>
          </w:p>
        </w:tc>
        <w:tc>
          <w:tcPr>
            <w:tcW w:w="112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Arial" w:cs="Arial" w:eastAsia="Arial" w:hAnsi="Arial"/>
                <w:sz w:val="13"/>
                <w:szCs w:val="13"/>
                <w:color w:val="0000FF"/>
              </w:rPr>
              <w:t>A</w:t>
            </w:r>
          </w:p>
        </w:tc>
        <w:tc>
          <w:tcPr>
            <w:tcW w:w="680" w:type="dxa"/>
            <w:vAlign w:val="bottom"/>
          </w:tcPr>
          <w:p>
            <w:pPr>
              <w:ind w:left="140"/>
              <w:spacing w:after="0" w:line="202" w:lineRule="exact"/>
              <w:rPr>
                <w:sz w:val="20"/>
                <w:szCs w:val="20"/>
                <w:color w:val="auto"/>
              </w:rPr>
            </w:pPr>
            <w:r>
              <w:rPr>
                <w:rFonts w:ascii="Arial" w:cs="Arial" w:eastAsia="Arial" w:hAnsi="Arial"/>
                <w:sz w:val="13"/>
                <w:szCs w:val="13"/>
                <w:color w:val="0000FF"/>
              </w:rPr>
              <w:t>2,130</w:t>
            </w:r>
            <w:r>
              <w:rPr>
                <w:rFonts w:ascii="Arial" w:cs="Arial" w:eastAsia="Arial" w:hAnsi="Arial"/>
                <w:sz w:val="21"/>
                <w:szCs w:val="21"/>
                <w:color w:val="008000"/>
                <w:vertAlign w:val="superscript"/>
              </w:rPr>
              <w:t>(2)</w:t>
            </w:r>
          </w:p>
        </w:tc>
        <w:tc>
          <w:tcPr>
            <w:tcW w:w="260" w:type="dxa"/>
            <w:vAlign w:val="bottom"/>
          </w:tcPr>
          <w:p>
            <w:pPr>
              <w:spacing w:after="0"/>
              <w:rPr>
                <w:sz w:val="17"/>
                <w:szCs w:val="17"/>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680" w:type="dxa"/>
            <w:vAlign w:val="bottom"/>
          </w:tcPr>
          <w:p>
            <w:pPr>
              <w:spacing w:after="0"/>
              <w:rPr>
                <w:sz w:val="20"/>
                <w:szCs w:val="20"/>
                <w:color w:val="auto"/>
              </w:rPr>
            </w:pPr>
            <w:r>
              <w:rPr>
                <w:rFonts w:ascii="Arial" w:cs="Arial" w:eastAsia="Arial" w:hAnsi="Arial"/>
                <w:sz w:val="13"/>
                <w:szCs w:val="13"/>
                <w:color w:val="0000FF"/>
              </w:rPr>
              <w:t>11/01/2033</w:t>
            </w:r>
          </w:p>
        </w:tc>
        <w:tc>
          <w:tcPr>
            <w:tcW w:w="64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tcPr>
          <w:p>
            <w:pPr>
              <w:jc w:val="right"/>
              <w:ind w:right="36"/>
              <w:spacing w:after="0"/>
              <w:rPr>
                <w:sz w:val="20"/>
                <w:szCs w:val="20"/>
                <w:color w:val="auto"/>
              </w:rPr>
            </w:pPr>
            <w:r>
              <w:rPr>
                <w:rFonts w:ascii="Arial" w:cs="Arial" w:eastAsia="Arial" w:hAnsi="Arial"/>
                <w:sz w:val="17"/>
                <w:szCs w:val="17"/>
                <w:color w:val="0000FF"/>
                <w:w w:val="93"/>
              </w:rPr>
              <w:t>2,130</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tcPr>
          <w:p>
            <w:pPr>
              <w:ind w:left="260"/>
              <w:spacing w:after="0"/>
              <w:rPr>
                <w:sz w:val="20"/>
                <w:szCs w:val="20"/>
                <w:color w:val="auto"/>
              </w:rPr>
            </w:pPr>
            <w:r>
              <w:rPr>
                <w:rFonts w:ascii="Arial" w:cs="Arial" w:eastAsia="Arial" w:hAnsi="Arial"/>
                <w:sz w:val="13"/>
                <w:szCs w:val="13"/>
                <w:color w:val="0000FF"/>
                <w:w w:val="85"/>
              </w:rPr>
              <w:t>2,130</w:t>
            </w:r>
          </w:p>
        </w:tc>
        <w:tc>
          <w:tcPr>
            <w:tcW w:w="30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ind w:left="140"/>
              <w:spacing w:after="0" w:line="91" w:lineRule="exact"/>
              <w:rPr>
                <w:sz w:val="20"/>
                <w:szCs w:val="20"/>
                <w:color w:val="auto"/>
              </w:rPr>
            </w:pPr>
            <w:r>
              <w:rPr>
                <w:rFonts w:ascii="Arial" w:cs="Arial" w:eastAsia="Arial" w:hAnsi="Arial"/>
                <w:sz w:val="10"/>
                <w:szCs w:val="10"/>
                <w:color w:val="0000FF"/>
              </w:rPr>
              <w:t>Stock</w:t>
            </w: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2022 Equity and Incentive Plan (the "2022 Plan").</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2022 Plan.</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November 1, 2023, grant date.</w:t>
      </w:r>
    </w:p>
    <w:p>
      <w:pPr>
        <w:ind w:left="6600"/>
        <w:spacing w:after="0" w:line="182" w:lineRule="auto"/>
        <w:rPr>
          <w:sz w:val="20"/>
          <w:szCs w:val="20"/>
          <w:color w:val="auto"/>
        </w:rPr>
      </w:pPr>
      <w:r>
        <w:rPr>
          <w:rFonts w:ascii="Arial" w:cs="Arial" w:eastAsia="Arial" w:hAnsi="Arial"/>
          <w:sz w:val="17"/>
          <w:szCs w:val="17"/>
          <w:color w:val="0000FF"/>
        </w:rPr>
        <w:t xml:space="preserve">/s/ Joanna M. Totsky, Attorney- </w:t>
      </w:r>
      <w:r>
        <w:rPr>
          <w:rFonts w:ascii="Arial" w:cs="Arial" w:eastAsia="Arial" w:hAnsi="Arial"/>
          <w:sz w:val="33"/>
          <w:szCs w:val="33"/>
          <w:color w:val="0000FF"/>
          <w:vertAlign w:val="subscript"/>
        </w:rPr>
        <w:t>11/03/2023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9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-20955</wp:posOffset>
            </wp:positionV>
            <wp:extent cx="300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-86360</wp:posOffset>
            </wp:positionV>
            <wp:extent cx="478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1"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2" w:lineRule="exact"/>
        <w:rPr>
          <w:sz w:val="20"/>
          <w:szCs w:val="20"/>
          <w:color w:val="auto"/>
        </w:rPr>
      </w:pPr>
    </w:p>
    <w:p>
      <w:pPr>
        <w:ind w:right="3279"/>
        <w:spacing w:after="0" w:line="245"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Joanna M. Totsky, signing singly, true and lawful attorney-in-fact relative to the filings identified below in connection with the undersigned's derivative and non-derivative securities of The Toro Company (the ?Company?) to:</w:t>
      </w:r>
    </w:p>
    <w:p>
      <w:pPr>
        <w:spacing w:after="0" w:line="172" w:lineRule="exact"/>
        <w:rPr>
          <w:sz w:val="20"/>
          <w:szCs w:val="20"/>
          <w:color w:val="auto"/>
        </w:rPr>
      </w:pPr>
    </w:p>
    <w:p>
      <w:pPr>
        <w:ind w:right="3179" w:firstLine="3"/>
        <w:spacing w:after="0" w:line="245"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172" w:lineRule="exact"/>
        <w:rPr>
          <w:rFonts w:ascii="Courier New" w:cs="Courier New" w:eastAsia="Courier New" w:hAnsi="Courier New"/>
          <w:sz w:val="17"/>
          <w:szCs w:val="17"/>
          <w:color w:val="auto"/>
        </w:rPr>
      </w:pPr>
    </w:p>
    <w:p>
      <w:pPr>
        <w:ind w:right="3479" w:firstLine="3"/>
        <w:spacing w:after="0" w:line="245"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any Form 144 in accordance with Rule 144 under the Securities Act of 1933, as amended, and the rules and regulations thereunder (the ?Securities Act?);</w:t>
      </w:r>
    </w:p>
    <w:p>
      <w:pPr>
        <w:spacing w:after="0" w:line="172" w:lineRule="exact"/>
        <w:rPr>
          <w:rFonts w:ascii="Courier New" w:cs="Courier New" w:eastAsia="Courier New" w:hAnsi="Courier New"/>
          <w:sz w:val="17"/>
          <w:szCs w:val="17"/>
          <w:color w:val="auto"/>
        </w:rPr>
      </w:pPr>
    </w:p>
    <w:p>
      <w:pPr>
        <w:ind w:right="3179" w:firstLine="3"/>
        <w:spacing w:after="0" w:line="245"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72" w:lineRule="exact"/>
        <w:rPr>
          <w:rFonts w:ascii="Courier New" w:cs="Courier New" w:eastAsia="Courier New" w:hAnsi="Courier New"/>
          <w:sz w:val="17"/>
          <w:szCs w:val="17"/>
          <w:color w:val="auto"/>
        </w:rPr>
      </w:pPr>
    </w:p>
    <w:p>
      <w:pPr>
        <w:ind w:right="3179" w:firstLine="3"/>
        <w:spacing w:after="0" w:line="243"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173" w:lineRule="exact"/>
        <w:rPr>
          <w:sz w:val="20"/>
          <w:szCs w:val="20"/>
          <w:color w:val="auto"/>
        </w:rPr>
      </w:pPr>
    </w:p>
    <w:p>
      <w:pPr>
        <w:ind w:right="3079"/>
        <w:spacing w:after="0" w:line="258" w:lineRule="auto"/>
        <w:rPr>
          <w:sz w:val="20"/>
          <w:szCs w:val="20"/>
          <w:color w:val="auto"/>
        </w:rPr>
      </w:pPr>
      <w:r>
        <w:rPr>
          <w:rFonts w:ascii="Courier New" w:cs="Courier New" w:eastAsia="Courier New" w:hAnsi="Courier New"/>
          <w:sz w:val="16"/>
          <w:szCs w:val="16"/>
          <w:color w:val="auto"/>
        </w:rPr>
        <w:t>The undersigned hereby grants to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w:t>
      </w:r>
    </w:p>
    <w:p>
      <w:pPr>
        <w:spacing w:after="0" w:line="2" w:lineRule="exact"/>
        <w:rPr>
          <w:sz w:val="20"/>
          <w:szCs w:val="20"/>
          <w:color w:val="auto"/>
        </w:rPr>
      </w:pPr>
    </w:p>
    <w:p>
      <w:pPr>
        <w:ind w:right="3279"/>
        <w:spacing w:after="0" w:line="257" w:lineRule="auto"/>
        <w:rPr>
          <w:sz w:val="20"/>
          <w:szCs w:val="20"/>
          <w:color w:val="auto"/>
        </w:rPr>
      </w:pPr>
      <w:r>
        <w:rPr>
          <w:rFonts w:ascii="Courier New" w:cs="Courier New" w:eastAsia="Courier New" w:hAnsi="Courier New"/>
          <w:sz w:val="16"/>
          <w:szCs w:val="16"/>
          <w:color w:val="auto"/>
        </w:rPr>
        <w:t>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162" w:lineRule="exact"/>
        <w:rPr>
          <w:sz w:val="20"/>
          <w:szCs w:val="20"/>
          <w:color w:val="auto"/>
        </w:rPr>
      </w:pPr>
    </w:p>
    <w:p>
      <w:pPr>
        <w:ind w:right="3179"/>
        <w:spacing w:after="0" w:line="264"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9999"/>
          </w:cols>
          <w:pgMar w:left="460" w:top="118" w:right="1440" w:bottom="1440" w:gutter="0" w:footer="0" w:header="0"/>
        </w:sect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Jeffrey L. Harmening</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Jeffrey L. Harmening</w:t>
      </w:r>
    </w:p>
    <w:p>
      <w:pPr>
        <w:spacing w:after="0" w:line="174" w:lineRule="exact"/>
        <w:rPr>
          <w:sz w:val="20"/>
          <w:szCs w:val="20"/>
          <w:color w:val="auto"/>
        </w:rPr>
      </w:pPr>
    </w:p>
    <w:p>
      <w:pPr>
        <w:sectPr>
          <w:pgSz w:w="11900" w:h="16838" w:orient="portrait"/>
          <w:cols w:equalWidth="0" w:num="2">
            <w:col w:w="880" w:space="720"/>
            <w:col w:w="8399"/>
          </w:cols>
          <w:pgMar w:left="460" w:top="11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11/1/2023</w:t>
      </w:r>
    </w:p>
    <w:sectPr>
      <w:pgSz w:w="11900" w:h="16838" w:orient="portrait"/>
      <w:cols w:equalWidth="0" w:num="2">
        <w:col w:w="600" w:space="200"/>
        <w:col w:w="9199"/>
      </w:cols>
      <w:pgMar w:left="460" w:top="11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589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2023-11-03T15:32:26Z</dcterms:created>
  <dcterms:modified xsi:type="dcterms:W3CDTF">2023-11-03T15:32:26Z</dcterms:modified>
</cp:coreProperties>
</file>