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28,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440" w:type="dxa"/>
        <w:tblCellMar>
          <w:top w:w="0" w:type="dxa"/>
          <w:left w:w="0" w:type="dxa"/>
          <w:bottom w:w="0" w:type="dxa"/>
          <w:right w:w="0" w:type="dxa"/>
        </w:tblCellMar>
      </w:tblPr>
      <w:tr>
        <w:trPr>
          <w:trHeight w:val="218"/>
        </w:trPr>
        <w:tc>
          <w:tcPr>
            <w:tcW w:w="1140" w:type="dxa"/>
            <w:vAlign w:val="bottom"/>
          </w:tcPr>
          <w:p>
            <w:pPr>
              <w:jc w:val="center"/>
              <w:ind w:right="46"/>
              <w:spacing w:after="0"/>
              <w:rPr>
                <w:sz w:val="20"/>
                <w:szCs w:val="20"/>
                <w:color w:val="auto"/>
              </w:rPr>
            </w:pPr>
            <w:r>
              <w:rPr>
                <w:rFonts w:ascii="Arial" w:cs="Arial" w:eastAsia="Arial" w:hAnsi="Arial"/>
                <w:sz w:val="18"/>
                <w:szCs w:val="18"/>
                <w:b w:val="1"/>
                <w:bCs w:val="1"/>
                <w:color w:val="auto"/>
                <w:w w:val="88"/>
              </w:rPr>
              <w:t>Delaware</w:t>
            </w:r>
          </w:p>
        </w:tc>
        <w:tc>
          <w:tcPr>
            <w:tcW w:w="6000" w:type="dxa"/>
            <w:vAlign w:val="bottom"/>
          </w:tcPr>
          <w:p>
            <w:pPr>
              <w:jc w:val="center"/>
              <w:ind w:left="461"/>
              <w:spacing w:after="0"/>
              <w:rPr>
                <w:sz w:val="20"/>
                <w:szCs w:val="20"/>
                <w:color w:val="auto"/>
              </w:rPr>
            </w:pPr>
            <w:r>
              <w:rPr>
                <w:rFonts w:ascii="Arial" w:cs="Arial" w:eastAsia="Arial" w:hAnsi="Arial"/>
                <w:sz w:val="18"/>
                <w:szCs w:val="18"/>
                <w:b w:val="1"/>
                <w:bCs w:val="1"/>
                <w:color w:val="auto"/>
                <w:w w:val="89"/>
              </w:rPr>
              <w:t>1-8649</w:t>
            </w:r>
          </w:p>
        </w:tc>
        <w:tc>
          <w:tcPr>
            <w:tcW w:w="1680" w:type="dxa"/>
            <w:vAlign w:val="bottom"/>
          </w:tcPr>
          <w:p>
            <w:pPr>
              <w:jc w:val="right"/>
              <w:ind w:right="164"/>
              <w:spacing w:after="0"/>
              <w:rPr>
                <w:sz w:val="20"/>
                <w:szCs w:val="20"/>
                <w:color w:val="auto"/>
              </w:rPr>
            </w:pPr>
            <w:r>
              <w:rPr>
                <w:rFonts w:ascii="Arial" w:cs="Arial" w:eastAsia="Arial" w:hAnsi="Arial"/>
                <w:sz w:val="18"/>
                <w:szCs w:val="18"/>
                <w:b w:val="1"/>
                <w:bCs w:val="1"/>
                <w:color w:val="auto"/>
              </w:rPr>
              <w:t>41-0580470</w:t>
            </w:r>
          </w:p>
        </w:tc>
      </w:tr>
      <w:tr>
        <w:trPr>
          <w:trHeight w:val="149"/>
        </w:trPr>
        <w:tc>
          <w:tcPr>
            <w:tcW w:w="11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7"/>
              </w:rPr>
              <w:t>(State</w:t>
            </w:r>
          </w:p>
        </w:tc>
        <w:tc>
          <w:tcPr>
            <w:tcW w:w="6000" w:type="dxa"/>
            <w:vAlign w:val="bottom"/>
          </w:tcPr>
          <w:p>
            <w:pPr>
              <w:jc w:val="center"/>
              <w:ind w:left="44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68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140" w:type="dxa"/>
            <w:vAlign w:val="bottom"/>
          </w:tcPr>
          <w:p>
            <w:pPr>
              <w:jc w:val="center"/>
              <w:ind w:right="66"/>
              <w:spacing w:after="0"/>
              <w:rPr>
                <w:sz w:val="20"/>
                <w:szCs w:val="20"/>
                <w:color w:val="auto"/>
              </w:rPr>
            </w:pPr>
            <w:r>
              <w:rPr>
                <w:rFonts w:ascii="Arial" w:cs="Arial" w:eastAsia="Arial" w:hAnsi="Arial"/>
                <w:sz w:val="14"/>
                <w:szCs w:val="14"/>
                <w:b w:val="1"/>
                <w:bCs w:val="1"/>
                <w:color w:val="auto"/>
                <w:w w:val="89"/>
              </w:rPr>
              <w:t>of Incorporation)</w:t>
            </w:r>
          </w:p>
        </w:tc>
        <w:tc>
          <w:tcPr>
            <w:tcW w:w="6000" w:type="dxa"/>
            <w:vAlign w:val="bottom"/>
          </w:tcPr>
          <w:p>
            <w:pPr>
              <w:jc w:val="center"/>
              <w:ind w:left="461"/>
              <w:spacing w:after="0"/>
              <w:rPr>
                <w:sz w:val="20"/>
                <w:szCs w:val="20"/>
                <w:color w:val="auto"/>
              </w:rPr>
            </w:pPr>
            <w:r>
              <w:rPr>
                <w:rFonts w:ascii="Arial" w:cs="Arial" w:eastAsia="Arial" w:hAnsi="Arial"/>
                <w:sz w:val="14"/>
                <w:szCs w:val="14"/>
                <w:b w:val="1"/>
                <w:bCs w:val="1"/>
                <w:color w:val="auto"/>
                <w:w w:val="91"/>
              </w:rPr>
              <w:t>File Number)</w:t>
            </w:r>
          </w:p>
        </w:tc>
        <w:tc>
          <w:tcPr>
            <w:tcW w:w="1680" w:type="dxa"/>
            <w:vAlign w:val="bottom"/>
          </w:tcPr>
          <w:p>
            <w:pPr>
              <w:jc w:val="center"/>
              <w:ind w:left="264"/>
              <w:spacing w:after="0"/>
              <w:rPr>
                <w:sz w:val="20"/>
                <w:szCs w:val="20"/>
                <w:color w:val="auto"/>
              </w:rPr>
            </w:pPr>
            <w:r>
              <w:rPr>
                <w:rFonts w:ascii="Arial" w:cs="Arial" w:eastAsia="Arial" w:hAnsi="Arial"/>
                <w:sz w:val="14"/>
                <w:szCs w:val="14"/>
                <w:b w:val="1"/>
                <w:bCs w:val="1"/>
                <w:color w:val="auto"/>
                <w:w w:val="90"/>
              </w:rPr>
              <w:t>Identification Number)</w:t>
            </w:r>
          </w:p>
        </w:tc>
      </w:tr>
      <w:tr>
        <w:trPr>
          <w:trHeight w:val="418"/>
        </w:trPr>
        <w:tc>
          <w:tcPr>
            <w:tcW w:w="1140" w:type="dxa"/>
            <w:vAlign w:val="bottom"/>
          </w:tcPr>
          <w:p>
            <w:pPr>
              <w:spacing w:after="0"/>
              <w:rPr>
                <w:sz w:val="24"/>
                <w:szCs w:val="24"/>
                <w:color w:val="auto"/>
              </w:rPr>
            </w:pPr>
          </w:p>
        </w:tc>
        <w:tc>
          <w:tcPr>
            <w:tcW w:w="6000" w:type="dxa"/>
            <w:vAlign w:val="bottom"/>
          </w:tcPr>
          <w:p>
            <w:pPr>
              <w:jc w:val="center"/>
              <w:ind w:right="3421"/>
              <w:spacing w:after="0"/>
              <w:rPr>
                <w:sz w:val="20"/>
                <w:szCs w:val="20"/>
                <w:color w:val="auto"/>
              </w:rPr>
            </w:pPr>
            <w:r>
              <w:rPr>
                <w:rFonts w:ascii="Arial" w:cs="Arial" w:eastAsia="Arial" w:hAnsi="Arial"/>
                <w:sz w:val="18"/>
                <w:szCs w:val="18"/>
                <w:b w:val="1"/>
                <w:bCs w:val="1"/>
                <w:color w:val="auto"/>
                <w:w w:val="86"/>
              </w:rPr>
              <w:t>8111 Lyndale Avenue South</w:t>
            </w:r>
          </w:p>
        </w:tc>
        <w:tc>
          <w:tcPr>
            <w:tcW w:w="1680" w:type="dxa"/>
            <w:vAlign w:val="bottom"/>
          </w:tcPr>
          <w:p>
            <w:pPr>
              <w:spacing w:after="0"/>
              <w:rPr>
                <w:sz w:val="24"/>
                <w:szCs w:val="24"/>
                <w:color w:val="auto"/>
              </w:rPr>
            </w:pPr>
          </w:p>
        </w:tc>
      </w:tr>
      <w:tr>
        <w:trPr>
          <w:trHeight w:val="231"/>
        </w:trPr>
        <w:tc>
          <w:tcPr>
            <w:tcW w:w="1140" w:type="dxa"/>
            <w:vAlign w:val="bottom"/>
          </w:tcPr>
          <w:p>
            <w:pPr>
              <w:spacing w:after="0"/>
              <w:rPr>
                <w:sz w:val="20"/>
                <w:szCs w:val="20"/>
                <w:color w:val="auto"/>
              </w:rPr>
            </w:pPr>
          </w:p>
        </w:tc>
        <w:tc>
          <w:tcPr>
            <w:tcW w:w="6000" w:type="dxa"/>
            <w:vAlign w:val="bottom"/>
          </w:tcPr>
          <w:p>
            <w:pPr>
              <w:jc w:val="center"/>
              <w:ind w:right="3401"/>
              <w:spacing w:after="0"/>
              <w:rPr>
                <w:sz w:val="20"/>
                <w:szCs w:val="20"/>
                <w:color w:val="auto"/>
              </w:rPr>
            </w:pPr>
            <w:r>
              <w:rPr>
                <w:rFonts w:ascii="Arial" w:cs="Arial" w:eastAsia="Arial" w:hAnsi="Arial"/>
                <w:sz w:val="18"/>
                <w:szCs w:val="18"/>
                <w:b w:val="1"/>
                <w:bCs w:val="1"/>
                <w:color w:val="auto"/>
                <w:w w:val="87"/>
              </w:rPr>
              <w:t>Bloomington, Minnesota</w:t>
            </w:r>
          </w:p>
        </w:tc>
        <w:tc>
          <w:tcPr>
            <w:tcW w:w="1680" w:type="dxa"/>
            <w:vAlign w:val="bottom"/>
          </w:tcPr>
          <w:p>
            <w:pPr>
              <w:jc w:val="right"/>
              <w:ind w:right="364"/>
              <w:spacing w:after="0"/>
              <w:rPr>
                <w:sz w:val="20"/>
                <w:szCs w:val="20"/>
                <w:color w:val="auto"/>
              </w:rPr>
            </w:pPr>
            <w:r>
              <w:rPr>
                <w:rFonts w:ascii="Arial" w:cs="Arial" w:eastAsia="Arial" w:hAnsi="Arial"/>
                <w:sz w:val="18"/>
                <w:szCs w:val="18"/>
                <w:b w:val="1"/>
                <w:bCs w:val="1"/>
                <w:color w:val="auto"/>
              </w:rPr>
              <w:t>55420</w:t>
            </w:r>
          </w:p>
        </w:tc>
      </w:tr>
      <w:tr>
        <w:trPr>
          <w:trHeight w:val="174"/>
        </w:trPr>
        <w:tc>
          <w:tcPr>
            <w:tcW w:w="1140" w:type="dxa"/>
            <w:vAlign w:val="bottom"/>
          </w:tcPr>
          <w:p>
            <w:pPr>
              <w:spacing w:after="0"/>
              <w:rPr>
                <w:sz w:val="15"/>
                <w:szCs w:val="15"/>
                <w:color w:val="auto"/>
              </w:rPr>
            </w:pPr>
          </w:p>
        </w:tc>
        <w:tc>
          <w:tcPr>
            <w:tcW w:w="6000" w:type="dxa"/>
            <w:vAlign w:val="bottom"/>
          </w:tcPr>
          <w:p>
            <w:pPr>
              <w:jc w:val="center"/>
              <w:ind w:right="340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68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140" w:type="dxa"/>
            <w:vAlign w:val="bottom"/>
          </w:tcPr>
          <w:p>
            <w:pPr>
              <w:spacing w:after="0"/>
              <w:rPr>
                <w:sz w:val="24"/>
                <w:szCs w:val="24"/>
                <w:color w:val="auto"/>
              </w:rPr>
            </w:pPr>
          </w:p>
        </w:tc>
        <w:tc>
          <w:tcPr>
            <w:tcW w:w="6000" w:type="dxa"/>
            <w:vAlign w:val="bottom"/>
          </w:tcPr>
          <w:p>
            <w:pPr>
              <w:jc w:val="center"/>
              <w:ind w:left="201"/>
              <w:spacing w:after="0"/>
              <w:rPr>
                <w:sz w:val="20"/>
                <w:szCs w:val="20"/>
                <w:color w:val="auto"/>
              </w:rPr>
            </w:pPr>
            <w:r>
              <w:rPr>
                <w:rFonts w:ascii="Arial" w:cs="Arial" w:eastAsia="Arial" w:hAnsi="Arial"/>
                <w:sz w:val="18"/>
                <w:szCs w:val="18"/>
                <w:b w:val="1"/>
                <w:bCs w:val="1"/>
                <w:color w:val="auto"/>
                <w:w w:val="87"/>
              </w:rPr>
              <w:t>Registrant’s telephone number, including area code: (952) 888-8801</w:t>
            </w:r>
          </w:p>
        </w:tc>
        <w:tc>
          <w:tcPr>
            <w:tcW w:w="1680" w:type="dxa"/>
            <w:vAlign w:val="bottom"/>
          </w:tcPr>
          <w:p>
            <w:pPr>
              <w:spacing w:after="0"/>
              <w:rPr>
                <w:sz w:val="24"/>
                <w:szCs w:val="24"/>
                <w:color w:val="auto"/>
              </w:rPr>
            </w:pPr>
          </w:p>
        </w:tc>
      </w:tr>
      <w:tr>
        <w:trPr>
          <w:trHeight w:val="367"/>
        </w:trPr>
        <w:tc>
          <w:tcPr>
            <w:tcW w:w="1140" w:type="dxa"/>
            <w:vAlign w:val="bottom"/>
          </w:tcPr>
          <w:p>
            <w:pPr>
              <w:spacing w:after="0"/>
              <w:rPr>
                <w:sz w:val="24"/>
                <w:szCs w:val="24"/>
                <w:color w:val="auto"/>
              </w:rPr>
            </w:pPr>
          </w:p>
        </w:tc>
        <w:tc>
          <w:tcPr>
            <w:tcW w:w="6000" w:type="dxa"/>
            <w:vAlign w:val="bottom"/>
          </w:tcPr>
          <w:p>
            <w:pPr>
              <w:jc w:val="center"/>
              <w:ind w:left="201"/>
              <w:spacing w:after="0"/>
              <w:rPr>
                <w:sz w:val="20"/>
                <w:szCs w:val="20"/>
                <w:color w:val="auto"/>
              </w:rPr>
            </w:pPr>
            <w:r>
              <w:rPr>
                <w:rFonts w:ascii="Arial" w:cs="Arial" w:eastAsia="Arial" w:hAnsi="Arial"/>
                <w:sz w:val="18"/>
                <w:szCs w:val="18"/>
                <w:b w:val="1"/>
                <w:bCs w:val="1"/>
                <w:color w:val="auto"/>
                <w:w w:val="88"/>
              </w:rPr>
              <w:t>Not Applicable</w:t>
            </w:r>
          </w:p>
        </w:tc>
        <w:tc>
          <w:tcPr>
            <w:tcW w:w="1680" w:type="dxa"/>
            <w:vAlign w:val="bottom"/>
          </w:tcPr>
          <w:p>
            <w:pPr>
              <w:spacing w:after="0"/>
              <w:rPr>
                <w:sz w:val="24"/>
                <w:szCs w:val="24"/>
                <w:color w:val="auto"/>
              </w:rPr>
            </w:pPr>
          </w:p>
        </w:tc>
      </w:tr>
      <w:tr>
        <w:trPr>
          <w:trHeight w:val="174"/>
        </w:trPr>
        <w:tc>
          <w:tcPr>
            <w:tcW w:w="1140" w:type="dxa"/>
            <w:vAlign w:val="bottom"/>
          </w:tcPr>
          <w:p>
            <w:pPr>
              <w:spacing w:after="0"/>
              <w:rPr>
                <w:sz w:val="15"/>
                <w:szCs w:val="15"/>
                <w:color w:val="auto"/>
              </w:rPr>
            </w:pPr>
          </w:p>
        </w:tc>
        <w:tc>
          <w:tcPr>
            <w:tcW w:w="6000" w:type="dxa"/>
            <w:vAlign w:val="bottom"/>
          </w:tcPr>
          <w:p>
            <w:pPr>
              <w:jc w:val="center"/>
              <w:ind w:left="201"/>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6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 – Corporate Governance and Management</w:t>
      </w:r>
    </w:p>
    <w:p>
      <w:pPr>
        <w:spacing w:after="0" w:line="9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left="460" w:right="80" w:hanging="452"/>
        <w:spacing w:after="0" w:line="286"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August 28, 2012, the Board of Directors (the “Board”) of The Toro Company (“Toro”), upon recommendation of the Nominating &amp; Governance Committee of the Board, increased the size of the Board from nine directors to ten directors and elected Mr. James “Joc” O’Rourke to fill the vacancy created by such increase. Mr. O’Rourke joins the class of directors having a term ending at Toro’s Annual Meeting of Shareholders to be held in March 2013. As of the date hereof, Mr. O’Rourke has not been appointed to any Board committees. It is expected that committee appointments for Mr. O’Rourke will be determined at the next regularly scheduled Board meeting to be held in September 2012. There are no arrangements or understandings between Mr. O’Rourke and any other person pursuant to which he was selected as a director, and there have been no transactions since the beginning of Toro’s last fiscal year, or are currently proposed, regarding Mr. O’Rourke that are required to be disclosed by Item 404(a) of Regulation S-K. In connection with the election of Mr. O’Rourke to the Board, Toro entered into an Indemnification Agreement with Mr. O’Rourke in the same form that Toro has entered into with its other directors, pursuant to which Toro has agreed to provide indemnification and advancement of expenses to the fullest extent permitted by Delaware law and Toro’s Restated Certificate of Incorporation and continued director’s and officer’s liability insurance coverage, a copy of which is attached to Toro’s Annual Report on Form 10-K for the fiscal year ended October 31, 2006, as Exhibit 10(u).</w:t>
      </w:r>
    </w:p>
    <w:p>
      <w:pPr>
        <w:spacing w:after="0" w:line="127" w:lineRule="exact"/>
        <w:rPr>
          <w:rFonts w:ascii="Arial" w:cs="Arial" w:eastAsia="Arial" w:hAnsi="Arial"/>
          <w:sz w:val="16"/>
          <w:szCs w:val="16"/>
          <w:color w:val="auto"/>
        </w:rPr>
      </w:pPr>
    </w:p>
    <w:p>
      <w:pPr>
        <w:ind w:left="460"/>
        <w:spacing w:after="0" w:line="288" w:lineRule="auto"/>
        <w:rPr>
          <w:rFonts w:ascii="Arial" w:cs="Arial" w:eastAsia="Arial" w:hAnsi="Arial"/>
          <w:sz w:val="16"/>
          <w:szCs w:val="16"/>
          <w:color w:val="auto"/>
        </w:rPr>
      </w:pPr>
      <w:r>
        <w:rPr>
          <w:rFonts w:ascii="Arial" w:cs="Arial" w:eastAsia="Arial" w:hAnsi="Arial"/>
          <w:sz w:val="16"/>
          <w:szCs w:val="16"/>
          <w:color w:val="auto"/>
        </w:rPr>
        <w:t>Mr. O’Rourke, 51, is the Executive Vice President—Operations and Chief Operating Officer of The Mosaic Company (“Mosaic”), Plymouth, Minnesota (a global producer and marketer of combined concentrated phosphate and potash crop nutrients for the global agriculture industry), a position he has held since August 2012. In this role, Mr. O’Rourke has responsibility for Mosaic’s mining and manufacturing operations, as well as environmental, health and safety, supply chain and procurement. Previously, Mr. O’Rourke was the Executive Vice President—Operations from January 2009, when he joined Mosaic, to August 2012. From 2006 to 2008, Mr. O’Rourke was the President, Australia Pacific of Barrick Gold Corporation, Toronto, Ontario, Canada (a global producer and seller of gold and copper also engaged in related activities including exploration and mine development), where he was responsible for the Australia Pacific Business Unit consisting of gold and copper mines in Australia and Papua New Guinea and oversight of approximately 6,500 employees. Throughout his career, Mr. O’Rourke has held various senior management, engineering and other positions in the mining industry in Canada, Papua New Guinea and Australia.</w:t>
      </w:r>
    </w:p>
    <w:p>
      <w:pPr>
        <w:spacing w:after="0" w:line="119" w:lineRule="exact"/>
        <w:rPr>
          <w:rFonts w:ascii="Arial" w:cs="Arial" w:eastAsia="Arial" w:hAnsi="Arial"/>
          <w:sz w:val="16"/>
          <w:szCs w:val="16"/>
          <w:color w:val="auto"/>
        </w:rPr>
      </w:pPr>
    </w:p>
    <w:p>
      <w:pPr>
        <w:ind w:left="460" w:right="360"/>
        <w:spacing w:after="0" w:line="332" w:lineRule="auto"/>
        <w:rPr>
          <w:rFonts w:ascii="Arial" w:cs="Arial" w:eastAsia="Arial" w:hAnsi="Arial"/>
          <w:sz w:val="16"/>
          <w:szCs w:val="16"/>
          <w:color w:val="auto"/>
        </w:rPr>
      </w:pPr>
      <w:r>
        <w:rPr>
          <w:rFonts w:ascii="Arial" w:cs="Arial" w:eastAsia="Arial" w:hAnsi="Arial"/>
          <w:sz w:val="16"/>
          <w:szCs w:val="16"/>
          <w:color w:val="auto"/>
        </w:rPr>
        <w:t>Mr. O’Rourke will receive compensation and participate in plans as a non-employee member of the Board as described on pages 24 to 27 in the Proxy Statement for Toro’s Annual Meeting of Shareholders held on March 20, 2012, under the heading “Director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7—Regulation FD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6" w:lineRule="exact"/>
        <w:rPr>
          <w:sz w:val="20"/>
          <w:szCs w:val="20"/>
          <w:color w:val="auto"/>
        </w:rPr>
      </w:pPr>
    </w:p>
    <w:p>
      <w:pPr>
        <w:ind w:left="460" w:right="860"/>
        <w:spacing w:after="0" w:line="268" w:lineRule="auto"/>
        <w:rPr>
          <w:sz w:val="20"/>
          <w:szCs w:val="20"/>
          <w:color w:val="auto"/>
        </w:rPr>
      </w:pPr>
      <w:r>
        <w:rPr>
          <w:rFonts w:ascii="Arial" w:cs="Arial" w:eastAsia="Arial" w:hAnsi="Arial"/>
          <w:sz w:val="18"/>
          <w:szCs w:val="18"/>
          <w:color w:val="auto"/>
        </w:rPr>
        <w:t>Attached to this Current Report on Form 8-K as Exhibit 99.1 is a copy of the press release issued by The Toro Company in connection with the announcement of the election of Mr. O’Rourke to its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14"/>
                <w:szCs w:val="14"/>
                <w:color w:val="auto"/>
              </w:rPr>
            </w:pPr>
          </w:p>
        </w:tc>
        <w:tc>
          <w:tcPr>
            <w:tcW w:w="96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76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Form of</w:t>
            </w:r>
          </w:p>
        </w:tc>
        <w:tc>
          <w:tcPr>
            <w:tcW w:w="8920" w:type="dxa"/>
            <w:vAlign w:val="bottom"/>
          </w:tcPr>
          <w:p>
            <w:pPr>
              <w:spacing w:after="0" w:line="201" w:lineRule="exact"/>
              <w:rPr>
                <w:sz w:val="20"/>
                <w:szCs w:val="20"/>
                <w:color w:val="auto"/>
              </w:rPr>
            </w:pPr>
            <w:r>
              <w:rPr>
                <w:rFonts w:ascii="Arial" w:cs="Arial" w:eastAsia="Arial" w:hAnsi="Arial"/>
                <w:sz w:val="18"/>
                <w:szCs w:val="18"/>
                <w:color w:val="auto"/>
                <w:w w:val="88"/>
              </w:rPr>
              <w:t>Indemnification Agreement with the members of the Board of Directors (incorporated by reference to Exhibit 10(u) to The Toro</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Company Annual Report on Form 10-K for the fiscal year ended October 31, 2006)</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Press release dated August 28, 2012 (furnished herewith).</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560" w:val="left"/>
          <w:tab w:leader="none" w:pos="5940" w:val="left"/>
        </w:tabs>
        <w:rPr>
          <w:sz w:val="20"/>
          <w:szCs w:val="20"/>
          <w:color w:val="auto"/>
        </w:rPr>
      </w:pPr>
      <w:r>
        <w:rPr>
          <w:rFonts w:ascii="Arial" w:cs="Arial" w:eastAsia="Arial" w:hAnsi="Arial"/>
          <w:sz w:val="18"/>
          <w:szCs w:val="18"/>
          <w:color w:val="auto"/>
        </w:rPr>
        <w:t>Date: August 28,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Amy E. Dahl</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Assistant General Counsel &amp; Assistant Secretary</w:t>
      </w:r>
    </w:p>
    <w:p>
      <w:pPr>
        <w:sectPr>
          <w:pgSz w:w="11900" w:h="16838" w:orient="portrait"/>
          <w:cols w:equalWidth="0" w:num="1">
            <w:col w:w="11000"/>
          </w:cols>
          <w:pgMar w:left="240" w:top="280"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680" w:type="dxa"/>
            <w:vAlign w:val="bottom"/>
          </w:tcPr>
          <w:p>
            <w:pPr>
              <w:ind w:left="23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130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10120" w:type="dxa"/>
            <w:vAlign w:val="bottom"/>
            <w:gridSpan w:val="2"/>
          </w:tcPr>
          <w:p>
            <w:pPr>
              <w:ind w:left="144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13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r>
      <w:tr>
        <w:trPr>
          <w:trHeight w:val="302"/>
        </w:trPr>
        <w:tc>
          <w:tcPr>
            <w:tcW w:w="1300" w:type="dxa"/>
            <w:vAlign w:val="bottom"/>
          </w:tcPr>
          <w:p>
            <w:pPr>
              <w:spacing w:after="0"/>
              <w:rPr>
                <w:sz w:val="20"/>
                <w:szCs w:val="20"/>
                <w:color w:val="auto"/>
              </w:rPr>
            </w:pPr>
            <w:r>
              <w:rPr>
                <w:rFonts w:ascii="Arial" w:cs="Arial" w:eastAsia="Arial" w:hAnsi="Arial"/>
                <w:sz w:val="18"/>
                <w:szCs w:val="18"/>
                <w:color w:val="auto"/>
              </w:rPr>
              <w:t>10.1</w:t>
            </w:r>
          </w:p>
        </w:tc>
        <w:tc>
          <w:tcPr>
            <w:tcW w:w="10120" w:type="dxa"/>
            <w:vAlign w:val="bottom"/>
            <w:gridSpan w:val="2"/>
          </w:tcPr>
          <w:p>
            <w:pPr>
              <w:ind w:left="1440"/>
              <w:spacing w:after="0"/>
              <w:rPr>
                <w:sz w:val="20"/>
                <w:szCs w:val="20"/>
                <w:color w:val="auto"/>
              </w:rPr>
            </w:pPr>
            <w:r>
              <w:rPr>
                <w:rFonts w:ascii="Arial" w:cs="Arial" w:eastAsia="Arial" w:hAnsi="Arial"/>
                <w:sz w:val="18"/>
                <w:szCs w:val="18"/>
                <w:color w:val="auto"/>
                <w:w w:val="93"/>
              </w:rPr>
              <w:t>Form of Indemnification Agreement with the members of the Board of Directors (incorporated by reference to Exhibit</w:t>
            </w:r>
          </w:p>
        </w:tc>
      </w:tr>
      <w:tr>
        <w:trPr>
          <w:trHeight w:val="222"/>
        </w:trPr>
        <w:tc>
          <w:tcPr>
            <w:tcW w:w="1300" w:type="dxa"/>
            <w:vAlign w:val="bottom"/>
          </w:tcPr>
          <w:p>
            <w:pPr>
              <w:spacing w:after="0"/>
              <w:rPr>
                <w:sz w:val="19"/>
                <w:szCs w:val="19"/>
                <w:color w:val="auto"/>
              </w:rPr>
            </w:pPr>
          </w:p>
        </w:tc>
        <w:tc>
          <w:tcPr>
            <w:tcW w:w="10120" w:type="dxa"/>
            <w:vAlign w:val="bottom"/>
            <w:gridSpan w:val="2"/>
          </w:tcPr>
          <w:p>
            <w:pPr>
              <w:ind w:left="1440"/>
              <w:spacing w:after="0"/>
              <w:rPr>
                <w:sz w:val="20"/>
                <w:szCs w:val="20"/>
                <w:color w:val="auto"/>
              </w:rPr>
            </w:pPr>
            <w:r>
              <w:rPr>
                <w:rFonts w:ascii="Arial" w:cs="Arial" w:eastAsia="Arial" w:hAnsi="Arial"/>
                <w:sz w:val="18"/>
                <w:szCs w:val="18"/>
                <w:color w:val="auto"/>
              </w:rPr>
              <w:t>10(u) to The Toro Company Annual Report on Form 10-K for the fiscal year ended October 31, 2006)</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99.1</w:t>
            </w:r>
          </w:p>
        </w:tc>
        <w:tc>
          <w:tcPr>
            <w:tcW w:w="10120" w:type="dxa"/>
            <w:vAlign w:val="bottom"/>
            <w:gridSpan w:val="2"/>
          </w:tcPr>
          <w:p>
            <w:pPr>
              <w:ind w:left="1440"/>
              <w:spacing w:after="0"/>
              <w:rPr>
                <w:sz w:val="20"/>
                <w:szCs w:val="20"/>
                <w:color w:val="auto"/>
              </w:rPr>
            </w:pPr>
            <w:r>
              <w:rPr>
                <w:rFonts w:ascii="Arial" w:cs="Arial" w:eastAsia="Arial" w:hAnsi="Arial"/>
                <w:sz w:val="18"/>
                <w:szCs w:val="18"/>
                <w:color w:val="auto"/>
              </w:rPr>
              <w:t>Press release dated August 28, 2012 (furnished herewith).</w:t>
            </w:r>
          </w:p>
        </w:tc>
      </w:tr>
    </w:tbl>
    <w:p>
      <w:pPr>
        <w:ind w:left="144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037590" cy="677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759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887-8630, </w:t>
      </w:r>
      <w:r>
        <w:rPr>
          <w:rFonts w:ascii="Arial" w:cs="Arial" w:eastAsia="Arial" w:hAnsi="Arial"/>
          <w:sz w:val="18"/>
          <w:szCs w:val="18"/>
          <w:u w:val="single" w:color="auto"/>
          <w:color w:val="auto"/>
        </w:rPr>
        <w:t>invest@toro.com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pr@toro.com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Names James “Joc” O’Rourke to its Board of Directors</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BLOOMINGTON, Minn. (August 28, 2012) – The Toro Company (NYSE: TTC) today announced that it has elected James “Joc” O’Rourke to its Board of Directors, effective immediately. The addition of Mr. O’Rourke brings the Toro board to 10 members.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O’Rourke, 51, currently serves as executive vice president of operations and chief operating officer at The Mosaic Company (NYSE: MOS), an $11 billion global producer and marketer of phosphate and potash crop nutrient for the agricultural industry based in Plymouth, Minnesota. O’Rourke joined Mosaic in 2009 as executive vice president of operations with responsibility for the company’s mining and manufacturing operations, environmental, health and safety, supply chain, and procurement. O’Rourke was promoted to chief operating officer in August of this year. Throughout his career, O’Rourke has held various other senior management positions in the mining industry in Canada, Australia and Papua New Guinea, including with gold producers Barrick Gold Corporation and Placer Dome Inc.</w:t>
      </w:r>
    </w:p>
    <w:p>
      <w:pPr>
        <w:spacing w:after="0" w:line="144"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“Joc brings significant international experience in managing operations around the world, including his current role leading all of Mosaic’s global operations,” said Michael J. Hoffman, Toro’s chairman and chief executive officer. “As we continue to pursue growth in irrigation and equipment markets worldwide, Joc’s leadership, experience and innovative thinking will be valuable. We are very excited to have him join our board.”</w:t>
      </w:r>
    </w:p>
    <w:p>
      <w:pPr>
        <w:spacing w:after="0" w:line="10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O’Rourke holds a bachelor’s degree in mining and mineral engineering from the University of British Columbia, along with a master’s degree in business administration from INSEAD in Fontainebleau, France.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The Toro Company is a leading worldwide provider of turf and landscape maintenance equipment, and irrigation solutions. With sales of nearly $1.9 billion in fiscal 2011, Toro’s global presence extends to more than 90 countries through its reputation of world-class service, innovation and turf expertise. Since 1914, the company has built a tradition of excellence around a number of strong brands to help customers care for golf courses, sports fields, public green spaces, commercial and residential properties, and agricultural fields. More information is available at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decimal"/>
      <w:start w:val="952"/>
    </w:lvl>
  </w:abstractNum>
  <w:abstractNum w:abstractNumId="4">
    <w:nsid w:val="46E87CCD"/>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2019-12-09T15:04:38Z</dcterms:created>
  <dcterms:modified xsi:type="dcterms:W3CDTF">2019-12-09T15:04:38Z</dcterms:modified>
</cp:coreProperties>
</file>