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238125</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-224155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1980" w:hanging="340"/>
        <w:spacing w:after="0"/>
        <w:tabs>
          <w:tab w:leader="none" w:pos="19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January 31, 2020</w:t>
      </w:r>
    </w:p>
    <w:p>
      <w:pPr>
        <w:spacing w:after="0" w:line="135" w:lineRule="exact"/>
        <w:rPr>
          <w:sz w:val="24"/>
          <w:szCs w:val="24"/>
          <w:color w:val="auto"/>
        </w:rPr>
      </w:pPr>
    </w:p>
    <w:p>
      <w:pPr>
        <w:ind w:left="1980" w:hanging="376"/>
        <w:spacing w:after="0"/>
        <w:tabs>
          <w:tab w:leader="none" w:pos="19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40"/>
          </w:cols>
          <w:pgMar w:left="240" w:top="233" w:right="219" w:bottom="1440" w:gutter="0" w:footer="0" w:header="0"/>
        </w:sectPr>
      </w:pPr>
    </w:p>
    <w:p>
      <w:pPr>
        <w:spacing w:after="0" w:line="209"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76" w:lineRule="exact"/>
        <w:rPr>
          <w:sz w:val="24"/>
          <w:szCs w:val="24"/>
          <w:color w:val="auto"/>
        </w:rPr>
      </w:pPr>
    </w:p>
    <w:p>
      <w:pPr>
        <w:sectPr>
          <w:pgSz w:w="11900" w:h="16838" w:orient="portrait"/>
          <w:cols w:equalWidth="0" w:num="2">
            <w:col w:w="6360" w:space="500"/>
            <w:col w:w="4580"/>
          </w:cols>
          <w:pgMar w:left="240" w:top="233" w:right="21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1-8649</w:t>
      </w:r>
    </w:p>
    <w:p>
      <w:pPr>
        <w:sectPr>
          <w:pgSz w:w="11900" w:h="16838" w:orient="portrait"/>
          <w:cols w:equalWidth="0" w:num="1">
            <w:col w:w="11440"/>
          </w:cols>
          <w:pgMar w:left="240" w:top="233" w:right="219" w:bottom="1440" w:gutter="0" w:footer="0" w:header="0"/>
          <w:type w:val="continuous"/>
        </w:sectPr>
      </w:pP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233" w:right="219" w:bottom="1440" w:gutter="0" w:footer="0" w:header="0"/>
          <w:type w:val="continuous"/>
        </w:sectPr>
      </w:pPr>
    </w:p>
    <w:p>
      <w:pPr>
        <w:spacing w:after="0" w:line="174"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95" w:lineRule="exact"/>
        <w:rPr>
          <w:sz w:val="24"/>
          <w:szCs w:val="24"/>
          <w:color w:val="auto"/>
        </w:rPr>
      </w:pPr>
    </w:p>
    <w:p>
      <w:pPr>
        <w:sectPr>
          <w:pgSz w:w="11900" w:h="16838" w:orient="portrait"/>
          <w:cols w:equalWidth="0" w:num="2">
            <w:col w:w="8220" w:space="720"/>
            <w:col w:w="2500"/>
          </w:cols>
          <w:pgMar w:left="240" w:top="233" w:right="219" w:bottom="1440" w:gutter="0" w:footer="0" w:header="0"/>
          <w:type w:val="continuous"/>
        </w:sectPr>
      </w:pPr>
    </w:p>
    <w:p>
      <w:pPr>
        <w:ind w:left="1120"/>
        <w:spacing w:after="0"/>
        <w:rPr>
          <w:sz w:val="20"/>
          <w:szCs w:val="20"/>
          <w:color w:val="auto"/>
        </w:rPr>
      </w:pPr>
      <w:r>
        <w:rPr>
          <w:rFonts w:ascii="Arial" w:cs="Arial" w:eastAsia="Arial" w:hAnsi="Arial"/>
          <w:sz w:val="15"/>
          <w:szCs w:val="15"/>
          <w:color w:val="auto"/>
        </w:rPr>
        <w:t>State or Other Jurisdiction of</w:t>
      </w:r>
    </w:p>
    <w:p>
      <w:pPr>
        <w:spacing w:after="0" w:line="34"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372" w:lineRule="exact"/>
        <w:rPr>
          <w:sz w:val="24"/>
          <w:szCs w:val="24"/>
          <w:color w:val="auto"/>
        </w:rPr>
      </w:pPr>
    </w:p>
    <w:p>
      <w:pPr>
        <w:sectPr>
          <w:pgSz w:w="11900" w:h="16838" w:orient="portrait"/>
          <w:cols w:equalWidth="0" w:num="2">
            <w:col w:w="7520" w:space="720"/>
            <w:col w:w="3200"/>
          </w:cols>
          <w:pgMar w:left="240" w:top="233" w:right="219" w:bottom="1440" w:gutter="0" w:footer="0" w:header="0"/>
          <w:type w:val="continuous"/>
        </w:sectPr>
      </w:pPr>
    </w:p>
    <w:p>
      <w:pPr>
        <w:ind w:left="46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37"/>
        </w:trPr>
        <w:tc>
          <w:tcPr>
            <w:tcW w:w="4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214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February 27, 2020 was 106,979,296.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0" w:type="dxa"/>
            <w:vAlign w:val="bottom"/>
            <w:gridSpan w:val="4"/>
          </w:tcPr>
          <w:p>
            <w:pPr>
              <w:ind w:left="1940"/>
              <w:spacing w:after="0"/>
              <w:rPr>
                <w:sz w:val="20"/>
                <w:szCs w:val="20"/>
                <w:color w:val="auto"/>
              </w:rPr>
            </w:pPr>
            <w:r>
              <w:rPr>
                <w:rFonts w:ascii="Arial" w:cs="Arial" w:eastAsia="Arial" w:hAnsi="Arial"/>
                <w:sz w:val="18"/>
                <w:szCs w:val="18"/>
                <w:b w:val="1"/>
                <w:bCs w:val="1"/>
                <w:color w:val="auto"/>
              </w:rPr>
              <w:t>Page Number</w:t>
            </w:r>
          </w:p>
        </w:tc>
      </w:tr>
      <w:tr>
        <w:trPr>
          <w:trHeight w:val="27"/>
        </w:trPr>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66"/>
        </w:trPr>
        <w:tc>
          <w:tcPr>
            <w:tcW w:w="40" w:type="dxa"/>
            <w:vAlign w:val="bottom"/>
          </w:tcPr>
          <w:p>
            <w:pPr>
              <w:spacing w:after="0"/>
              <w:rPr>
                <w:sz w:val="24"/>
                <w:szCs w:val="24"/>
                <w:color w:val="auto"/>
              </w:rPr>
            </w:pPr>
          </w:p>
        </w:tc>
        <w:tc>
          <w:tcPr>
            <w:tcW w:w="13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800" w:type="dxa"/>
            <w:vAlign w:val="bottom"/>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80" w:type="dxa"/>
            <w:vAlign w:val="bottom"/>
            <w:tcBorders>
              <w:top w:val="single" w:sz="8" w:color="0000EE"/>
            </w:tcBorders>
          </w:tcPr>
          <w:p>
            <w:pPr>
              <w:spacing w:after="0"/>
              <w:rPr>
                <w:sz w:val="24"/>
                <w:szCs w:val="24"/>
                <w:color w:val="auto"/>
              </w:rPr>
            </w:pPr>
          </w:p>
        </w:tc>
        <w:tc>
          <w:tcPr>
            <w:tcW w:w="760" w:type="dxa"/>
            <w:vAlign w:val="bottom"/>
            <w:gridSpan w:val="3"/>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940" w:type="dxa"/>
            <w:vAlign w:val="bottom"/>
            <w:tcBorders>
              <w:top w:val="single" w:sz="8" w:color="0000EE"/>
            </w:tcBorders>
            <w:gridSpan w:val="3"/>
          </w:tcPr>
          <w:p>
            <w:pPr>
              <w:spacing w:after="0"/>
              <w:rPr>
                <w:sz w:val="24"/>
                <w:szCs w:val="24"/>
                <w:color w:val="auto"/>
              </w:rPr>
            </w:pPr>
          </w:p>
        </w:tc>
        <w:tc>
          <w:tcPr>
            <w:tcW w:w="4360" w:type="dxa"/>
            <w:vAlign w:val="bottom"/>
            <w:gridSpan w:val="8"/>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(Unaudited)</w:t>
              </w:r>
            </w:hyperlink>
          </w:p>
        </w:tc>
        <w:tc>
          <w:tcPr>
            <w:tcW w:w="32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 (Unaudited)</w:t>
              </w:r>
            </w:hyperlink>
          </w:p>
        </w:tc>
        <w:tc>
          <w:tcPr>
            <w:tcW w:w="32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w:t>
              </w:r>
            </w:hyperlink>
          </w:p>
        </w:tc>
        <w:tc>
          <w:tcPr>
            <w:tcW w:w="1640" w:type="dxa"/>
            <w:vAlign w:val="bottom"/>
            <w:tcBorders>
              <w:top w:val="single" w:sz="8" w:color="0000EE"/>
            </w:tcBorders>
            <w:gridSpan w:val="6"/>
          </w:tcPr>
          <w:p>
            <w:pPr>
              <w:spacing w:after="0"/>
              <w:rPr>
                <w:sz w:val="24"/>
                <w:szCs w:val="24"/>
                <w:color w:val="auto"/>
              </w:rPr>
            </w:pPr>
          </w:p>
        </w:tc>
        <w:tc>
          <w:tcPr>
            <w:tcW w:w="960" w:type="dxa"/>
            <w:vAlign w:val="bottom"/>
          </w:tcPr>
          <w:p>
            <w:pPr>
              <w:spacing w:after="0"/>
              <w:rPr>
                <w:sz w:val="24"/>
                <w:szCs w:val="24"/>
                <w:color w:val="auto"/>
              </w:rPr>
            </w:pPr>
          </w:p>
        </w:tc>
        <w:tc>
          <w:tcPr>
            <w:tcW w:w="30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w:t>
              </w:r>
            </w:hyperlink>
          </w:p>
        </w:tc>
        <w:tc>
          <w:tcPr>
            <w:tcW w:w="1820" w:type="dxa"/>
            <w:vAlign w:val="bottom"/>
            <w:gridSpan w:val="4"/>
          </w:tcPr>
          <w:p>
            <w:pPr>
              <w:spacing w:after="0"/>
              <w:rPr>
                <w:sz w:val="24"/>
                <w:szCs w:val="24"/>
                <w:color w:val="auto"/>
              </w:rPr>
            </w:pPr>
          </w:p>
        </w:tc>
        <w:tc>
          <w:tcPr>
            <w:tcW w:w="30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w:t>
              </w:r>
            </w:hyperlink>
          </w:p>
        </w:tc>
        <w:tc>
          <w:tcPr>
            <w:tcW w:w="32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57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60" w:type="dxa"/>
            <w:vAlign w:val="bottom"/>
            <w:tcBorders>
              <w:top w:val="single" w:sz="8" w:color="0000EE"/>
            </w:tcBorders>
          </w:tcPr>
          <w:p>
            <w:pPr>
              <w:spacing w:after="0"/>
              <w:rPr>
                <w:sz w:val="24"/>
                <w:szCs w:val="24"/>
                <w:color w:val="auto"/>
              </w:rPr>
            </w:pPr>
          </w:p>
        </w:tc>
        <w:tc>
          <w:tcPr>
            <w:tcW w:w="1180" w:type="dxa"/>
            <w:vAlign w:val="bottom"/>
            <w:gridSpan w:val="2"/>
          </w:tcPr>
          <w:p>
            <w:pPr>
              <w:spacing w:after="0"/>
              <w:rPr>
                <w:sz w:val="24"/>
                <w:szCs w:val="24"/>
                <w:color w:val="auto"/>
              </w:rPr>
            </w:pPr>
          </w:p>
        </w:tc>
        <w:tc>
          <w:tcPr>
            <w:tcW w:w="30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2.</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3.</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9"/>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Quantitative and Qualitative Disclosures about Market Risk</w:t>
              </w:r>
            </w:hyperlink>
          </w:p>
        </w:tc>
        <w:tc>
          <w:tcPr>
            <w:tcW w:w="2140" w:type="dxa"/>
            <w:vAlign w:val="bottom"/>
            <w:gridSpan w:val="6"/>
          </w:tcPr>
          <w:p>
            <w:pPr>
              <w:spacing w:after="0"/>
              <w:rPr>
                <w:sz w:val="24"/>
                <w:szCs w:val="24"/>
                <w:color w:val="auto"/>
              </w:rPr>
            </w:pPr>
          </w:p>
        </w:tc>
        <w:tc>
          <w:tcPr>
            <w:tcW w:w="32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4.</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Controls and Procedures</w:t>
              </w:r>
            </w:hyperlink>
          </w:p>
        </w:tc>
        <w:tc>
          <w:tcPr>
            <w:tcW w:w="2540" w:type="dxa"/>
            <w:vAlign w:val="bottom"/>
            <w:gridSpan w:val="3"/>
          </w:tcPr>
          <w:p>
            <w:pPr>
              <w:spacing w:after="0"/>
              <w:rPr>
                <w:sz w:val="24"/>
                <w:szCs w:val="24"/>
                <w:color w:val="auto"/>
              </w:rPr>
            </w:pPr>
          </w:p>
        </w:tc>
        <w:tc>
          <w:tcPr>
            <w:tcW w:w="2140" w:type="dxa"/>
            <w:vAlign w:val="bottom"/>
            <w:gridSpan w:val="6"/>
          </w:tcPr>
          <w:p>
            <w:pPr>
              <w:spacing w:after="0"/>
              <w:rPr>
                <w:sz w:val="24"/>
                <w:szCs w:val="24"/>
                <w:color w:val="auto"/>
              </w:rPr>
            </w:pPr>
          </w:p>
        </w:tc>
        <w:tc>
          <w:tcPr>
            <w:tcW w:w="32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PART II.</w:t>
              </w:r>
            </w:hyperlink>
          </w:p>
        </w:tc>
        <w:tc>
          <w:tcPr>
            <w:tcW w:w="680" w:type="dxa"/>
            <w:vAlign w:val="bottom"/>
          </w:tcPr>
          <w:p>
            <w:pPr>
              <w:spacing w:after="0"/>
              <w:rPr>
                <w:sz w:val="24"/>
                <w:szCs w:val="24"/>
                <w:color w:val="auto"/>
              </w:rPr>
            </w:pPr>
          </w:p>
        </w:tc>
        <w:tc>
          <w:tcPr>
            <w:tcW w:w="21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OTHER INFORMATION:</w:t>
              </w:r>
            </w:hyperlink>
          </w:p>
        </w:tc>
        <w:tc>
          <w:tcPr>
            <w:tcW w:w="4680" w:type="dxa"/>
            <w:vAlign w:val="bottom"/>
            <w:gridSpan w:val="9"/>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49">
              <w:r>
                <w:rPr>
                  <w:rFonts w:ascii="Arial" w:cs="Arial" w:eastAsia="Arial" w:hAnsi="Arial"/>
                  <w:sz w:val="18"/>
                  <w:szCs w:val="18"/>
                  <w:b w:val="1"/>
                  <w:bCs w:val="1"/>
                  <w:color w:val="0000EE"/>
                  <w:w w:val="91"/>
                </w:rPr>
                <w:t>Item 1.</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5120" w:type="dxa"/>
            <w:vAlign w:val="bottom"/>
            <w:gridSpan w:val="10"/>
          </w:tcPr>
          <w:p>
            <w:pPr>
              <w:spacing w:after="0"/>
              <w:rPr>
                <w:sz w:val="24"/>
                <w:szCs w:val="24"/>
                <w:color w:val="auto"/>
              </w:rPr>
            </w:pPr>
          </w:p>
        </w:tc>
        <w:tc>
          <w:tcPr>
            <w:tcW w:w="32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380" w:type="dxa"/>
            <w:vAlign w:val="bottom"/>
            <w:gridSpan w:val="5"/>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1A.</w:t>
              </w:r>
            </w:hyperlink>
          </w:p>
        </w:tc>
        <w:tc>
          <w:tcPr>
            <w:tcW w:w="340" w:type="dxa"/>
            <w:vAlign w:val="bottom"/>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32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Item 2.</w:t>
              </w:r>
            </w:hyperlink>
          </w:p>
        </w:tc>
        <w:tc>
          <w:tcPr>
            <w:tcW w:w="1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Unregistered Sales of Equity Securities and Use of Proceeds</w:t>
              </w:r>
            </w:hyperlink>
          </w:p>
        </w:tc>
        <w:tc>
          <w:tcPr>
            <w:tcW w:w="2100" w:type="dxa"/>
            <w:vAlign w:val="bottom"/>
            <w:gridSpan w:val="5"/>
          </w:tcPr>
          <w:p>
            <w:pPr>
              <w:spacing w:after="0"/>
              <w:rPr>
                <w:sz w:val="24"/>
                <w:szCs w:val="24"/>
                <w:color w:val="auto"/>
              </w:rPr>
            </w:pPr>
          </w:p>
        </w:tc>
        <w:tc>
          <w:tcPr>
            <w:tcW w:w="32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b w:val="1"/>
                <w:bCs w:val="1"/>
                <w:color w:val="0000EE"/>
                <w:w w:val="91"/>
              </w:rPr>
            </w:pPr>
            <w:hyperlink w:anchor="page51">
              <w:r>
                <w:rPr>
                  <w:rFonts w:ascii="Arial" w:cs="Arial" w:eastAsia="Arial" w:hAnsi="Arial"/>
                  <w:sz w:val="18"/>
                  <w:szCs w:val="18"/>
                  <w:b w:val="1"/>
                  <w:bCs w:val="1"/>
                  <w:color w:val="0000EE"/>
                  <w:w w:val="91"/>
                </w:rPr>
                <w:t>Item 6.</w:t>
              </w:r>
            </w:hyperlink>
          </w:p>
        </w:tc>
        <w:tc>
          <w:tcPr>
            <w:tcW w:w="84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2100" w:type="dxa"/>
            <w:vAlign w:val="bottom"/>
            <w:gridSpan w:val="5"/>
          </w:tcPr>
          <w:p>
            <w:pPr>
              <w:spacing w:after="0"/>
              <w:rPr>
                <w:sz w:val="24"/>
                <w:szCs w:val="24"/>
                <w:color w:val="auto"/>
              </w:rPr>
            </w:pPr>
          </w:p>
        </w:tc>
        <w:tc>
          <w:tcPr>
            <w:tcW w:w="32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32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69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560" w:type="dxa"/>
            <w:vAlign w:val="bottom"/>
            <w:gridSpan w:val="7"/>
          </w:tcPr>
          <w:p>
            <w:pPr>
              <w:jc w:val="right"/>
              <w:ind w:right="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and shares in thousands, except per share data)</w:t>
      </w:r>
    </w:p>
    <w:p>
      <w:pPr>
        <w:spacing w:after="0" w:line="161"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6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767,483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602,956</w:t>
            </w:r>
          </w:p>
        </w:tc>
      </w:tr>
      <w:tr>
        <w:trPr>
          <w:trHeight w:val="239"/>
        </w:trPr>
        <w:tc>
          <w:tcPr>
            <w:tcW w:w="6860" w:type="dxa"/>
            <w:vAlign w:val="bottom"/>
          </w:tcPr>
          <w:p>
            <w:pPr>
              <w:ind w:left="40"/>
              <w:spacing w:after="0"/>
              <w:rPr>
                <w:sz w:val="20"/>
                <w:szCs w:val="20"/>
                <w:color w:val="auto"/>
              </w:rPr>
            </w:pPr>
            <w:r>
              <w:rPr>
                <w:rFonts w:ascii="Arial" w:cs="Arial" w:eastAsia="Arial" w:hAnsi="Arial"/>
                <w:sz w:val="17"/>
                <w:szCs w:val="17"/>
                <w:color w:val="auto"/>
              </w:rPr>
              <w:t>Cost of sales</w:t>
            </w:r>
          </w:p>
        </w:tc>
        <w:tc>
          <w:tcPr>
            <w:tcW w:w="160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479,395</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387,339</w:t>
            </w:r>
          </w:p>
        </w:tc>
      </w:tr>
      <w:tr>
        <w:trPr>
          <w:trHeight w:val="31"/>
        </w:trPr>
        <w:tc>
          <w:tcPr>
            <w:tcW w:w="6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Gross profit</w:t>
            </w:r>
          </w:p>
        </w:tc>
        <w:tc>
          <w:tcPr>
            <w:tcW w:w="1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288,088</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215,617</w:t>
            </w:r>
          </w:p>
        </w:tc>
      </w:tr>
      <w:tr>
        <w:trPr>
          <w:trHeight w:val="239"/>
        </w:trPr>
        <w:tc>
          <w:tcPr>
            <w:tcW w:w="686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160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196,959</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145,563</w:t>
            </w:r>
          </w:p>
        </w:tc>
      </w:tr>
      <w:tr>
        <w:trPr>
          <w:trHeight w:val="31"/>
        </w:trPr>
        <w:tc>
          <w:tcPr>
            <w:tcW w:w="6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earnings</w:t>
            </w:r>
          </w:p>
        </w:tc>
        <w:tc>
          <w:tcPr>
            <w:tcW w:w="1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91,129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70,054</w:t>
            </w:r>
          </w:p>
        </w:tc>
      </w:tr>
      <w:tr>
        <w:trPr>
          <w:trHeight w:val="239"/>
        </w:trPr>
        <w:tc>
          <w:tcPr>
            <w:tcW w:w="686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160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(8,156)</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(4,742)</w:t>
            </w:r>
          </w:p>
        </w:tc>
      </w:tr>
      <w:tr>
        <w:trPr>
          <w:trHeight w:val="31"/>
        </w:trPr>
        <w:tc>
          <w:tcPr>
            <w:tcW w:w="6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net</w:t>
            </w:r>
          </w:p>
        </w:tc>
        <w:tc>
          <w:tcPr>
            <w:tcW w:w="16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3,166</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4,708</w:t>
            </w:r>
          </w:p>
        </w:tc>
      </w:tr>
      <w:tr>
        <w:trPr>
          <w:trHeight w:val="233"/>
        </w:trPr>
        <w:tc>
          <w:tcPr>
            <w:tcW w:w="68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Earnings before income taxes</w:t>
            </w:r>
          </w:p>
        </w:tc>
        <w:tc>
          <w:tcPr>
            <w:tcW w:w="16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86,139</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70,020</w:t>
            </w:r>
          </w:p>
        </w:tc>
      </w:tr>
      <w:tr>
        <w:trPr>
          <w:trHeight w:val="31"/>
        </w:trPr>
        <w:tc>
          <w:tcPr>
            <w:tcW w:w="6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16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16,048</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10,480</w:t>
            </w:r>
          </w:p>
        </w:tc>
      </w:tr>
      <w:tr>
        <w:trPr>
          <w:trHeight w:val="233"/>
        </w:trPr>
        <w:tc>
          <w:tcPr>
            <w:tcW w:w="68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Net earnings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70,091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59,540</w:t>
            </w:r>
          </w:p>
        </w:tc>
      </w:tr>
      <w:tr>
        <w:trPr>
          <w:trHeight w:val="71"/>
        </w:trPr>
        <w:tc>
          <w:tcPr>
            <w:tcW w:w="68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78"/>
        </w:trPr>
        <w:tc>
          <w:tcPr>
            <w:tcW w:w="68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9"/>
        </w:trPr>
        <w:tc>
          <w:tcPr>
            <w:tcW w:w="6860" w:type="dxa"/>
            <w:vAlign w:val="bottom"/>
          </w:tcPr>
          <w:p>
            <w:pPr>
              <w:ind w:left="40"/>
              <w:spacing w:after="0"/>
              <w:rPr>
                <w:sz w:val="20"/>
                <w:szCs w:val="20"/>
                <w:color w:val="auto"/>
              </w:rPr>
            </w:pPr>
            <w:r>
              <w:rPr>
                <w:rFonts w:ascii="Arial" w:cs="Arial" w:eastAsia="Arial" w:hAnsi="Arial"/>
                <w:sz w:val="17"/>
                <w:szCs w:val="17"/>
                <w:color w:val="auto"/>
              </w:rPr>
              <w:t>Basic net earnings per share of common stock</w:t>
            </w: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0.65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0.56</w:t>
            </w:r>
          </w:p>
        </w:tc>
      </w:tr>
      <w:tr>
        <w:trPr>
          <w:trHeight w:val="31"/>
        </w:trPr>
        <w:tc>
          <w:tcPr>
            <w:tcW w:w="6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68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9"/>
        </w:trPr>
        <w:tc>
          <w:tcPr>
            <w:tcW w:w="6860" w:type="dxa"/>
            <w:vAlign w:val="bottom"/>
          </w:tcPr>
          <w:p>
            <w:pPr>
              <w:ind w:left="40"/>
              <w:spacing w:after="0"/>
              <w:rPr>
                <w:sz w:val="20"/>
                <w:szCs w:val="20"/>
                <w:color w:val="auto"/>
              </w:rPr>
            </w:pPr>
            <w:r>
              <w:rPr>
                <w:rFonts w:ascii="Arial" w:cs="Arial" w:eastAsia="Arial" w:hAnsi="Arial"/>
                <w:sz w:val="17"/>
                <w:szCs w:val="17"/>
                <w:color w:val="auto"/>
              </w:rPr>
              <w:t>Diluted net earnings per share of common stock</w:t>
            </w: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0.65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0.55</w:t>
            </w:r>
          </w:p>
        </w:tc>
      </w:tr>
      <w:tr>
        <w:trPr>
          <w:trHeight w:val="31"/>
        </w:trPr>
        <w:tc>
          <w:tcPr>
            <w:tcW w:w="6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18"/>
        </w:trPr>
        <w:tc>
          <w:tcPr>
            <w:tcW w:w="68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9"/>
        </w:trPr>
        <w:tc>
          <w:tcPr>
            <w:tcW w:w="6860" w:type="dxa"/>
            <w:vAlign w:val="bottom"/>
          </w:tcPr>
          <w:p>
            <w:pPr>
              <w:ind w:left="4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60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107,423</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106,258</w:t>
            </w:r>
          </w:p>
        </w:tc>
      </w:tr>
      <w:tr>
        <w:trPr>
          <w:trHeight w:val="31"/>
        </w:trPr>
        <w:tc>
          <w:tcPr>
            <w:tcW w:w="6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8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9"/>
        </w:trPr>
        <w:tc>
          <w:tcPr>
            <w:tcW w:w="6860" w:type="dxa"/>
            <w:vAlign w:val="bottom"/>
          </w:tcPr>
          <w:p>
            <w:pPr>
              <w:ind w:left="4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60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108,655</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107,781</w:t>
            </w:r>
          </w:p>
        </w:tc>
      </w:tr>
      <w:tr>
        <w:trPr>
          <w:trHeight w:val="31"/>
        </w:trPr>
        <w:tc>
          <w:tcPr>
            <w:tcW w:w="6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61"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6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70,091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59,540</w:t>
            </w:r>
          </w:p>
        </w:tc>
      </w:tr>
      <w:tr>
        <w:trPr>
          <w:trHeight w:val="226"/>
        </w:trPr>
        <w:tc>
          <w:tcPr>
            <w:tcW w:w="6620" w:type="dxa"/>
            <w:vAlign w:val="bottom"/>
          </w:tcPr>
          <w:p>
            <w:pPr>
              <w:ind w:left="40"/>
              <w:spacing w:after="0"/>
              <w:rPr>
                <w:sz w:val="20"/>
                <w:szCs w:val="20"/>
                <w:color w:val="auto"/>
              </w:rPr>
            </w:pPr>
            <w:r>
              <w:rPr>
                <w:rFonts w:ascii="Arial" w:cs="Arial" w:eastAsia="Arial" w:hAnsi="Arial"/>
                <w:sz w:val="17"/>
                <w:szCs w:val="17"/>
                <w:color w:val="auto"/>
              </w:rPr>
              <w:t>Other comprehensive income (loss), net of tax:</w:t>
            </w:r>
          </w:p>
        </w:tc>
        <w:tc>
          <w:tcPr>
            <w:tcW w:w="1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
        </w:trPr>
        <w:tc>
          <w:tcPr>
            <w:tcW w:w="66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currency translation adjustments</w:t>
            </w:r>
          </w:p>
        </w:tc>
        <w:tc>
          <w:tcPr>
            <w:tcW w:w="1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(724)</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3,431</w:t>
            </w:r>
          </w:p>
        </w:tc>
      </w:tr>
      <w:tr>
        <w:trPr>
          <w:trHeight w:val="239"/>
        </w:trPr>
        <w:tc>
          <w:tcPr>
            <w:tcW w:w="6620" w:type="dxa"/>
            <w:vAlign w:val="bottom"/>
          </w:tcPr>
          <w:p>
            <w:pPr>
              <w:ind w:left="180"/>
              <w:spacing w:after="0"/>
              <w:rPr>
                <w:sz w:val="20"/>
                <w:szCs w:val="20"/>
                <w:color w:val="auto"/>
              </w:rPr>
            </w:pPr>
            <w:r>
              <w:rPr>
                <w:rFonts w:ascii="Arial" w:cs="Arial" w:eastAsia="Arial" w:hAnsi="Arial"/>
                <w:sz w:val="17"/>
                <w:szCs w:val="17"/>
                <w:color w:val="auto"/>
              </w:rPr>
              <w:t>Derivative instruments, net of tax of $189 and $(1,352), respectively</w:t>
            </w:r>
          </w:p>
        </w:tc>
        <w:tc>
          <w:tcPr>
            <w:tcW w:w="184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652</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(4,009)</w:t>
            </w:r>
          </w:p>
        </w:tc>
      </w:tr>
      <w:tr>
        <w:trPr>
          <w:trHeight w:val="31"/>
        </w:trPr>
        <w:tc>
          <w:tcPr>
            <w:tcW w:w="6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loss, net of tax</w:t>
            </w:r>
          </w:p>
        </w:tc>
        <w:tc>
          <w:tcPr>
            <w:tcW w:w="18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33"/>
        </w:trPr>
        <w:tc>
          <w:tcPr>
            <w:tcW w:w="66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Comprehensive income</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70,019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58,962</w:t>
            </w:r>
          </w:p>
        </w:tc>
      </w:tr>
      <w:tr>
        <w:trPr>
          <w:trHeight w:val="31"/>
        </w:trPr>
        <w:tc>
          <w:tcPr>
            <w:tcW w:w="6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b w:val="1"/>
                <w:bCs w:val="1"/>
                <w:color w:val="auto"/>
                <w:w w:val="90"/>
              </w:rPr>
              <w:t>February 1, 2019</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October 31, 2019</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3"/>
        </w:trPr>
        <w:tc>
          <w:tcPr>
            <w:tcW w:w="6660" w:type="dxa"/>
            <w:vAlign w:val="bottom"/>
            <w:gridSpan w:val="4"/>
            <w:shd w:val="clear" w:color="auto" w:fill="CCEEFF"/>
          </w:tcPr>
          <w:p>
            <w:pPr>
              <w:ind w:left="40"/>
              <w:spacing w:after="0" w:line="183" w:lineRule="exact"/>
              <w:rPr>
                <w:sz w:val="20"/>
                <w:szCs w:val="20"/>
                <w:color w:val="auto"/>
              </w:rPr>
            </w:pPr>
            <w:r>
              <w:rPr>
                <w:rFonts w:ascii="Arial" w:cs="Arial" w:eastAsia="Arial" w:hAnsi="Arial"/>
                <w:sz w:val="17"/>
                <w:szCs w:val="17"/>
                <w:color w:val="auto"/>
              </w:rPr>
              <w:t>ASSETS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880" w:type="dxa"/>
            <w:vAlign w:val="bottom"/>
            <w:tcBorders>
              <w:top w:val="single" w:sz="8" w:color="CCEEFF"/>
            </w:tcBorders>
            <w:shd w:val="clear" w:color="auto" w:fill="CCEEFF"/>
          </w:tcPr>
          <w:p>
            <w:pPr>
              <w:spacing w:after="0"/>
              <w:rPr>
                <w:sz w:val="5"/>
                <w:szCs w:val="5"/>
                <w:color w:val="auto"/>
              </w:rPr>
            </w:pPr>
          </w:p>
        </w:tc>
        <w:tc>
          <w:tcPr>
            <w:tcW w:w="3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108,914</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249,965</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151,828</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321,192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225,528</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268,768</w:t>
            </w: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Inventories, net</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738,960</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416,650</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651,663</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51,442</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41,789</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50,632</w:t>
            </w:r>
          </w:p>
        </w:tc>
      </w:tr>
      <w:tr>
        <w:trPr>
          <w:trHeight w:val="233"/>
        </w:trPr>
        <w:tc>
          <w:tcPr>
            <w:tcW w:w="40" w:type="dxa"/>
            <w:vAlign w:val="bottom"/>
            <w:tcBorders>
              <w:top w:val="single" w:sz="8" w:color="auto"/>
            </w:tcBorders>
          </w:tcPr>
          <w:p>
            <w:pPr>
              <w:spacing w:after="0"/>
              <w:rPr>
                <w:sz w:val="20"/>
                <w:szCs w:val="20"/>
                <w:color w:val="auto"/>
              </w:rPr>
            </w:pPr>
          </w:p>
        </w:tc>
        <w:tc>
          <w:tcPr>
            <w:tcW w:w="662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Total current assets</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1,220,508</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933,932</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1,122,891</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Property, plant, and equipment, net</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431,253</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279,270</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437,317</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362,136</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227,091</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362,253</w:t>
            </w: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Other intangible assets, net</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347,643</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104,017</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352,374</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73,137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Investment in finance affiliate</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25,455</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25,430</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24,147</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6,161</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39,589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6,251</w:t>
            </w: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25,316</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13,485</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25,314</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2,491,609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1,622,814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2,330,547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189"/>
        </w:trPr>
        <w:tc>
          <w:tcPr>
            <w:tcW w:w="666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7"/>
                <w:szCs w:val="17"/>
                <w:color w:val="auto"/>
              </w:rPr>
              <w:t>LIABILITIES AND STOCKHOLDERS’ EQUITY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880" w:type="dxa"/>
            <w:vAlign w:val="bottom"/>
            <w:tcBorders>
              <w:top w:val="single" w:sz="8" w:color="auto"/>
            </w:tcBorders>
            <w:shd w:val="clear" w:color="auto" w:fill="CCEEFF"/>
          </w:tcPr>
          <w:p>
            <w:pPr>
              <w:spacing w:after="0"/>
              <w:rPr>
                <w:sz w:val="5"/>
                <w:szCs w:val="5"/>
                <w:color w:val="auto"/>
              </w:rPr>
            </w:pPr>
          </w:p>
        </w:tc>
        <w:tc>
          <w:tcPr>
            <w:tcW w:w="3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Current portion of long-term debt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113,903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79,914</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348,003</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281,526</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319,230</w:t>
            </w: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348,027</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283,452</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357,826</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Short-term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14,374</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40" w:type="dxa"/>
            <w:vAlign w:val="bottom"/>
            <w:tcBorders>
              <w:top w:val="single" w:sz="8" w:color="auto"/>
            </w:tcBorders>
          </w:tcPr>
          <w:p>
            <w:pPr>
              <w:spacing w:after="0"/>
              <w:rPr>
                <w:sz w:val="20"/>
                <w:szCs w:val="20"/>
                <w:color w:val="auto"/>
              </w:rPr>
            </w:pPr>
          </w:p>
        </w:tc>
        <w:tc>
          <w:tcPr>
            <w:tcW w:w="6620" w:type="dxa"/>
            <w:vAlign w:val="bottom"/>
            <w:tcBorders>
              <w:top w:val="single" w:sz="8" w:color="auto"/>
            </w:tcBorders>
            <w:gridSpan w:val="3"/>
          </w:tcPr>
          <w:p>
            <w:pPr>
              <w:ind w:left="14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824,307</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564,978</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756,970</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Long-term debt, less current portion</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601,016</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312,551</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620,899</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Long-term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62,015</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6660" w:type="dxa"/>
            <w:vAlign w:val="bottom"/>
            <w:gridSpan w:val="4"/>
          </w:tcPr>
          <w:p>
            <w:pPr>
              <w:ind w:left="40"/>
              <w:spacing w:after="0"/>
              <w:rPr>
                <w:sz w:val="20"/>
                <w:szCs w:val="20"/>
                <w:color w:val="auto"/>
              </w:rPr>
            </w:pPr>
            <w:r>
              <w:rPr>
                <w:rFonts w:ascii="Arial" w:cs="Arial" w:eastAsia="Arial" w:hAnsi="Arial"/>
                <w:sz w:val="17"/>
                <w:szCs w:val="17"/>
                <w:color w:val="auto"/>
              </w:rPr>
              <w:t>Deferred income taxes</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50,676</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1,410</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50,579</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41,545</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49,478</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42,521</w:t>
            </w:r>
          </w:p>
        </w:tc>
      </w:tr>
      <w:tr>
        <w:trPr>
          <w:trHeight w:val="28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6620" w:type="dxa"/>
            <w:vAlign w:val="bottom"/>
            <w:gridSpan w:val="3"/>
          </w:tcPr>
          <w:p>
            <w:pPr>
              <w:ind w:left="140"/>
              <w:spacing w:after="0"/>
              <w:rPr>
                <w:sz w:val="20"/>
                <w:szCs w:val="20"/>
                <w:color w:val="auto"/>
              </w:rPr>
            </w:pPr>
            <w:r>
              <w:rPr>
                <w:rFonts w:ascii="Arial" w:cs="Arial" w:eastAsia="Arial" w:hAnsi="Arial"/>
                <w:sz w:val="17"/>
                <w:szCs w:val="17"/>
                <w:color w:val="auto"/>
                <w:w w:val="95"/>
              </w:rPr>
              <w:t>Preferred stock, par value $1.00 per share, authorized 1,000,000 voting and 850,000 non-</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6620" w:type="dxa"/>
            <w:vAlign w:val="bottom"/>
            <w:gridSpan w:val="3"/>
          </w:tcPr>
          <w:p>
            <w:pPr>
              <w:ind w:left="140"/>
              <w:spacing w:after="0"/>
              <w:rPr>
                <w:sz w:val="20"/>
                <w:szCs w:val="20"/>
                <w:color w:val="auto"/>
              </w:rPr>
            </w:pPr>
            <w:r>
              <w:rPr>
                <w:rFonts w:ascii="Arial" w:cs="Arial" w:eastAsia="Arial" w:hAnsi="Arial"/>
                <w:sz w:val="17"/>
                <w:szCs w:val="17"/>
                <w:color w:val="auto"/>
              </w:rPr>
              <w:t>voting shares, none issued and outstanding</w:t>
            </w:r>
          </w:p>
        </w:tc>
        <w:tc>
          <w:tcPr>
            <w:tcW w:w="220" w:type="dxa"/>
            <w:vAlign w:val="bottom"/>
          </w:tcPr>
          <w:p>
            <w:pPr>
              <w:spacing w:after="0"/>
              <w:rPr>
                <w:sz w:val="18"/>
                <w:szCs w:val="18"/>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2"/>
        </w:trPr>
        <w:tc>
          <w:tcPr>
            <w:tcW w:w="4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9"/>
              </w:rPr>
              <w:t>Common stock, par value $1.00 per share, authorized 175,000,000 shares; issued and</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90"/>
              </w:rPr>
              <w:t>outstanding 106,977,274 shares as of January 31, 2020, 105,746,538 shares as of February 1,</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7"/>
        </w:trPr>
        <w:tc>
          <w:tcPr>
            <w:tcW w:w="40" w:type="dxa"/>
            <w:vAlign w:val="bottom"/>
            <w:tcBorders>
              <w:bottom w:val="single" w:sz="8" w:color="CCEEFF"/>
            </w:tcBorders>
            <w:shd w:val="clear" w:color="auto" w:fill="CCEEFF"/>
          </w:tcPr>
          <w:p>
            <w:pPr>
              <w:spacing w:after="0"/>
              <w:rPr>
                <w:sz w:val="19"/>
                <w:szCs w:val="19"/>
                <w:color w:val="auto"/>
              </w:rPr>
            </w:pPr>
          </w:p>
        </w:tc>
        <w:tc>
          <w:tcPr>
            <w:tcW w:w="6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2019, and 106,742,082 shares as of October 31, 2019</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106,977</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105,747</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106,742</w:t>
            </w:r>
          </w:p>
        </w:tc>
      </w:tr>
      <w:tr>
        <w:trPr>
          <w:trHeight w:val="239"/>
        </w:trPr>
        <w:tc>
          <w:tcPr>
            <w:tcW w:w="40" w:type="dxa"/>
            <w:vAlign w:val="bottom"/>
          </w:tcPr>
          <w:p>
            <w:pPr>
              <w:spacing w:after="0"/>
              <w:rPr>
                <w:sz w:val="20"/>
                <w:szCs w:val="20"/>
                <w:color w:val="auto"/>
              </w:rPr>
            </w:pPr>
          </w:p>
        </w:tc>
        <w:tc>
          <w:tcPr>
            <w:tcW w:w="6620" w:type="dxa"/>
            <w:vAlign w:val="bottom"/>
            <w:gridSpan w:val="3"/>
          </w:tcPr>
          <w:p>
            <w:pPr>
              <w:ind w:left="140"/>
              <w:spacing w:after="0"/>
              <w:rPr>
                <w:sz w:val="20"/>
                <w:szCs w:val="20"/>
                <w:color w:val="auto"/>
              </w:rPr>
            </w:pPr>
            <w:r>
              <w:rPr>
                <w:rFonts w:ascii="Arial" w:cs="Arial" w:eastAsia="Arial" w:hAnsi="Arial"/>
                <w:sz w:val="17"/>
                <w:szCs w:val="17"/>
                <w:color w:val="auto"/>
              </w:rPr>
              <w:t>Retained earnings</w:t>
            </w:r>
          </w:p>
        </w:tc>
        <w:tc>
          <w:tcPr>
            <w:tcW w:w="2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837,194</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613,165</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784,885</w:t>
            </w:r>
          </w:p>
        </w:tc>
      </w:tr>
      <w:tr>
        <w:trPr>
          <w:trHeight w:val="31"/>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(32,121)</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(24,515)</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(32,049)</w:t>
            </w:r>
          </w:p>
        </w:tc>
      </w:tr>
      <w:tr>
        <w:trPr>
          <w:trHeight w:val="233"/>
        </w:trPr>
        <w:tc>
          <w:tcPr>
            <w:tcW w:w="40" w:type="dxa"/>
            <w:vAlign w:val="bottom"/>
            <w:tcBorders>
              <w:top w:val="single" w:sz="8" w:color="auto"/>
            </w:tcBorders>
          </w:tcPr>
          <w:p>
            <w:pPr>
              <w:spacing w:after="0"/>
              <w:rPr>
                <w:sz w:val="20"/>
                <w:szCs w:val="20"/>
                <w:color w:val="auto"/>
              </w:rPr>
            </w:pPr>
          </w:p>
        </w:tc>
        <w:tc>
          <w:tcPr>
            <w:tcW w:w="6620" w:type="dxa"/>
            <w:vAlign w:val="bottom"/>
            <w:tcBorders>
              <w:top w:val="single" w:sz="8" w:color="auto"/>
            </w:tcBorders>
            <w:gridSpan w:val="3"/>
          </w:tcPr>
          <w:p>
            <w:pPr>
              <w:ind w:left="24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912,050</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694,397</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859,578</w:t>
            </w:r>
          </w:p>
        </w:tc>
      </w:tr>
      <w:tr>
        <w:trPr>
          <w:trHeight w:val="31"/>
        </w:trPr>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2,491,609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1,622,814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2,330,547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3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61"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7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734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70,091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59,540</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earnings to net cash (used in) provided by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Non-cash income from finance affiliate</w:t>
            </w:r>
          </w:p>
        </w:tc>
        <w:tc>
          <w:tcPr>
            <w:tcW w:w="112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(1,751)</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(2,429)</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Distributions from (contributions to) finance affiliate, net</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442</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Depreciation of property, plant and equipment</w:t>
            </w:r>
          </w:p>
        </w:tc>
        <w:tc>
          <w:tcPr>
            <w:tcW w:w="11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18,089</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13,670</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other intangible assets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4,714</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1,913</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Fair value step-up adjustment to acquired inventory</w:t>
            </w:r>
          </w:p>
        </w:tc>
        <w:tc>
          <w:tcPr>
            <w:tcW w:w="11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470</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 expense</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3,960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3,924</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11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141</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(1,225)</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175</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6"/>
        </w:trPr>
        <w:tc>
          <w:tcPr>
            <w:tcW w:w="7340" w:type="dxa"/>
            <w:vAlign w:val="bottom"/>
          </w:tcPr>
          <w:p>
            <w:pPr>
              <w:ind w:left="40"/>
              <w:spacing w:after="0"/>
              <w:rPr>
                <w:sz w:val="20"/>
                <w:szCs w:val="20"/>
                <w:color w:val="auto"/>
              </w:rPr>
            </w:pPr>
            <w:r>
              <w:rPr>
                <w:rFonts w:ascii="Arial" w:cs="Arial" w:eastAsia="Arial" w:hAnsi="Arial"/>
                <w:sz w:val="17"/>
                <w:szCs w:val="17"/>
                <w:color w:val="auto"/>
              </w:rPr>
              <w:t>Changes in operating assets and liabilities, net of effect of acquisitions:</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
        </w:trPr>
        <w:tc>
          <w:tcPr>
            <w:tcW w:w="7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Receivables, net</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(53,044)</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(31,331)</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Inventories, net</w:t>
            </w:r>
          </w:p>
        </w:tc>
        <w:tc>
          <w:tcPr>
            <w:tcW w:w="112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(88,557)</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(52,380)</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Prepaid expenses and other assets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237</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8,119</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11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21,734</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26,643</w:t>
            </w:r>
          </w:p>
        </w:tc>
      </w:tr>
      <w:tr>
        <w:trPr>
          <w:trHeight w:val="31"/>
        </w:trPr>
        <w:tc>
          <w:tcPr>
            <w:tcW w:w="7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cash (used in)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(23,299)</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25,985</w:t>
            </w:r>
          </w:p>
        </w:tc>
      </w:tr>
      <w:tr>
        <w:trPr>
          <w:trHeight w:val="291"/>
        </w:trPr>
        <w:tc>
          <w:tcPr>
            <w:tcW w:w="7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Purchases of property, plant and equipment</w:t>
            </w:r>
          </w:p>
        </w:tc>
        <w:tc>
          <w:tcPr>
            <w:tcW w:w="112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(11,821)</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(14,180)</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asset disposals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Investment in unconsolidated entities</w:t>
            </w:r>
          </w:p>
        </w:tc>
        <w:tc>
          <w:tcPr>
            <w:tcW w:w="112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Acquisitions, net of cash acquired</w:t>
            </w:r>
          </w:p>
        </w:tc>
        <w:tc>
          <w:tcPr>
            <w:tcW w:w="1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(12,498)</w:t>
            </w:r>
          </w:p>
        </w:tc>
      </w:tr>
      <w:tr>
        <w:trPr>
          <w:trHeight w:val="233"/>
        </w:trPr>
        <w:tc>
          <w:tcPr>
            <w:tcW w:w="734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rPr>
              <w:t>Net cash used in investing activities</w:t>
            </w:r>
          </w:p>
        </w:tc>
        <w:tc>
          <w:tcPr>
            <w:tcW w:w="1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(11,796)</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(26,825)</w:t>
            </w:r>
          </w:p>
        </w:tc>
      </w:tr>
      <w:tr>
        <w:trPr>
          <w:trHeight w:val="31"/>
        </w:trPr>
        <w:tc>
          <w:tcPr>
            <w:tcW w:w="7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1"/>
        </w:trPr>
        <w:tc>
          <w:tcPr>
            <w:tcW w:w="7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26"/>
        </w:trPr>
        <w:tc>
          <w:tcPr>
            <w:tcW w:w="734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
        </w:trPr>
        <w:tc>
          <w:tcPr>
            <w:tcW w:w="7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Borrowings under debt arrangements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82,025</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Repayments under debt arrangements</w:t>
            </w:r>
          </w:p>
        </w:tc>
        <w:tc>
          <w:tcPr>
            <w:tcW w:w="112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(68,025)</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6,710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7,569</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Payments of withholding taxes for stock awards</w:t>
            </w:r>
          </w:p>
        </w:tc>
        <w:tc>
          <w:tcPr>
            <w:tcW w:w="112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(1,361)</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(1,872)</w:t>
            </w:r>
          </w:p>
        </w:tc>
      </w:tr>
      <w:tr>
        <w:trPr>
          <w:trHeight w:val="31"/>
        </w:trPr>
        <w:tc>
          <w:tcPr>
            <w:tcW w:w="7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Toro common stock</w:t>
            </w:r>
          </w:p>
        </w:tc>
        <w:tc>
          <w:tcPr>
            <w:tcW w:w="1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(20,043)</w:t>
            </w:r>
          </w:p>
        </w:tc>
      </w:tr>
      <w:tr>
        <w:trPr>
          <w:trHeight w:val="239"/>
        </w:trPr>
        <w:tc>
          <w:tcPr>
            <w:tcW w:w="7340" w:type="dxa"/>
            <w:vAlign w:val="bottom"/>
          </w:tcPr>
          <w:p>
            <w:pPr>
              <w:ind w:left="180"/>
              <w:spacing w:after="0"/>
              <w:rPr>
                <w:sz w:val="20"/>
                <w:szCs w:val="20"/>
                <w:color w:val="auto"/>
              </w:rPr>
            </w:pPr>
            <w:r>
              <w:rPr>
                <w:rFonts w:ascii="Arial" w:cs="Arial" w:eastAsia="Arial" w:hAnsi="Arial"/>
                <w:sz w:val="17"/>
                <w:szCs w:val="17"/>
                <w:color w:val="auto"/>
              </w:rPr>
              <w:t>Dividends paid on Toro common stock</w:t>
            </w:r>
          </w:p>
        </w:tc>
        <w:tc>
          <w:tcPr>
            <w:tcW w:w="112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(26,856)</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(23,923)</w:t>
            </w:r>
          </w:p>
        </w:tc>
      </w:tr>
      <w:tr>
        <w:trPr>
          <w:trHeight w:val="31"/>
        </w:trPr>
        <w:tc>
          <w:tcPr>
            <w:tcW w:w="7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cash 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(7,507)</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(38,269)</w:t>
            </w:r>
          </w:p>
        </w:tc>
      </w:tr>
      <w:tr>
        <w:trPr>
          <w:trHeight w:val="291"/>
        </w:trPr>
        <w:tc>
          <w:tcPr>
            <w:tcW w:w="7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rates on cash and cash equivalents</w:t>
            </w:r>
          </w:p>
        </w:tc>
        <w:tc>
          <w:tcPr>
            <w:tcW w:w="1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91"/>
        </w:trPr>
        <w:tc>
          <w:tcPr>
            <w:tcW w:w="7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decrease in cash and cash equivalents</w:t>
            </w:r>
          </w:p>
        </w:tc>
        <w:tc>
          <w:tcPr>
            <w:tcW w:w="1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(42,914)</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(39,159)</w:t>
            </w:r>
          </w:p>
        </w:tc>
      </w:tr>
      <w:tr>
        <w:trPr>
          <w:trHeight w:val="233"/>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151,828</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289,124</w:t>
            </w:r>
          </w:p>
        </w:tc>
      </w:tr>
      <w:tr>
        <w:trPr>
          <w:trHeight w:val="31"/>
        </w:trPr>
        <w:tc>
          <w:tcPr>
            <w:tcW w:w="7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as of the end of the fiscal period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108,914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249,965</w:t>
            </w:r>
          </w:p>
        </w:tc>
      </w:tr>
      <w:tr>
        <w:trPr>
          <w:trHeight w:val="20"/>
        </w:trPr>
        <w:tc>
          <w:tcPr>
            <w:tcW w:w="7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jc w:val="right"/>
              <w:ind w:right="315"/>
              <w:spacing w:after="0"/>
              <w:rPr>
                <w:sz w:val="20"/>
                <w:szCs w:val="20"/>
                <w:color w:val="auto"/>
              </w:rPr>
            </w:pPr>
            <w:r>
              <w:rPr>
                <w:rFonts w:ascii="Arial" w:cs="Arial" w:eastAsia="Arial" w:hAnsi="Arial"/>
                <w:sz w:val="17"/>
                <w:szCs w:val="17"/>
                <w:b w:val="1"/>
                <w:bCs w:val="1"/>
                <w:color w:val="auto"/>
              </w:rPr>
              <w:t>Common</w:t>
            </w:r>
          </w:p>
        </w:tc>
        <w:tc>
          <w:tcPr>
            <w:tcW w:w="300" w:type="dxa"/>
            <w:vAlign w:val="bottom"/>
          </w:tcPr>
          <w:p>
            <w:pPr>
              <w:spacing w:after="0"/>
              <w:rPr>
                <w:sz w:val="17"/>
                <w:szCs w:val="17"/>
                <w:color w:val="auto"/>
              </w:rPr>
            </w:pPr>
          </w:p>
        </w:tc>
        <w:tc>
          <w:tcPr>
            <w:tcW w:w="1180" w:type="dxa"/>
            <w:vAlign w:val="bottom"/>
          </w:tcPr>
          <w:p>
            <w:pPr>
              <w:jc w:val="right"/>
              <w:ind w:right="315"/>
              <w:spacing w:after="0"/>
              <w:rPr>
                <w:sz w:val="20"/>
                <w:szCs w:val="20"/>
                <w:color w:val="auto"/>
              </w:rPr>
            </w:pPr>
            <w:r>
              <w:rPr>
                <w:rFonts w:ascii="Arial" w:cs="Arial" w:eastAsia="Arial" w:hAnsi="Arial"/>
                <w:sz w:val="17"/>
                <w:szCs w:val="17"/>
                <w:b w:val="1"/>
                <w:bCs w:val="1"/>
                <w:color w:val="auto"/>
              </w:rPr>
              <w:t>Retained</w:t>
            </w:r>
          </w:p>
        </w:tc>
        <w:tc>
          <w:tcPr>
            <w:tcW w:w="170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w w:val="99"/>
              </w:rPr>
              <w:t>Accumulated Other</w:t>
            </w:r>
          </w:p>
        </w:tc>
        <w:tc>
          <w:tcPr>
            <w:tcW w:w="1540" w:type="dxa"/>
            <w:vAlign w:val="bottom"/>
            <w:gridSpan w:val="2"/>
          </w:tcPr>
          <w:p>
            <w:pPr>
              <w:ind w:left="100"/>
              <w:spacing w:after="0"/>
              <w:rPr>
                <w:sz w:val="20"/>
                <w:szCs w:val="20"/>
                <w:color w:val="auto"/>
              </w:rPr>
            </w:pPr>
            <w:r>
              <w:rPr>
                <w:rFonts w:ascii="Arial" w:cs="Arial" w:eastAsia="Arial" w:hAnsi="Arial"/>
                <w:sz w:val="17"/>
                <w:szCs w:val="17"/>
                <w:b w:val="1"/>
                <w:bCs w:val="1"/>
                <w:color w:val="auto"/>
                <w:w w:val="90"/>
              </w:rPr>
              <w:t>Total Stockholders'</w:t>
            </w:r>
          </w:p>
        </w:tc>
      </w:tr>
      <w:tr>
        <w:trPr>
          <w:trHeight w:val="222"/>
        </w:trPr>
        <w:tc>
          <w:tcPr>
            <w:tcW w:w="5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ind w:right="435"/>
              <w:spacing w:after="0"/>
              <w:rPr>
                <w:sz w:val="20"/>
                <w:szCs w:val="20"/>
                <w:color w:val="auto"/>
              </w:rPr>
            </w:pPr>
            <w:r>
              <w:rPr>
                <w:rFonts w:ascii="Arial" w:cs="Arial" w:eastAsia="Arial" w:hAnsi="Arial"/>
                <w:sz w:val="17"/>
                <w:szCs w:val="17"/>
                <w:b w:val="1"/>
                <w:bCs w:val="1"/>
                <w:color w:val="auto"/>
              </w:rPr>
              <w:t>Stock</w:t>
            </w:r>
          </w:p>
        </w:tc>
        <w:tc>
          <w:tcPr>
            <w:tcW w:w="300" w:type="dxa"/>
            <w:vAlign w:val="bottom"/>
          </w:tcPr>
          <w:p>
            <w:pPr>
              <w:spacing w:after="0"/>
              <w:rPr>
                <w:sz w:val="19"/>
                <w:szCs w:val="19"/>
                <w:color w:val="auto"/>
              </w:rPr>
            </w:pPr>
          </w:p>
        </w:tc>
        <w:tc>
          <w:tcPr>
            <w:tcW w:w="1180" w:type="dxa"/>
            <w:vAlign w:val="bottom"/>
          </w:tcPr>
          <w:p>
            <w:pPr>
              <w:jc w:val="right"/>
              <w:ind w:right="315"/>
              <w:spacing w:after="0"/>
              <w:rPr>
                <w:sz w:val="20"/>
                <w:szCs w:val="20"/>
                <w:color w:val="auto"/>
              </w:rPr>
            </w:pPr>
            <w:r>
              <w:rPr>
                <w:rFonts w:ascii="Arial" w:cs="Arial" w:eastAsia="Arial" w:hAnsi="Arial"/>
                <w:sz w:val="17"/>
                <w:szCs w:val="17"/>
                <w:b w:val="1"/>
                <w:bCs w:val="1"/>
                <w:color w:val="auto"/>
              </w:rPr>
              <w:t>Earnings</w:t>
            </w:r>
          </w:p>
        </w:tc>
        <w:tc>
          <w:tcPr>
            <w:tcW w:w="1700" w:type="dxa"/>
            <w:vAlign w:val="bottom"/>
            <w:gridSpan w:val="2"/>
          </w:tcPr>
          <w:p>
            <w:pPr>
              <w:ind w:left="100"/>
              <w:spacing w:after="0"/>
              <w:rPr>
                <w:sz w:val="20"/>
                <w:szCs w:val="20"/>
                <w:color w:val="auto"/>
              </w:rPr>
            </w:pPr>
            <w:r>
              <w:rPr>
                <w:rFonts w:ascii="Arial" w:cs="Arial" w:eastAsia="Arial" w:hAnsi="Arial"/>
                <w:sz w:val="17"/>
                <w:szCs w:val="17"/>
                <w:b w:val="1"/>
                <w:bCs w:val="1"/>
                <w:color w:val="auto"/>
                <w:w w:val="91"/>
              </w:rPr>
              <w:t>Comprehensive Loss</w:t>
            </w:r>
          </w:p>
        </w:tc>
        <w:tc>
          <w:tcPr>
            <w:tcW w:w="360" w:type="dxa"/>
            <w:vAlign w:val="bottom"/>
          </w:tcPr>
          <w:p>
            <w:pPr>
              <w:spacing w:after="0"/>
              <w:rPr>
                <w:sz w:val="19"/>
                <w:szCs w:val="19"/>
                <w:color w:val="auto"/>
              </w:rPr>
            </w:pPr>
          </w:p>
        </w:tc>
        <w:tc>
          <w:tcPr>
            <w:tcW w:w="1180" w:type="dxa"/>
            <w:vAlign w:val="bottom"/>
          </w:tcPr>
          <w:p>
            <w:pPr>
              <w:jc w:val="right"/>
              <w:ind w:right="395"/>
              <w:spacing w:after="0"/>
              <w:rPr>
                <w:sz w:val="20"/>
                <w:szCs w:val="20"/>
                <w:color w:val="auto"/>
              </w:rPr>
            </w:pPr>
            <w:r>
              <w:rPr>
                <w:rFonts w:ascii="Arial" w:cs="Arial" w:eastAsia="Arial" w:hAnsi="Arial"/>
                <w:sz w:val="17"/>
                <w:szCs w:val="17"/>
                <w:b w:val="1"/>
                <w:bCs w:val="1"/>
                <w:color w:val="auto"/>
              </w:rPr>
              <w:t>Equity</w:t>
            </w:r>
          </w:p>
        </w:tc>
      </w:tr>
      <w:tr>
        <w:trPr>
          <w:trHeight w:val="31"/>
        </w:trPr>
        <w:tc>
          <w:tcPr>
            <w:tcW w:w="5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October 31, 2019</w:t>
            </w: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106,742</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784,885</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(32,049)</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859,578</w:t>
            </w:r>
          </w:p>
        </w:tc>
      </w:tr>
      <w:tr>
        <w:trPr>
          <w:trHeight w:val="233"/>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Cash dividends paid on common stock - $0.25 per share</w:t>
            </w:r>
          </w:p>
        </w:tc>
        <w:tc>
          <w:tcPr>
            <w:tcW w:w="4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(26,856)</w:t>
            </w: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(26,856)</w:t>
            </w:r>
          </w:p>
        </w:tc>
      </w:tr>
      <w:tr>
        <w:trPr>
          <w:trHeight w:val="31"/>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2"/>
        </w:trPr>
        <w:tc>
          <w:tcPr>
            <w:tcW w:w="50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Issuance of 351,501 shares for stock options exercised and restricted</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stock units vested</w:t>
            </w:r>
          </w:p>
        </w:tc>
        <w:tc>
          <w:tcPr>
            <w:tcW w:w="4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253</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3,889</w:t>
            </w: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4,142</w:t>
            </w:r>
          </w:p>
        </w:tc>
      </w:tr>
      <w:tr>
        <w:trPr>
          <w:trHeight w:val="239"/>
        </w:trPr>
        <w:tc>
          <w:tcPr>
            <w:tcW w:w="5080" w:type="dxa"/>
            <w:vAlign w:val="bottom"/>
          </w:tcPr>
          <w:p>
            <w:pPr>
              <w:ind w:left="40"/>
              <w:spacing w:after="0"/>
              <w:rPr>
                <w:sz w:val="20"/>
                <w:szCs w:val="20"/>
                <w:color w:val="auto"/>
              </w:rPr>
            </w:pPr>
            <w:r>
              <w:rPr>
                <w:rFonts w:ascii="Arial" w:cs="Arial" w:eastAsia="Arial" w:hAnsi="Arial"/>
                <w:sz w:val="17"/>
                <w:szCs w:val="17"/>
                <w:color w:val="auto"/>
              </w:rPr>
              <w:t>Stock-based compensation expense</w:t>
            </w:r>
          </w:p>
        </w:tc>
        <w:tc>
          <w:tcPr>
            <w:tcW w:w="44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3,960</w:t>
            </w:r>
          </w:p>
        </w:tc>
        <w:tc>
          <w:tcPr>
            <w:tcW w:w="60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3,960</w:t>
            </w:r>
          </w:p>
        </w:tc>
      </w:tr>
      <w:tr>
        <w:trPr>
          <w:trHeight w:val="31"/>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Contribution of stock to a deferred compensation trust</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2,568</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2,568</w:t>
            </w:r>
          </w:p>
        </w:tc>
      </w:tr>
      <w:tr>
        <w:trPr>
          <w:trHeight w:val="239"/>
        </w:trPr>
        <w:tc>
          <w:tcPr>
            <w:tcW w:w="5080" w:type="dxa"/>
            <w:vAlign w:val="bottom"/>
          </w:tcPr>
          <w:p>
            <w:pPr>
              <w:ind w:left="40"/>
              <w:spacing w:after="0"/>
              <w:rPr>
                <w:sz w:val="20"/>
                <w:szCs w:val="20"/>
                <w:color w:val="auto"/>
              </w:rPr>
            </w:pPr>
            <w:r>
              <w:rPr>
                <w:rFonts w:ascii="Arial" w:cs="Arial" w:eastAsia="Arial" w:hAnsi="Arial"/>
                <w:sz w:val="17"/>
                <w:szCs w:val="17"/>
                <w:color w:val="auto"/>
              </w:rPr>
              <w:t>Purchase of 17,740 shares of common stock</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w:t>
            </w:r>
          </w:p>
        </w:tc>
        <w:tc>
          <w:tcPr>
            <w:tcW w:w="3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(1,343)</w:t>
            </w:r>
          </w:p>
        </w:tc>
        <w:tc>
          <w:tcPr>
            <w:tcW w:w="60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(1,361)</w:t>
            </w:r>
          </w:p>
        </w:tc>
      </w:tr>
      <w:tr>
        <w:trPr>
          <w:trHeight w:val="31"/>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39"/>
        </w:trPr>
        <w:tc>
          <w:tcPr>
            <w:tcW w:w="508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44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70,091</w:t>
            </w:r>
          </w:p>
        </w:tc>
        <w:tc>
          <w:tcPr>
            <w:tcW w:w="60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70,091</w:t>
            </w:r>
          </w:p>
        </w:tc>
      </w:tr>
      <w:tr>
        <w:trPr>
          <w:trHeight w:val="31"/>
        </w:trPr>
        <w:tc>
          <w:tcPr>
            <w:tcW w:w="5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January 31, 2020</w:t>
            </w: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106,977</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837,194</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(32,121)</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912,050</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33"/>
        </w:trPr>
        <w:tc>
          <w:tcPr>
            <w:tcW w:w="5080" w:type="dxa"/>
            <w:vAlign w:val="bottom"/>
          </w:tcPr>
          <w:p>
            <w:pPr>
              <w:ind w:left="40"/>
              <w:spacing w:after="0"/>
              <w:rPr>
                <w:sz w:val="20"/>
                <w:szCs w:val="20"/>
                <w:color w:val="auto"/>
              </w:rPr>
            </w:pPr>
            <w:r>
              <w:rPr>
                <w:rFonts w:ascii="Arial" w:cs="Arial" w:eastAsia="Arial" w:hAnsi="Arial"/>
                <w:sz w:val="17"/>
                <w:szCs w:val="17"/>
                <w:color w:val="auto"/>
              </w:rPr>
              <w:t>Balance as of October 31, 2018</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105,601</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587,252</w:t>
            </w:r>
          </w:p>
        </w:tc>
        <w:tc>
          <w:tcPr>
            <w:tcW w:w="600" w:type="dxa"/>
            <w:vAlign w:val="bottom"/>
          </w:tcPr>
          <w:p>
            <w:pPr>
              <w:ind w:left="10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(23,937)</w:t>
            </w:r>
          </w:p>
        </w:tc>
        <w:tc>
          <w:tcPr>
            <w:tcW w:w="360" w:type="dxa"/>
            <w:vAlign w:val="bottom"/>
          </w:tcPr>
          <w:p>
            <w:pPr>
              <w:ind w:left="10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668,916</w:t>
            </w:r>
          </w:p>
        </w:tc>
      </w:tr>
      <w:tr>
        <w:trPr>
          <w:trHeight w:val="31"/>
        </w:trPr>
        <w:tc>
          <w:tcPr>
            <w:tcW w:w="5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dividends paid on common stock - $0.225 per share</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(23,923)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(23,923)</w:t>
            </w:r>
          </w:p>
        </w:tc>
      </w:tr>
      <w:tr>
        <w:trPr>
          <w:trHeight w:val="212"/>
        </w:trPr>
        <w:tc>
          <w:tcPr>
            <w:tcW w:w="5080" w:type="dxa"/>
            <w:vAlign w:val="bottom"/>
          </w:tcPr>
          <w:p>
            <w:pPr>
              <w:ind w:left="40"/>
              <w:spacing w:after="0"/>
              <w:rPr>
                <w:sz w:val="20"/>
                <w:szCs w:val="20"/>
                <w:color w:val="auto"/>
              </w:rPr>
            </w:pPr>
            <w:r>
              <w:rPr>
                <w:rFonts w:ascii="Arial" w:cs="Arial" w:eastAsia="Arial" w:hAnsi="Arial"/>
                <w:sz w:val="17"/>
                <w:szCs w:val="17"/>
                <w:color w:val="auto"/>
                <w:w w:val="96"/>
              </w:rPr>
              <w:t>Issuance of 537,786 shares for stock options exercised and restricted</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080" w:type="dxa"/>
            <w:vAlign w:val="bottom"/>
          </w:tcPr>
          <w:p>
            <w:pPr>
              <w:ind w:left="40"/>
              <w:spacing w:after="0"/>
              <w:rPr>
                <w:sz w:val="20"/>
                <w:szCs w:val="20"/>
                <w:color w:val="auto"/>
              </w:rPr>
            </w:pPr>
            <w:r>
              <w:rPr>
                <w:rFonts w:ascii="Arial" w:cs="Arial" w:eastAsia="Arial" w:hAnsi="Arial"/>
                <w:sz w:val="17"/>
                <w:szCs w:val="17"/>
                <w:color w:val="auto"/>
              </w:rPr>
              <w:t>stock units vested</w:t>
            </w:r>
          </w:p>
        </w:tc>
        <w:tc>
          <w:tcPr>
            <w:tcW w:w="44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538</w:t>
            </w:r>
          </w:p>
        </w:tc>
        <w:tc>
          <w:tcPr>
            <w:tcW w:w="30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5,627</w:t>
            </w:r>
          </w:p>
        </w:tc>
        <w:tc>
          <w:tcPr>
            <w:tcW w:w="600" w:type="dxa"/>
            <w:vAlign w:val="bottom"/>
          </w:tcPr>
          <w:p>
            <w:pPr>
              <w:spacing w:after="0"/>
              <w:rPr>
                <w:sz w:val="18"/>
                <w:szCs w:val="18"/>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6,165</w:t>
            </w:r>
          </w:p>
        </w:tc>
      </w:tr>
      <w:tr>
        <w:trPr>
          <w:trHeight w:val="31"/>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Stock-based compensation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3,924</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3,924</w:t>
            </w:r>
          </w:p>
        </w:tc>
      </w:tr>
      <w:tr>
        <w:trPr>
          <w:trHeight w:val="239"/>
        </w:trPr>
        <w:tc>
          <w:tcPr>
            <w:tcW w:w="5080" w:type="dxa"/>
            <w:vAlign w:val="bottom"/>
          </w:tcPr>
          <w:p>
            <w:pPr>
              <w:ind w:left="40"/>
              <w:spacing w:after="0"/>
              <w:rPr>
                <w:sz w:val="20"/>
                <w:szCs w:val="20"/>
                <w:color w:val="auto"/>
              </w:rPr>
            </w:pPr>
            <w:r>
              <w:rPr>
                <w:rFonts w:ascii="Arial" w:cs="Arial" w:eastAsia="Arial" w:hAnsi="Arial"/>
                <w:sz w:val="17"/>
                <w:szCs w:val="17"/>
                <w:color w:val="auto"/>
              </w:rPr>
              <w:t>Contribution of stock to a deferred compensation trust</w:t>
            </w:r>
          </w:p>
        </w:tc>
        <w:tc>
          <w:tcPr>
            <w:tcW w:w="44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1,404</w:t>
            </w:r>
          </w:p>
        </w:tc>
        <w:tc>
          <w:tcPr>
            <w:tcW w:w="60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1,404</w:t>
            </w:r>
          </w:p>
        </w:tc>
      </w:tr>
      <w:tr>
        <w:trPr>
          <w:trHeight w:val="31"/>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 of 391,900 shares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(21,523)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(21,915)</w:t>
            </w:r>
          </w:p>
        </w:tc>
      </w:tr>
      <w:tr>
        <w:trPr>
          <w:trHeight w:val="239"/>
        </w:trPr>
        <w:tc>
          <w:tcPr>
            <w:tcW w:w="5080" w:type="dxa"/>
            <w:vAlign w:val="bottom"/>
          </w:tcPr>
          <w:p>
            <w:pPr>
              <w:ind w:left="40"/>
              <w:spacing w:after="0"/>
              <w:rPr>
                <w:sz w:val="20"/>
                <w:szCs w:val="20"/>
                <w:color w:val="auto"/>
              </w:rPr>
            </w:pPr>
            <w:r>
              <w:rPr>
                <w:rFonts w:ascii="Arial" w:cs="Arial" w:eastAsia="Arial" w:hAnsi="Arial"/>
                <w:sz w:val="17"/>
                <w:szCs w:val="17"/>
                <w:color w:val="auto"/>
                <w:w w:val="96"/>
              </w:rPr>
              <w:t>Cumulative transition adjustment due to the adoption of ASU 2014-09</w:t>
            </w:r>
          </w:p>
        </w:tc>
        <w:tc>
          <w:tcPr>
            <w:tcW w:w="44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864</w:t>
            </w:r>
          </w:p>
        </w:tc>
        <w:tc>
          <w:tcPr>
            <w:tcW w:w="60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864</w:t>
            </w:r>
          </w:p>
        </w:tc>
      </w:tr>
      <w:tr>
        <w:trPr>
          <w:trHeight w:val="31"/>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(578)</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(578)</w:t>
            </w:r>
          </w:p>
        </w:tc>
      </w:tr>
      <w:tr>
        <w:trPr>
          <w:trHeight w:val="239"/>
        </w:trPr>
        <w:tc>
          <w:tcPr>
            <w:tcW w:w="508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44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59,540</w:t>
            </w:r>
          </w:p>
        </w:tc>
        <w:tc>
          <w:tcPr>
            <w:tcW w:w="60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59,540</w:t>
            </w:r>
          </w:p>
        </w:tc>
      </w:tr>
      <w:tr>
        <w:trPr>
          <w:trHeight w:val="31"/>
        </w:trPr>
        <w:tc>
          <w:tcPr>
            <w:tcW w:w="5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February 1, 2019</w:t>
            </w: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105,747</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613,165</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(24,515)</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694,397</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pacing w:after="0" w:line="200" w:lineRule="exact"/>
        <w:rPr>
          <w:sz w:val="20"/>
          <w:szCs w:val="20"/>
          <w:color w:val="auto"/>
        </w:rPr>
      </w:pPr>
    </w:p>
    <w:p>
      <w:pPr>
        <w:spacing w:after="0" w:line="305" w:lineRule="exact"/>
        <w:rPr>
          <w:sz w:val="20"/>
          <w:szCs w:val="20"/>
          <w:color w:val="auto"/>
        </w:rPr>
      </w:pPr>
    </w:p>
    <w:p>
      <w:pPr>
        <w:ind w:left="580" w:hanging="545"/>
        <w:spacing w:after="0"/>
        <w:tabs>
          <w:tab w:leader="none" w:pos="580" w:val="left"/>
        </w:tabs>
        <w:numPr>
          <w:ilvl w:val="0"/>
          <w:numId w:val="3"/>
        </w:numPr>
        <w:rPr>
          <w:rFonts w:ascii="Arial" w:cs="Arial" w:eastAsia="Arial" w:hAnsi="Arial"/>
          <w:sz w:val="43"/>
          <w:szCs w:val="43"/>
          <w:b w:val="1"/>
          <w:bCs w:val="1"/>
          <w:color w:val="auto"/>
        </w:rPr>
      </w:pPr>
      <w:r>
        <w:rPr>
          <w:rFonts w:ascii="Arial" w:cs="Arial" w:eastAsia="Arial" w:hAnsi="Arial"/>
          <w:sz w:val="20"/>
          <w:szCs w:val="20"/>
          <w:b w:val="1"/>
          <w:bCs w:val="1"/>
          <w:color w:val="auto"/>
        </w:rPr>
        <w:t>Basis of Presentation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"Toro," "we," "our," or "us" refer to The Toro Company and its consolidated subsidiaries. All intercompany accounts and transactions have been eliminated from the unaudited Condensed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Since the company’s business is seasonal, operating results for the three months ended January 31, 2020 cannot be annualized to determine the expected results for the fiscal year ending October 31, 2020.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further information regarding the company's basis of presentation, refer to the Consolidated Financial Statements and Notes to Consolidated Financial Statements included in the company’s Annual Report on Form 10-K for the fiscal year ended October 31, 2019. The policies described in that report are used for preparing the company's quarterly reports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legal accruals, inventory valuation and reserves, warranty reserves, allowance for doubtful accounts, pension and post-retirement accruals, self-insurance accruals, useful lives for tangible and definite-lived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among other things, requires lessees to recognize most leases on-balance sheet. The standard requires the recognition of right-of-use assets and lease liabilities by lessees for those leases classified as operating leases under legacy accounting guidance at Accounting Standards Codification ("ASC")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standard also requires a greater level of quantitative and qualitative disclosures regarding the nature of the entity’s leasing activities than were previously required under U.S. GAAP. In January 2018, the FASB issued ASU No. 2018-01, </w:t>
      </w:r>
      <w:r>
        <w:rPr>
          <w:rFonts w:ascii="Arial" w:cs="Arial" w:eastAsia="Arial" w:hAnsi="Arial"/>
          <w:sz w:val="17"/>
          <w:szCs w:val="17"/>
          <w:i w:val="1"/>
          <w:iCs w:val="1"/>
          <w:color w:val="auto"/>
        </w:rPr>
        <w:t>Leases (Topic 842): Land</w:t>
      </w:r>
      <w:r>
        <w:rPr>
          <w:rFonts w:ascii="Arial" w:cs="Arial" w:eastAsia="Arial" w:hAnsi="Arial"/>
          <w:sz w:val="17"/>
          <w:szCs w:val="17"/>
          <w:color w:val="auto"/>
        </w:rPr>
        <w:t xml:space="preserve"> </w:t>
      </w:r>
      <w:r>
        <w:rPr>
          <w:rFonts w:ascii="Arial" w:cs="Arial" w:eastAsia="Arial" w:hAnsi="Arial"/>
          <w:sz w:val="17"/>
          <w:szCs w:val="17"/>
          <w:i w:val="1"/>
          <w:iCs w:val="1"/>
          <w:color w:val="auto"/>
        </w:rPr>
        <w:t>Easement Practical Expedient for Transition to Topic 842</w:t>
      </w:r>
      <w:r>
        <w:rPr>
          <w:rFonts w:ascii="Arial" w:cs="Arial" w:eastAsia="Arial" w:hAnsi="Arial"/>
          <w:sz w:val="17"/>
          <w:szCs w:val="17"/>
          <w:color w:val="auto"/>
        </w:rPr>
        <w:t>, which provides an optional transition practical expedient to not evaluate existing or expired land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easements under the amended lease guidance.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which provides narrow amendments to clarify how to apply certain aspects of the new lease standard. Additionally, 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an alternative transition method that permits an entity to use the effective date of ASU No. 2016-02 as the date of initial application through the recognition of a cumulative effect adjustment to the opening balance of retained earnings upon adoption. Consequently,</w:t>
      </w:r>
    </w:p>
    <w:p>
      <w:pPr>
        <w:sectPr>
          <w:pgSz w:w="11900" w:h="16838" w:orient="portrait"/>
          <w:cols w:equalWidth="0" w:num="1">
            <w:col w:w="11420"/>
          </w:cols>
          <w:pgMar w:left="240" w:top="125" w:right="239"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an entity's reporting for the comparative periods presented in the financial statements in which it adopts the new lease standard will continue to be in accordance with previous U.S. GAAP under ASC Topic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ASU No. 2016-02, as augmented by ASU No. 2018-01, ASU No. 2018-10, and ASU No. 2018-11 (the "amended guidance"), was adopted by the company on November 1, 2019, the first quarter of fiscal 2020, under the modified retrospective transition method with no cumulative-effect adjustment to beginning retained earnings within the Condensed Consolidated Balance Sheet as of such date. Under such transition method, the company elected the following practical expedients:</w:t>
      </w:r>
    </w:p>
    <w:p>
      <w:pPr>
        <w:spacing w:after="0" w:line="79"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transition package of practical expedients, which among other things, allows the company to carryforward the historical lease classification determined under previous U.S. GAAP.</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transition practical expedient to not reassess the company's accounting for land easements that exist as of the adoption of the amended guidance.</w:t>
      </w:r>
    </w:p>
    <w:p>
      <w:pPr>
        <w:spacing w:after="0" w:line="3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short-term lease exemption to not record right-of-use assets and lease liabilities on the Condensed Consolidated Balance Sheet for leases with an initial lease term of 12 months or less, which has resulted in recognizing the lease payments related to such leases within the company's Condensed Consolidated Statements of Earnings on a straight-line basis over the lease term.</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elect the transition practical expedient to use hindsight in determining the lease term and in assessing the impairment of right-of-use assets.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adoption of the amended guidance, the company recorded $78.1 million of right-of-use assets and $77.1 million of corresponding lease liabilities within the Condensed Consolidated Balance Sheet as of November 1, 2019. The adoption of the standard did not have a material impact on the company's Condensed Consolidated Statements of Earnings, Condensed Consolidated Statements of Cash Flows, business processes, internal controls, and information systems. As permitted under the amended guidance, prior period amounts were not restated, but will continue to be reported under the legacy accounting guidance that was in effect for the respective prior periods.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 - 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which amends ASC 718,</w:t>
      </w:r>
      <w:r>
        <w:rPr>
          <w:rFonts w:ascii="Arial" w:cs="Arial" w:eastAsia="Arial" w:hAnsi="Arial"/>
          <w:sz w:val="17"/>
          <w:szCs w:val="17"/>
          <w:i w:val="1"/>
          <w:iCs w:val="1"/>
          <w:color w:val="auto"/>
        </w:rPr>
        <w:t xml:space="preserve"> Compensation - Stock Compensation</w:t>
      </w:r>
      <w:r>
        <w:rPr>
          <w:rFonts w:ascii="Arial" w:cs="Arial" w:eastAsia="Arial" w:hAnsi="Arial"/>
          <w:sz w:val="17"/>
          <w:szCs w:val="17"/>
          <w:color w:val="auto"/>
        </w:rPr>
        <w:t>, to include share-based payment transactions for acquiring goods and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from nonemployees. The standard requires that most of the guidance related to stock compensation granted to employees be followed for nonemployees, including the measurement date, valuation approach, and performance conditions. The amended guidance was adopted in the first quarter of fiscal 2020 and did not have a material impact on the company's Condensed Consolidated Financial Statements.</w:t>
      </w:r>
    </w:p>
    <w:p>
      <w:pPr>
        <w:spacing w:after="0" w:line="358" w:lineRule="exact"/>
        <w:rPr>
          <w:sz w:val="20"/>
          <w:szCs w:val="20"/>
          <w:color w:val="auto"/>
        </w:rPr>
      </w:pPr>
    </w:p>
    <w:p>
      <w:pPr>
        <w:ind w:left="580" w:hanging="545"/>
        <w:spacing w:after="0"/>
        <w:tabs>
          <w:tab w:leader="none" w:pos="580" w:val="left"/>
        </w:tabs>
        <w:numPr>
          <w:ilvl w:val="0"/>
          <w:numId w:val="5"/>
        </w:numPr>
        <w:rPr>
          <w:rFonts w:ascii="Arial" w:cs="Arial" w:eastAsia="Arial" w:hAnsi="Arial"/>
          <w:sz w:val="43"/>
          <w:szCs w:val="43"/>
          <w:b w:val="1"/>
          <w:bCs w:val="1"/>
          <w:color w:val="auto"/>
        </w:rPr>
      </w:pPr>
      <w:r>
        <w:rPr>
          <w:rFonts w:ascii="Arial" w:cs="Arial" w:eastAsia="Arial" w:hAnsi="Arial"/>
          <w:sz w:val="20"/>
          <w:szCs w:val="20"/>
          <w:b w:val="1"/>
          <w:bCs w:val="1"/>
          <w:color w:val="auto"/>
        </w:rPr>
        <w:t>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Charles Machine Works, Inc. ("CMW")</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April 1, 2019 ("closing date"), pursuant to the Agreement and Plan of Merger dated February 14, 2019 ("merger agreement"), the company completed the acquisition of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the company's Professional segment product portfolio and expanded its dealer network, while also providing a complementary geographic manufacturing footprint. The transaction was structured as a merger, pursuant to which a wholly-owned subsidiary of the company merged with and into CMW, with CMW continuing as the surviving entity and a wholly-owned subsidiary of the company. As a result of the merger, all of the outstanding equity securities of CMW were canceled and now only represent the right to receive the applicable consideration as described in the merger agreement. At the closing date, the company paid preliminary merger consideration of $679.3 million that was subject to customary adjustments based on, among other things, the amount of actual cash, debt and working capital in the business of CMW at the closing date. During the fourth quarter of fiscal 2019, the company finalized such cash, debt and working capital adjustments and these adjustments resulted in an aggregate merger consideration of $685.0 million ("purchase price"). The company funded the purchase price for the acquisition by using a combination of cash proceeds from the issuance of borrowings under the company's unsecured senior term loan credit agreement and borrowings under the company's unsecured senior revolving credit facility. For additional information regarding the financing agreements utilized to fund the purchase price, refer to Note 6, </w:t>
      </w:r>
      <w:r>
        <w:rPr>
          <w:rFonts w:ascii="Arial" w:cs="Arial" w:eastAsia="Arial" w:hAnsi="Arial"/>
          <w:sz w:val="16"/>
          <w:szCs w:val="16"/>
          <w:i w:val="1"/>
          <w:iCs w:val="1"/>
          <w:color w:val="auto"/>
        </w:rPr>
        <w:t>Indebtedness</w:t>
      </w:r>
      <w:r>
        <w:rPr>
          <w:rFonts w:ascii="Arial" w:cs="Arial" w:eastAsia="Arial" w:hAnsi="Arial"/>
          <w:sz w:val="16"/>
          <w:szCs w:val="16"/>
          <w:color w:val="auto"/>
        </w:rPr>
        <w:t>. As a result of the acquisition, the company incurred approximately $10.2 million of acquisition-related transaction costs, all of which were incurred during the fiscal year ended October 31, 2019 and recorded within selling, general and administrative expense within the Consolidated Statements of Earnings for such fiscal period.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accounted for the acquisition in accordance with the accounting standards codification guidance for business combinations, whereby the total purchase price was allocated to the acquired net tangible and intangible assets of CMW based on their fair values as of the closing date. As of January 31, 2020, the company has substantially completed its process for measuring the fair values of the assets acquired and liabilities assumed based on information available as of the closing date, with the exception of the company's valuation of income taxes as the company requires additional information to finalize its valuation of income taxes. Thus, the preliminary measurements of fair value reflected for income taxes are subject to change as additional information becomes available and as additional analysis is performed. The company expects to finalize its preliminary valuation of income taxes and complete the allocation of the purchase price during its fiscal 2020 second quarter, but no later than one year from the closing date of the acquisition, as required.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allocation of the purchase price to the fair values assigned to the CMW assets acquired and liabilities assumed. These fair values are based on internal company and independent external third-party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660" w:type="dxa"/>
            <w:vAlign w:val="bottom"/>
          </w:tcPr>
          <w:p>
            <w:pPr>
              <w:spacing w:after="0"/>
              <w:rPr>
                <w:sz w:val="19"/>
                <w:szCs w:val="19"/>
                <w:color w:val="auto"/>
              </w:rPr>
            </w:pPr>
          </w:p>
        </w:tc>
        <w:tc>
          <w:tcPr>
            <w:tcW w:w="1280" w:type="dxa"/>
            <w:vAlign w:val="bottom"/>
          </w:tcPr>
          <w:p>
            <w:pPr>
              <w:jc w:val="right"/>
              <w:ind w:right="175"/>
              <w:spacing w:after="0"/>
              <w:rPr>
                <w:sz w:val="20"/>
                <w:szCs w:val="20"/>
                <w:color w:val="auto"/>
              </w:rPr>
            </w:pPr>
            <w:r>
              <w:rPr>
                <w:rFonts w:ascii="Arial" w:cs="Arial" w:eastAsia="Arial" w:hAnsi="Arial"/>
                <w:sz w:val="17"/>
                <w:szCs w:val="17"/>
                <w:b w:val="1"/>
                <w:bCs w:val="1"/>
                <w:color w:val="auto"/>
                <w:w w:val="99"/>
              </w:rPr>
              <w:t>April 1, 2019</w:t>
            </w:r>
          </w:p>
        </w:tc>
      </w:tr>
      <w:tr>
        <w:trPr>
          <w:trHeight w:val="31"/>
        </w:trPr>
        <w:tc>
          <w:tcPr>
            <w:tcW w:w="6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16,341</w:t>
            </w:r>
          </w:p>
        </w:tc>
      </w:tr>
      <w:tr>
        <w:trPr>
          <w:trHeight w:val="239"/>
        </w:trPr>
        <w:tc>
          <w:tcPr>
            <w:tcW w:w="6480" w:type="dxa"/>
            <w:vAlign w:val="bottom"/>
          </w:tcPr>
          <w:p>
            <w:pPr>
              <w:ind w:left="40"/>
              <w:spacing w:after="0"/>
              <w:rPr>
                <w:sz w:val="20"/>
                <w:szCs w:val="20"/>
                <w:color w:val="auto"/>
              </w:rPr>
            </w:pPr>
            <w:r>
              <w:rPr>
                <w:rFonts w:ascii="Arial" w:cs="Arial" w:eastAsia="Arial" w:hAnsi="Arial"/>
                <w:sz w:val="17"/>
                <w:szCs w:val="17"/>
                <w:color w:val="auto"/>
              </w:rPr>
              <w:t>Receivables</w:t>
            </w:r>
          </w:p>
        </w:tc>
        <w:tc>
          <w:tcPr>
            <w:tcW w:w="366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65,674</w:t>
            </w:r>
          </w:p>
        </w:tc>
      </w:tr>
      <w:tr>
        <w:trPr>
          <w:trHeight w:val="31"/>
        </w:trPr>
        <w:tc>
          <w:tcPr>
            <w:tcW w:w="6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Inventories</w:t>
            </w:r>
          </w:p>
        </w:tc>
        <w:tc>
          <w:tcPr>
            <w:tcW w:w="3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241,429</w:t>
            </w:r>
          </w:p>
        </w:tc>
      </w:tr>
      <w:tr>
        <w:trPr>
          <w:trHeight w:val="239"/>
        </w:trPr>
        <w:tc>
          <w:tcPr>
            <w:tcW w:w="6480" w:type="dxa"/>
            <w:vAlign w:val="bottom"/>
          </w:tcPr>
          <w:p>
            <w:pPr>
              <w:ind w:left="40"/>
              <w:spacing w:after="0"/>
              <w:rPr>
                <w:sz w:val="20"/>
                <w:szCs w:val="20"/>
                <w:color w:val="auto"/>
              </w:rPr>
            </w:pPr>
            <w:r>
              <w:rPr>
                <w:rFonts w:ascii="Arial" w:cs="Arial" w:eastAsia="Arial" w:hAnsi="Arial"/>
                <w:sz w:val="17"/>
                <w:szCs w:val="17"/>
                <w:color w:val="auto"/>
              </w:rPr>
              <w:t>Prepaid expenses and other current assets</w:t>
            </w:r>
          </w:p>
        </w:tc>
        <w:tc>
          <w:tcPr>
            <w:tcW w:w="366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9,218</w:t>
            </w:r>
          </w:p>
        </w:tc>
      </w:tr>
      <w:tr>
        <w:trPr>
          <w:trHeight w:val="31"/>
        </w:trPr>
        <w:tc>
          <w:tcPr>
            <w:tcW w:w="6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w:t>
            </w:r>
          </w:p>
        </w:tc>
        <w:tc>
          <w:tcPr>
            <w:tcW w:w="3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142,779</w:t>
            </w:r>
          </w:p>
        </w:tc>
      </w:tr>
      <w:tr>
        <w:trPr>
          <w:trHeight w:val="239"/>
        </w:trPr>
        <w:tc>
          <w:tcPr>
            <w:tcW w:w="6480" w:type="dxa"/>
            <w:vAlign w:val="bottom"/>
          </w:tcPr>
          <w:p>
            <w:pPr>
              <w:ind w:left="40"/>
              <w:spacing w:after="0"/>
              <w:rPr>
                <w:sz w:val="20"/>
                <w:szCs w:val="20"/>
                <w:color w:val="auto"/>
              </w:rPr>
            </w:pPr>
            <w:r>
              <w:rPr>
                <w:rFonts w:ascii="Arial" w:cs="Arial" w:eastAsia="Arial" w:hAnsi="Arial"/>
                <w:sz w:val="17"/>
                <w:szCs w:val="17"/>
                <w:color w:val="auto"/>
              </w:rPr>
              <w:t>Goodwill</w:t>
            </w:r>
          </w:p>
        </w:tc>
        <w:tc>
          <w:tcPr>
            <w:tcW w:w="366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135,521</w:t>
            </w:r>
          </w:p>
        </w:tc>
      </w:tr>
      <w:tr>
        <w:trPr>
          <w:trHeight w:val="31"/>
        </w:trPr>
        <w:tc>
          <w:tcPr>
            <w:tcW w:w="6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intangible assets</w:t>
            </w:r>
          </w:p>
        </w:tc>
        <w:tc>
          <w:tcPr>
            <w:tcW w:w="3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264,190</w:t>
            </w:r>
          </w:p>
        </w:tc>
      </w:tr>
      <w:tr>
        <w:trPr>
          <w:trHeight w:val="239"/>
        </w:trPr>
        <w:tc>
          <w:tcPr>
            <w:tcW w:w="6480" w:type="dxa"/>
            <w:vAlign w:val="bottom"/>
          </w:tcPr>
          <w:p>
            <w:pPr>
              <w:ind w:left="40"/>
              <w:spacing w:after="0"/>
              <w:rPr>
                <w:sz w:val="20"/>
                <w:szCs w:val="20"/>
                <w:color w:val="auto"/>
              </w:rPr>
            </w:pPr>
            <w:r>
              <w:rPr>
                <w:rFonts w:ascii="Arial" w:cs="Arial" w:eastAsia="Arial" w:hAnsi="Arial"/>
                <w:sz w:val="17"/>
                <w:szCs w:val="17"/>
                <w:color w:val="auto"/>
              </w:rPr>
              <w:t>Other long-term assets</w:t>
            </w:r>
          </w:p>
        </w:tc>
        <w:tc>
          <w:tcPr>
            <w:tcW w:w="366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7,971</w:t>
            </w:r>
          </w:p>
        </w:tc>
      </w:tr>
      <w:tr>
        <w:trPr>
          <w:trHeight w:val="31"/>
        </w:trPr>
        <w:tc>
          <w:tcPr>
            <w:tcW w:w="6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3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(36,655)</w:t>
            </w:r>
          </w:p>
        </w:tc>
      </w:tr>
      <w:tr>
        <w:trPr>
          <w:trHeight w:val="239"/>
        </w:trPr>
        <w:tc>
          <w:tcPr>
            <w:tcW w:w="6480" w:type="dxa"/>
            <w:vAlign w:val="bottom"/>
          </w:tcPr>
          <w:p>
            <w:pPr>
              <w:ind w:left="40"/>
              <w:spacing w:after="0"/>
              <w:rPr>
                <w:sz w:val="20"/>
                <w:szCs w:val="20"/>
                <w:color w:val="auto"/>
              </w:rPr>
            </w:pPr>
            <w:r>
              <w:rPr>
                <w:rFonts w:ascii="Arial" w:cs="Arial" w:eastAsia="Arial" w:hAnsi="Arial"/>
                <w:sz w:val="17"/>
                <w:szCs w:val="17"/>
                <w:color w:val="auto"/>
              </w:rPr>
              <w:t>Accrued liabilities</w:t>
            </w:r>
          </w:p>
        </w:tc>
        <w:tc>
          <w:tcPr>
            <w:tcW w:w="3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(52,258)</w:t>
            </w:r>
          </w:p>
        </w:tc>
      </w:tr>
      <w:tr>
        <w:trPr>
          <w:trHeight w:val="31"/>
        </w:trPr>
        <w:tc>
          <w:tcPr>
            <w:tcW w:w="64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income tax liabilities</w:t>
            </w:r>
          </w:p>
        </w:tc>
        <w:tc>
          <w:tcPr>
            <w:tcW w:w="3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(86,231)</w:t>
            </w:r>
          </w:p>
        </w:tc>
      </w:tr>
      <w:tr>
        <w:trPr>
          <w:trHeight w:val="239"/>
        </w:trPr>
        <w:tc>
          <w:tcPr>
            <w:tcW w:w="6480" w:type="dxa"/>
            <w:vAlign w:val="bottom"/>
          </w:tcPr>
          <w:p>
            <w:pPr>
              <w:ind w:left="40"/>
              <w:spacing w:after="0"/>
              <w:rPr>
                <w:sz w:val="20"/>
                <w:szCs w:val="20"/>
                <w:color w:val="auto"/>
              </w:rPr>
            </w:pPr>
            <w:r>
              <w:rPr>
                <w:rFonts w:ascii="Arial" w:cs="Arial" w:eastAsia="Arial" w:hAnsi="Arial"/>
                <w:sz w:val="17"/>
                <w:szCs w:val="17"/>
                <w:color w:val="auto"/>
              </w:rPr>
              <w:t>Other long-term liabilities</w:t>
            </w:r>
          </w:p>
        </w:tc>
        <w:tc>
          <w:tcPr>
            <w:tcW w:w="3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(6,665)</w:t>
            </w:r>
          </w:p>
        </w:tc>
      </w:tr>
      <w:tr>
        <w:trPr>
          <w:trHeight w:val="31"/>
        </w:trPr>
        <w:tc>
          <w:tcPr>
            <w:tcW w:w="6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fair value of net assets acquired</w:t>
            </w:r>
          </w:p>
        </w:tc>
        <w:tc>
          <w:tcPr>
            <w:tcW w:w="3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701,314</w:t>
            </w:r>
          </w:p>
        </w:tc>
      </w:tr>
      <w:tr>
        <w:trPr>
          <w:trHeight w:val="239"/>
        </w:trPr>
        <w:tc>
          <w:tcPr>
            <w:tcW w:w="6480" w:type="dxa"/>
            <w:vAlign w:val="bottom"/>
          </w:tcPr>
          <w:p>
            <w:pPr>
              <w:ind w:left="180"/>
              <w:spacing w:after="0"/>
              <w:rPr>
                <w:sz w:val="20"/>
                <w:szCs w:val="20"/>
                <w:color w:val="auto"/>
              </w:rPr>
            </w:pPr>
            <w:r>
              <w:rPr>
                <w:rFonts w:ascii="Arial" w:cs="Arial" w:eastAsia="Arial" w:hAnsi="Arial"/>
                <w:sz w:val="17"/>
                <w:szCs w:val="17"/>
                <w:color w:val="auto"/>
              </w:rPr>
              <w:t>Less: cash and cash equivalents acquired</w:t>
            </w:r>
          </w:p>
        </w:tc>
        <w:tc>
          <w:tcPr>
            <w:tcW w:w="3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(16,341)</w:t>
            </w:r>
          </w:p>
        </w:tc>
      </w:tr>
      <w:tr>
        <w:trPr>
          <w:trHeight w:val="31"/>
        </w:trPr>
        <w:tc>
          <w:tcPr>
            <w:tcW w:w="64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purchase price</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684,973</w:t>
            </w:r>
          </w:p>
        </w:tc>
      </w:tr>
      <w:tr>
        <w:trPr>
          <w:trHeight w:val="20"/>
        </w:trPr>
        <w:tc>
          <w:tcPr>
            <w:tcW w:w="64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goodwill recognized is primarily attributable to the value of the workforce, the reputation of CMW and its family of brands, customer and dealer growth opportunities, and expected synergies. Key areas of expected cost synergies include increased purchasing power for commodities, components, parts, accessories, supply chain consolidation, and administrative efficiencies. The goodwill resulting from the acquisition of CMW was recognized within the company's Professional segment and is the primary driver for the increase in the company's Professional segment goodwill to $350.1 million as of January 31, 2020 from $215.0 million as of February 1, 2019. No changes were made to the carrying amount of goodwill related to the company's acquisition of CMW from the amounts reported within the Company's Annual Report on Form 10-K for the fiscal year ended October 31, 2019. Goodwill is mostly non-deductible for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Acquired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allocation of the purchase price to the net assets acquired resulted in the recognition of $264.2 million of other intangible assets as of the closing date. The fair values of the acquired trade name, customer-related, developed technology and backlog intangible assets were determined using the income approach. Under the income approach, an intangible asset's fair value is equal to the present value of future economic benefits to be derived from ownership of the asset. The fair values of the trade names were determined using the relief from royalty method, which is based on the hypothetical royalty stream that would be received if the company were to license the trade name and was based on expected future revenues. The fair values of the customer-related, developed technology, and backlog intangible assets were determined using the excess earnings method and were based on the expected operating cash flows attributable to the respective other intangible asset, which were determined by deducting expected economic costs, including operating expenses and contributory asset charges, from revenue expected to be generated from the respective other intangible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other intangible assets acquired on the closing date, related accumulated amortization from the closing date through January 31, 2020, and weighted-average useful lives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940" w:type="dxa"/>
            <w:vAlign w:val="bottom"/>
          </w:tcPr>
          <w:p>
            <w:pPr>
              <w:jc w:val="right"/>
              <w:ind w:right="35"/>
              <w:spacing w:after="0"/>
              <w:rPr>
                <w:sz w:val="20"/>
                <w:szCs w:val="20"/>
                <w:color w:val="auto"/>
              </w:rPr>
            </w:pPr>
            <w:r>
              <w:rPr>
                <w:rFonts w:ascii="Arial" w:cs="Arial" w:eastAsia="Arial" w:hAnsi="Arial"/>
                <w:sz w:val="17"/>
                <w:szCs w:val="17"/>
                <w:b w:val="1"/>
                <w:bCs w:val="1"/>
                <w:color w:val="auto"/>
              </w:rPr>
              <w:t>Weighted-Average</w:t>
            </w:r>
          </w:p>
        </w:tc>
        <w:tc>
          <w:tcPr>
            <w:tcW w:w="200" w:type="dxa"/>
            <w:vAlign w:val="bottom"/>
          </w:tcPr>
          <w:p>
            <w:pPr>
              <w:spacing w:after="0"/>
              <w:rPr>
                <w:sz w:val="17"/>
                <w:szCs w:val="17"/>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Gross Carrying</w:t>
            </w:r>
          </w:p>
        </w:tc>
        <w:tc>
          <w:tcPr>
            <w:tcW w:w="280" w:type="dxa"/>
            <w:vAlign w:val="bottom"/>
          </w:tcPr>
          <w:p>
            <w:pPr>
              <w:spacing w:after="0"/>
              <w:rPr>
                <w:sz w:val="17"/>
                <w:szCs w:val="17"/>
                <w:color w:val="auto"/>
              </w:rPr>
            </w:pPr>
          </w:p>
        </w:tc>
        <w:tc>
          <w:tcPr>
            <w:tcW w:w="1340" w:type="dxa"/>
            <w:vAlign w:val="bottom"/>
          </w:tcPr>
          <w:p>
            <w:pPr>
              <w:jc w:val="right"/>
              <w:ind w:right="215"/>
              <w:spacing w:after="0"/>
              <w:rPr>
                <w:sz w:val="20"/>
                <w:szCs w:val="20"/>
                <w:color w:val="auto"/>
              </w:rPr>
            </w:pPr>
            <w:r>
              <w:rPr>
                <w:rFonts w:ascii="Arial" w:cs="Arial" w:eastAsia="Arial" w:hAnsi="Arial"/>
                <w:sz w:val="17"/>
                <w:szCs w:val="17"/>
                <w:b w:val="1"/>
                <w:bCs w:val="1"/>
                <w:color w:val="auto"/>
                <w:w w:val="95"/>
              </w:rPr>
              <w:t>Accumulated</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3720" w:type="dxa"/>
            <w:vAlign w:val="bottom"/>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940" w:type="dxa"/>
            <w:vAlign w:val="bottom"/>
          </w:tcPr>
          <w:p>
            <w:pPr>
              <w:jc w:val="right"/>
              <w:ind w:right="295"/>
              <w:spacing w:after="0"/>
              <w:rPr>
                <w:sz w:val="20"/>
                <w:szCs w:val="20"/>
                <w:color w:val="auto"/>
              </w:rPr>
            </w:pPr>
            <w:r>
              <w:rPr>
                <w:rFonts w:ascii="Arial" w:cs="Arial" w:eastAsia="Arial" w:hAnsi="Arial"/>
                <w:sz w:val="17"/>
                <w:szCs w:val="17"/>
                <w:b w:val="1"/>
                <w:bCs w:val="1"/>
                <w:color w:val="auto"/>
              </w:rPr>
              <w:t>Useful Life</w:t>
            </w:r>
          </w:p>
        </w:tc>
        <w:tc>
          <w:tcPr>
            <w:tcW w:w="200" w:type="dxa"/>
            <w:vAlign w:val="bottom"/>
          </w:tcPr>
          <w:p>
            <w:pPr>
              <w:spacing w:after="0"/>
              <w:rPr>
                <w:sz w:val="19"/>
                <w:szCs w:val="19"/>
                <w:color w:val="auto"/>
              </w:rPr>
            </w:pPr>
          </w:p>
        </w:tc>
        <w:tc>
          <w:tcPr>
            <w:tcW w:w="1340" w:type="dxa"/>
            <w:vAlign w:val="bottom"/>
          </w:tcPr>
          <w:p>
            <w:pPr>
              <w:jc w:val="right"/>
              <w:ind w:right="355"/>
              <w:spacing w:after="0"/>
              <w:rPr>
                <w:sz w:val="20"/>
                <w:szCs w:val="20"/>
                <w:color w:val="auto"/>
              </w:rPr>
            </w:pPr>
            <w:r>
              <w:rPr>
                <w:rFonts w:ascii="Arial" w:cs="Arial" w:eastAsia="Arial" w:hAnsi="Arial"/>
                <w:sz w:val="17"/>
                <w:szCs w:val="17"/>
                <w:b w:val="1"/>
                <w:bCs w:val="1"/>
                <w:color w:val="auto"/>
              </w:rPr>
              <w:t>Amount</w:t>
            </w:r>
          </w:p>
        </w:tc>
        <w:tc>
          <w:tcPr>
            <w:tcW w:w="280" w:type="dxa"/>
            <w:vAlign w:val="bottom"/>
          </w:tcPr>
          <w:p>
            <w:pPr>
              <w:spacing w:after="0"/>
              <w:rPr>
                <w:sz w:val="19"/>
                <w:szCs w:val="19"/>
                <w:color w:val="auto"/>
              </w:rPr>
            </w:pPr>
          </w:p>
        </w:tc>
        <w:tc>
          <w:tcPr>
            <w:tcW w:w="1340" w:type="dxa"/>
            <w:vAlign w:val="bottom"/>
          </w:tcPr>
          <w:p>
            <w:pPr>
              <w:jc w:val="right"/>
              <w:ind w:right="215"/>
              <w:spacing w:after="0"/>
              <w:rPr>
                <w:sz w:val="20"/>
                <w:szCs w:val="20"/>
                <w:color w:val="auto"/>
              </w:rPr>
            </w:pPr>
            <w:r>
              <w:rPr>
                <w:rFonts w:ascii="Arial" w:cs="Arial" w:eastAsia="Arial" w:hAnsi="Arial"/>
                <w:sz w:val="17"/>
                <w:szCs w:val="17"/>
                <w:b w:val="1"/>
                <w:bCs w:val="1"/>
                <w:color w:val="auto"/>
                <w:w w:val="98"/>
              </w:rPr>
              <w:t>Amortization</w:t>
            </w:r>
          </w:p>
        </w:tc>
        <w:tc>
          <w:tcPr>
            <w:tcW w:w="420" w:type="dxa"/>
            <w:vAlign w:val="bottom"/>
          </w:tcPr>
          <w:p>
            <w:pPr>
              <w:spacing w:after="0"/>
              <w:rPr>
                <w:sz w:val="19"/>
                <w:szCs w:val="19"/>
                <w:color w:val="auto"/>
              </w:rPr>
            </w:pPr>
          </w:p>
        </w:tc>
        <w:tc>
          <w:tcPr>
            <w:tcW w:w="1120" w:type="dxa"/>
            <w:vAlign w:val="bottom"/>
          </w:tcPr>
          <w:p>
            <w:pPr>
              <w:jc w:val="right"/>
              <w:ind w:right="535"/>
              <w:spacing w:after="0"/>
              <w:rPr>
                <w:sz w:val="20"/>
                <w:szCs w:val="20"/>
                <w:color w:val="auto"/>
              </w:rPr>
            </w:pPr>
            <w:r>
              <w:rPr>
                <w:rFonts w:ascii="Arial" w:cs="Arial" w:eastAsia="Arial" w:hAnsi="Arial"/>
                <w:sz w:val="17"/>
                <w:szCs w:val="17"/>
                <w:b w:val="1"/>
                <w:bCs w:val="1"/>
                <w:color w:val="auto"/>
              </w:rPr>
              <w:t>Net</w:t>
            </w:r>
          </w:p>
        </w:tc>
      </w:tr>
      <w:tr>
        <w:trPr>
          <w:trHeight w:val="31"/>
        </w:trPr>
        <w:tc>
          <w:tcPr>
            <w:tcW w:w="37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Customer-related</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130,800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(7,193)</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123,607</w:t>
            </w:r>
          </w:p>
        </w:tc>
      </w:tr>
      <w:tr>
        <w:trPr>
          <w:trHeight w:val="239"/>
        </w:trPr>
        <w:tc>
          <w:tcPr>
            <w:tcW w:w="372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940" w:type="dxa"/>
            <w:vAlign w:val="bottom"/>
          </w:tcPr>
          <w:p>
            <w:pPr>
              <w:jc w:val="right"/>
              <w:spacing w:after="0"/>
              <w:rPr>
                <w:sz w:val="20"/>
                <w:szCs w:val="20"/>
                <w:color w:val="auto"/>
              </w:rPr>
            </w:pPr>
            <w:r>
              <w:rPr>
                <w:rFonts w:ascii="Arial" w:cs="Arial" w:eastAsia="Arial" w:hAnsi="Arial"/>
                <w:sz w:val="17"/>
                <w:szCs w:val="17"/>
                <w:color w:val="auto"/>
              </w:rPr>
              <w:t>7.8</w:t>
            </w:r>
          </w:p>
        </w:tc>
        <w:tc>
          <w:tcPr>
            <w:tcW w:w="20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20,900</w:t>
            </w:r>
          </w:p>
        </w:tc>
        <w:tc>
          <w:tcPr>
            <w:tcW w:w="2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(2,885)</w:t>
            </w:r>
          </w:p>
        </w:tc>
        <w:tc>
          <w:tcPr>
            <w:tcW w:w="4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18,015</w:t>
            </w:r>
          </w:p>
        </w:tc>
      </w:tr>
      <w:tr>
        <w:trPr>
          <w:trHeight w:val="31"/>
        </w:trPr>
        <w:tc>
          <w:tcPr>
            <w:tcW w:w="3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5,200</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4,984</w:t>
            </w:r>
          </w:p>
        </w:tc>
      </w:tr>
      <w:tr>
        <w:trPr>
          <w:trHeight w:val="239"/>
        </w:trPr>
        <w:tc>
          <w:tcPr>
            <w:tcW w:w="3720" w:type="dxa"/>
            <w:vAlign w:val="bottom"/>
          </w:tcPr>
          <w:p>
            <w:pPr>
              <w:ind w:left="20"/>
              <w:spacing w:after="0"/>
              <w:rPr>
                <w:sz w:val="20"/>
                <w:szCs w:val="20"/>
                <w:color w:val="auto"/>
              </w:rPr>
            </w:pPr>
            <w:r>
              <w:rPr>
                <w:rFonts w:ascii="Arial" w:cs="Arial" w:eastAsia="Arial" w:hAnsi="Arial"/>
                <w:sz w:val="17"/>
                <w:szCs w:val="17"/>
                <w:color w:val="auto"/>
              </w:rPr>
              <w:t>Backlog</w:t>
            </w:r>
          </w:p>
        </w:tc>
        <w:tc>
          <w:tcPr>
            <w:tcW w:w="2940" w:type="dxa"/>
            <w:vAlign w:val="bottom"/>
          </w:tcPr>
          <w:p>
            <w:pPr>
              <w:jc w:val="right"/>
              <w:spacing w:after="0"/>
              <w:rPr>
                <w:sz w:val="20"/>
                <w:szCs w:val="20"/>
                <w:color w:val="auto"/>
              </w:rPr>
            </w:pPr>
            <w:r>
              <w:rPr>
                <w:rFonts w:ascii="Arial" w:cs="Arial" w:eastAsia="Arial" w:hAnsi="Arial"/>
                <w:sz w:val="17"/>
                <w:szCs w:val="17"/>
                <w:color w:val="auto"/>
              </w:rPr>
              <w:t>0.5</w:t>
            </w:r>
          </w:p>
        </w:tc>
        <w:tc>
          <w:tcPr>
            <w:tcW w:w="20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3,590</w:t>
            </w:r>
          </w:p>
        </w:tc>
        <w:tc>
          <w:tcPr>
            <w:tcW w:w="2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(3,590)</w:t>
            </w:r>
          </w:p>
        </w:tc>
        <w:tc>
          <w:tcPr>
            <w:tcW w:w="4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1"/>
        </w:trPr>
        <w:tc>
          <w:tcPr>
            <w:tcW w:w="37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definite-lived</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160,490</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(13,884)</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146,606</w:t>
            </w:r>
          </w:p>
        </w:tc>
      </w:tr>
      <w:tr>
        <w:trPr>
          <w:trHeight w:val="239"/>
        </w:trPr>
        <w:tc>
          <w:tcPr>
            <w:tcW w:w="3720" w:type="dxa"/>
            <w:vAlign w:val="bottom"/>
          </w:tcPr>
          <w:p>
            <w:pPr>
              <w:ind w:left="20"/>
              <w:spacing w:after="0"/>
              <w:rPr>
                <w:sz w:val="20"/>
                <w:szCs w:val="20"/>
                <w:color w:val="auto"/>
              </w:rPr>
            </w:pPr>
            <w:r>
              <w:rPr>
                <w:rFonts w:ascii="Arial" w:cs="Arial" w:eastAsia="Arial" w:hAnsi="Arial"/>
                <w:sz w:val="17"/>
                <w:szCs w:val="17"/>
                <w:color w:val="auto"/>
              </w:rPr>
              <w:t>Indefinite-lived - trade names</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103,700</w:t>
            </w:r>
          </w:p>
        </w:tc>
        <w:tc>
          <w:tcPr>
            <w:tcW w:w="280" w:type="dxa"/>
            <w:vAlign w:val="bottom"/>
          </w:tcPr>
          <w:p>
            <w:pPr>
              <w:spacing w:after="0"/>
              <w:rPr>
                <w:sz w:val="20"/>
                <w:szCs w:val="20"/>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103,700</w:t>
            </w:r>
          </w:p>
        </w:tc>
      </w:tr>
      <w:tr>
        <w:trPr>
          <w:trHeight w:val="31"/>
        </w:trPr>
        <w:tc>
          <w:tcPr>
            <w:tcW w:w="37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intangible assets, net</w:t>
            </w:r>
          </w:p>
        </w:tc>
        <w:tc>
          <w:tcPr>
            <w:tcW w:w="2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264,190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(13,884)</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250,306</w:t>
            </w:r>
          </w:p>
        </w:tc>
      </w:tr>
      <w:tr>
        <w:trPr>
          <w:trHeight w:val="20"/>
        </w:trPr>
        <w:tc>
          <w:tcPr>
            <w:tcW w:w="372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the definite-lived intangible assets resulting from the acquisition of CMW for the three months ended January 31, 2020 was $3.1 million. Estimated amortization expense for the remainder of fiscal 2020 and succeeding fiscal years is as follows: fiscal 2020 (remainder), $9.4 million; fiscal 2021, $12.6 million; fiscal 2022, $11.5 million; fiscal 2023, $10.1 million; fiscal 2024, $9.4 million; fiscal 2025, $7.7 million; and after fiscal 2025, $85.9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CMW's results of operations are included within the company's Professional reportable segment in the company's Condensed Consolidated Financial Statements. During the three month period ended January 31, 2020, the company recognized $160.9 million of net sales and $9.4 million of segment earnings from CMW's operations,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Unaudited pro forma financial information has been prepared as if the acquisition had taken place on November 1, 2017 and has been prepared for comparative purposes only. The unaudited pro forma financial information is not necessarily indicative of the results that would have been achieved had the acquisition actually taken place on November 1, 2017 and the unaudited pro forma financial information does not purport to be indicative of future Consolidated Results of Operations. The unaudited pro forma financial information does not reflect any synergies, operating efficiencies, and/or cost savings that may be realized from the integration of the acquisition. The unaudited pro forma results for the three month periods ended January 31, 2020 and February 1, 2019 have been adjusted to exclude the pro forma impact of the take-down of the inventory fair value step-up amount and amortization of the backlog intangible asset; include the pro forma impact of amortization of other intangible assets, excluding backlog, based on the purchase price allocations and useful lives; include the pro forma impact of the depreciation of property, plant, and equipment based on the purchase price allocations and useful lives; include the pro forma impact of additional interest expense relating to the acquisition; exclude the pro forma impact of transaction costs incurred by the company directly attributable to the acquisition; and include the pro forma tax effect of both earnings before income taxes and the pro forma adjustments.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unaudited pro forma financial information related to the company's acquisition of CMW:</w:t>
      </w:r>
    </w:p>
    <w:p>
      <w:pPr>
        <w:spacing w:after="0" w:line="391"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 except per share data)</w:t>
            </w:r>
          </w:p>
        </w:tc>
        <w:tc>
          <w:tcPr>
            <w:tcW w:w="262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auto"/>
                <w:w w:val="91"/>
              </w:rPr>
              <w:t>January 31, 2020</w:t>
            </w:r>
          </w:p>
        </w:tc>
        <w:tc>
          <w:tcPr>
            <w:tcW w:w="20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58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767,483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777,537</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Net earnings</w:t>
            </w:r>
          </w:p>
        </w:tc>
        <w:tc>
          <w:tcPr>
            <w:tcW w:w="26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70,561</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56,515</w:t>
            </w:r>
          </w:p>
        </w:tc>
      </w:tr>
      <w:tr>
        <w:trPr>
          <w:trHeight w:val="31"/>
        </w:trPr>
        <w:tc>
          <w:tcPr>
            <w:tcW w:w="58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 net earnings per share of common stock</w:t>
            </w:r>
          </w:p>
        </w:tc>
        <w:tc>
          <w:tcPr>
            <w:tcW w:w="2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0.66</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0.53</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Diluted net earnings per share of common stock</w:t>
            </w:r>
          </w:p>
        </w:tc>
        <w:tc>
          <w:tcPr>
            <w:tcW w:w="26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0.65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0.52</w:t>
            </w:r>
          </w:p>
        </w:tc>
      </w:tr>
      <w:tr>
        <w:trPr>
          <w:trHeight w:val="31"/>
        </w:trPr>
        <w:tc>
          <w:tcPr>
            <w:tcW w:w="58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Northeastern U.S. Distribution Company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November 30, 2018, during the first quarter of fiscal 2019, the company completed the acquisition of substantially all of the assets of, and assumed certain liabilities of, a Northeastern U.S. distribution company. The purchase price of this acquisition was allocated to the identifiable assets acquired and liabilities assumed based on estimates of their fair value, with the excess purchase price recorded as goodwill. This acquisition was immaterial based on the company's Consolidated Financial Condition and Results of Operations. Additional purchase accounting disclosures have been omitted given the immateriality of this acquisition in relation to the company's Consolidated Financial Condition and Results of Operations.</w:t>
      </w:r>
    </w:p>
    <w:p>
      <w:pPr>
        <w:sectPr>
          <w:pgSz w:w="11900" w:h="16838" w:orient="portrait"/>
          <w:cols w:equalWidth="0" w:num="1">
            <w:col w:w="11420"/>
          </w:cols>
          <w:pgMar w:left="240" w:top="125" w:right="2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ind w:left="580" w:hanging="545"/>
        <w:spacing w:after="0"/>
        <w:tabs>
          <w:tab w:leader="none" w:pos="580" w:val="left"/>
        </w:tabs>
        <w:numPr>
          <w:ilvl w:val="0"/>
          <w:numId w:val="6"/>
        </w:numPr>
        <w:rPr>
          <w:rFonts w:ascii="Arial" w:cs="Arial" w:eastAsia="Arial" w:hAnsi="Arial"/>
          <w:sz w:val="43"/>
          <w:szCs w:val="43"/>
          <w:b w:val="1"/>
          <w:bCs w:val="1"/>
          <w:color w:val="auto"/>
        </w:rPr>
      </w:pPr>
      <w:r>
        <w:rPr>
          <w:rFonts w:ascii="Arial" w:cs="Arial" w:eastAsia="Arial" w:hAnsi="Arial"/>
          <w:sz w:val="20"/>
          <w:szCs w:val="20"/>
          <w:b w:val="1"/>
          <w:bCs w:val="1"/>
          <w:color w:val="auto"/>
        </w:rPr>
        <w:t>Segment Data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ten operating segments and has aggregated certain of those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These Other activities consist of the company's wholly-owned domestic distribution companies, the company's corporate activities, and the elimination of intersegment revenues and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and Other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7"/>
                <w:szCs w:val="17"/>
                <w:b w:val="1"/>
                <w:bCs w:val="1"/>
                <w:color w:val="auto"/>
              </w:rPr>
              <w:t>Three Months Ended January 31, 2020</w:t>
            </w:r>
          </w:p>
        </w:tc>
        <w:tc>
          <w:tcPr>
            <w:tcW w:w="1320" w:type="dxa"/>
            <w:vAlign w:val="bottom"/>
          </w:tcPr>
          <w:p>
            <w:pPr>
              <w:spacing w:after="0"/>
              <w:rPr>
                <w:sz w:val="23"/>
                <w:szCs w:val="23"/>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w w:val="95"/>
              </w:rPr>
              <w:t>Professional</w:t>
            </w:r>
          </w:p>
        </w:tc>
        <w:tc>
          <w:tcPr>
            <w:tcW w:w="320" w:type="dxa"/>
            <w:vAlign w:val="bottom"/>
          </w:tcPr>
          <w:p>
            <w:pPr>
              <w:spacing w:after="0"/>
              <w:rPr>
                <w:sz w:val="23"/>
                <w:szCs w:val="23"/>
                <w:color w:val="auto"/>
              </w:rPr>
            </w:pPr>
          </w:p>
        </w:tc>
        <w:tc>
          <w:tcPr>
            <w:tcW w:w="1280" w:type="dxa"/>
            <w:vAlign w:val="bottom"/>
          </w:tcPr>
          <w:p>
            <w:pPr>
              <w:jc w:val="right"/>
              <w:ind w:right="255"/>
              <w:spacing w:after="0"/>
              <w:rPr>
                <w:sz w:val="20"/>
                <w:szCs w:val="20"/>
                <w:color w:val="auto"/>
              </w:rPr>
            </w:pPr>
            <w:r>
              <w:rPr>
                <w:rFonts w:ascii="Arial" w:cs="Arial" w:eastAsia="Arial" w:hAnsi="Arial"/>
                <w:sz w:val="17"/>
                <w:szCs w:val="17"/>
                <w:b w:val="1"/>
                <w:bCs w:val="1"/>
                <w:color w:val="auto"/>
              </w:rPr>
              <w:t>Residential</w:t>
            </w:r>
          </w:p>
        </w:tc>
        <w:tc>
          <w:tcPr>
            <w:tcW w:w="400" w:type="dxa"/>
            <w:vAlign w:val="bottom"/>
          </w:tcPr>
          <w:p>
            <w:pPr>
              <w:spacing w:after="0"/>
              <w:rPr>
                <w:sz w:val="23"/>
                <w:szCs w:val="23"/>
                <w:color w:val="auto"/>
              </w:rPr>
            </w:pPr>
          </w:p>
        </w:tc>
        <w:tc>
          <w:tcPr>
            <w:tcW w:w="1200" w:type="dxa"/>
            <w:vAlign w:val="bottom"/>
          </w:tcPr>
          <w:p>
            <w:pPr>
              <w:jc w:val="right"/>
              <w:ind w:right="475"/>
              <w:spacing w:after="0"/>
              <w:rPr>
                <w:sz w:val="20"/>
                <w:szCs w:val="20"/>
                <w:color w:val="auto"/>
              </w:rPr>
            </w:pPr>
            <w:r>
              <w:rPr>
                <w:rFonts w:ascii="Arial" w:cs="Arial" w:eastAsia="Arial" w:hAnsi="Arial"/>
                <w:sz w:val="17"/>
                <w:szCs w:val="17"/>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594,721</w:t>
            </w:r>
          </w:p>
        </w:tc>
        <w:tc>
          <w:tcPr>
            <w:tcW w:w="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165,848</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6,914</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767,483</w:t>
            </w:r>
          </w:p>
        </w:tc>
      </w:tr>
      <w:tr>
        <w:trPr>
          <w:trHeight w:val="239"/>
        </w:trPr>
        <w:tc>
          <w:tcPr>
            <w:tcW w:w="4040" w:type="dxa"/>
            <w:vAlign w:val="bottom"/>
          </w:tcPr>
          <w:p>
            <w:pPr>
              <w:ind w:left="40"/>
              <w:spacing w:after="0"/>
              <w:rPr>
                <w:sz w:val="20"/>
                <w:szCs w:val="20"/>
                <w:color w:val="auto"/>
              </w:rPr>
            </w:pPr>
            <w:r>
              <w:rPr>
                <w:rFonts w:ascii="Arial" w:cs="Arial" w:eastAsia="Arial" w:hAnsi="Arial"/>
                <w:sz w:val="17"/>
                <w:szCs w:val="17"/>
                <w:color w:val="auto"/>
              </w:rPr>
              <w:t>Intersegment gross sales (eliminations)</w:t>
            </w:r>
          </w:p>
        </w:tc>
        <w:tc>
          <w:tcPr>
            <w:tcW w:w="1320" w:type="dxa"/>
            <w:vAlign w:val="bottom"/>
          </w:tcPr>
          <w:p>
            <w:pPr>
              <w:spacing w:after="0"/>
              <w:rPr>
                <w:sz w:val="20"/>
                <w:szCs w:val="20"/>
                <w:color w:val="auto"/>
              </w:rPr>
            </w:pP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8,771</w:t>
            </w:r>
          </w:p>
        </w:tc>
        <w:tc>
          <w:tcPr>
            <w:tcW w:w="3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27</w:t>
            </w:r>
          </w:p>
        </w:tc>
        <w:tc>
          <w:tcPr>
            <w:tcW w:w="40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(8,798)</w:t>
            </w:r>
          </w:p>
        </w:tc>
        <w:tc>
          <w:tcPr>
            <w:tcW w:w="40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4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before income taxes</w:t>
            </w:r>
          </w:p>
        </w:tc>
        <w:tc>
          <w:tcPr>
            <w:tcW w:w="1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102,474</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21,566</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(37,901)</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86,139</w:t>
            </w:r>
          </w:p>
        </w:tc>
      </w:tr>
      <w:tr>
        <w:trPr>
          <w:trHeight w:val="239"/>
        </w:trPr>
        <w:tc>
          <w:tcPr>
            <w:tcW w:w="404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1,853,739</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324,089</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313,781</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2,491,609</w:t>
            </w:r>
          </w:p>
        </w:tc>
      </w:tr>
      <w:tr>
        <w:trPr>
          <w:trHeight w:val="31"/>
        </w:trPr>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5"/>
        </w:trPr>
        <w:tc>
          <w:tcPr>
            <w:tcW w:w="4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3"/>
        </w:trPr>
        <w:tc>
          <w:tcPr>
            <w:tcW w:w="40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40" w:type="dxa"/>
            <w:vAlign w:val="bottom"/>
          </w:tcPr>
          <w:p>
            <w:pPr>
              <w:ind w:left="40"/>
              <w:spacing w:after="0"/>
              <w:rPr>
                <w:sz w:val="20"/>
                <w:szCs w:val="20"/>
                <w:color w:val="auto"/>
              </w:rPr>
            </w:pPr>
            <w:r>
              <w:rPr>
                <w:rFonts w:ascii="Arial" w:cs="Arial" w:eastAsia="Arial" w:hAnsi="Arial"/>
                <w:sz w:val="17"/>
                <w:szCs w:val="17"/>
                <w:b w:val="1"/>
                <w:bCs w:val="1"/>
                <w:color w:val="auto"/>
              </w:rPr>
              <w:t>Three Months Ended February 1, 2019</w:t>
            </w:r>
          </w:p>
        </w:tc>
        <w:tc>
          <w:tcPr>
            <w:tcW w:w="1320" w:type="dxa"/>
            <w:vAlign w:val="bottom"/>
          </w:tcPr>
          <w:p>
            <w:pPr>
              <w:spacing w:after="0"/>
              <w:rPr>
                <w:sz w:val="23"/>
                <w:szCs w:val="23"/>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w w:val="95"/>
              </w:rPr>
              <w:t>Professional</w:t>
            </w:r>
          </w:p>
        </w:tc>
        <w:tc>
          <w:tcPr>
            <w:tcW w:w="320" w:type="dxa"/>
            <w:vAlign w:val="bottom"/>
          </w:tcPr>
          <w:p>
            <w:pPr>
              <w:spacing w:after="0"/>
              <w:rPr>
                <w:sz w:val="23"/>
                <w:szCs w:val="23"/>
                <w:color w:val="auto"/>
              </w:rPr>
            </w:pPr>
          </w:p>
        </w:tc>
        <w:tc>
          <w:tcPr>
            <w:tcW w:w="1280" w:type="dxa"/>
            <w:vAlign w:val="bottom"/>
          </w:tcPr>
          <w:p>
            <w:pPr>
              <w:jc w:val="right"/>
              <w:ind w:right="255"/>
              <w:spacing w:after="0"/>
              <w:rPr>
                <w:sz w:val="20"/>
                <w:szCs w:val="20"/>
                <w:color w:val="auto"/>
              </w:rPr>
            </w:pPr>
            <w:r>
              <w:rPr>
                <w:rFonts w:ascii="Arial" w:cs="Arial" w:eastAsia="Arial" w:hAnsi="Arial"/>
                <w:sz w:val="17"/>
                <w:szCs w:val="17"/>
                <w:b w:val="1"/>
                <w:bCs w:val="1"/>
                <w:color w:val="auto"/>
              </w:rPr>
              <w:t>Residential</w:t>
            </w:r>
          </w:p>
        </w:tc>
        <w:tc>
          <w:tcPr>
            <w:tcW w:w="400" w:type="dxa"/>
            <w:vAlign w:val="bottom"/>
          </w:tcPr>
          <w:p>
            <w:pPr>
              <w:spacing w:after="0"/>
              <w:rPr>
                <w:sz w:val="23"/>
                <w:szCs w:val="23"/>
                <w:color w:val="auto"/>
              </w:rPr>
            </w:pPr>
          </w:p>
        </w:tc>
        <w:tc>
          <w:tcPr>
            <w:tcW w:w="1200" w:type="dxa"/>
            <w:vAlign w:val="bottom"/>
          </w:tcPr>
          <w:p>
            <w:pPr>
              <w:jc w:val="right"/>
              <w:ind w:right="475"/>
              <w:spacing w:after="0"/>
              <w:rPr>
                <w:sz w:val="20"/>
                <w:szCs w:val="20"/>
                <w:color w:val="auto"/>
              </w:rPr>
            </w:pPr>
            <w:r>
              <w:rPr>
                <w:rFonts w:ascii="Arial" w:cs="Arial" w:eastAsia="Arial" w:hAnsi="Arial"/>
                <w:sz w:val="17"/>
                <w:szCs w:val="17"/>
                <w:b w:val="1"/>
                <w:bCs w:val="1"/>
                <w:color w:val="auto"/>
              </w:rPr>
              <w:t>Other</w:t>
            </w:r>
          </w:p>
        </w:tc>
        <w:tc>
          <w:tcPr>
            <w:tcW w:w="400" w:type="dxa"/>
            <w:vAlign w:val="bottom"/>
          </w:tcPr>
          <w:p>
            <w:pPr>
              <w:spacing w:after="0"/>
              <w:rPr>
                <w:sz w:val="23"/>
                <w:szCs w:val="23"/>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455,006</w:t>
            </w:r>
          </w:p>
        </w:tc>
        <w:tc>
          <w:tcPr>
            <w:tcW w:w="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145,158</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2,792</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602,956</w:t>
            </w:r>
          </w:p>
        </w:tc>
      </w:tr>
      <w:tr>
        <w:trPr>
          <w:trHeight w:val="239"/>
        </w:trPr>
        <w:tc>
          <w:tcPr>
            <w:tcW w:w="4040" w:type="dxa"/>
            <w:vAlign w:val="bottom"/>
          </w:tcPr>
          <w:p>
            <w:pPr>
              <w:ind w:left="40"/>
              <w:spacing w:after="0"/>
              <w:rPr>
                <w:sz w:val="20"/>
                <w:szCs w:val="20"/>
                <w:color w:val="auto"/>
              </w:rPr>
            </w:pPr>
            <w:r>
              <w:rPr>
                <w:rFonts w:ascii="Arial" w:cs="Arial" w:eastAsia="Arial" w:hAnsi="Arial"/>
                <w:sz w:val="17"/>
                <w:szCs w:val="17"/>
                <w:color w:val="auto"/>
              </w:rPr>
              <w:t>Intersegment gross sales (eliminations)</w:t>
            </w:r>
          </w:p>
        </w:tc>
        <w:tc>
          <w:tcPr>
            <w:tcW w:w="1320" w:type="dxa"/>
            <w:vAlign w:val="bottom"/>
          </w:tcPr>
          <w:p>
            <w:pPr>
              <w:spacing w:after="0"/>
              <w:rPr>
                <w:sz w:val="20"/>
                <w:szCs w:val="20"/>
                <w:color w:val="auto"/>
              </w:rPr>
            </w:pP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13,609</w:t>
            </w:r>
          </w:p>
        </w:tc>
        <w:tc>
          <w:tcPr>
            <w:tcW w:w="32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99</w:t>
            </w:r>
          </w:p>
        </w:tc>
        <w:tc>
          <w:tcPr>
            <w:tcW w:w="40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(13,708)</w:t>
            </w:r>
          </w:p>
        </w:tc>
        <w:tc>
          <w:tcPr>
            <w:tcW w:w="40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4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(loss) before income taxes</w:t>
            </w:r>
          </w:p>
        </w:tc>
        <w:tc>
          <w:tcPr>
            <w:tcW w:w="1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87,978</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13,072</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(31,030)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70,020</w:t>
            </w:r>
          </w:p>
        </w:tc>
      </w:tr>
      <w:tr>
        <w:trPr>
          <w:trHeight w:val="239"/>
        </w:trPr>
        <w:tc>
          <w:tcPr>
            <w:tcW w:w="404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959,768</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235,520</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427,526</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1,622,814</w:t>
            </w:r>
          </w:p>
        </w:tc>
      </w:tr>
      <w:tr>
        <w:trPr>
          <w:trHeight w:val="31"/>
        </w:trPr>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operating loss before income taxes for the company's Other activities:</w:t>
      </w:r>
    </w:p>
    <w:p>
      <w:pPr>
        <w:spacing w:after="0" w:line="391"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6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7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expenses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(32,442)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(28,314)</w:t>
            </w:r>
          </w:p>
        </w:tc>
      </w:tr>
      <w:tr>
        <w:trPr>
          <w:trHeight w:val="239"/>
        </w:trPr>
        <w:tc>
          <w:tcPr>
            <w:tcW w:w="710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136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(8,156)</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(4,742)</w:t>
            </w:r>
          </w:p>
        </w:tc>
      </w:tr>
      <w:tr>
        <w:trPr>
          <w:trHeight w:val="31"/>
        </w:trPr>
        <w:tc>
          <w:tcPr>
            <w:tcW w:w="7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from wholly-owned domestic distribution companies and other income, net</w:t>
            </w:r>
          </w:p>
        </w:tc>
        <w:tc>
          <w:tcPr>
            <w:tcW w:w="1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2,697</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2,026</w:t>
            </w:r>
          </w:p>
        </w:tc>
      </w:tr>
      <w:tr>
        <w:trPr>
          <w:trHeight w:val="233"/>
        </w:trPr>
        <w:tc>
          <w:tcPr>
            <w:tcW w:w="71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operating loss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(37,901)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(31,030)</w:t>
            </w:r>
          </w:p>
        </w:tc>
      </w:tr>
      <w:tr>
        <w:trPr>
          <w:trHeight w:val="31"/>
        </w:trPr>
        <w:tc>
          <w:tcPr>
            <w:tcW w:w="7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hanging="545"/>
        <w:spacing w:after="0"/>
        <w:tabs>
          <w:tab w:leader="none" w:pos="580" w:val="left"/>
        </w:tabs>
        <w:numPr>
          <w:ilvl w:val="0"/>
          <w:numId w:val="7"/>
        </w:numPr>
        <w:rPr>
          <w:rFonts w:ascii="Arial" w:cs="Arial" w:eastAsia="Arial" w:hAnsi="Arial"/>
          <w:sz w:val="43"/>
          <w:szCs w:val="43"/>
          <w:b w:val="1"/>
          <w:bCs w:val="1"/>
          <w:color w:val="auto"/>
        </w:rPr>
      </w:pPr>
      <w:r>
        <w:rPr>
          <w:rFonts w:ascii="Arial" w:cs="Arial" w:eastAsia="Arial" w:hAnsi="Arial"/>
          <w:sz w:val="20"/>
          <w:szCs w:val="20"/>
          <w:b w:val="1"/>
          <w:bCs w:val="1"/>
          <w:color w:val="auto"/>
        </w:rPr>
        <w:t>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enters into contracts with its customers for the sale of products or rendering of services in the ordinary course of business. A contract with commercial substance exists at the time the company receives and accepts a purchase order under a sales contract with a customer. The company recognizes revenue when, or as, performance obligations under the terms of a contract with its customer are satisfied, which occurs with the transfer of control of product or services. Control is typically transferred to the customer at the time a product is shipped, or in the case of certain agreements, when a product is delivered or as services are rendered. Revenue is recognized based on the transaction price, which is measured as the amount of consideration the company expects to receive in exchange for transferring product or rendering services pursuant to the terms of the contract with a customer. The amount of consideration the company receives and the revenue the company recognizes varies with changes in sales promotions and incentives offered to customers, as well as anticipated product returns. A provision is made at the time revenue is recognized as a reduction of the transaction price for expected product returns, rebates, floor plan costs, and other sales promotion and incentive expenses. If a contract contains more than one performance obligation, the transaction price is allocated to each performance obligation based on the relative standalone selling price of the respective promised good or service. The company does not recognize revenue in situations where collectability from the customer is not probable, and defers the recognition of revenue until collection is probable or payment is received and performance obligations are satisfied.</w:t>
      </w:r>
    </w:p>
    <w:p>
      <w:pPr>
        <w:sectPr>
          <w:pgSz w:w="11900" w:h="16838" w:orient="portrait"/>
          <w:cols w:equalWidth="0" w:num="1">
            <w:col w:w="11420"/>
          </w:cols>
          <w:pgMar w:left="240" w:top="125"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Freight and shipping revenue billed to customers concurrent with revenue producing activities is included within revenue and the cost for freight and shipping is recognized as an expense within cost of sales when control has transferred to the customer. Shipping and handling activities that occur after control of the related products is transferred are treated as a fulfillment activity rather than a promised service, and therefore, are not considered a performance obligation. Sales, use, value-added, and other excise taxes the company collects concurrent with revenue producing activities are excluded from revenue. Incremental costs of obtaining a contract for which the performance obligations will be satisfied within the next twelve months are expensed as incurred. Incidental items, including goods or services, that are immaterial in the context of the contract are recognized as expense when incurred. Additionally, the company has elected not to disclose the balance of unfulfilled performance obligations for contracts with a contractual term of twelve months or less.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 the company's reportable segment net sales by major product type and geographic market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ind w:left="40"/>
              <w:spacing w:after="0"/>
              <w:rPr>
                <w:sz w:val="20"/>
                <w:szCs w:val="20"/>
                <w:color w:val="auto"/>
              </w:rPr>
            </w:pPr>
            <w:r>
              <w:rPr>
                <w:rFonts w:ascii="Arial" w:cs="Arial" w:eastAsia="Arial" w:hAnsi="Arial"/>
                <w:sz w:val="17"/>
                <w:szCs w:val="17"/>
                <w:b w:val="1"/>
                <w:bCs w:val="1"/>
                <w:color w:val="auto"/>
              </w:rPr>
              <w:t>Three Months Ended January 31, 2020</w:t>
            </w:r>
          </w:p>
        </w:tc>
        <w:tc>
          <w:tcPr>
            <w:tcW w:w="1320" w:type="dxa"/>
            <w:vAlign w:val="bottom"/>
          </w:tcPr>
          <w:p>
            <w:pPr>
              <w:spacing w:after="0"/>
              <w:rPr>
                <w:sz w:val="19"/>
                <w:szCs w:val="19"/>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w w:val="95"/>
              </w:rPr>
              <w:t>Professional</w:t>
            </w:r>
          </w:p>
        </w:tc>
        <w:tc>
          <w:tcPr>
            <w:tcW w:w="320" w:type="dxa"/>
            <w:vAlign w:val="bottom"/>
          </w:tcPr>
          <w:p>
            <w:pPr>
              <w:spacing w:after="0"/>
              <w:rPr>
                <w:sz w:val="19"/>
                <w:szCs w:val="19"/>
                <w:color w:val="auto"/>
              </w:rPr>
            </w:pPr>
          </w:p>
        </w:tc>
        <w:tc>
          <w:tcPr>
            <w:tcW w:w="1280" w:type="dxa"/>
            <w:vAlign w:val="bottom"/>
          </w:tcPr>
          <w:p>
            <w:pPr>
              <w:jc w:val="right"/>
              <w:ind w:right="255"/>
              <w:spacing w:after="0"/>
              <w:rPr>
                <w:sz w:val="20"/>
                <w:szCs w:val="20"/>
                <w:color w:val="auto"/>
              </w:rPr>
            </w:pPr>
            <w:r>
              <w:rPr>
                <w:rFonts w:ascii="Arial" w:cs="Arial" w:eastAsia="Arial" w:hAnsi="Arial"/>
                <w:sz w:val="17"/>
                <w:szCs w:val="17"/>
                <w:b w:val="1"/>
                <w:bCs w:val="1"/>
                <w:color w:val="auto"/>
              </w:rPr>
              <w:t>Residential</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Other</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product type:</w:t>
            </w:r>
          </w:p>
        </w:tc>
        <w:tc>
          <w:tcPr>
            <w:tcW w:w="1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4040" w:type="dxa"/>
            <w:vAlign w:val="bottom"/>
          </w:tcPr>
          <w:p>
            <w:pPr>
              <w:ind w:left="180"/>
              <w:spacing w:after="0"/>
              <w:rPr>
                <w:sz w:val="20"/>
                <w:szCs w:val="20"/>
                <w:color w:val="auto"/>
              </w:rPr>
            </w:pPr>
            <w:r>
              <w:rPr>
                <w:rFonts w:ascii="Arial" w:cs="Arial" w:eastAsia="Arial" w:hAnsi="Arial"/>
                <w:sz w:val="17"/>
                <w:szCs w:val="17"/>
                <w:color w:val="auto"/>
              </w:rPr>
              <w:t>Equipment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523,909</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152,458</w:t>
            </w:r>
          </w:p>
        </w:tc>
        <w:tc>
          <w:tcPr>
            <w:tcW w:w="1060" w:type="dxa"/>
            <w:vAlign w:val="bottom"/>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5"/>
              <w:spacing w:after="0"/>
              <w:rPr>
                <w:sz w:val="20"/>
                <w:szCs w:val="20"/>
                <w:color w:val="auto"/>
              </w:rPr>
            </w:pPr>
            <w:r>
              <w:rPr>
                <w:rFonts w:ascii="Arial" w:cs="Arial" w:eastAsia="Arial" w:hAnsi="Arial"/>
                <w:sz w:val="17"/>
                <w:szCs w:val="17"/>
                <w:color w:val="auto"/>
                <w:w w:val="89"/>
              </w:rPr>
              <w:t>5,525</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681,892</w:t>
            </w:r>
          </w:p>
        </w:tc>
      </w:tr>
      <w:tr>
        <w:trPr>
          <w:trHeight w:val="31"/>
        </w:trPr>
        <w:tc>
          <w:tcPr>
            <w:tcW w:w="4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Irrigation</w:t>
            </w:r>
          </w:p>
        </w:tc>
        <w:tc>
          <w:tcPr>
            <w:tcW w:w="1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70,812</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13,390</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1,389</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85,591</w:t>
            </w:r>
          </w:p>
        </w:tc>
      </w:tr>
      <w:tr>
        <w:trPr>
          <w:trHeight w:val="233"/>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594,721</w:t>
            </w:r>
          </w:p>
        </w:tc>
        <w:tc>
          <w:tcPr>
            <w:tcW w:w="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165,848</w:t>
            </w:r>
          </w:p>
        </w:tc>
        <w:tc>
          <w:tcPr>
            <w:tcW w:w="1060" w:type="dxa"/>
            <w:vAlign w:val="bottom"/>
            <w:tcBorders>
              <w:top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9"/>
              </w:rPr>
              <w:t>6,914</w:t>
            </w:r>
          </w:p>
        </w:tc>
        <w:tc>
          <w:tcPr>
            <w:tcW w:w="4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767,483</w:t>
            </w:r>
          </w:p>
        </w:tc>
      </w:tr>
      <w:tr>
        <w:trPr>
          <w:trHeight w:val="31"/>
        </w:trPr>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4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geographic market:</w:t>
            </w:r>
          </w:p>
        </w:tc>
        <w:tc>
          <w:tcPr>
            <w:tcW w:w="1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404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454,396</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130,338</w:t>
            </w:r>
          </w:p>
        </w:tc>
        <w:tc>
          <w:tcPr>
            <w:tcW w:w="1060" w:type="dxa"/>
            <w:vAlign w:val="bottom"/>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5"/>
              <w:spacing w:after="0"/>
              <w:rPr>
                <w:sz w:val="20"/>
                <w:szCs w:val="20"/>
                <w:color w:val="auto"/>
              </w:rPr>
            </w:pPr>
            <w:r>
              <w:rPr>
                <w:rFonts w:ascii="Arial" w:cs="Arial" w:eastAsia="Arial" w:hAnsi="Arial"/>
                <w:sz w:val="17"/>
                <w:szCs w:val="17"/>
                <w:color w:val="auto"/>
                <w:w w:val="89"/>
              </w:rPr>
              <w:t>6,914</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591,648</w:t>
            </w:r>
          </w:p>
        </w:tc>
      </w:tr>
      <w:tr>
        <w:trPr>
          <w:trHeight w:val="31"/>
        </w:trPr>
        <w:tc>
          <w:tcPr>
            <w:tcW w:w="4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Countries</w:t>
            </w:r>
          </w:p>
        </w:tc>
        <w:tc>
          <w:tcPr>
            <w:tcW w:w="1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140,325</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35,510</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175,835</w:t>
            </w:r>
          </w:p>
        </w:tc>
      </w:tr>
      <w:tr>
        <w:trPr>
          <w:trHeight w:val="233"/>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594,721</w:t>
            </w:r>
          </w:p>
        </w:tc>
        <w:tc>
          <w:tcPr>
            <w:tcW w:w="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165,848</w:t>
            </w:r>
          </w:p>
        </w:tc>
        <w:tc>
          <w:tcPr>
            <w:tcW w:w="1060" w:type="dxa"/>
            <w:vAlign w:val="bottom"/>
            <w:tcBorders>
              <w:top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9"/>
              </w:rPr>
              <w:t>6,914</w:t>
            </w:r>
          </w:p>
        </w:tc>
        <w:tc>
          <w:tcPr>
            <w:tcW w:w="4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767,483</w:t>
            </w:r>
          </w:p>
        </w:tc>
      </w:tr>
      <w:tr>
        <w:trPr>
          <w:trHeight w:val="31"/>
        </w:trPr>
        <w:tc>
          <w:tcPr>
            <w:tcW w:w="40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20" w:type="dxa"/>
            <w:vAlign w:val="bottom"/>
          </w:tcPr>
          <w:p>
            <w:pPr>
              <w:ind w:left="40"/>
              <w:spacing w:after="0"/>
              <w:rPr>
                <w:sz w:val="20"/>
                <w:szCs w:val="20"/>
                <w:color w:val="auto"/>
              </w:rPr>
            </w:pPr>
            <w:r>
              <w:rPr>
                <w:rFonts w:ascii="Arial" w:cs="Arial" w:eastAsia="Arial" w:hAnsi="Arial"/>
                <w:sz w:val="17"/>
                <w:szCs w:val="17"/>
                <w:b w:val="1"/>
                <w:bCs w:val="1"/>
                <w:color w:val="auto"/>
              </w:rPr>
              <w:t>Three Months Ended February 1, 2019</w:t>
            </w:r>
          </w:p>
        </w:tc>
        <w:tc>
          <w:tcPr>
            <w:tcW w:w="1320" w:type="dxa"/>
            <w:vAlign w:val="bottom"/>
          </w:tcPr>
          <w:p>
            <w:pPr>
              <w:spacing w:after="0"/>
              <w:rPr>
                <w:sz w:val="19"/>
                <w:szCs w:val="19"/>
                <w:color w:val="auto"/>
              </w:rPr>
            </w:pPr>
          </w:p>
        </w:tc>
        <w:tc>
          <w:tcPr>
            <w:tcW w:w="1300" w:type="dxa"/>
            <w:vAlign w:val="bottom"/>
          </w:tcPr>
          <w:p>
            <w:pPr>
              <w:jc w:val="right"/>
              <w:ind w:right="235"/>
              <w:spacing w:after="0"/>
              <w:rPr>
                <w:sz w:val="20"/>
                <w:szCs w:val="20"/>
                <w:color w:val="auto"/>
              </w:rPr>
            </w:pPr>
            <w:r>
              <w:rPr>
                <w:rFonts w:ascii="Arial" w:cs="Arial" w:eastAsia="Arial" w:hAnsi="Arial"/>
                <w:sz w:val="17"/>
                <w:szCs w:val="17"/>
                <w:b w:val="1"/>
                <w:bCs w:val="1"/>
                <w:color w:val="auto"/>
                <w:w w:val="94"/>
              </w:rPr>
              <w:t>Professional</w:t>
            </w:r>
          </w:p>
        </w:tc>
        <w:tc>
          <w:tcPr>
            <w:tcW w:w="320" w:type="dxa"/>
            <w:vAlign w:val="bottom"/>
          </w:tcPr>
          <w:p>
            <w:pPr>
              <w:spacing w:after="0"/>
              <w:rPr>
                <w:sz w:val="19"/>
                <w:szCs w:val="19"/>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auto"/>
                <w:w w:val="99"/>
              </w:rPr>
              <w:t>Residential</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Other</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product type:</w:t>
            </w: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4020" w:type="dxa"/>
            <w:vAlign w:val="bottom"/>
          </w:tcPr>
          <w:p>
            <w:pPr>
              <w:ind w:left="180"/>
              <w:spacing w:after="0"/>
              <w:rPr>
                <w:sz w:val="20"/>
                <w:szCs w:val="20"/>
                <w:color w:val="auto"/>
              </w:rPr>
            </w:pPr>
            <w:r>
              <w:rPr>
                <w:rFonts w:ascii="Arial" w:cs="Arial" w:eastAsia="Arial" w:hAnsi="Arial"/>
                <w:sz w:val="17"/>
                <w:szCs w:val="17"/>
                <w:color w:val="auto"/>
              </w:rPr>
              <w:t>Equipment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387,550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133,510</w:t>
            </w:r>
          </w:p>
        </w:tc>
        <w:tc>
          <w:tcPr>
            <w:tcW w:w="1060" w:type="dxa"/>
            <w:vAlign w:val="bottom"/>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5"/>
              <w:spacing w:after="0"/>
              <w:rPr>
                <w:sz w:val="20"/>
                <w:szCs w:val="20"/>
                <w:color w:val="auto"/>
              </w:rPr>
            </w:pPr>
            <w:r>
              <w:rPr>
                <w:rFonts w:ascii="Arial" w:cs="Arial" w:eastAsia="Arial" w:hAnsi="Arial"/>
                <w:sz w:val="17"/>
                <w:szCs w:val="17"/>
                <w:color w:val="auto"/>
                <w:w w:val="89"/>
              </w:rPr>
              <w:t>1,969</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523,029</w:t>
            </w:r>
          </w:p>
        </w:tc>
      </w:tr>
      <w:tr>
        <w:trPr>
          <w:trHeight w:val="31"/>
        </w:trPr>
        <w:tc>
          <w:tcPr>
            <w:tcW w:w="4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Irrigation</w:t>
            </w:r>
          </w:p>
        </w:tc>
        <w:tc>
          <w:tcPr>
            <w:tcW w:w="1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67,456</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11,648</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823</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79,927</w:t>
            </w:r>
          </w:p>
        </w:tc>
      </w:tr>
      <w:tr>
        <w:trPr>
          <w:trHeight w:val="233"/>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455,006</w:t>
            </w:r>
          </w:p>
        </w:tc>
        <w:tc>
          <w:tcPr>
            <w:tcW w:w="3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145,158</w:t>
            </w:r>
          </w:p>
        </w:tc>
        <w:tc>
          <w:tcPr>
            <w:tcW w:w="1060" w:type="dxa"/>
            <w:vAlign w:val="bottom"/>
            <w:tcBorders>
              <w:top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9"/>
              </w:rPr>
              <w:t>2,792</w:t>
            </w:r>
          </w:p>
        </w:tc>
        <w:tc>
          <w:tcPr>
            <w:tcW w:w="4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602,956</w:t>
            </w:r>
          </w:p>
        </w:tc>
      </w:tr>
      <w:tr>
        <w:trPr>
          <w:trHeight w:val="31"/>
        </w:trPr>
        <w:tc>
          <w:tcPr>
            <w:tcW w:w="4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05"/>
        </w:trPr>
        <w:tc>
          <w:tcPr>
            <w:tcW w:w="4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 by geographic market:</w:t>
            </w:r>
          </w:p>
        </w:tc>
        <w:tc>
          <w:tcPr>
            <w:tcW w:w="1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4020" w:type="dxa"/>
            <w:vAlign w:val="bottom"/>
          </w:tcPr>
          <w:p>
            <w:pPr>
              <w:ind w:left="180"/>
              <w:spacing w:after="0"/>
              <w:rPr>
                <w:sz w:val="20"/>
                <w:szCs w:val="20"/>
                <w:color w:val="auto"/>
              </w:rPr>
            </w:pPr>
            <w:r>
              <w:rPr>
                <w:rFonts w:ascii="Arial" w:cs="Arial" w:eastAsia="Arial" w:hAnsi="Arial"/>
                <w:sz w:val="17"/>
                <w:szCs w:val="17"/>
                <w:color w:val="auto"/>
              </w:rPr>
              <w:t>United States</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348,104</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110,515</w:t>
            </w:r>
          </w:p>
        </w:tc>
        <w:tc>
          <w:tcPr>
            <w:tcW w:w="1060" w:type="dxa"/>
            <w:vAlign w:val="bottom"/>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35"/>
              <w:spacing w:after="0"/>
              <w:rPr>
                <w:sz w:val="20"/>
                <w:szCs w:val="20"/>
                <w:color w:val="auto"/>
              </w:rPr>
            </w:pPr>
            <w:r>
              <w:rPr>
                <w:rFonts w:ascii="Arial" w:cs="Arial" w:eastAsia="Arial" w:hAnsi="Arial"/>
                <w:sz w:val="17"/>
                <w:szCs w:val="17"/>
                <w:color w:val="auto"/>
                <w:w w:val="89"/>
              </w:rPr>
              <w:t>2,792</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461,411</w:t>
            </w:r>
          </w:p>
        </w:tc>
      </w:tr>
      <w:tr>
        <w:trPr>
          <w:trHeight w:val="31"/>
        </w:trPr>
        <w:tc>
          <w:tcPr>
            <w:tcW w:w="4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Countries</w:t>
            </w:r>
          </w:p>
        </w:tc>
        <w:tc>
          <w:tcPr>
            <w:tcW w:w="1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106,902</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34,643</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141,545</w:t>
            </w:r>
          </w:p>
        </w:tc>
      </w:tr>
      <w:tr>
        <w:trPr>
          <w:trHeight w:val="233"/>
        </w:trPr>
        <w:tc>
          <w:tcPr>
            <w:tcW w:w="40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net sales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455,006</w:t>
            </w:r>
          </w:p>
        </w:tc>
        <w:tc>
          <w:tcPr>
            <w:tcW w:w="3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145,158</w:t>
            </w:r>
          </w:p>
        </w:tc>
        <w:tc>
          <w:tcPr>
            <w:tcW w:w="1060" w:type="dxa"/>
            <w:vAlign w:val="bottom"/>
            <w:tcBorders>
              <w:top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9"/>
              </w:rPr>
              <w:t>2,792</w:t>
            </w:r>
          </w:p>
        </w:tc>
        <w:tc>
          <w:tcPr>
            <w:tcW w:w="4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602,956</w:t>
            </w:r>
          </w:p>
        </w:tc>
      </w:tr>
      <w:tr>
        <w:trPr>
          <w:trHeight w:val="31"/>
        </w:trPr>
        <w:tc>
          <w:tcPr>
            <w:tcW w:w="4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Contract liabilities relate to deferred revenue recognized for payments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January 31, 2020 and October 31, 2019, $20.5 million and $22.0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months ended January 31, 2020, the company recognized $3.6 million of the October 31, 2019 deferred revenue balance within net sales in the Condensed Consolidated Statements of Earnings. The company expects to recognize approximately $7.1 million of the October 31, 2019 deferred revenue amount within net sales throughout the remainder of fiscal 2020, $6.4 million in fiscal 2021, and $5.0 million thereafter.</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ind w:left="580" w:hanging="545"/>
        <w:spacing w:after="0"/>
        <w:tabs>
          <w:tab w:leader="none" w:pos="580" w:val="left"/>
        </w:tabs>
        <w:numPr>
          <w:ilvl w:val="0"/>
          <w:numId w:val="8"/>
        </w:numPr>
        <w:rPr>
          <w:rFonts w:ascii="Arial" w:cs="Arial" w:eastAsia="Arial" w:hAnsi="Arial"/>
          <w:sz w:val="43"/>
          <w:szCs w:val="43"/>
          <w:b w:val="1"/>
          <w:bCs w:val="1"/>
          <w:color w:val="auto"/>
        </w:rPr>
      </w:pPr>
      <w:r>
        <w:rPr>
          <w:rFonts w:ascii="Arial" w:cs="Arial" w:eastAsia="Arial" w:hAnsi="Arial"/>
          <w:sz w:val="20"/>
          <w:szCs w:val="20"/>
          <w:b w:val="1"/>
          <w:bCs w:val="1"/>
          <w:color w:val="auto"/>
        </w:rPr>
        <w:t>Goodwill and Other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for the first three months of fiscal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680" w:type="dxa"/>
            <w:vAlign w:val="bottom"/>
          </w:tcPr>
          <w:p>
            <w:pPr>
              <w:spacing w:after="0"/>
              <w:rPr>
                <w:sz w:val="19"/>
                <w:szCs w:val="19"/>
                <w:color w:val="auto"/>
              </w:rPr>
            </w:pPr>
          </w:p>
        </w:tc>
        <w:tc>
          <w:tcPr>
            <w:tcW w:w="1340" w:type="dxa"/>
            <w:vAlign w:val="bottom"/>
          </w:tcPr>
          <w:p>
            <w:pPr>
              <w:jc w:val="right"/>
              <w:ind w:right="255"/>
              <w:spacing w:after="0"/>
              <w:rPr>
                <w:sz w:val="20"/>
                <w:szCs w:val="20"/>
                <w:color w:val="auto"/>
              </w:rPr>
            </w:pPr>
            <w:r>
              <w:rPr>
                <w:rFonts w:ascii="Arial" w:cs="Arial" w:eastAsia="Arial" w:hAnsi="Arial"/>
                <w:sz w:val="17"/>
                <w:szCs w:val="17"/>
                <w:b w:val="1"/>
                <w:bCs w:val="1"/>
                <w:color w:val="auto"/>
                <w:w w:val="95"/>
              </w:rPr>
              <w:t>Professional</w:t>
            </w:r>
          </w:p>
        </w:tc>
        <w:tc>
          <w:tcPr>
            <w:tcW w:w="300" w:type="dxa"/>
            <w:vAlign w:val="bottom"/>
          </w:tcPr>
          <w:p>
            <w:pPr>
              <w:spacing w:after="0"/>
              <w:rPr>
                <w:sz w:val="19"/>
                <w:szCs w:val="19"/>
                <w:color w:val="auto"/>
              </w:rPr>
            </w:pPr>
          </w:p>
        </w:tc>
        <w:tc>
          <w:tcPr>
            <w:tcW w:w="1300" w:type="dxa"/>
            <w:vAlign w:val="bottom"/>
          </w:tcPr>
          <w:p>
            <w:pPr>
              <w:jc w:val="right"/>
              <w:ind w:right="275"/>
              <w:spacing w:after="0"/>
              <w:rPr>
                <w:sz w:val="20"/>
                <w:szCs w:val="20"/>
                <w:color w:val="auto"/>
              </w:rPr>
            </w:pPr>
            <w:r>
              <w:rPr>
                <w:rFonts w:ascii="Arial" w:cs="Arial" w:eastAsia="Arial" w:hAnsi="Arial"/>
                <w:sz w:val="17"/>
                <w:szCs w:val="17"/>
                <w:b w:val="1"/>
                <w:bCs w:val="1"/>
                <w:color w:val="auto"/>
              </w:rPr>
              <w:t>Residential</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Other</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3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October 31, 2019</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350,250</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10,469</w:t>
            </w:r>
          </w:p>
        </w:tc>
        <w:tc>
          <w:tcPr>
            <w:tcW w:w="104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1,534</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362,253</w:t>
            </w:r>
          </w:p>
        </w:tc>
      </w:tr>
      <w:tr>
        <w:trPr>
          <w:trHeight w:val="239"/>
        </w:trPr>
        <w:tc>
          <w:tcPr>
            <w:tcW w:w="3680" w:type="dxa"/>
            <w:vAlign w:val="bottom"/>
          </w:tcPr>
          <w:p>
            <w:pPr>
              <w:ind w:left="40"/>
              <w:spacing w:after="0"/>
              <w:rPr>
                <w:sz w:val="20"/>
                <w:szCs w:val="20"/>
                <w:color w:val="auto"/>
              </w:rPr>
            </w:pPr>
            <w:r>
              <w:rPr>
                <w:rFonts w:ascii="Arial" w:cs="Arial" w:eastAsia="Arial" w:hAnsi="Arial"/>
                <w:sz w:val="17"/>
                <w:szCs w:val="17"/>
                <w:color w:val="auto"/>
              </w:rPr>
              <w:t>Translation adjustments</w:t>
            </w:r>
          </w:p>
        </w:tc>
        <w:tc>
          <w:tcPr>
            <w:tcW w:w="168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(116)</w:t>
            </w:r>
          </w:p>
        </w:tc>
        <w:tc>
          <w:tcPr>
            <w:tcW w:w="3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040" w:type="dxa"/>
            <w:vAlign w:val="bottom"/>
          </w:tcPr>
          <w:p>
            <w:pPr>
              <w:spacing w:after="0"/>
              <w:rPr>
                <w:sz w:val="20"/>
                <w:szCs w:val="20"/>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31"/>
        </w:trPr>
        <w:tc>
          <w:tcPr>
            <w:tcW w:w="3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January 31, 2020</w:t>
            </w: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350,134</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10,468</w:t>
            </w:r>
          </w:p>
        </w:tc>
        <w:tc>
          <w:tcPr>
            <w:tcW w:w="104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1,534</w:t>
            </w:r>
          </w:p>
        </w:tc>
        <w:tc>
          <w:tcPr>
            <w:tcW w:w="4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362,136</w:t>
            </w:r>
          </w:p>
        </w:tc>
      </w:tr>
      <w:tr>
        <w:trPr>
          <w:trHeight w:val="20"/>
        </w:trPr>
        <w:tc>
          <w:tcPr>
            <w:tcW w:w="36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January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2960" w:type="dxa"/>
            <w:vAlign w:val="bottom"/>
          </w:tcPr>
          <w:p>
            <w:pPr>
              <w:jc w:val="right"/>
              <w:ind w:right="55"/>
              <w:spacing w:after="0"/>
              <w:rPr>
                <w:sz w:val="20"/>
                <w:szCs w:val="20"/>
                <w:color w:val="auto"/>
              </w:rPr>
            </w:pPr>
            <w:r>
              <w:rPr>
                <w:rFonts w:ascii="Arial" w:cs="Arial" w:eastAsia="Arial" w:hAnsi="Arial"/>
                <w:sz w:val="17"/>
                <w:szCs w:val="17"/>
                <w:b w:val="1"/>
                <w:bCs w:val="1"/>
                <w:color w:val="auto"/>
              </w:rPr>
              <w:t>Weighted-Average</w:t>
            </w:r>
          </w:p>
        </w:tc>
        <w:tc>
          <w:tcPr>
            <w:tcW w:w="200" w:type="dxa"/>
            <w:vAlign w:val="bottom"/>
          </w:tcPr>
          <w:p>
            <w:pPr>
              <w:spacing w:after="0"/>
              <w:rPr>
                <w:sz w:val="17"/>
                <w:szCs w:val="17"/>
                <w:color w:val="auto"/>
              </w:rPr>
            </w:pPr>
          </w:p>
        </w:tc>
        <w:tc>
          <w:tcPr>
            <w:tcW w:w="1380" w:type="dxa"/>
            <w:vAlign w:val="bottom"/>
          </w:tcPr>
          <w:p>
            <w:pPr>
              <w:jc w:val="right"/>
              <w:ind w:right="115"/>
              <w:spacing w:after="0"/>
              <w:rPr>
                <w:sz w:val="20"/>
                <w:szCs w:val="20"/>
                <w:color w:val="auto"/>
              </w:rPr>
            </w:pPr>
            <w:r>
              <w:rPr>
                <w:rFonts w:ascii="Arial" w:cs="Arial" w:eastAsia="Arial" w:hAnsi="Arial"/>
                <w:sz w:val="17"/>
                <w:szCs w:val="17"/>
                <w:b w:val="1"/>
                <w:bCs w:val="1"/>
                <w:color w:val="auto"/>
                <w:w w:val="93"/>
              </w:rPr>
              <w:t>Gross Carrying</w:t>
            </w:r>
          </w:p>
        </w:tc>
        <w:tc>
          <w:tcPr>
            <w:tcW w:w="260" w:type="dxa"/>
            <w:vAlign w:val="bottom"/>
          </w:tcPr>
          <w:p>
            <w:pPr>
              <w:spacing w:after="0"/>
              <w:rPr>
                <w:sz w:val="17"/>
                <w:szCs w:val="17"/>
                <w:color w:val="auto"/>
              </w:rPr>
            </w:pPr>
          </w:p>
        </w:tc>
        <w:tc>
          <w:tcPr>
            <w:tcW w:w="1340" w:type="dxa"/>
            <w:vAlign w:val="bottom"/>
          </w:tcPr>
          <w:p>
            <w:pPr>
              <w:jc w:val="right"/>
              <w:ind w:right="215"/>
              <w:spacing w:after="0"/>
              <w:rPr>
                <w:sz w:val="20"/>
                <w:szCs w:val="20"/>
                <w:color w:val="auto"/>
              </w:rPr>
            </w:pPr>
            <w:r>
              <w:rPr>
                <w:rFonts w:ascii="Arial" w:cs="Arial" w:eastAsia="Arial" w:hAnsi="Arial"/>
                <w:sz w:val="17"/>
                <w:szCs w:val="17"/>
                <w:b w:val="1"/>
                <w:bCs w:val="1"/>
                <w:color w:val="auto"/>
                <w:w w:val="95"/>
              </w:rPr>
              <w:t>Accumulated</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37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960" w:type="dxa"/>
            <w:vAlign w:val="bottom"/>
          </w:tcPr>
          <w:p>
            <w:pPr>
              <w:jc w:val="right"/>
              <w:ind w:right="315"/>
              <w:spacing w:after="0"/>
              <w:rPr>
                <w:sz w:val="20"/>
                <w:szCs w:val="20"/>
                <w:color w:val="auto"/>
              </w:rPr>
            </w:pPr>
            <w:r>
              <w:rPr>
                <w:rFonts w:ascii="Arial" w:cs="Arial" w:eastAsia="Arial" w:hAnsi="Arial"/>
                <w:sz w:val="17"/>
                <w:szCs w:val="17"/>
                <w:b w:val="1"/>
                <w:bCs w:val="1"/>
                <w:color w:val="auto"/>
              </w:rPr>
              <w:t>Useful Life</w:t>
            </w:r>
          </w:p>
        </w:tc>
        <w:tc>
          <w:tcPr>
            <w:tcW w:w="200" w:type="dxa"/>
            <w:vAlign w:val="bottom"/>
          </w:tcPr>
          <w:p>
            <w:pPr>
              <w:spacing w:after="0"/>
              <w:rPr>
                <w:sz w:val="19"/>
                <w:szCs w:val="19"/>
                <w:color w:val="auto"/>
              </w:rPr>
            </w:pPr>
          </w:p>
        </w:tc>
        <w:tc>
          <w:tcPr>
            <w:tcW w:w="1380" w:type="dxa"/>
            <w:vAlign w:val="bottom"/>
          </w:tcPr>
          <w:p>
            <w:pPr>
              <w:jc w:val="right"/>
              <w:ind w:right="395"/>
              <w:spacing w:after="0"/>
              <w:rPr>
                <w:sz w:val="20"/>
                <w:szCs w:val="20"/>
                <w:color w:val="auto"/>
              </w:rPr>
            </w:pPr>
            <w:r>
              <w:rPr>
                <w:rFonts w:ascii="Arial" w:cs="Arial" w:eastAsia="Arial" w:hAnsi="Arial"/>
                <w:sz w:val="17"/>
                <w:szCs w:val="17"/>
                <w:b w:val="1"/>
                <w:bCs w:val="1"/>
                <w:color w:val="auto"/>
              </w:rPr>
              <w:t>Amount</w:t>
            </w:r>
          </w:p>
        </w:tc>
        <w:tc>
          <w:tcPr>
            <w:tcW w:w="260" w:type="dxa"/>
            <w:vAlign w:val="bottom"/>
          </w:tcPr>
          <w:p>
            <w:pPr>
              <w:spacing w:after="0"/>
              <w:rPr>
                <w:sz w:val="19"/>
                <w:szCs w:val="19"/>
                <w:color w:val="auto"/>
              </w:rPr>
            </w:pPr>
          </w:p>
        </w:tc>
        <w:tc>
          <w:tcPr>
            <w:tcW w:w="1340" w:type="dxa"/>
            <w:vAlign w:val="bottom"/>
          </w:tcPr>
          <w:p>
            <w:pPr>
              <w:jc w:val="right"/>
              <w:ind w:right="195"/>
              <w:spacing w:after="0"/>
              <w:rPr>
                <w:sz w:val="20"/>
                <w:szCs w:val="20"/>
                <w:color w:val="auto"/>
              </w:rPr>
            </w:pPr>
            <w:r>
              <w:rPr>
                <w:rFonts w:ascii="Arial" w:cs="Arial" w:eastAsia="Arial" w:hAnsi="Arial"/>
                <w:sz w:val="17"/>
                <w:szCs w:val="17"/>
                <w:b w:val="1"/>
                <w:bCs w:val="1"/>
                <w:color w:val="auto"/>
              </w:rPr>
              <w:t>Amortization</w:t>
            </w:r>
          </w:p>
        </w:tc>
        <w:tc>
          <w:tcPr>
            <w:tcW w:w="42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Patents</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(13,307)</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4,931</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Non-compete agreements</w:t>
            </w:r>
          </w:p>
        </w:tc>
        <w:tc>
          <w:tcPr>
            <w:tcW w:w="296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6,875</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(6,798)</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77</w:t>
            </w:r>
          </w:p>
        </w:tc>
      </w:tr>
      <w:tr>
        <w:trPr>
          <w:trHeight w:val="31"/>
        </w:trPr>
        <w:tc>
          <w:tcPr>
            <w:tcW w:w="3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Customer-related</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220,364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(36,970)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183,394</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960" w:type="dxa"/>
            <w:vAlign w:val="bottom"/>
          </w:tcPr>
          <w:p>
            <w:pPr>
              <w:jc w:val="right"/>
              <w:spacing w:after="0"/>
              <w:rPr>
                <w:sz w:val="20"/>
                <w:szCs w:val="20"/>
                <w:color w:val="auto"/>
              </w:rPr>
            </w:pPr>
            <w:r>
              <w:rPr>
                <w:rFonts w:ascii="Arial" w:cs="Arial" w:eastAsia="Arial" w:hAnsi="Arial"/>
                <w:sz w:val="17"/>
                <w:szCs w:val="17"/>
                <w:color w:val="auto"/>
              </w:rPr>
              <w:t>7.6</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51,902</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(32,264)</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19,638</w:t>
            </w:r>
          </w:p>
        </w:tc>
      </w:tr>
      <w:tr>
        <w:trPr>
          <w:trHeight w:val="31"/>
        </w:trPr>
        <w:tc>
          <w:tcPr>
            <w:tcW w:w="3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7,485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5,277</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Backlog and other</w:t>
            </w:r>
          </w:p>
        </w:tc>
        <w:tc>
          <w:tcPr>
            <w:tcW w:w="2960" w:type="dxa"/>
            <w:vAlign w:val="bottom"/>
          </w:tcPr>
          <w:p>
            <w:pPr>
              <w:jc w:val="right"/>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4,390</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(4,390)</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definite-lived</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309,254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(95,937)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213,317</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Indefinite-lived - trade names</w:t>
            </w: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134,326</w:t>
            </w:r>
          </w:p>
        </w:tc>
        <w:tc>
          <w:tcPr>
            <w:tcW w:w="260" w:type="dxa"/>
            <w:vAlign w:val="bottom"/>
          </w:tcPr>
          <w:p>
            <w:pPr>
              <w:spacing w:after="0"/>
              <w:rPr>
                <w:sz w:val="20"/>
                <w:szCs w:val="20"/>
                <w:color w:val="auto"/>
              </w:rPr>
            </w:pPr>
          </w:p>
        </w:tc>
        <w:tc>
          <w:tcPr>
            <w:tcW w:w="1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134,326</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 assets, net</w:t>
            </w:r>
          </w:p>
        </w:tc>
        <w:tc>
          <w:tcPr>
            <w:tcW w:w="2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443,580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(95,937)</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347,643</w:t>
            </w:r>
          </w:p>
        </w:tc>
      </w:tr>
      <w:tr>
        <w:trPr>
          <w:trHeight w:val="20"/>
        </w:trPr>
        <w:tc>
          <w:tcPr>
            <w:tcW w:w="374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February 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2960" w:type="dxa"/>
            <w:vAlign w:val="bottom"/>
          </w:tcPr>
          <w:p>
            <w:pPr>
              <w:jc w:val="right"/>
              <w:ind w:right="55"/>
              <w:spacing w:after="0"/>
              <w:rPr>
                <w:sz w:val="20"/>
                <w:szCs w:val="20"/>
                <w:color w:val="auto"/>
              </w:rPr>
            </w:pPr>
            <w:r>
              <w:rPr>
                <w:rFonts w:ascii="Arial" w:cs="Arial" w:eastAsia="Arial" w:hAnsi="Arial"/>
                <w:sz w:val="17"/>
                <w:szCs w:val="17"/>
                <w:b w:val="1"/>
                <w:bCs w:val="1"/>
                <w:color w:val="auto"/>
              </w:rPr>
              <w:t>Weighted-Average</w:t>
            </w:r>
          </w:p>
        </w:tc>
        <w:tc>
          <w:tcPr>
            <w:tcW w:w="200" w:type="dxa"/>
            <w:vAlign w:val="bottom"/>
          </w:tcPr>
          <w:p>
            <w:pPr>
              <w:spacing w:after="0"/>
              <w:rPr>
                <w:sz w:val="17"/>
                <w:szCs w:val="17"/>
                <w:color w:val="auto"/>
              </w:rPr>
            </w:pPr>
          </w:p>
        </w:tc>
        <w:tc>
          <w:tcPr>
            <w:tcW w:w="1380" w:type="dxa"/>
            <w:vAlign w:val="bottom"/>
          </w:tcPr>
          <w:p>
            <w:pPr>
              <w:jc w:val="right"/>
              <w:ind w:right="115"/>
              <w:spacing w:after="0"/>
              <w:rPr>
                <w:sz w:val="20"/>
                <w:szCs w:val="20"/>
                <w:color w:val="auto"/>
              </w:rPr>
            </w:pPr>
            <w:r>
              <w:rPr>
                <w:rFonts w:ascii="Arial" w:cs="Arial" w:eastAsia="Arial" w:hAnsi="Arial"/>
                <w:sz w:val="17"/>
                <w:szCs w:val="17"/>
                <w:b w:val="1"/>
                <w:bCs w:val="1"/>
                <w:color w:val="auto"/>
                <w:w w:val="93"/>
              </w:rPr>
              <w:t>Gross Carrying</w:t>
            </w:r>
          </w:p>
        </w:tc>
        <w:tc>
          <w:tcPr>
            <w:tcW w:w="260" w:type="dxa"/>
            <w:vAlign w:val="bottom"/>
          </w:tcPr>
          <w:p>
            <w:pPr>
              <w:spacing w:after="0"/>
              <w:rPr>
                <w:sz w:val="17"/>
                <w:szCs w:val="17"/>
                <w:color w:val="auto"/>
              </w:rPr>
            </w:pPr>
          </w:p>
        </w:tc>
        <w:tc>
          <w:tcPr>
            <w:tcW w:w="1340" w:type="dxa"/>
            <w:vAlign w:val="bottom"/>
          </w:tcPr>
          <w:p>
            <w:pPr>
              <w:jc w:val="right"/>
              <w:ind w:right="215"/>
              <w:spacing w:after="0"/>
              <w:rPr>
                <w:sz w:val="20"/>
                <w:szCs w:val="20"/>
                <w:color w:val="auto"/>
              </w:rPr>
            </w:pPr>
            <w:r>
              <w:rPr>
                <w:rFonts w:ascii="Arial" w:cs="Arial" w:eastAsia="Arial" w:hAnsi="Arial"/>
                <w:sz w:val="17"/>
                <w:szCs w:val="17"/>
                <w:b w:val="1"/>
                <w:bCs w:val="1"/>
                <w:color w:val="auto"/>
                <w:w w:val="95"/>
              </w:rPr>
              <w:t>Accumulated</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37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960" w:type="dxa"/>
            <w:vAlign w:val="bottom"/>
          </w:tcPr>
          <w:p>
            <w:pPr>
              <w:jc w:val="right"/>
              <w:ind w:right="315"/>
              <w:spacing w:after="0"/>
              <w:rPr>
                <w:sz w:val="20"/>
                <w:szCs w:val="20"/>
                <w:color w:val="auto"/>
              </w:rPr>
            </w:pPr>
            <w:r>
              <w:rPr>
                <w:rFonts w:ascii="Arial" w:cs="Arial" w:eastAsia="Arial" w:hAnsi="Arial"/>
                <w:sz w:val="17"/>
                <w:szCs w:val="17"/>
                <w:b w:val="1"/>
                <w:bCs w:val="1"/>
                <w:color w:val="auto"/>
              </w:rPr>
              <w:t>Useful Life</w:t>
            </w:r>
          </w:p>
        </w:tc>
        <w:tc>
          <w:tcPr>
            <w:tcW w:w="200" w:type="dxa"/>
            <w:vAlign w:val="bottom"/>
          </w:tcPr>
          <w:p>
            <w:pPr>
              <w:spacing w:after="0"/>
              <w:rPr>
                <w:sz w:val="19"/>
                <w:szCs w:val="19"/>
                <w:color w:val="auto"/>
              </w:rPr>
            </w:pPr>
          </w:p>
        </w:tc>
        <w:tc>
          <w:tcPr>
            <w:tcW w:w="1380" w:type="dxa"/>
            <w:vAlign w:val="bottom"/>
          </w:tcPr>
          <w:p>
            <w:pPr>
              <w:jc w:val="right"/>
              <w:ind w:right="395"/>
              <w:spacing w:after="0"/>
              <w:rPr>
                <w:sz w:val="20"/>
                <w:szCs w:val="20"/>
                <w:color w:val="auto"/>
              </w:rPr>
            </w:pPr>
            <w:r>
              <w:rPr>
                <w:rFonts w:ascii="Arial" w:cs="Arial" w:eastAsia="Arial" w:hAnsi="Arial"/>
                <w:sz w:val="17"/>
                <w:szCs w:val="17"/>
                <w:b w:val="1"/>
                <w:bCs w:val="1"/>
                <w:color w:val="auto"/>
              </w:rPr>
              <w:t>Amount</w:t>
            </w:r>
          </w:p>
        </w:tc>
        <w:tc>
          <w:tcPr>
            <w:tcW w:w="260" w:type="dxa"/>
            <w:vAlign w:val="bottom"/>
          </w:tcPr>
          <w:p>
            <w:pPr>
              <w:spacing w:after="0"/>
              <w:rPr>
                <w:sz w:val="19"/>
                <w:szCs w:val="19"/>
                <w:color w:val="auto"/>
              </w:rPr>
            </w:pPr>
          </w:p>
        </w:tc>
        <w:tc>
          <w:tcPr>
            <w:tcW w:w="1340" w:type="dxa"/>
            <w:vAlign w:val="bottom"/>
          </w:tcPr>
          <w:p>
            <w:pPr>
              <w:jc w:val="right"/>
              <w:ind w:right="195"/>
              <w:spacing w:after="0"/>
              <w:rPr>
                <w:sz w:val="20"/>
                <w:szCs w:val="20"/>
                <w:color w:val="auto"/>
              </w:rPr>
            </w:pPr>
            <w:r>
              <w:rPr>
                <w:rFonts w:ascii="Arial" w:cs="Arial" w:eastAsia="Arial" w:hAnsi="Arial"/>
                <w:sz w:val="17"/>
                <w:szCs w:val="17"/>
                <w:b w:val="1"/>
                <w:bCs w:val="1"/>
                <w:color w:val="auto"/>
              </w:rPr>
              <w:t>Amortization</w:t>
            </w:r>
          </w:p>
        </w:tc>
        <w:tc>
          <w:tcPr>
            <w:tcW w:w="42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Patents</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(12,524)</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5,731</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Non-compete agreements</w:t>
            </w:r>
          </w:p>
        </w:tc>
        <w:tc>
          <w:tcPr>
            <w:tcW w:w="296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6,891</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(6,794)</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97</w:t>
            </w:r>
          </w:p>
        </w:tc>
      </w:tr>
      <w:tr>
        <w:trPr>
          <w:trHeight w:val="31"/>
        </w:trPr>
        <w:tc>
          <w:tcPr>
            <w:tcW w:w="3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Customer-related</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89,702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(24,929)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64,773</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960" w:type="dxa"/>
            <w:vAlign w:val="bottom"/>
          </w:tcPr>
          <w:p>
            <w:pPr>
              <w:jc w:val="right"/>
              <w:spacing w:after="0"/>
              <w:rPr>
                <w:sz w:val="20"/>
                <w:szCs w:val="20"/>
                <w:color w:val="auto"/>
              </w:rPr>
            </w:pPr>
            <w:r>
              <w:rPr>
                <w:rFonts w:ascii="Arial" w:cs="Arial" w:eastAsia="Arial" w:hAnsi="Arial"/>
                <w:sz w:val="17"/>
                <w:szCs w:val="17"/>
                <w:color w:val="auto"/>
              </w:rPr>
              <w:t>7.6</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31,079</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(28,774)</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2,305</w:t>
            </w:r>
          </w:p>
        </w:tc>
      </w:tr>
      <w:tr>
        <w:trPr>
          <w:trHeight w:val="31"/>
        </w:trPr>
        <w:tc>
          <w:tcPr>
            <w:tcW w:w="3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2,319</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(1,850)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469</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Other</w:t>
            </w:r>
          </w:p>
        </w:tc>
        <w:tc>
          <w:tcPr>
            <w:tcW w:w="2960" w:type="dxa"/>
            <w:vAlign w:val="bottom"/>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800</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(800)</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definite-lived</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149,046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(75,671)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73,375</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Indefinite-lived - trade names</w:t>
            </w: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30,642</w:t>
            </w:r>
          </w:p>
        </w:tc>
        <w:tc>
          <w:tcPr>
            <w:tcW w:w="260" w:type="dxa"/>
            <w:vAlign w:val="bottom"/>
          </w:tcPr>
          <w:p>
            <w:pPr>
              <w:spacing w:after="0"/>
              <w:rPr>
                <w:sz w:val="20"/>
                <w:szCs w:val="20"/>
                <w:color w:val="auto"/>
              </w:rPr>
            </w:pPr>
          </w:p>
        </w:tc>
        <w:tc>
          <w:tcPr>
            <w:tcW w:w="1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30,642</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 assets, net</w:t>
            </w:r>
          </w:p>
        </w:tc>
        <w:tc>
          <w:tcPr>
            <w:tcW w:w="2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179,688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(75,671)</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104,017</w:t>
            </w:r>
          </w:p>
        </w:tc>
      </w:tr>
      <w:tr>
        <w:trPr>
          <w:trHeight w:val="20"/>
        </w:trPr>
        <w:tc>
          <w:tcPr>
            <w:tcW w:w="374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intangible assets, net as of October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2960" w:type="dxa"/>
            <w:vAlign w:val="bottom"/>
          </w:tcPr>
          <w:p>
            <w:pPr>
              <w:jc w:val="right"/>
              <w:ind w:right="55"/>
              <w:spacing w:after="0"/>
              <w:rPr>
                <w:sz w:val="20"/>
                <w:szCs w:val="20"/>
                <w:color w:val="auto"/>
              </w:rPr>
            </w:pPr>
            <w:r>
              <w:rPr>
                <w:rFonts w:ascii="Arial" w:cs="Arial" w:eastAsia="Arial" w:hAnsi="Arial"/>
                <w:sz w:val="17"/>
                <w:szCs w:val="17"/>
                <w:b w:val="1"/>
                <w:bCs w:val="1"/>
                <w:color w:val="auto"/>
              </w:rPr>
              <w:t>Weighted-Average</w:t>
            </w:r>
          </w:p>
        </w:tc>
        <w:tc>
          <w:tcPr>
            <w:tcW w:w="200" w:type="dxa"/>
            <w:vAlign w:val="bottom"/>
          </w:tcPr>
          <w:p>
            <w:pPr>
              <w:spacing w:after="0"/>
              <w:rPr>
                <w:sz w:val="17"/>
                <w:szCs w:val="17"/>
                <w:color w:val="auto"/>
              </w:rPr>
            </w:pPr>
          </w:p>
        </w:tc>
        <w:tc>
          <w:tcPr>
            <w:tcW w:w="1380" w:type="dxa"/>
            <w:vAlign w:val="bottom"/>
          </w:tcPr>
          <w:p>
            <w:pPr>
              <w:jc w:val="right"/>
              <w:ind w:right="115"/>
              <w:spacing w:after="0"/>
              <w:rPr>
                <w:sz w:val="20"/>
                <w:szCs w:val="20"/>
                <w:color w:val="auto"/>
              </w:rPr>
            </w:pPr>
            <w:r>
              <w:rPr>
                <w:rFonts w:ascii="Arial" w:cs="Arial" w:eastAsia="Arial" w:hAnsi="Arial"/>
                <w:sz w:val="17"/>
                <w:szCs w:val="17"/>
                <w:b w:val="1"/>
                <w:bCs w:val="1"/>
                <w:color w:val="auto"/>
                <w:w w:val="93"/>
              </w:rPr>
              <w:t>Gross Carrying</w:t>
            </w:r>
          </w:p>
        </w:tc>
        <w:tc>
          <w:tcPr>
            <w:tcW w:w="260" w:type="dxa"/>
            <w:vAlign w:val="bottom"/>
          </w:tcPr>
          <w:p>
            <w:pPr>
              <w:spacing w:after="0"/>
              <w:rPr>
                <w:sz w:val="17"/>
                <w:szCs w:val="17"/>
                <w:color w:val="auto"/>
              </w:rPr>
            </w:pPr>
          </w:p>
        </w:tc>
        <w:tc>
          <w:tcPr>
            <w:tcW w:w="1340" w:type="dxa"/>
            <w:vAlign w:val="bottom"/>
          </w:tcPr>
          <w:p>
            <w:pPr>
              <w:jc w:val="right"/>
              <w:ind w:right="215"/>
              <w:spacing w:after="0"/>
              <w:rPr>
                <w:sz w:val="20"/>
                <w:szCs w:val="20"/>
                <w:color w:val="auto"/>
              </w:rPr>
            </w:pPr>
            <w:r>
              <w:rPr>
                <w:rFonts w:ascii="Arial" w:cs="Arial" w:eastAsia="Arial" w:hAnsi="Arial"/>
                <w:sz w:val="17"/>
                <w:szCs w:val="17"/>
                <w:b w:val="1"/>
                <w:bCs w:val="1"/>
                <w:color w:val="auto"/>
                <w:w w:val="95"/>
              </w:rPr>
              <w:t>Accumulated</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37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960" w:type="dxa"/>
            <w:vAlign w:val="bottom"/>
          </w:tcPr>
          <w:p>
            <w:pPr>
              <w:jc w:val="right"/>
              <w:ind w:right="315"/>
              <w:spacing w:after="0"/>
              <w:rPr>
                <w:sz w:val="20"/>
                <w:szCs w:val="20"/>
                <w:color w:val="auto"/>
              </w:rPr>
            </w:pPr>
            <w:r>
              <w:rPr>
                <w:rFonts w:ascii="Arial" w:cs="Arial" w:eastAsia="Arial" w:hAnsi="Arial"/>
                <w:sz w:val="17"/>
                <w:szCs w:val="17"/>
                <w:b w:val="1"/>
                <w:bCs w:val="1"/>
                <w:color w:val="auto"/>
              </w:rPr>
              <w:t>Useful Life</w:t>
            </w:r>
          </w:p>
        </w:tc>
        <w:tc>
          <w:tcPr>
            <w:tcW w:w="200" w:type="dxa"/>
            <w:vAlign w:val="bottom"/>
          </w:tcPr>
          <w:p>
            <w:pPr>
              <w:spacing w:after="0"/>
              <w:rPr>
                <w:sz w:val="19"/>
                <w:szCs w:val="19"/>
                <w:color w:val="auto"/>
              </w:rPr>
            </w:pPr>
          </w:p>
        </w:tc>
        <w:tc>
          <w:tcPr>
            <w:tcW w:w="1380" w:type="dxa"/>
            <w:vAlign w:val="bottom"/>
          </w:tcPr>
          <w:p>
            <w:pPr>
              <w:jc w:val="right"/>
              <w:ind w:right="395"/>
              <w:spacing w:after="0"/>
              <w:rPr>
                <w:sz w:val="20"/>
                <w:szCs w:val="20"/>
                <w:color w:val="auto"/>
              </w:rPr>
            </w:pPr>
            <w:r>
              <w:rPr>
                <w:rFonts w:ascii="Arial" w:cs="Arial" w:eastAsia="Arial" w:hAnsi="Arial"/>
                <w:sz w:val="17"/>
                <w:szCs w:val="17"/>
                <w:b w:val="1"/>
                <w:bCs w:val="1"/>
                <w:color w:val="auto"/>
              </w:rPr>
              <w:t>Amount</w:t>
            </w:r>
          </w:p>
        </w:tc>
        <w:tc>
          <w:tcPr>
            <w:tcW w:w="260" w:type="dxa"/>
            <w:vAlign w:val="bottom"/>
          </w:tcPr>
          <w:p>
            <w:pPr>
              <w:spacing w:after="0"/>
              <w:rPr>
                <w:sz w:val="19"/>
                <w:szCs w:val="19"/>
                <w:color w:val="auto"/>
              </w:rPr>
            </w:pPr>
          </w:p>
        </w:tc>
        <w:tc>
          <w:tcPr>
            <w:tcW w:w="1340" w:type="dxa"/>
            <w:vAlign w:val="bottom"/>
          </w:tcPr>
          <w:p>
            <w:pPr>
              <w:jc w:val="right"/>
              <w:ind w:right="195"/>
              <w:spacing w:after="0"/>
              <w:rPr>
                <w:sz w:val="20"/>
                <w:szCs w:val="20"/>
                <w:color w:val="auto"/>
              </w:rPr>
            </w:pPr>
            <w:r>
              <w:rPr>
                <w:rFonts w:ascii="Arial" w:cs="Arial" w:eastAsia="Arial" w:hAnsi="Arial"/>
                <w:sz w:val="17"/>
                <w:szCs w:val="17"/>
                <w:b w:val="1"/>
                <w:bCs w:val="1"/>
                <w:color w:val="auto"/>
              </w:rPr>
              <w:t>Amortization</w:t>
            </w:r>
          </w:p>
        </w:tc>
        <w:tc>
          <w:tcPr>
            <w:tcW w:w="42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7"/>
                <w:szCs w:val="17"/>
                <w:b w:val="1"/>
                <w:bCs w:val="1"/>
                <w:color w:val="auto"/>
              </w:rPr>
              <w:t>Net</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Patents</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18,230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(13,102)</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5,128</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Non-compete agreements</w:t>
            </w:r>
          </w:p>
        </w:tc>
        <w:tc>
          <w:tcPr>
            <w:tcW w:w="2960" w:type="dxa"/>
            <w:vAlign w:val="bottom"/>
          </w:tcPr>
          <w:p>
            <w:pPr>
              <w:jc w:val="right"/>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6,868</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(6,786)</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82</w:t>
            </w:r>
          </w:p>
        </w:tc>
      </w:tr>
      <w:tr>
        <w:trPr>
          <w:trHeight w:val="31"/>
        </w:trPr>
        <w:tc>
          <w:tcPr>
            <w:tcW w:w="3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Customer-related</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220,390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(33,547)</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186,843</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960" w:type="dxa"/>
            <w:vAlign w:val="bottom"/>
          </w:tcPr>
          <w:p>
            <w:pPr>
              <w:jc w:val="right"/>
              <w:spacing w:after="0"/>
              <w:rPr>
                <w:sz w:val="20"/>
                <w:szCs w:val="20"/>
                <w:color w:val="auto"/>
              </w:rPr>
            </w:pPr>
            <w:r>
              <w:rPr>
                <w:rFonts w:ascii="Arial" w:cs="Arial" w:eastAsia="Arial" w:hAnsi="Arial"/>
                <w:sz w:val="17"/>
                <w:szCs w:val="17"/>
                <w:color w:val="auto"/>
              </w:rPr>
              <w:t>7.6</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51,911</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(31,289)</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20,622</w:t>
            </w:r>
          </w:p>
        </w:tc>
      </w:tr>
      <w:tr>
        <w:trPr>
          <w:trHeight w:val="31"/>
        </w:trPr>
        <w:tc>
          <w:tcPr>
            <w:tcW w:w="37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7,496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5,387</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Other</w:t>
            </w:r>
          </w:p>
        </w:tc>
        <w:tc>
          <w:tcPr>
            <w:tcW w:w="2960" w:type="dxa"/>
            <w:vAlign w:val="bottom"/>
          </w:tcPr>
          <w:p>
            <w:pPr>
              <w:jc w:val="right"/>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4,390</w:t>
            </w:r>
          </w:p>
        </w:tc>
        <w:tc>
          <w:tcPr>
            <w:tcW w:w="26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(4,390)</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definite-lived</w:t>
            </w:r>
          </w:p>
        </w:tc>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309,285</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(91,223)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218,062</w:t>
            </w:r>
          </w:p>
        </w:tc>
      </w:tr>
      <w:tr>
        <w:trPr>
          <w:trHeight w:val="239"/>
        </w:trPr>
        <w:tc>
          <w:tcPr>
            <w:tcW w:w="3740" w:type="dxa"/>
            <w:vAlign w:val="bottom"/>
          </w:tcPr>
          <w:p>
            <w:pPr>
              <w:ind w:left="40"/>
              <w:spacing w:after="0"/>
              <w:rPr>
                <w:sz w:val="20"/>
                <w:szCs w:val="20"/>
                <w:color w:val="auto"/>
              </w:rPr>
            </w:pPr>
            <w:r>
              <w:rPr>
                <w:rFonts w:ascii="Arial" w:cs="Arial" w:eastAsia="Arial" w:hAnsi="Arial"/>
                <w:sz w:val="17"/>
                <w:szCs w:val="17"/>
                <w:color w:val="auto"/>
              </w:rPr>
              <w:t>Indefinite-lived - trade names</w:t>
            </w: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134,312</w:t>
            </w:r>
          </w:p>
        </w:tc>
        <w:tc>
          <w:tcPr>
            <w:tcW w:w="260" w:type="dxa"/>
            <w:vAlign w:val="bottom"/>
          </w:tcPr>
          <w:p>
            <w:pPr>
              <w:spacing w:after="0"/>
              <w:rPr>
                <w:sz w:val="20"/>
                <w:szCs w:val="20"/>
                <w:color w:val="auto"/>
              </w:rPr>
            </w:pPr>
          </w:p>
        </w:tc>
        <w:tc>
          <w:tcPr>
            <w:tcW w:w="1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134,312</w:t>
            </w:r>
          </w:p>
        </w:tc>
      </w:tr>
      <w:tr>
        <w:trPr>
          <w:trHeight w:val="31"/>
        </w:trPr>
        <w:tc>
          <w:tcPr>
            <w:tcW w:w="37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intangible assets, net</w:t>
            </w:r>
          </w:p>
        </w:tc>
        <w:tc>
          <w:tcPr>
            <w:tcW w:w="2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443,597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(91,223)</w:t>
            </w:r>
          </w:p>
        </w:tc>
        <w:tc>
          <w:tcPr>
            <w:tcW w:w="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352,374</w:t>
            </w:r>
          </w:p>
        </w:tc>
      </w:tr>
      <w:tr>
        <w:trPr>
          <w:trHeight w:val="20"/>
        </w:trPr>
        <w:tc>
          <w:tcPr>
            <w:tcW w:w="3740" w:type="dxa"/>
            <w:vAlign w:val="bottom"/>
            <w:tcBorders>
              <w:top w:val="single" w:sz="8" w:color="auto"/>
              <w:bottom w:val="single" w:sz="8" w:color="auto"/>
            </w:tcBorders>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definite-lived intangible assets during the first quarter of fiscal 2020 and fiscal 2019 was $4.7 million and $1.8 million, respectively. Estimated amortization expense for the remainder of fiscal 2020 and succeeding fiscal years is as follows: fiscal 2020 (remainder), $14.0 million; fiscal 2021, $18.3 million; fiscal 2022, $17.0 million; fiscal 2023, $15.3 million; fiscal 2024, $14.3 million; fiscal 2025, $12.6 million; and after fiscal 2025, $121.8 million.</w:t>
      </w:r>
    </w:p>
    <w:p>
      <w:pPr>
        <w:spacing w:after="0" w:line="373" w:lineRule="exact"/>
        <w:rPr>
          <w:sz w:val="20"/>
          <w:szCs w:val="20"/>
          <w:color w:val="auto"/>
        </w:rPr>
      </w:pPr>
    </w:p>
    <w:p>
      <w:pPr>
        <w:ind w:left="580" w:hanging="545"/>
        <w:spacing w:after="0"/>
        <w:tabs>
          <w:tab w:leader="none" w:pos="580" w:val="left"/>
        </w:tabs>
        <w:numPr>
          <w:ilvl w:val="0"/>
          <w:numId w:val="9"/>
        </w:numPr>
        <w:rPr>
          <w:rFonts w:ascii="Arial" w:cs="Arial" w:eastAsia="Arial" w:hAnsi="Arial"/>
          <w:sz w:val="43"/>
          <w:szCs w:val="43"/>
          <w:b w:val="1"/>
          <w:bCs w:val="1"/>
          <w:color w:val="auto"/>
        </w:rPr>
      </w:pPr>
      <w:r>
        <w:rPr>
          <w:rFonts w:ascii="Arial" w:cs="Arial" w:eastAsia="Arial" w:hAnsi="Arial"/>
          <w:sz w:val="20"/>
          <w:szCs w:val="20"/>
          <w:b w:val="1"/>
          <w:bCs w:val="1"/>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04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b w:val="1"/>
                <w:bCs w:val="1"/>
                <w:color w:val="auto"/>
                <w:w w:val="90"/>
              </w:rPr>
              <w:t>February 1, 2019</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October 31, 2019</w:t>
            </w:r>
          </w:p>
        </w:tc>
      </w:tr>
      <w:tr>
        <w:trPr>
          <w:trHeight w:val="31"/>
        </w:trPr>
        <w:tc>
          <w:tcPr>
            <w:tcW w:w="5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Revolving credit facility</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$200 million term loan</w:t>
            </w:r>
          </w:p>
        </w:tc>
        <w:tc>
          <w:tcPr>
            <w:tcW w:w="104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100,000</w:t>
            </w:r>
          </w:p>
        </w:tc>
      </w:tr>
      <w:tr>
        <w:trPr>
          <w:trHeight w:val="31"/>
        </w:trPr>
        <w:tc>
          <w:tcPr>
            <w:tcW w:w="5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$300 million term loan</w:t>
            </w:r>
          </w:p>
        </w:tc>
        <w:tc>
          <w:tcPr>
            <w:tcW w:w="1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180,000</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180,000</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3.81% series A senior notes</w:t>
            </w:r>
          </w:p>
        </w:tc>
        <w:tc>
          <w:tcPr>
            <w:tcW w:w="104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100,000</w:t>
            </w:r>
          </w:p>
        </w:tc>
      </w:tr>
      <w:tr>
        <w:trPr>
          <w:trHeight w:val="31"/>
        </w:trPr>
        <w:tc>
          <w:tcPr>
            <w:tcW w:w="5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3.91% series B senior notes</w:t>
            </w:r>
          </w:p>
        </w:tc>
        <w:tc>
          <w:tcPr>
            <w:tcW w:w="1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100,000</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100,000</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7.800% debentures</w:t>
            </w:r>
          </w:p>
        </w:tc>
        <w:tc>
          <w:tcPr>
            <w:tcW w:w="104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100,000</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100,000</w:t>
            </w:r>
          </w:p>
        </w:tc>
      </w:tr>
      <w:tr>
        <w:trPr>
          <w:trHeight w:val="31"/>
        </w:trPr>
        <w:tc>
          <w:tcPr>
            <w:tcW w:w="5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6.625% senior notes</w:t>
            </w:r>
          </w:p>
        </w:tc>
        <w:tc>
          <w:tcPr>
            <w:tcW w:w="1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123,931</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123,869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123,916</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Less: unamortized discounts, debt issuance costs, and deferred charges</w:t>
            </w:r>
          </w:p>
        </w:tc>
        <w:tc>
          <w:tcPr>
            <w:tcW w:w="104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(3,012)</w:t>
            </w:r>
          </w:p>
        </w:tc>
        <w:tc>
          <w:tcPr>
            <w:tcW w:w="180" w:type="dxa"/>
            <w:vAlign w:val="bottom"/>
          </w:tcPr>
          <w:p>
            <w:pPr>
              <w:spacing w:after="0"/>
              <w:rPr>
                <w:sz w:val="20"/>
                <w:szCs w:val="20"/>
                <w:color w:val="auto"/>
              </w:rPr>
            </w:pP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(2,318)</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(3,103)</w:t>
            </w:r>
          </w:p>
        </w:tc>
      </w:tr>
      <w:tr>
        <w:trPr>
          <w:trHeight w:val="31"/>
        </w:trPr>
        <w:tc>
          <w:tcPr>
            <w:tcW w:w="5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long-term debt</w:t>
            </w:r>
          </w:p>
        </w:tc>
        <w:tc>
          <w:tcPr>
            <w:tcW w:w="10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714,919</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312,551</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700,813</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Less: current portion of long-term debt</w:t>
            </w:r>
          </w:p>
        </w:tc>
        <w:tc>
          <w:tcPr>
            <w:tcW w:w="104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113,903</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79,914</w:t>
            </w:r>
          </w:p>
        </w:tc>
      </w:tr>
      <w:tr>
        <w:trPr>
          <w:trHeight w:val="31"/>
        </w:trPr>
        <w:tc>
          <w:tcPr>
            <w:tcW w:w="5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601,016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312,551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620,899</w:t>
            </w:r>
          </w:p>
        </w:tc>
      </w:tr>
      <w:tr>
        <w:trPr>
          <w:trHeight w:val="20"/>
        </w:trPr>
        <w:tc>
          <w:tcPr>
            <w:tcW w:w="5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Principal payments required on the company's outstanding indebtedness, based on the maturity dates defined within the company's debt arrangements, for the remainder of fiscal 2020 and succeeding five fiscal years are as follows: fiscal 2020 (remainder), $0.0 million; fiscal 2021, $0.0 million; fiscal 2022, $9.0 million; fiscal 2023, $132.0 million; fiscal 2024, $153.0 million; fiscal 2025, $0.0 million; and after fiscal 2025, $425.0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2018, the company replaced its prior revolving credit facility and term loan, which were scheduled to mature in October 2019, with an unsecured senior five-year revolving credit facility that, among other things, increased the company's borrowing capacity to $600.0 million, from $150.0 million, and expires in June 2023. Included in the company's $600.0 million revolving credit facility is a $10.0 million sublimit for standby letters of credit and a $30.0 million sublimit for swingline loans. At the company's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 In connection with the entry into the new revolving credit facility during June 2018, the company incurred approximately $1.9 million of debt issuance costs, which are being amortized over the life of the revolving credit facility under the straight-line method as the results obtained are not materially different from those that would</w:t>
      </w:r>
    </w:p>
    <w:p>
      <w:pPr>
        <w:sectPr>
          <w:pgSz w:w="11900" w:h="16838" w:orient="portrait"/>
          <w:cols w:equalWidth="0" w:num="1">
            <w:col w:w="11420"/>
          </w:cols>
          <w:pgMar w:left="240" w:top="125"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result from the use of the effective interest method. The company classifies the debt issuance costs related to its revolving credit facility within other assets on the Condensed Consolidated Balance Sheets, regardless of whether the company has any outstanding borrowings on the revolving credit facility.</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January 31, 2020, the company had $14.0 million outstanding under the revolving credit facility, $1.9 million outstanding under the sublimit for standby letters of credit, and $584.1 million of unutilized availability under the revolving credit facility. As of February 1, 2019, the company had $91.0 million outstanding under the revolving credit facility, $1.5 million outstanding under the sublimit for standby letters of credit, and $507.5 million of unutilized availability under the revolving credit facility. As of October 31, 2019, the company had no borrowings under the revolving credit facility but did have $1.9 million outstanding under the sublimit for standby letters of credit, which resulted in $598.1 million of unutilized availability under the revolving credit facility. Typically, the company's revolving credit facility is classified as long-term debt within the company's Condensed Consolidated Balance Sheets as the company has the ability to extend the outstanding borrowings under the revolving credit facility for the full-term of the facility. However, if the company intends to repay a portion of the outstanding balance under the revolving credit facility within the next twelve months, the company reclassifies that portion of outstanding borrowings under the revolving credit facility to current portion of long-term debt within the Condensed Consolidated Balance Sheets. As of January 31, 2020, the $14.0 million of outstanding borrowings under the company's revolving credit facility was classified as current portion of long-term debt within the Condensed Consolidated Balance Sheets as the company intends to repay such amount within the next twelve months. As of February 1, 2019, the $91.0 million of outstanding borrowings under the company's revolving credit facility was classified as long-term debt within the company's Condensed Consolidated Balance Sheets.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credit agreement for the company's revolving credit facility as of January 31, 2020, February 1, 2019, and October 31, 2019.</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Outstanding loans under the revolving credit facility, if applicable, other than swingline loans, bear interest at a variable rate generally based on LIBOR or an alternative variable rate based on the highest of the Bank of America prime rate, the federal funds rate or a rate generally based on LIBOR, in each case subject to an additional basis point spread as defined in the credit agreement.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as defined in the credit agreement. Interest is payable quarterly in arrears. For the three month periods ended January 31, 2020 and February 1, 2019, the company incurred interest expense of approximately $0.1 million and $0.8 million, respectively, under the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2019, the company entered into a term loan credit agreement with a syndicate of financial institutions for the purpose of partially funding the purchase price of the company's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The funds under both term loan facilities were received on April 1, 2019 in connection with the closing of the company's acquisition of CMW. There are no scheduled principal amortization payments prior to maturity on the $200.0 million three year unsecured senior term loan facility. For the $300.0 million five year unsecured senior term loan facility, the company is required to make quarterly principal amortization payments of 2.5 percent of the original aggregate principal balance beginning with the last business day of the thirteenth calendar quarter ending after April 1, 2019, with the remainder of the unpaid principal balance due at maturity. No principal payments are required during the first three and one-quarter (3.25) years of the $300.0 million five year unsecured senior term loan facility. The term loan facilities may be prepaid and terminated at the company's election at any time without penalty or premium.</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31, 2020, the company had prepaid $100.0 million and $120.0 million against the outstanding principal balances of the $200.0 million three year unsecured senior term loan facility and $300.0 million five year unsecured senior term loan facility, respectively, and has reclassified $99.9 million of the remaining outstanding principal balance under the term loan credit agreement, net of the related proportionate share of debt issuance costs, to current portion of long-term debt within the Condensed Consolidated Balance Sheets as the company intends to prepay such amount utilizing cash flows from operations within the next twelve months. Thus, as of January 31, 2020, there were $100.0 million and $180.0 million of outstanding borrowings under the term loan credit agreement for the $200.0 million three year unsecured senior term loan facility and the $300.0 million five year unsecured senior term loan facility,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company's entry into the term loan credit agreement in March 2019, the company incurred approximately $0.6 million of debt issuance costs, which are being amortized over the life of the respective term loans under the straight-line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method as the results obtained are not materially different from those that would result from the use of the effective interest method. Unamortized deferred debt issuance costs are netted against the outstanding borrowings under the term loan credit agreement on the company's Condensed Consolidated Balance Sheets.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loan credit agreement contains customary covenants, including, without limitation, financial covenants generally consistent with those applicable under the company's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The company was in compliance with all covenants related to the company's term loan credit agreement as of January 31, 2020. Outstanding borrowings under the term loan credit agreement bear interest at a variable rate based on LIBOR or an alternative variable rate, subject to an additional basis point spread as defined in the term credit loan agreement. Interest is payable quarterly in arrears. For the three month period ended January 31, 2020, the company incurred interest expense of approximately $1.9 million on the outstanding borrowings under the term loan credit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3.81% Series A and 3.91% Series B Senior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30, 2019, the company entered into a private placement note purchase agreement with certain purchasers ("holders") pursuant to which the company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the company issued $100.0 million of the Series A Senior Notes and $100.0 million of the Series B Senior Notes pursuant to the private placement note purchase agreement. The Senior Notes are senior unsecured obligations of the company. As of January 31, 2020, there were $200.0 million of outstanding borrowings under the private placement note purchase agreement, including $100.0 million of outstanding borrowings under the Series A Senior Notes and $100.0 million of outstanding borrowings under the Series B Senior Notes.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the right to prepay all or a portion of either series of the Senior Notes in an amount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the company has the right to prepay all of the outstanding Senior Notes or each series for 100.0 percent of the principal amount so prepaid, plus accrued and unpaid interest, if any, to the date of prepayment. Upon the occurrence of certain change of control events, the company is required to prepay all of the Senior Notes for the principal amount thereof plus accrued and unpaid interest, if any, to the date of prepayment.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private placement note purchase agreement contains customary representations and warranties of the company,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The company was in compliance with all representations, warranties, and covenants related to the private placement note purchase agreement as of January 31, 2020.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company's issuance of the Senior Notes in June 2019, the company incurred approximately $0.7 million of debt issuance costs, which are being amortized over the life of the respective Senior Notes under the straight-line method as the results obtained are not materially different from those that would result from the use of the effective interest method. Unamortized deferred debt issuance costs are netted against the outstanding borrowings under the respective Senior Notes on the company's Condensed Consolidated Balance Sheets.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 the Senior Notes is payable semiannually on the 15th day of June and December in each year. For the three month period ended January 31, 2020, the company incurred interest expense of approximately $1.9 million on the outstanding borrowings under the private placement note purchase agreement relating to the Senior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7.8% Debentures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1997, the company issued $175.0 million of debt securities consisting of $75.0 million of 7.125 percent coupon 10-year notes and $100.0 million of 7.8 percent coupon 30-year debentures. The $75.0 million of 7.125 percent coupon 10-year notes were repaid at maturity during fiscal 2007. In connection with the issuance of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was deferred and is being recognized as an adjustment to interest expense over the term of the debt securities issued. Interest 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debentures is payable semiannually on the 15th day of June and December in each year. For each of the three month periods ended January 31, 2020 and February 1, 2019, the company incurred interest expense of approximately $2.0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26, 2007, the company issued $125.0 million in aggregate principal amount of 6.625 percent senior notes due May 1, 2037 and priced at 98.513 percent of par value. The resulting discount of $1.9 million and the underwriting fee and direct debt issuance costs of $1.5 million associated with the issuance of these senior notes are being amortized over the term of the notes using the straight-line method as the results obtained are not materially different from those that would result from the use of the effective interest method. Although the coupon rate of the senior notes is 6.625 percent, the effective interest rate is 6.741 percent after taking into account the issuance discount. Interest on the senior notes is payable semi-annually on May 1 and November 1 of each year. The senior notes are unsecured senior obligations of the company and rank equally with the company's other unsecured and unsubordinated indebtedness.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the company would be required to make an offer to purchase the senior notes at a price equal to 101 percent of the principal amount of the senior notes plus accrued and unpaid interest to the date of repurchase. Interest on the senior notes is payable semiannually on the 1st day of May and November in each year. For each of the three month periods ended January 31, 2020 and February 1, 2019, the company incurred interest expense of approximately $2.1 million.</w:t>
      </w:r>
    </w:p>
    <w:p>
      <w:pPr>
        <w:spacing w:after="0" w:line="357" w:lineRule="exact"/>
        <w:rPr>
          <w:sz w:val="20"/>
          <w:szCs w:val="20"/>
          <w:color w:val="auto"/>
        </w:rPr>
      </w:pPr>
    </w:p>
    <w:p>
      <w:pPr>
        <w:ind w:left="580" w:hanging="545"/>
        <w:spacing w:after="0"/>
        <w:tabs>
          <w:tab w:leader="none" w:pos="580" w:val="left"/>
        </w:tabs>
        <w:numPr>
          <w:ilvl w:val="0"/>
          <w:numId w:val="10"/>
        </w:numPr>
        <w:rPr>
          <w:rFonts w:ascii="Arial" w:cs="Arial" w:eastAsia="Arial" w:hAnsi="Arial"/>
          <w:sz w:val="43"/>
          <w:szCs w:val="43"/>
          <w:b w:val="1"/>
          <w:bCs w:val="1"/>
          <w:color w:val="auto"/>
        </w:rPr>
      </w:pPr>
      <w:r>
        <w:rPr>
          <w:rFonts w:ascii="Arial" w:cs="Arial" w:eastAsia="Arial" w:hAnsi="Arial"/>
          <w:sz w:val="20"/>
          <w:szCs w:val="20"/>
          <w:b w:val="1"/>
          <w:bCs w:val="1"/>
          <w:color w:val="auto"/>
        </w:rPr>
        <w:t>Management Actions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1, 2019, during the company's fiscal 2019 third quarter, the company announced a plan to wind down its Toro-branded large directional drill and riding trencher product categories within its Professional segment product portfolio ("Toro underground wind down"). During fiscal 2019, the company recorded pre-tax charges of $10.0 million as a result of the Toro underground wind down related to inventory write-downs to net realizable value and accelerated depreciation on fixed assets that will no longer be used and anticipated inventory retail support activities. As of January 31, 2020, the company expects to incur total pretax charges of approximately $10.0 million to $11.0 million related to the Toro underground wind down. No pre-tax charges were incurred during the three month period ended January 31, 2020 related to the Toro underground wind down. As of January 31, 2020, the company had a remaining accrual balance of $0.9 million related to the anticipated inventory retail support activities within accrued liabilities in the Condensed Consolidated Balance Sheet as of such date. The remainder of the estimated pre-tax charges are anticipated to be primarily comprised of costs related to the write-down of future component parts inventory purchases to finalize assembly of the company's remaining Toro-branded large directional drill and riding trencher inventory. Substantially all costs related to the Toro underground wind down are expected to be incurred by the end of fiscal 2020.</w:t>
      </w:r>
    </w:p>
    <w:p>
      <w:pPr>
        <w:spacing w:after="0" w:line="355" w:lineRule="exact"/>
        <w:rPr>
          <w:sz w:val="20"/>
          <w:szCs w:val="20"/>
          <w:color w:val="auto"/>
        </w:rPr>
      </w:pPr>
    </w:p>
    <w:p>
      <w:pPr>
        <w:ind w:left="580" w:hanging="545"/>
        <w:spacing w:after="0"/>
        <w:tabs>
          <w:tab w:leader="none" w:pos="580" w:val="left"/>
        </w:tabs>
        <w:numPr>
          <w:ilvl w:val="0"/>
          <w:numId w:val="11"/>
        </w:numPr>
        <w:rPr>
          <w:rFonts w:ascii="Arial" w:cs="Arial" w:eastAsia="Arial" w:hAnsi="Arial"/>
          <w:sz w:val="43"/>
          <w:szCs w:val="43"/>
          <w:b w:val="1"/>
          <w:bCs w:val="1"/>
          <w:color w:val="auto"/>
        </w:rPr>
      </w:pPr>
      <w:r>
        <w:rPr>
          <w:rFonts w:ascii="Arial" w:cs="Arial" w:eastAsia="Arial" w:hAnsi="Arial"/>
          <w:sz w:val="20"/>
          <w:szCs w:val="20"/>
          <w:b w:val="1"/>
          <w:bCs w:val="1"/>
          <w:color w:val="auto"/>
        </w:rPr>
        <w:t>Inventories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Inventories are valued at the lower of cost or net realizable value, with cost determined by the first-in, first-out ("FIFO") method for a majority of the company's inventories and the last-in, first-out ("LIFO") and average cost methods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planned production, as well as planned and historical sales of the inventory.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28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auto"/>
                <w:w w:val="91"/>
              </w:rPr>
              <w:t>January 31, 2020</w:t>
            </w:r>
          </w:p>
        </w:tc>
        <w:tc>
          <w:tcPr>
            <w:tcW w:w="20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b w:val="1"/>
                <w:bCs w:val="1"/>
                <w:color w:val="auto"/>
                <w:w w:val="90"/>
              </w:rPr>
              <w:t>February 1, 2019</w:t>
            </w:r>
          </w:p>
        </w:tc>
        <w:tc>
          <w:tcPr>
            <w:tcW w:w="20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October 31, 2019</w:t>
            </w:r>
          </w:p>
        </w:tc>
      </w:tr>
      <w:tr>
        <w:trPr>
          <w:trHeight w:val="31"/>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Raw materials and work in process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188,235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124,458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179,967</w:t>
            </w:r>
          </w:p>
        </w:tc>
      </w:tr>
      <w:tr>
        <w:trPr>
          <w:trHeight w:val="239"/>
        </w:trPr>
        <w:tc>
          <w:tcPr>
            <w:tcW w:w="4600" w:type="dxa"/>
            <w:vAlign w:val="bottom"/>
          </w:tcPr>
          <w:p>
            <w:pPr>
              <w:ind w:left="40"/>
              <w:spacing w:after="0"/>
              <w:rPr>
                <w:sz w:val="20"/>
                <w:szCs w:val="20"/>
                <w:color w:val="auto"/>
              </w:rPr>
            </w:pPr>
            <w:r>
              <w:rPr>
                <w:rFonts w:ascii="Arial" w:cs="Arial" w:eastAsia="Arial" w:hAnsi="Arial"/>
                <w:sz w:val="17"/>
                <w:szCs w:val="17"/>
                <w:color w:val="auto"/>
              </w:rPr>
              <w:t>Finished goods and service parts</w:t>
            </w:r>
          </w:p>
        </w:tc>
        <w:tc>
          <w:tcPr>
            <w:tcW w:w="228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632,796</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364,393</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553,767</w:t>
            </w:r>
          </w:p>
        </w:tc>
      </w:tr>
      <w:tr>
        <w:trPr>
          <w:trHeight w:val="31"/>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FIFO value</w:t>
            </w:r>
          </w:p>
        </w:tc>
        <w:tc>
          <w:tcPr>
            <w:tcW w:w="2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821,031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488,851</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733,734</w:t>
            </w:r>
          </w:p>
        </w:tc>
      </w:tr>
      <w:tr>
        <w:trPr>
          <w:trHeight w:val="239"/>
        </w:trPr>
        <w:tc>
          <w:tcPr>
            <w:tcW w:w="4600" w:type="dxa"/>
            <w:vAlign w:val="bottom"/>
          </w:tcPr>
          <w:p>
            <w:pPr>
              <w:ind w:left="40"/>
              <w:spacing w:after="0"/>
              <w:rPr>
                <w:sz w:val="20"/>
                <w:szCs w:val="20"/>
                <w:color w:val="auto"/>
              </w:rPr>
            </w:pPr>
            <w:r>
              <w:rPr>
                <w:rFonts w:ascii="Arial" w:cs="Arial" w:eastAsia="Arial" w:hAnsi="Arial"/>
                <w:sz w:val="17"/>
                <w:szCs w:val="17"/>
                <w:color w:val="auto"/>
              </w:rPr>
              <w:t>Less: adjustment to LIFO value</w:t>
            </w:r>
          </w:p>
        </w:tc>
        <w:tc>
          <w:tcPr>
            <w:tcW w:w="228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82,071</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72,201</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82,071</w:t>
            </w:r>
          </w:p>
        </w:tc>
      </w:tr>
      <w:tr>
        <w:trPr>
          <w:trHeight w:val="31"/>
        </w:trPr>
        <w:tc>
          <w:tcPr>
            <w:tcW w:w="4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inventories, net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738,960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416,650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651,663</w:t>
            </w:r>
          </w:p>
        </w:tc>
      </w:tr>
      <w:tr>
        <w:trPr>
          <w:trHeight w:val="20"/>
        </w:trPr>
        <w:tc>
          <w:tcPr>
            <w:tcW w:w="46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ind w:left="580" w:hanging="545"/>
        <w:spacing w:after="0"/>
        <w:tabs>
          <w:tab w:leader="none" w:pos="580" w:val="left"/>
        </w:tabs>
        <w:numPr>
          <w:ilvl w:val="0"/>
          <w:numId w:val="12"/>
        </w:numPr>
        <w:rPr>
          <w:rFonts w:ascii="Arial" w:cs="Arial" w:eastAsia="Arial" w:hAnsi="Arial"/>
          <w:sz w:val="43"/>
          <w:szCs w:val="43"/>
          <w:b w:val="1"/>
          <w:bCs w:val="1"/>
          <w:color w:val="auto"/>
        </w:rPr>
      </w:pPr>
      <w:r>
        <w:rPr>
          <w:rFonts w:ascii="Arial" w:cs="Arial" w:eastAsia="Arial" w:hAnsi="Arial"/>
          <w:sz w:val="20"/>
          <w:szCs w:val="20"/>
          <w:b w:val="1"/>
          <w:bCs w:val="1"/>
          <w:color w:val="auto"/>
        </w:rPr>
        <w:t>Property and Depreciation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Property, plant, and equipment assets are carried at cost less accumulated depreciation. The company provides for depreciation of property, plant and equipment utilizing the straight-line method over the estimated useful lives of the assets. Buildings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and expenditures for general maintenance and repairs are charged to operating expenses as incurred. Interest is capitalized during the construction period for significant capital projects.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6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12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auto"/>
                <w:w w:val="91"/>
              </w:rPr>
              <w:t>January 31, 2020</w:t>
            </w:r>
          </w:p>
        </w:tc>
        <w:tc>
          <w:tcPr>
            <w:tcW w:w="20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b w:val="1"/>
                <w:bCs w:val="1"/>
                <w:color w:val="auto"/>
                <w:w w:val="90"/>
              </w:rPr>
              <w:t>February 1, 2019</w:t>
            </w:r>
          </w:p>
        </w:tc>
        <w:tc>
          <w:tcPr>
            <w:tcW w:w="20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October 31, 2019</w:t>
            </w:r>
          </w:p>
        </w:tc>
      </w:tr>
      <w:tr>
        <w:trPr>
          <w:trHeight w:val="31"/>
        </w:trPr>
        <w:tc>
          <w:tcPr>
            <w:tcW w:w="4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Land and land improvements</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55,602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40,475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55,613</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Buildings and leasehold improvements</w:t>
            </w:r>
          </w:p>
        </w:tc>
        <w:tc>
          <w:tcPr>
            <w:tcW w:w="21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276,705</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213,927</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276,556</w:t>
            </w:r>
          </w:p>
        </w:tc>
      </w:tr>
      <w:tr>
        <w:trPr>
          <w:trHeight w:val="31"/>
        </w:trPr>
        <w:tc>
          <w:tcPr>
            <w:tcW w:w="47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Machinery and equipment</w:t>
            </w:r>
          </w:p>
        </w:tc>
        <w:tc>
          <w:tcPr>
            <w:tcW w:w="2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450,321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351,390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453,314</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Tooling</w:t>
            </w:r>
          </w:p>
        </w:tc>
        <w:tc>
          <w:tcPr>
            <w:tcW w:w="21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216,541</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215,902</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226,870</w:t>
            </w:r>
          </w:p>
        </w:tc>
      </w:tr>
      <w:tr>
        <w:trPr>
          <w:trHeight w:val="31"/>
        </w:trPr>
        <w:tc>
          <w:tcPr>
            <w:tcW w:w="47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hardware and software</w:t>
            </w:r>
          </w:p>
        </w:tc>
        <w:tc>
          <w:tcPr>
            <w:tcW w:w="2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94,385</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83,555</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94,409</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Construction in process</w:t>
            </w:r>
          </w:p>
        </w:tc>
        <w:tc>
          <w:tcPr>
            <w:tcW w:w="21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58,056</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45,391</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34,937</w:t>
            </w:r>
          </w:p>
        </w:tc>
      </w:tr>
      <w:tr>
        <w:trPr>
          <w:trHeight w:val="31"/>
        </w:trPr>
        <w:tc>
          <w:tcPr>
            <w:tcW w:w="4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plant, and equipment, gross</w:t>
            </w:r>
          </w:p>
        </w:tc>
        <w:tc>
          <w:tcPr>
            <w:tcW w:w="2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1,151,610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950,640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1,141,699</w:t>
            </w:r>
          </w:p>
        </w:tc>
      </w:tr>
      <w:tr>
        <w:trPr>
          <w:trHeight w:val="239"/>
        </w:trPr>
        <w:tc>
          <w:tcPr>
            <w:tcW w:w="4760" w:type="dxa"/>
            <w:vAlign w:val="bottom"/>
          </w:tcPr>
          <w:p>
            <w:pPr>
              <w:ind w:left="40"/>
              <w:spacing w:after="0"/>
              <w:rPr>
                <w:sz w:val="20"/>
                <w:szCs w:val="20"/>
                <w:color w:val="auto"/>
              </w:rPr>
            </w:pPr>
            <w:r>
              <w:rPr>
                <w:rFonts w:ascii="Arial" w:cs="Arial" w:eastAsia="Arial" w:hAnsi="Arial"/>
                <w:sz w:val="17"/>
                <w:szCs w:val="17"/>
                <w:color w:val="auto"/>
              </w:rPr>
              <w:t>Less: accumulated depreciation</w:t>
            </w:r>
          </w:p>
        </w:tc>
        <w:tc>
          <w:tcPr>
            <w:tcW w:w="21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720,357</w:t>
            </w:r>
          </w:p>
        </w:tc>
        <w:tc>
          <w:tcPr>
            <w:tcW w:w="20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671,370</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704,382</w:t>
            </w:r>
          </w:p>
        </w:tc>
      </w:tr>
      <w:tr>
        <w:trPr>
          <w:trHeight w:val="31"/>
        </w:trPr>
        <w:tc>
          <w:tcPr>
            <w:tcW w:w="4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plant, and equipment, net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431,253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279,270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437,317</w:t>
            </w:r>
          </w:p>
        </w:tc>
      </w:tr>
      <w:tr>
        <w:trPr>
          <w:trHeight w:val="20"/>
        </w:trPr>
        <w:tc>
          <w:tcPr>
            <w:tcW w:w="47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10 </w:t>
      </w:r>
      <w:r>
        <w:rPr>
          <w:rFonts w:ascii="Arial" w:cs="Arial" w:eastAsia="Arial" w:hAnsi="Arial"/>
          <w:sz w:val="19"/>
          <w:szCs w:val="19"/>
          <w:b w:val="1"/>
          <w:bCs w:val="1"/>
          <w:color w:val="auto"/>
        </w:rPr>
        <w:t>Warranty Guarantees</w:t>
      </w: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products are warranted to provide assurance that the product will function as expected and to ensure customer confidence in design, workmanship, and overall quality. Warranty coverage is generally provided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the company's prescribed standards. Service support outside of the warranty period is provided by authorized distributors and dealers at the customer's expense. In addition to the standard warranties offered by the company on its products, the company also sells separately priced extended warranty coverage on select products for a prescribed period after the original warranty period expires.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recognizes expense and provides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 For additional information on the contract liabilities associated with the company's separately priced extended warranties,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accrued warranties were as follows:</w:t>
      </w:r>
    </w:p>
    <w:p>
      <w:pPr>
        <w:spacing w:after="0" w:line="391"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44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5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Beginning balance</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96,604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76,214</w:t>
            </w:r>
          </w:p>
        </w:tc>
      </w:tr>
      <w:tr>
        <w:trPr>
          <w:trHeight w:val="239"/>
        </w:trPr>
        <w:tc>
          <w:tcPr>
            <w:tcW w:w="5020" w:type="dxa"/>
            <w:vAlign w:val="bottom"/>
          </w:tcPr>
          <w:p>
            <w:pPr>
              <w:ind w:left="40"/>
              <w:spacing w:after="0"/>
              <w:rPr>
                <w:sz w:val="20"/>
                <w:szCs w:val="20"/>
                <w:color w:val="auto"/>
              </w:rPr>
            </w:pPr>
            <w:r>
              <w:rPr>
                <w:rFonts w:ascii="Arial" w:cs="Arial" w:eastAsia="Arial" w:hAnsi="Arial"/>
                <w:sz w:val="17"/>
                <w:szCs w:val="17"/>
                <w:color w:val="auto"/>
              </w:rPr>
              <w:t>Provisions</w:t>
            </w:r>
          </w:p>
        </w:tc>
        <w:tc>
          <w:tcPr>
            <w:tcW w:w="344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14,031</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10,556</w:t>
            </w:r>
          </w:p>
        </w:tc>
      </w:tr>
      <w:tr>
        <w:trPr>
          <w:trHeight w:val="31"/>
        </w:trPr>
        <w:tc>
          <w:tcPr>
            <w:tcW w:w="5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Claims</w:t>
            </w:r>
          </w:p>
        </w:tc>
        <w:tc>
          <w:tcPr>
            <w:tcW w:w="3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(14,703)</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(10,815)</w:t>
            </w:r>
          </w:p>
        </w:tc>
      </w:tr>
      <w:tr>
        <w:trPr>
          <w:trHeight w:val="239"/>
        </w:trPr>
        <w:tc>
          <w:tcPr>
            <w:tcW w:w="5020" w:type="dxa"/>
            <w:vAlign w:val="bottom"/>
          </w:tcPr>
          <w:p>
            <w:pPr>
              <w:ind w:left="40"/>
              <w:spacing w:after="0"/>
              <w:rPr>
                <w:sz w:val="20"/>
                <w:szCs w:val="20"/>
                <w:color w:val="auto"/>
              </w:rPr>
            </w:pPr>
            <w:r>
              <w:rPr>
                <w:rFonts w:ascii="Arial" w:cs="Arial" w:eastAsia="Arial" w:hAnsi="Arial"/>
                <w:sz w:val="17"/>
                <w:szCs w:val="17"/>
                <w:color w:val="auto"/>
              </w:rPr>
              <w:t>Changes in estimates</w:t>
            </w:r>
          </w:p>
        </w:tc>
        <w:tc>
          <w:tcPr>
            <w:tcW w:w="344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691</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790</w:t>
            </w:r>
          </w:p>
        </w:tc>
      </w:tr>
      <w:tr>
        <w:trPr>
          <w:trHeight w:val="31"/>
        </w:trPr>
        <w:tc>
          <w:tcPr>
            <w:tcW w:w="5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Ending balance</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96,623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76,745</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3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11 </w:t>
      </w:r>
      <w:r>
        <w:rPr>
          <w:rFonts w:ascii="Arial" w:cs="Arial" w:eastAsia="Arial" w:hAnsi="Arial"/>
          <w:sz w:val="19"/>
          <w:szCs w:val="19"/>
          <w:b w:val="1"/>
          <w:bCs w:val="1"/>
          <w:color w:val="auto"/>
        </w:rPr>
        <w:t>Investment in Finance Affiliate</w:t>
      </w:r>
    </w:p>
    <w:p>
      <w:pPr>
        <w:spacing w:after="0" w:line="2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the Red Iron joint venture to primarily provide inventory financing to certain distributors and dealers of certain of the company’s products in the U.S. Under such joint venture, the company owns 45 percent of Red Iron and TCFIF owns 55 percent of Red Iron. Under a separate agreement, TCF Commercial Finance Canada, Inc. ("TCFCFC") provides inventory financing to dealers of the company's products in Canada. On December 20, 2019, during the first quarter of fiscal 2020, the company amended certain agreements pertaining to the Red Iron joint venture. The purpose of these amendments was, among other things, to: (i) adjust certain rates under the floor plan financing rate structure charged to the company’s distributors and dealers participating in financing arrangements through the Red Iron joint venture; (ii) extend the term of the Red Iron joint venture from October 31, 2024 to October 31, 2026, subject to two-year extensions thereafter unless either the company or TCFIF provides written notice to the other party of non-renewal at least one year prior to the end of the then-current term; (iii) amend certain exclusivity-related provisions, including the definition of the company's products that are subject to exclusivity, inclusion of a two-year review period by the company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the company received from TCFIF in 2016; (iv) extend the maturity date of the revolving credit facility used by Red Iron primarily to finance the acquisition of inventory from the company by its distributors and dealers from October 31, 2024 to October 31, 2026 and to increase the amount available under such revolving credit facility from $550 million to $625 million; and (v) memorialize certain other non-material amendments.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its investment in Red Iron under the equity method of accounting.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January 31, 2020, February 1, 2019, and October 31, 2019 was $25.5 million, $25.4 million, and $24.1 million, respectively. The company has not guaranteed the outstanding indebtedness of Red Iron.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financing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and TCFCFC. Under such limited inventory repurchase agreement, the company has agreed to repurchase products repossessed by Red Iron and TCFCFC, up to a maximum aggregate amount of $7.5 million in a calendar year. The company's financial exposure under this limited inventory repurchase agreement is limited to the difference between the amount paid to Red Iron and TCFCFC for repurchases of repossessed product and the amount received upon the subsequent resale of the repossessed product. The company has repurchased immaterial amounts of inventory under this limited inventory repurchase agreement for the three month periods ended January 31, 2020 and February 1, 2019.</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three months ended January 31, 2020 and February 1, 2019 were $405.1 million and $428.8 million, respectively. As of January 31, 2020, Red Iron’s total assets were $520.5 million and total liabilities were $463.9 million. The total amount of receivables due from Red Iron to the company as of January 31, 2020, February 1, 2019, and October 31, 2019 were $29.5 million, $32.3 million and $21.7 million, respectively.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12 </w:t>
      </w:r>
      <w:r>
        <w:rPr>
          <w:rFonts w:ascii="Arial" w:cs="Arial" w:eastAsia="Arial" w:hAnsi="Arial"/>
          <w:sz w:val="19"/>
          <w:szCs w:val="19"/>
          <w:b w:val="1"/>
          <w:bCs w:val="1"/>
          <w:color w:val="auto"/>
        </w:rPr>
        <w:t>Stock-Based Compensation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related to stock-based awards were as follows:</w:t>
      </w:r>
    </w:p>
    <w:p>
      <w:pPr>
        <w:spacing w:after="0" w:line="391"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62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auto"/>
                <w:w w:val="91"/>
              </w:rPr>
              <w:t>January 31, 2020</w:t>
            </w:r>
          </w:p>
        </w:tc>
        <w:tc>
          <w:tcPr>
            <w:tcW w:w="20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58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Unrestricted common stock awards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592</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Stock option awards</w:t>
            </w:r>
          </w:p>
        </w:tc>
        <w:tc>
          <w:tcPr>
            <w:tcW w:w="26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1,777</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1,835</w:t>
            </w:r>
          </w:p>
        </w:tc>
      </w:tr>
      <w:tr>
        <w:trPr>
          <w:trHeight w:val="31"/>
        </w:trPr>
        <w:tc>
          <w:tcPr>
            <w:tcW w:w="58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Performance share awards</w:t>
            </w:r>
          </w:p>
        </w:tc>
        <w:tc>
          <w:tcPr>
            <w:tcW w:w="2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548</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804</w:t>
            </w:r>
          </w:p>
        </w:tc>
      </w:tr>
      <w:tr>
        <w:trPr>
          <w:trHeight w:val="239"/>
        </w:trPr>
        <w:tc>
          <w:tcPr>
            <w:tcW w:w="5840" w:type="dxa"/>
            <w:vAlign w:val="bottom"/>
          </w:tcPr>
          <w:p>
            <w:pPr>
              <w:ind w:left="40"/>
              <w:spacing w:after="0"/>
              <w:rPr>
                <w:sz w:val="20"/>
                <w:szCs w:val="20"/>
                <w:color w:val="auto"/>
              </w:rPr>
            </w:pPr>
            <w:r>
              <w:rPr>
                <w:rFonts w:ascii="Arial" w:cs="Arial" w:eastAsia="Arial" w:hAnsi="Arial"/>
                <w:sz w:val="17"/>
                <w:szCs w:val="17"/>
                <w:color w:val="auto"/>
              </w:rPr>
              <w:t>Restricted stock unit awards</w:t>
            </w:r>
          </w:p>
        </w:tc>
        <w:tc>
          <w:tcPr>
            <w:tcW w:w="262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942</w:t>
            </w:r>
          </w:p>
        </w:tc>
        <w:tc>
          <w:tcPr>
            <w:tcW w:w="20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693</w:t>
            </w:r>
          </w:p>
        </w:tc>
      </w:tr>
      <w:tr>
        <w:trPr>
          <w:trHeight w:val="31"/>
        </w:trPr>
        <w:tc>
          <w:tcPr>
            <w:tcW w:w="58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compensation cost for stock-based awards</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3,924</w:t>
            </w:r>
          </w:p>
        </w:tc>
      </w:tr>
      <w:tr>
        <w:trPr>
          <w:trHeight w:val="20"/>
        </w:trPr>
        <w:tc>
          <w:tcPr>
            <w:tcW w:w="58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Common Stock Awards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three months of fiscal years 2020 and 2019, 8,920 and 10,090 shares, respectively, of fully vested unrestricted common stock awards were granted to certain members of the company's Board of Directors as a component of their compensation for their service on the Board of Directors and are recorded in selling, general and administrative expense in the Condensed Consolidated Statements of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employees vest in full on the three-year anniversary of the date of grant and have a ten-year term. Compensation cost equal to the grant date fair value is generally recognized for these awards over the vesting period. Stock options granted to executive officers and other employees are subject to accelerated vesting if the option holder meets the retirement definition set forth in the 2010 plan.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directors are expected to exercise their stock options, which is primarily based on historical exercise experience. The company groups executive officers and non-employee directors for valuation purposes based on similar historical exercise behavior. Expected stock price volatilities are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illustrates the weighted-average valuation assumptions for options granted in the following fiscal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spacing w:after="0"/>
              <w:rPr>
                <w:sz w:val="19"/>
                <w:szCs w:val="19"/>
                <w:color w:val="auto"/>
              </w:rPr>
            </w:pPr>
          </w:p>
        </w:tc>
        <w:tc>
          <w:tcPr>
            <w:tcW w:w="3700" w:type="dxa"/>
            <w:vAlign w:val="bottom"/>
          </w:tcPr>
          <w:p>
            <w:pPr>
              <w:ind w:left="2500"/>
              <w:spacing w:after="0"/>
              <w:rPr>
                <w:sz w:val="20"/>
                <w:szCs w:val="20"/>
                <w:color w:val="auto"/>
              </w:rPr>
            </w:pPr>
            <w:r>
              <w:rPr>
                <w:rFonts w:ascii="Arial" w:cs="Arial" w:eastAsia="Arial" w:hAnsi="Arial"/>
                <w:sz w:val="17"/>
                <w:szCs w:val="17"/>
                <w:b w:val="1"/>
                <w:bCs w:val="1"/>
                <w:color w:val="auto"/>
              </w:rPr>
              <w:t>Fiscal 2020</w:t>
            </w:r>
          </w:p>
        </w:tc>
        <w:tc>
          <w:tcPr>
            <w:tcW w:w="1520" w:type="dxa"/>
            <w:vAlign w:val="bottom"/>
          </w:tcPr>
          <w:p>
            <w:pPr>
              <w:ind w:left="380"/>
              <w:spacing w:after="0"/>
              <w:rPr>
                <w:sz w:val="20"/>
                <w:szCs w:val="20"/>
                <w:color w:val="auto"/>
              </w:rPr>
            </w:pPr>
            <w:r>
              <w:rPr>
                <w:rFonts w:ascii="Arial" w:cs="Arial" w:eastAsia="Arial" w:hAnsi="Arial"/>
                <w:sz w:val="17"/>
                <w:szCs w:val="17"/>
                <w:b w:val="1"/>
                <w:bCs w:val="1"/>
                <w:color w:val="auto"/>
              </w:rPr>
              <w:t>Fiscal 2019</w:t>
            </w:r>
          </w:p>
        </w:tc>
      </w:tr>
      <w:tr>
        <w:trPr>
          <w:trHeight w:val="31"/>
        </w:trPr>
        <w:tc>
          <w:tcPr>
            <w:tcW w:w="62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Expected life of option in years</w:t>
            </w:r>
          </w:p>
        </w:tc>
        <w:tc>
          <w:tcPr>
            <w:tcW w:w="3700" w:type="dxa"/>
            <w:vAlign w:val="bottom"/>
            <w:tcBorders>
              <w:bottom w:val="single" w:sz="8" w:color="CCEEFF"/>
            </w:tcBorders>
            <w:shd w:val="clear" w:color="auto" w:fill="CCEEFF"/>
          </w:tcPr>
          <w:p>
            <w:pPr>
              <w:jc w:val="center"/>
              <w:ind w:left="1995"/>
              <w:spacing w:after="0"/>
              <w:rPr>
                <w:sz w:val="20"/>
                <w:szCs w:val="20"/>
                <w:color w:val="auto"/>
              </w:rPr>
            </w:pPr>
            <w:r>
              <w:rPr>
                <w:rFonts w:ascii="Arial" w:cs="Arial" w:eastAsia="Arial" w:hAnsi="Arial"/>
                <w:sz w:val="17"/>
                <w:szCs w:val="17"/>
                <w:color w:val="auto"/>
                <w:w w:val="90"/>
              </w:rPr>
              <w:t>6.31</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6.31</w:t>
            </w:r>
          </w:p>
        </w:tc>
      </w:tr>
      <w:tr>
        <w:trPr>
          <w:trHeight w:val="239"/>
        </w:trPr>
        <w:tc>
          <w:tcPr>
            <w:tcW w:w="6200" w:type="dxa"/>
            <w:vAlign w:val="bottom"/>
          </w:tcPr>
          <w:p>
            <w:pPr>
              <w:ind w:left="40"/>
              <w:spacing w:after="0"/>
              <w:rPr>
                <w:sz w:val="20"/>
                <w:szCs w:val="20"/>
                <w:color w:val="auto"/>
              </w:rPr>
            </w:pPr>
            <w:r>
              <w:rPr>
                <w:rFonts w:ascii="Arial" w:cs="Arial" w:eastAsia="Arial" w:hAnsi="Arial"/>
                <w:sz w:val="17"/>
                <w:szCs w:val="17"/>
                <w:color w:val="auto"/>
              </w:rPr>
              <w:t>Expected stock price volatility</w:t>
            </w:r>
          </w:p>
        </w:tc>
        <w:tc>
          <w:tcPr>
            <w:tcW w:w="3700" w:type="dxa"/>
            <w:vAlign w:val="bottom"/>
          </w:tcPr>
          <w:p>
            <w:pPr>
              <w:jc w:val="center"/>
              <w:ind w:left="2015"/>
              <w:spacing w:after="0"/>
              <w:rPr>
                <w:sz w:val="20"/>
                <w:szCs w:val="20"/>
                <w:color w:val="auto"/>
              </w:rPr>
            </w:pPr>
            <w:r>
              <w:rPr>
                <w:rFonts w:ascii="Arial" w:cs="Arial" w:eastAsia="Arial" w:hAnsi="Arial"/>
                <w:sz w:val="17"/>
                <w:szCs w:val="17"/>
                <w:color w:val="auto"/>
                <w:w w:val="90"/>
              </w:rPr>
              <w:t>19.38%</w:t>
            </w: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19.84%</w:t>
            </w:r>
          </w:p>
        </w:tc>
      </w:tr>
      <w:tr>
        <w:trPr>
          <w:trHeight w:val="31"/>
        </w:trPr>
        <w:tc>
          <w:tcPr>
            <w:tcW w:w="6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interest rate</w:t>
            </w:r>
          </w:p>
        </w:tc>
        <w:tc>
          <w:tcPr>
            <w:tcW w:w="3700" w:type="dxa"/>
            <w:vAlign w:val="bottom"/>
            <w:tcBorders>
              <w:bottom w:val="single" w:sz="8" w:color="CCEEFF"/>
            </w:tcBorders>
            <w:shd w:val="clear" w:color="auto" w:fill="CCEEFF"/>
          </w:tcPr>
          <w:p>
            <w:pPr>
              <w:jc w:val="center"/>
              <w:ind w:left="2015"/>
              <w:spacing w:after="0"/>
              <w:rPr>
                <w:sz w:val="20"/>
                <w:szCs w:val="20"/>
                <w:color w:val="auto"/>
              </w:rPr>
            </w:pPr>
            <w:r>
              <w:rPr>
                <w:rFonts w:ascii="Arial" w:cs="Arial" w:eastAsia="Arial" w:hAnsi="Arial"/>
                <w:sz w:val="17"/>
                <w:szCs w:val="17"/>
                <w:color w:val="auto"/>
                <w:w w:val="91"/>
              </w:rPr>
              <w:t>1.79%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2.77%</w:t>
            </w:r>
          </w:p>
        </w:tc>
      </w:tr>
      <w:tr>
        <w:trPr>
          <w:trHeight w:val="239"/>
        </w:trPr>
        <w:tc>
          <w:tcPr>
            <w:tcW w:w="6200" w:type="dxa"/>
            <w:vAlign w:val="bottom"/>
          </w:tcPr>
          <w:p>
            <w:pPr>
              <w:ind w:left="40"/>
              <w:spacing w:after="0"/>
              <w:rPr>
                <w:sz w:val="20"/>
                <w:szCs w:val="20"/>
                <w:color w:val="auto"/>
              </w:rPr>
            </w:pPr>
            <w:r>
              <w:rPr>
                <w:rFonts w:ascii="Arial" w:cs="Arial" w:eastAsia="Arial" w:hAnsi="Arial"/>
                <w:sz w:val="17"/>
                <w:szCs w:val="17"/>
                <w:color w:val="auto"/>
              </w:rPr>
              <w:t>Expected dividend yield</w:t>
            </w:r>
          </w:p>
        </w:tc>
        <w:tc>
          <w:tcPr>
            <w:tcW w:w="3700" w:type="dxa"/>
            <w:vAlign w:val="bottom"/>
          </w:tcPr>
          <w:p>
            <w:pPr>
              <w:jc w:val="center"/>
              <w:ind w:left="2015"/>
              <w:spacing w:after="0"/>
              <w:rPr>
                <w:sz w:val="20"/>
                <w:szCs w:val="20"/>
                <w:color w:val="auto"/>
              </w:rPr>
            </w:pPr>
            <w:r>
              <w:rPr>
                <w:rFonts w:ascii="Arial" w:cs="Arial" w:eastAsia="Arial" w:hAnsi="Arial"/>
                <w:sz w:val="17"/>
                <w:szCs w:val="17"/>
                <w:color w:val="auto"/>
                <w:w w:val="91"/>
              </w:rPr>
              <w:t>0.98%</w:t>
            </w: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1.18%</w:t>
            </w:r>
          </w:p>
        </w:tc>
      </w:tr>
      <w:tr>
        <w:trPr>
          <w:trHeight w:val="31"/>
        </w:trPr>
        <w:tc>
          <w:tcPr>
            <w:tcW w:w="6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Per share weighted-average fair value at date of grant</w:t>
            </w:r>
          </w:p>
        </w:tc>
        <w:tc>
          <w:tcPr>
            <w:tcW w:w="3700" w:type="dxa"/>
            <w:vAlign w:val="bottom"/>
            <w:tcBorders>
              <w:bottom w:val="single" w:sz="8" w:color="CCEEFF"/>
            </w:tcBorders>
            <w:shd w:val="clear" w:color="auto" w:fill="CCEEFF"/>
          </w:tcPr>
          <w:p>
            <w:pPr>
              <w:jc w:val="center"/>
              <w:ind w:left="2015"/>
              <w:spacing w:after="0"/>
              <w:rPr>
                <w:sz w:val="20"/>
                <w:szCs w:val="20"/>
                <w:color w:val="auto"/>
              </w:rPr>
            </w:pPr>
            <w:r>
              <w:rPr>
                <w:rFonts w:ascii="Arial" w:cs="Arial" w:eastAsia="Arial" w:hAnsi="Arial"/>
                <w:sz w:val="17"/>
                <w:szCs w:val="17"/>
                <w:color w:val="auto"/>
                <w:w w:val="92"/>
              </w:rPr>
              <w:t>$15.37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$12.81</w:t>
            </w:r>
          </w:p>
        </w:tc>
      </w:tr>
      <w:tr>
        <w:trPr>
          <w:trHeight w:val="20"/>
        </w:trPr>
        <w:tc>
          <w:tcPr>
            <w:tcW w:w="620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Such awards may have performance-based rather than time-based vesting requirements. Compensation cost equal to the grant date fair value, which is equal to the closing price of the company’s common stock on the date of grant multiplied by the number of shares subject to the restricted stock unit awards, is recognized for these awards over the vesting period. The per share weighted-average fair value of restricted stock unit awards granted during the first three months of fiscal 2020 and 2019 was $77.08 and $58.53,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2010 plan, 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as of the date of grant and the probability of achieving each performance goal. The per share weighted-average fair value of performance share awards granted during the first quarter of fiscal 2020 and 2019 was $77.33 and $59.58, respectively.</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13 </w:t>
      </w:r>
      <w:r>
        <w:rPr>
          <w:rFonts w:ascii="Arial" w:cs="Arial" w:eastAsia="Arial" w:hAnsi="Arial"/>
          <w:sz w:val="19"/>
          <w:szCs w:val="19"/>
          <w:b w:val="1"/>
          <w:bCs w:val="1"/>
          <w:color w:val="auto"/>
        </w:rPr>
        <w:t>Stockholders' Equity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accumulated other comprehensive loss ("AOCL"), net of tax, within the Condensed Consolidated Statements of Stockholders' Equity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96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b w:val="1"/>
                <w:bCs w:val="1"/>
                <w:color w:val="auto"/>
                <w:w w:val="90"/>
              </w:rPr>
              <w:t>February 1, 2019</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October 31, 2019</w:t>
            </w:r>
          </w:p>
        </w:tc>
      </w:tr>
      <w:tr>
        <w:trPr>
          <w:trHeight w:val="31"/>
        </w:trPr>
        <w:tc>
          <w:tcPr>
            <w:tcW w:w="4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Foreign currency translation adjustments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31,749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26,280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31,025</w:t>
            </w:r>
          </w:p>
        </w:tc>
      </w:tr>
      <w:tr>
        <w:trPr>
          <w:trHeight w:val="239"/>
        </w:trPr>
        <w:tc>
          <w:tcPr>
            <w:tcW w:w="4920" w:type="dxa"/>
            <w:vAlign w:val="bottom"/>
          </w:tcPr>
          <w:p>
            <w:pPr>
              <w:ind w:left="40"/>
              <w:spacing w:after="0"/>
              <w:rPr>
                <w:sz w:val="20"/>
                <w:szCs w:val="20"/>
                <w:color w:val="auto"/>
              </w:rPr>
            </w:pPr>
            <w:r>
              <w:rPr>
                <w:rFonts w:ascii="Arial" w:cs="Arial" w:eastAsia="Arial" w:hAnsi="Arial"/>
                <w:sz w:val="17"/>
                <w:szCs w:val="17"/>
                <w:color w:val="auto"/>
              </w:rPr>
              <w:t>Pension and post-retirement benefits</w:t>
            </w:r>
          </w:p>
        </w:tc>
        <w:tc>
          <w:tcPr>
            <w:tcW w:w="1960" w:type="dxa"/>
            <w:vAlign w:val="bottom"/>
          </w:tcPr>
          <w:p>
            <w:pPr>
              <w:spacing w:after="0"/>
              <w:rPr>
                <w:sz w:val="20"/>
                <w:szCs w:val="20"/>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color w:val="auto"/>
              </w:rPr>
              <w:t>4,861</w:t>
            </w:r>
          </w:p>
        </w:tc>
        <w:tc>
          <w:tcPr>
            <w:tcW w:w="180" w:type="dxa"/>
            <w:vAlign w:val="bottom"/>
          </w:tcPr>
          <w:p>
            <w:pPr>
              <w:spacing w:after="0"/>
              <w:rPr>
                <w:sz w:val="20"/>
                <w:szCs w:val="20"/>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561</w:t>
            </w:r>
          </w:p>
        </w:tc>
        <w:tc>
          <w:tcPr>
            <w:tcW w:w="18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4,861</w:t>
            </w:r>
          </w:p>
        </w:tc>
      </w:tr>
      <w:tr>
        <w:trPr>
          <w:trHeight w:val="31"/>
        </w:trPr>
        <w:tc>
          <w:tcPr>
            <w:tcW w:w="4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 derivative instruments</w:t>
            </w:r>
          </w:p>
        </w:tc>
        <w:tc>
          <w:tcPr>
            <w:tcW w:w="19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(4,489)</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(2,326)</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(3,837)</w:t>
            </w:r>
          </w:p>
        </w:tc>
      </w:tr>
      <w:tr>
        <w:trPr>
          <w:trHeight w:val="233"/>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accumulated other comprehensive loss</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32,121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24,515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32,049</w:t>
            </w:r>
          </w:p>
        </w:tc>
      </w:tr>
      <w:tr>
        <w:trPr>
          <w:trHeight w:val="31"/>
        </w:trPr>
        <w:tc>
          <w:tcPr>
            <w:tcW w:w="49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and activity of AOCL for the first three months of fiscal 2020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center"/>
              <w:ind w:right="175"/>
              <w:spacing w:after="0"/>
              <w:rPr>
                <w:sz w:val="20"/>
                <w:szCs w:val="20"/>
                <w:color w:val="auto"/>
              </w:rPr>
            </w:pPr>
            <w:r>
              <w:rPr>
                <w:rFonts w:ascii="Arial" w:cs="Arial" w:eastAsia="Arial" w:hAnsi="Arial"/>
                <w:sz w:val="17"/>
                <w:szCs w:val="17"/>
                <w:b w:val="1"/>
                <w:bCs w:val="1"/>
                <w:color w:val="auto"/>
                <w:w w:val="92"/>
              </w:rPr>
              <w:t>Foreign</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Cash Flow</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Currency</w:t>
            </w:r>
          </w:p>
        </w:tc>
        <w:tc>
          <w:tcPr>
            <w:tcW w:w="240" w:type="dxa"/>
            <w:vAlign w:val="bottom"/>
          </w:tcPr>
          <w:p>
            <w:pPr>
              <w:spacing w:after="0"/>
              <w:rPr>
                <w:sz w:val="17"/>
                <w:szCs w:val="17"/>
                <w:color w:val="auto"/>
              </w:rPr>
            </w:pPr>
          </w:p>
        </w:tc>
        <w:tc>
          <w:tcPr>
            <w:tcW w:w="1360" w:type="dxa"/>
            <w:vAlign w:val="bottom"/>
          </w:tcPr>
          <w:p>
            <w:pPr>
              <w:jc w:val="center"/>
              <w:ind w:right="75"/>
              <w:spacing w:after="0"/>
              <w:rPr>
                <w:sz w:val="20"/>
                <w:szCs w:val="20"/>
                <w:color w:val="auto"/>
              </w:rPr>
            </w:pPr>
            <w:r>
              <w:rPr>
                <w:rFonts w:ascii="Arial" w:cs="Arial" w:eastAsia="Arial" w:hAnsi="Arial"/>
                <w:sz w:val="17"/>
                <w:szCs w:val="17"/>
                <w:b w:val="1"/>
                <w:bCs w:val="1"/>
                <w:color w:val="auto"/>
                <w:w w:val="87"/>
              </w:rPr>
              <w:t>Pension and</w:t>
            </w:r>
          </w:p>
        </w:tc>
        <w:tc>
          <w:tcPr>
            <w:tcW w:w="280" w:type="dxa"/>
            <w:vAlign w:val="bottom"/>
          </w:tcPr>
          <w:p>
            <w:pPr>
              <w:spacing w:after="0"/>
              <w:rPr>
                <w:sz w:val="17"/>
                <w:szCs w:val="17"/>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Hedging</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w w:val="93"/>
              </w:rPr>
              <w:t>Translation</w:t>
            </w:r>
          </w:p>
        </w:tc>
        <w:tc>
          <w:tcPr>
            <w:tcW w:w="240" w:type="dxa"/>
            <w:vAlign w:val="bottom"/>
          </w:tcPr>
          <w:p>
            <w:pPr>
              <w:spacing w:after="0"/>
              <w:rPr>
                <w:sz w:val="17"/>
                <w:szCs w:val="17"/>
                <w:color w:val="auto"/>
              </w:rPr>
            </w:pPr>
          </w:p>
        </w:tc>
        <w:tc>
          <w:tcPr>
            <w:tcW w:w="136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Post-Retirement</w:t>
            </w:r>
          </w:p>
        </w:tc>
        <w:tc>
          <w:tcPr>
            <w:tcW w:w="280" w:type="dxa"/>
            <w:vAlign w:val="bottom"/>
          </w:tcPr>
          <w:p>
            <w:pPr>
              <w:spacing w:after="0"/>
              <w:rPr>
                <w:sz w:val="17"/>
                <w:szCs w:val="17"/>
                <w:color w:val="auto"/>
              </w:rPr>
            </w:pPr>
          </w:p>
        </w:tc>
        <w:tc>
          <w:tcPr>
            <w:tcW w:w="1320" w:type="dxa"/>
            <w:vAlign w:val="bottom"/>
          </w:tcPr>
          <w:p>
            <w:pPr>
              <w:jc w:val="center"/>
              <w:ind w:right="155"/>
              <w:spacing w:after="0"/>
              <w:rPr>
                <w:sz w:val="20"/>
                <w:szCs w:val="20"/>
                <w:color w:val="auto"/>
              </w:rPr>
            </w:pPr>
            <w:r>
              <w:rPr>
                <w:rFonts w:ascii="Arial" w:cs="Arial" w:eastAsia="Arial" w:hAnsi="Arial"/>
                <w:sz w:val="17"/>
                <w:szCs w:val="17"/>
                <w:b w:val="1"/>
                <w:bCs w:val="1"/>
                <w:color w:val="auto"/>
                <w:w w:val="93"/>
              </w:rPr>
              <w:t>Derivative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446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900" w:type="dxa"/>
            <w:vAlign w:val="bottom"/>
          </w:tcPr>
          <w:p>
            <w:pPr>
              <w:spacing w:after="0"/>
              <w:rPr>
                <w:sz w:val="19"/>
                <w:szCs w:val="19"/>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Adjustments</w:t>
            </w:r>
          </w:p>
        </w:tc>
        <w:tc>
          <w:tcPr>
            <w:tcW w:w="240" w:type="dxa"/>
            <w:vAlign w:val="bottom"/>
          </w:tcPr>
          <w:p>
            <w:pPr>
              <w:spacing w:after="0"/>
              <w:rPr>
                <w:sz w:val="19"/>
                <w:szCs w:val="19"/>
                <w:color w:val="auto"/>
              </w:rPr>
            </w:pPr>
          </w:p>
        </w:tc>
        <w:tc>
          <w:tcPr>
            <w:tcW w:w="1360" w:type="dxa"/>
            <w:vAlign w:val="bottom"/>
          </w:tcPr>
          <w:p>
            <w:pPr>
              <w:jc w:val="center"/>
              <w:ind w:right="75"/>
              <w:spacing w:after="0"/>
              <w:rPr>
                <w:sz w:val="20"/>
                <w:szCs w:val="20"/>
                <w:color w:val="auto"/>
              </w:rPr>
            </w:pPr>
            <w:r>
              <w:rPr>
                <w:rFonts w:ascii="Arial" w:cs="Arial" w:eastAsia="Arial" w:hAnsi="Arial"/>
                <w:sz w:val="17"/>
                <w:szCs w:val="17"/>
                <w:b w:val="1"/>
                <w:bCs w:val="1"/>
                <w:color w:val="auto"/>
                <w:w w:val="89"/>
              </w:rPr>
              <w:t>Benefits</w:t>
            </w:r>
          </w:p>
        </w:tc>
        <w:tc>
          <w:tcPr>
            <w:tcW w:w="280" w:type="dxa"/>
            <w:vAlign w:val="bottom"/>
          </w:tcPr>
          <w:p>
            <w:pPr>
              <w:spacing w:after="0"/>
              <w:rPr>
                <w:sz w:val="19"/>
                <w:szCs w:val="19"/>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Instruments</w:t>
            </w:r>
          </w:p>
        </w:tc>
        <w:tc>
          <w:tcPr>
            <w:tcW w:w="400" w:type="dxa"/>
            <w:vAlign w:val="bottom"/>
          </w:tcPr>
          <w:p>
            <w:pPr>
              <w:spacing w:after="0"/>
              <w:rPr>
                <w:sz w:val="19"/>
                <w:szCs w:val="19"/>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r>
      <w:tr>
        <w:trPr>
          <w:trHeight w:val="31"/>
        </w:trPr>
        <w:tc>
          <w:tcPr>
            <w:tcW w:w="4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October 31, 2019</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31,025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(3,837)</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32,049</w:t>
            </w:r>
          </w:p>
        </w:tc>
      </w:tr>
      <w:tr>
        <w:trPr>
          <w:trHeight w:val="239"/>
        </w:trPr>
        <w:tc>
          <w:tcPr>
            <w:tcW w:w="4460" w:type="dxa"/>
            <w:vAlign w:val="bottom"/>
          </w:tcPr>
          <w:p>
            <w:pPr>
              <w:ind w:left="40"/>
              <w:spacing w:after="0"/>
              <w:rPr>
                <w:sz w:val="20"/>
                <w:szCs w:val="20"/>
                <w:color w:val="auto"/>
              </w:rPr>
            </w:pPr>
            <w:r>
              <w:rPr>
                <w:rFonts w:ascii="Arial" w:cs="Arial" w:eastAsia="Arial" w:hAnsi="Arial"/>
                <w:sz w:val="17"/>
                <w:szCs w:val="17"/>
                <w:color w:val="auto"/>
              </w:rPr>
              <w:t>Other comprehensive loss before reclassifications</w:t>
            </w:r>
          </w:p>
        </w:tc>
        <w:tc>
          <w:tcPr>
            <w:tcW w:w="900" w:type="dxa"/>
            <w:vAlign w:val="bottom"/>
          </w:tcPr>
          <w:p>
            <w:pPr>
              <w:spacing w:after="0"/>
              <w:rPr>
                <w:sz w:val="20"/>
                <w:szCs w:val="20"/>
                <w:color w:val="auto"/>
              </w:rPr>
            </w:pP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724</w:t>
            </w:r>
          </w:p>
        </w:tc>
        <w:tc>
          <w:tcPr>
            <w:tcW w:w="24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320" w:type="dxa"/>
            <w:vAlign w:val="bottom"/>
          </w:tcPr>
          <w:p>
            <w:pPr>
              <w:jc w:val="right"/>
              <w:ind w:right="55"/>
              <w:spacing w:after="0"/>
              <w:rPr>
                <w:sz w:val="20"/>
                <w:szCs w:val="20"/>
                <w:color w:val="auto"/>
              </w:rPr>
            </w:pPr>
            <w:r>
              <w:rPr>
                <w:rFonts w:ascii="Arial" w:cs="Arial" w:eastAsia="Arial" w:hAnsi="Arial"/>
                <w:sz w:val="17"/>
                <w:szCs w:val="17"/>
                <w:color w:val="auto"/>
              </w:rPr>
              <w:t>885</w:t>
            </w:r>
          </w:p>
        </w:tc>
        <w:tc>
          <w:tcPr>
            <w:tcW w:w="40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1,609</w:t>
            </w:r>
          </w:p>
        </w:tc>
      </w:tr>
      <w:tr>
        <w:trPr>
          <w:trHeight w:val="31"/>
        </w:trPr>
        <w:tc>
          <w:tcPr>
            <w:tcW w:w="4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Amounts reclassified from AOCL</w:t>
            </w:r>
          </w:p>
        </w:tc>
        <w:tc>
          <w:tcPr>
            <w:tcW w:w="9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(1,537)</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(1,537)</w:t>
            </w:r>
          </w:p>
        </w:tc>
      </w:tr>
      <w:tr>
        <w:trPr>
          <w:trHeight w:val="233"/>
        </w:trPr>
        <w:tc>
          <w:tcPr>
            <w:tcW w:w="44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Net current period other comprehensive (income) loss</w:t>
            </w:r>
          </w:p>
        </w:tc>
        <w:tc>
          <w:tcPr>
            <w:tcW w:w="9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724</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(652)</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72</w:t>
            </w:r>
          </w:p>
        </w:tc>
      </w:tr>
      <w:tr>
        <w:trPr>
          <w:trHeight w:val="31"/>
        </w:trPr>
        <w:tc>
          <w:tcPr>
            <w:tcW w:w="4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January 31, 2020</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31,749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(4,489)</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32,121</w:t>
            </w:r>
          </w:p>
        </w:tc>
      </w:tr>
      <w:tr>
        <w:trPr>
          <w:trHeight w:val="20"/>
        </w:trPr>
        <w:tc>
          <w:tcPr>
            <w:tcW w:w="4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jc w:val="center"/>
              <w:ind w:right="195"/>
              <w:spacing w:after="0"/>
              <w:rPr>
                <w:sz w:val="20"/>
                <w:szCs w:val="20"/>
                <w:color w:val="auto"/>
              </w:rPr>
            </w:pPr>
            <w:r>
              <w:rPr>
                <w:rFonts w:ascii="Arial" w:cs="Arial" w:eastAsia="Arial" w:hAnsi="Arial"/>
                <w:sz w:val="17"/>
                <w:szCs w:val="17"/>
                <w:b w:val="1"/>
                <w:bCs w:val="1"/>
                <w:color w:val="auto"/>
                <w:w w:val="92"/>
              </w:rPr>
              <w:t>Foreign</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175"/>
              <w:spacing w:after="0"/>
              <w:rPr>
                <w:sz w:val="20"/>
                <w:szCs w:val="20"/>
                <w:color w:val="auto"/>
              </w:rPr>
            </w:pPr>
            <w:r>
              <w:rPr>
                <w:rFonts w:ascii="Arial" w:cs="Arial" w:eastAsia="Arial" w:hAnsi="Arial"/>
                <w:sz w:val="17"/>
                <w:szCs w:val="17"/>
                <w:b w:val="1"/>
                <w:bCs w:val="1"/>
                <w:color w:val="auto"/>
                <w:w w:val="91"/>
              </w:rPr>
              <w:t>Cash Flow</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jc w:val="center"/>
              <w:ind w:right="155"/>
              <w:spacing w:after="0"/>
              <w:rPr>
                <w:sz w:val="20"/>
                <w:szCs w:val="20"/>
                <w:color w:val="auto"/>
              </w:rPr>
            </w:pPr>
            <w:r>
              <w:rPr>
                <w:rFonts w:ascii="Arial" w:cs="Arial" w:eastAsia="Arial" w:hAnsi="Arial"/>
                <w:sz w:val="17"/>
                <w:szCs w:val="17"/>
                <w:b w:val="1"/>
                <w:bCs w:val="1"/>
                <w:color w:val="auto"/>
                <w:w w:val="93"/>
              </w:rPr>
              <w:t>Currency</w:t>
            </w:r>
          </w:p>
        </w:tc>
        <w:tc>
          <w:tcPr>
            <w:tcW w:w="180" w:type="dxa"/>
            <w:vAlign w:val="bottom"/>
          </w:tcPr>
          <w:p>
            <w:pPr>
              <w:spacing w:after="0"/>
              <w:rPr>
                <w:sz w:val="17"/>
                <w:szCs w:val="17"/>
                <w:color w:val="auto"/>
              </w:rPr>
            </w:pPr>
          </w:p>
        </w:tc>
        <w:tc>
          <w:tcPr>
            <w:tcW w:w="1360" w:type="dxa"/>
            <w:vAlign w:val="bottom"/>
          </w:tcPr>
          <w:p>
            <w:pPr>
              <w:jc w:val="center"/>
              <w:ind w:right="35"/>
              <w:spacing w:after="0"/>
              <w:rPr>
                <w:sz w:val="20"/>
                <w:szCs w:val="20"/>
                <w:color w:val="auto"/>
              </w:rPr>
            </w:pPr>
            <w:r>
              <w:rPr>
                <w:rFonts w:ascii="Arial" w:cs="Arial" w:eastAsia="Arial" w:hAnsi="Arial"/>
                <w:sz w:val="17"/>
                <w:szCs w:val="17"/>
                <w:b w:val="1"/>
                <w:bCs w:val="1"/>
                <w:color w:val="auto"/>
                <w:w w:val="87"/>
              </w:rPr>
              <w:t>Pension and</w:t>
            </w:r>
          </w:p>
        </w:tc>
        <w:tc>
          <w:tcPr>
            <w:tcW w:w="300" w:type="dxa"/>
            <w:vAlign w:val="bottom"/>
          </w:tcPr>
          <w:p>
            <w:pPr>
              <w:spacing w:after="0"/>
              <w:rPr>
                <w:sz w:val="17"/>
                <w:szCs w:val="17"/>
                <w:color w:val="auto"/>
              </w:rPr>
            </w:pPr>
          </w:p>
        </w:tc>
        <w:tc>
          <w:tcPr>
            <w:tcW w:w="1320" w:type="dxa"/>
            <w:vAlign w:val="bottom"/>
          </w:tcPr>
          <w:p>
            <w:pPr>
              <w:jc w:val="center"/>
              <w:ind w:right="175"/>
              <w:spacing w:after="0"/>
              <w:rPr>
                <w:sz w:val="20"/>
                <w:szCs w:val="20"/>
                <w:color w:val="auto"/>
              </w:rPr>
            </w:pPr>
            <w:r>
              <w:rPr>
                <w:rFonts w:ascii="Arial" w:cs="Arial" w:eastAsia="Arial" w:hAnsi="Arial"/>
                <w:sz w:val="17"/>
                <w:szCs w:val="17"/>
                <w:b w:val="1"/>
                <w:bCs w:val="1"/>
                <w:color w:val="auto"/>
                <w:w w:val="91"/>
              </w:rPr>
              <w:t>Hedging</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jc w:val="center"/>
              <w:ind w:right="155"/>
              <w:spacing w:after="0"/>
              <w:rPr>
                <w:sz w:val="20"/>
                <w:szCs w:val="20"/>
                <w:color w:val="auto"/>
              </w:rPr>
            </w:pPr>
            <w:r>
              <w:rPr>
                <w:rFonts w:ascii="Arial" w:cs="Arial" w:eastAsia="Arial" w:hAnsi="Arial"/>
                <w:sz w:val="17"/>
                <w:szCs w:val="17"/>
                <w:b w:val="1"/>
                <w:bCs w:val="1"/>
                <w:color w:val="auto"/>
                <w:w w:val="93"/>
              </w:rPr>
              <w:t>Translation</w:t>
            </w:r>
          </w:p>
        </w:tc>
        <w:tc>
          <w:tcPr>
            <w:tcW w:w="180" w:type="dxa"/>
            <w:vAlign w:val="bottom"/>
          </w:tcPr>
          <w:p>
            <w:pPr>
              <w:spacing w:after="0"/>
              <w:rPr>
                <w:sz w:val="17"/>
                <w:szCs w:val="17"/>
                <w:color w:val="auto"/>
              </w:rPr>
            </w:pPr>
          </w:p>
        </w:tc>
        <w:tc>
          <w:tcPr>
            <w:tcW w:w="1360" w:type="dxa"/>
            <w:vAlign w:val="bottom"/>
          </w:tcPr>
          <w:p>
            <w:pPr>
              <w:jc w:val="center"/>
              <w:ind w:right="35"/>
              <w:spacing w:after="0"/>
              <w:rPr>
                <w:sz w:val="20"/>
                <w:szCs w:val="20"/>
                <w:color w:val="auto"/>
              </w:rPr>
            </w:pPr>
            <w:r>
              <w:rPr>
                <w:rFonts w:ascii="Arial" w:cs="Arial" w:eastAsia="Arial" w:hAnsi="Arial"/>
                <w:sz w:val="17"/>
                <w:szCs w:val="17"/>
                <w:b w:val="1"/>
                <w:bCs w:val="1"/>
                <w:color w:val="auto"/>
                <w:w w:val="91"/>
              </w:rPr>
              <w:t>Post-Retirement</w:t>
            </w:r>
          </w:p>
        </w:tc>
        <w:tc>
          <w:tcPr>
            <w:tcW w:w="300" w:type="dxa"/>
            <w:vAlign w:val="bottom"/>
          </w:tcPr>
          <w:p>
            <w:pPr>
              <w:spacing w:after="0"/>
              <w:rPr>
                <w:sz w:val="17"/>
                <w:szCs w:val="17"/>
                <w:color w:val="auto"/>
              </w:rPr>
            </w:pPr>
          </w:p>
        </w:tc>
        <w:tc>
          <w:tcPr>
            <w:tcW w:w="1320" w:type="dxa"/>
            <w:vAlign w:val="bottom"/>
          </w:tcPr>
          <w:p>
            <w:pPr>
              <w:jc w:val="center"/>
              <w:ind w:right="155"/>
              <w:spacing w:after="0"/>
              <w:rPr>
                <w:sz w:val="20"/>
                <w:szCs w:val="20"/>
                <w:color w:val="auto"/>
              </w:rPr>
            </w:pPr>
            <w:r>
              <w:rPr>
                <w:rFonts w:ascii="Arial" w:cs="Arial" w:eastAsia="Arial" w:hAnsi="Arial"/>
                <w:sz w:val="17"/>
                <w:szCs w:val="17"/>
                <w:b w:val="1"/>
                <w:bCs w:val="1"/>
                <w:color w:val="auto"/>
                <w:w w:val="93"/>
              </w:rPr>
              <w:t>Derivative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4620" w:type="dxa"/>
            <w:vAlign w:val="bottom"/>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700" w:type="dxa"/>
            <w:vAlign w:val="bottom"/>
          </w:tcPr>
          <w:p>
            <w:pPr>
              <w:spacing w:after="0"/>
              <w:rPr>
                <w:sz w:val="19"/>
                <w:szCs w:val="19"/>
                <w:color w:val="auto"/>
              </w:rPr>
            </w:pPr>
          </w:p>
        </w:tc>
        <w:tc>
          <w:tcPr>
            <w:tcW w:w="134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Adjustments</w:t>
            </w:r>
          </w:p>
        </w:tc>
        <w:tc>
          <w:tcPr>
            <w:tcW w:w="180" w:type="dxa"/>
            <w:vAlign w:val="bottom"/>
          </w:tcPr>
          <w:p>
            <w:pPr>
              <w:spacing w:after="0"/>
              <w:rPr>
                <w:sz w:val="19"/>
                <w:szCs w:val="19"/>
                <w:color w:val="auto"/>
              </w:rPr>
            </w:pPr>
          </w:p>
        </w:tc>
        <w:tc>
          <w:tcPr>
            <w:tcW w:w="1360" w:type="dxa"/>
            <w:vAlign w:val="bottom"/>
          </w:tcPr>
          <w:p>
            <w:pPr>
              <w:jc w:val="center"/>
              <w:ind w:right="35"/>
              <w:spacing w:after="0"/>
              <w:rPr>
                <w:sz w:val="20"/>
                <w:szCs w:val="20"/>
                <w:color w:val="auto"/>
              </w:rPr>
            </w:pPr>
            <w:r>
              <w:rPr>
                <w:rFonts w:ascii="Arial" w:cs="Arial" w:eastAsia="Arial" w:hAnsi="Arial"/>
                <w:sz w:val="17"/>
                <w:szCs w:val="17"/>
                <w:b w:val="1"/>
                <w:bCs w:val="1"/>
                <w:color w:val="auto"/>
                <w:w w:val="89"/>
              </w:rPr>
              <w:t>Benefits</w:t>
            </w:r>
          </w:p>
        </w:tc>
        <w:tc>
          <w:tcPr>
            <w:tcW w:w="300" w:type="dxa"/>
            <w:vAlign w:val="bottom"/>
          </w:tcPr>
          <w:p>
            <w:pPr>
              <w:spacing w:after="0"/>
              <w:rPr>
                <w:sz w:val="19"/>
                <w:szCs w:val="19"/>
                <w:color w:val="auto"/>
              </w:rPr>
            </w:pPr>
          </w:p>
        </w:tc>
        <w:tc>
          <w:tcPr>
            <w:tcW w:w="1320" w:type="dxa"/>
            <w:vAlign w:val="bottom"/>
          </w:tcPr>
          <w:p>
            <w:pPr>
              <w:jc w:val="center"/>
              <w:ind w:right="155"/>
              <w:spacing w:after="0"/>
              <w:rPr>
                <w:sz w:val="20"/>
                <w:szCs w:val="20"/>
                <w:color w:val="auto"/>
              </w:rPr>
            </w:pPr>
            <w:r>
              <w:rPr>
                <w:rFonts w:ascii="Arial" w:cs="Arial" w:eastAsia="Arial" w:hAnsi="Arial"/>
                <w:sz w:val="17"/>
                <w:szCs w:val="17"/>
                <w:b w:val="1"/>
                <w:bCs w:val="1"/>
                <w:color w:val="auto"/>
                <w:w w:val="90"/>
              </w:rPr>
              <w:t>Instruments</w:t>
            </w:r>
          </w:p>
        </w:tc>
        <w:tc>
          <w:tcPr>
            <w:tcW w:w="400" w:type="dxa"/>
            <w:vAlign w:val="bottom"/>
          </w:tcPr>
          <w:p>
            <w:pPr>
              <w:spacing w:after="0"/>
              <w:rPr>
                <w:sz w:val="19"/>
                <w:szCs w:val="19"/>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Total</w:t>
            </w:r>
          </w:p>
        </w:tc>
      </w:tr>
      <w:tr>
        <w:trPr>
          <w:trHeight w:val="31"/>
        </w:trPr>
        <w:tc>
          <w:tcPr>
            <w:tcW w:w="4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October 31, 2018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29,711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(6,335)</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23,937</w:t>
            </w:r>
          </w:p>
        </w:tc>
      </w:tr>
      <w:tr>
        <w:trPr>
          <w:trHeight w:val="239"/>
        </w:trPr>
        <w:tc>
          <w:tcPr>
            <w:tcW w:w="4620" w:type="dxa"/>
            <w:vAlign w:val="bottom"/>
          </w:tcPr>
          <w:p>
            <w:pPr>
              <w:ind w:left="20"/>
              <w:spacing w:after="0"/>
              <w:rPr>
                <w:sz w:val="20"/>
                <w:szCs w:val="20"/>
                <w:color w:val="auto"/>
              </w:rPr>
            </w:pPr>
            <w:r>
              <w:rPr>
                <w:rFonts w:ascii="Arial" w:cs="Arial" w:eastAsia="Arial" w:hAnsi="Arial"/>
                <w:sz w:val="17"/>
                <w:szCs w:val="17"/>
                <w:color w:val="auto"/>
              </w:rPr>
              <w:t>Other comprehensive (income) loss before reclassifications</w:t>
            </w:r>
          </w:p>
        </w:tc>
        <w:tc>
          <w:tcPr>
            <w:tcW w:w="70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(3,431)</w:t>
            </w:r>
          </w:p>
        </w:tc>
        <w:tc>
          <w:tcPr>
            <w:tcW w:w="18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5,490</w:t>
            </w:r>
          </w:p>
        </w:tc>
        <w:tc>
          <w:tcPr>
            <w:tcW w:w="40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2,059</w:t>
            </w:r>
          </w:p>
        </w:tc>
      </w:tr>
      <w:tr>
        <w:trPr>
          <w:trHeight w:val="31"/>
        </w:trPr>
        <w:tc>
          <w:tcPr>
            <w:tcW w:w="4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Amounts reclassified from AOCL</w:t>
            </w:r>
          </w:p>
        </w:tc>
        <w:tc>
          <w:tcPr>
            <w:tcW w:w="7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(1,481)</w:t>
            </w: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(1,481)</w:t>
            </w:r>
          </w:p>
        </w:tc>
      </w:tr>
      <w:tr>
        <w:trPr>
          <w:trHeight w:val="233"/>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current period other comprehensive (income) loss</w:t>
            </w:r>
          </w:p>
        </w:tc>
        <w:tc>
          <w:tcPr>
            <w:tcW w:w="7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(3,431)</w:t>
            </w: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4,009</w:t>
            </w: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578</w:t>
            </w:r>
          </w:p>
        </w:tc>
      </w:tr>
      <w:tr>
        <w:trPr>
          <w:trHeight w:val="31"/>
        </w:trPr>
        <w:tc>
          <w:tcPr>
            <w:tcW w:w="4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February 1, 2019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26,280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(2,326)</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24,515</w:t>
            </w:r>
          </w:p>
        </w:tc>
      </w:tr>
      <w:tr>
        <w:trPr>
          <w:trHeight w:val="20"/>
        </w:trPr>
        <w:tc>
          <w:tcPr>
            <w:tcW w:w="4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components reclassified from AOCL to the respective line items within net earnings for the company's cash flow hedging derivative instruments, refer to Note 17,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w:t>
      </w:r>
    </w:p>
    <w:p>
      <w:pPr>
        <w:spacing w:after="0" w:line="303"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14 </w:t>
      </w:r>
      <w:r>
        <w:rPr>
          <w:rFonts w:ascii="Arial" w:cs="Arial" w:eastAsia="Arial" w:hAnsi="Arial"/>
          <w:sz w:val="19"/>
          <w:szCs w:val="19"/>
          <w:b w:val="1"/>
          <w:bCs w:val="1"/>
          <w:color w:val="auto"/>
        </w:rPr>
        <w:t>Per Share Data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391"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20" w:type="dxa"/>
            <w:vAlign w:val="bottom"/>
            <w:gridSpan w:val="4"/>
          </w:tcPr>
          <w:p>
            <w:pPr>
              <w:ind w:left="40"/>
              <w:spacing w:after="0"/>
              <w:rPr>
                <w:sz w:val="20"/>
                <w:szCs w:val="20"/>
                <w:color w:val="auto"/>
              </w:rPr>
            </w:pPr>
            <w:r>
              <w:rPr>
                <w:rFonts w:ascii="Arial" w:cs="Arial" w:eastAsia="Arial" w:hAnsi="Arial"/>
                <w:sz w:val="17"/>
                <w:szCs w:val="17"/>
                <w:b w:val="1"/>
                <w:bCs w:val="1"/>
                <w:color w:val="auto"/>
              </w:rPr>
              <w:t>(Shares in thousands)</w:t>
            </w:r>
          </w:p>
        </w:tc>
        <w:tc>
          <w:tcPr>
            <w:tcW w:w="1680" w:type="dxa"/>
            <w:vAlign w:val="bottom"/>
          </w:tcPr>
          <w:p>
            <w:pPr>
              <w:jc w:val="right"/>
              <w:ind w:right="95"/>
              <w:spacing w:after="0"/>
              <w:rPr>
                <w:sz w:val="20"/>
                <w:szCs w:val="20"/>
                <w:color w:val="auto"/>
              </w:rPr>
            </w:pPr>
            <w:r>
              <w:rPr>
                <w:rFonts w:ascii="Arial" w:cs="Arial" w:eastAsia="Arial" w:hAnsi="Arial"/>
                <w:sz w:val="17"/>
                <w:szCs w:val="17"/>
                <w:b w:val="1"/>
                <w:bCs w:val="1"/>
                <w:color w:val="auto"/>
              </w:rPr>
              <w:t>January 31, 2020</w:t>
            </w:r>
          </w:p>
        </w:tc>
        <w:tc>
          <w:tcPr>
            <w:tcW w:w="1520" w:type="dxa"/>
            <w:vAlign w:val="bottom"/>
          </w:tcPr>
          <w:p>
            <w:pPr>
              <w:jc w:val="right"/>
              <w:ind w:right="35"/>
              <w:spacing w:after="0"/>
              <w:rPr>
                <w:sz w:val="20"/>
                <w:szCs w:val="20"/>
                <w:color w:val="auto"/>
              </w:rPr>
            </w:pPr>
            <w:r>
              <w:rPr>
                <w:rFonts w:ascii="Arial" w:cs="Arial" w:eastAsia="Arial" w:hAnsi="Arial"/>
                <w:sz w:val="17"/>
                <w:szCs w:val="17"/>
                <w:b w:val="1"/>
                <w:bCs w:val="1"/>
                <w:color w:val="auto"/>
              </w:rPr>
              <w:t>February 1, 2019</w:t>
            </w:r>
          </w:p>
        </w:tc>
      </w:tr>
      <w:tr>
        <w:trPr>
          <w:trHeight w:val="31"/>
        </w:trPr>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3"/>
        </w:trPr>
        <w:tc>
          <w:tcPr>
            <w:tcW w:w="8220" w:type="dxa"/>
            <w:vAlign w:val="bottom"/>
            <w:gridSpan w:val="4"/>
            <w:shd w:val="clear" w:color="auto" w:fill="CCEEFF"/>
          </w:tcPr>
          <w:p>
            <w:pPr>
              <w:ind w:left="40"/>
              <w:spacing w:after="0" w:line="183" w:lineRule="exact"/>
              <w:rPr>
                <w:sz w:val="20"/>
                <w:szCs w:val="20"/>
                <w:color w:val="auto"/>
              </w:rPr>
            </w:pPr>
            <w:r>
              <w:rPr>
                <w:rFonts w:ascii="Arial" w:cs="Arial" w:eastAsia="Arial" w:hAnsi="Arial"/>
                <w:sz w:val="17"/>
                <w:szCs w:val="17"/>
                <w:i w:val="1"/>
                <w:iCs w:val="1"/>
                <w:color w:val="auto"/>
              </w:rPr>
              <w:t>Basic</w:t>
            </w:r>
          </w:p>
        </w:tc>
        <w:tc>
          <w:tcPr>
            <w:tcW w:w="16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39"/>
        </w:trPr>
        <w:tc>
          <w:tcPr>
            <w:tcW w:w="8220" w:type="dxa"/>
            <w:vAlign w:val="bottom"/>
            <w:gridSpan w:val="4"/>
          </w:tcPr>
          <w:p>
            <w:pPr>
              <w:ind w:left="40"/>
              <w:spacing w:after="0"/>
              <w:rPr>
                <w:sz w:val="20"/>
                <w:szCs w:val="20"/>
                <w:color w:val="auto"/>
              </w:rPr>
            </w:pPr>
            <w:r>
              <w:rPr>
                <w:rFonts w:ascii="Arial" w:cs="Arial" w:eastAsia="Arial" w:hAnsi="Arial"/>
                <w:sz w:val="17"/>
                <w:szCs w:val="17"/>
                <w:color w:val="auto"/>
              </w:rPr>
              <w:t>Weighted-average number of shares of common stock</w:t>
            </w:r>
          </w:p>
        </w:tc>
        <w:tc>
          <w:tcPr>
            <w:tcW w:w="1680" w:type="dxa"/>
            <w:vAlign w:val="bottom"/>
          </w:tcPr>
          <w:p>
            <w:pPr>
              <w:jc w:val="right"/>
              <w:ind w:right="75"/>
              <w:spacing w:after="0"/>
              <w:rPr>
                <w:sz w:val="20"/>
                <w:szCs w:val="20"/>
                <w:color w:val="auto"/>
              </w:rPr>
            </w:pPr>
            <w:r>
              <w:rPr>
                <w:rFonts w:ascii="Arial" w:cs="Arial" w:eastAsia="Arial" w:hAnsi="Arial"/>
                <w:sz w:val="17"/>
                <w:szCs w:val="17"/>
                <w:color w:val="auto"/>
              </w:rPr>
              <w:t>107,380</w:t>
            </w: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106,216</w:t>
            </w:r>
          </w:p>
        </w:tc>
      </w:tr>
      <w:tr>
        <w:trPr>
          <w:trHeight w:val="31"/>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8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Assumed issuance of contingent shares</w:t>
            </w:r>
          </w:p>
        </w:tc>
        <w:tc>
          <w:tcPr>
            <w:tcW w:w="1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r>
      <w:tr>
        <w:trPr>
          <w:trHeight w:val="233"/>
        </w:trPr>
        <w:tc>
          <w:tcPr>
            <w:tcW w:w="8220" w:type="dxa"/>
            <w:vAlign w:val="bottom"/>
            <w:tcBorders>
              <w:top w:val="single" w:sz="8" w:color="auto"/>
            </w:tcBorders>
            <w:gridSpan w:val="4"/>
          </w:tcPr>
          <w:p>
            <w:pPr>
              <w:ind w:left="40"/>
              <w:spacing w:after="0"/>
              <w:rPr>
                <w:sz w:val="20"/>
                <w:szCs w:val="20"/>
                <w:color w:val="auto"/>
              </w:rPr>
            </w:pPr>
            <w:r>
              <w:rPr>
                <w:rFonts w:ascii="Arial" w:cs="Arial" w:eastAsia="Arial" w:hAnsi="Arial"/>
                <w:sz w:val="17"/>
                <w:szCs w:val="17"/>
                <w:color w:val="auto"/>
              </w:rPr>
              <w:t>Weighted-average number of shares of common stock and assumed issuance of contingent shares</w:t>
            </w:r>
          </w:p>
        </w:tc>
        <w:tc>
          <w:tcPr>
            <w:tcW w:w="16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107,423</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106,258</w:t>
            </w:r>
          </w:p>
        </w:tc>
      </w:tr>
      <w:tr>
        <w:trPr>
          <w:trHeight w:val="31"/>
        </w:trPr>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9"/>
        </w:trPr>
        <w:tc>
          <w:tcPr>
            <w:tcW w:w="82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7"/>
                <w:szCs w:val="17"/>
                <w:i w:val="1"/>
                <w:iCs w:val="1"/>
                <w:color w:val="auto"/>
              </w:rPr>
              <w:t>Diluted</w:t>
            </w:r>
          </w:p>
        </w:tc>
        <w:tc>
          <w:tcPr>
            <w:tcW w:w="16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680" w:type="dxa"/>
            <w:vAlign w:val="bottom"/>
            <w:tcBorders>
              <w:top w:val="single" w:sz="8" w:color="CCEEFF"/>
            </w:tcBorders>
            <w:shd w:val="clear" w:color="auto" w:fill="CCEEFF"/>
          </w:tcPr>
          <w:p>
            <w:pPr>
              <w:spacing w:after="0"/>
              <w:rPr>
                <w:sz w:val="5"/>
                <w:szCs w:val="5"/>
                <w:color w:val="auto"/>
              </w:rPr>
            </w:pPr>
          </w:p>
        </w:tc>
        <w:tc>
          <w:tcPr>
            <w:tcW w:w="16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39"/>
        </w:trPr>
        <w:tc>
          <w:tcPr>
            <w:tcW w:w="8220" w:type="dxa"/>
            <w:vAlign w:val="bottom"/>
            <w:gridSpan w:val="4"/>
          </w:tcPr>
          <w:p>
            <w:pPr>
              <w:ind w:left="40"/>
              <w:spacing w:after="0"/>
              <w:rPr>
                <w:sz w:val="20"/>
                <w:szCs w:val="20"/>
                <w:color w:val="auto"/>
              </w:rPr>
            </w:pPr>
            <w:r>
              <w:rPr>
                <w:rFonts w:ascii="Arial" w:cs="Arial" w:eastAsia="Arial" w:hAnsi="Arial"/>
                <w:sz w:val="17"/>
                <w:szCs w:val="17"/>
                <w:color w:val="auto"/>
              </w:rPr>
              <w:t>Weighted-average number of shares of common stock and assumed issuance of contingent shares</w:t>
            </w:r>
          </w:p>
        </w:tc>
        <w:tc>
          <w:tcPr>
            <w:tcW w:w="1680" w:type="dxa"/>
            <w:vAlign w:val="bottom"/>
          </w:tcPr>
          <w:p>
            <w:pPr>
              <w:jc w:val="right"/>
              <w:ind w:right="75"/>
              <w:spacing w:after="0"/>
              <w:rPr>
                <w:sz w:val="20"/>
                <w:szCs w:val="20"/>
                <w:color w:val="auto"/>
              </w:rPr>
            </w:pPr>
            <w:r>
              <w:rPr>
                <w:rFonts w:ascii="Arial" w:cs="Arial" w:eastAsia="Arial" w:hAnsi="Arial"/>
                <w:sz w:val="17"/>
                <w:szCs w:val="17"/>
                <w:color w:val="auto"/>
              </w:rPr>
              <w:t>107,423</w:t>
            </w: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106,258</w:t>
            </w:r>
          </w:p>
        </w:tc>
      </w:tr>
      <w:tr>
        <w:trPr>
          <w:trHeight w:val="31"/>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8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Effect of dilutive securities</w:t>
            </w:r>
          </w:p>
        </w:tc>
        <w:tc>
          <w:tcPr>
            <w:tcW w:w="1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1,232</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1,523</w:t>
            </w:r>
          </w:p>
        </w:tc>
      </w:tr>
      <w:tr>
        <w:trPr>
          <w:trHeight w:val="205"/>
        </w:trPr>
        <w:tc>
          <w:tcPr>
            <w:tcW w:w="8220" w:type="dxa"/>
            <w:vAlign w:val="bottom"/>
            <w:tcBorders>
              <w:top w:val="single" w:sz="8" w:color="auto"/>
            </w:tcBorders>
            <w:gridSpan w:val="4"/>
          </w:tcPr>
          <w:p>
            <w:pPr>
              <w:ind w:left="40"/>
              <w:spacing w:after="0"/>
              <w:rPr>
                <w:sz w:val="20"/>
                <w:szCs w:val="20"/>
                <w:color w:val="auto"/>
              </w:rPr>
            </w:pPr>
            <w:r>
              <w:rPr>
                <w:rFonts w:ascii="Arial" w:cs="Arial" w:eastAsia="Arial" w:hAnsi="Arial"/>
                <w:sz w:val="17"/>
                <w:szCs w:val="17"/>
                <w:color w:val="auto"/>
                <w:w w:val="92"/>
              </w:rPr>
              <w:t>Weighted-average number of shares of common stock, assumed issuance of contingent shares, and effect of dilutive</w:t>
            </w:r>
          </w:p>
        </w:tc>
        <w:tc>
          <w:tcPr>
            <w:tcW w:w="16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8220" w:type="dxa"/>
            <w:vAlign w:val="bottom"/>
            <w:gridSpan w:val="4"/>
          </w:tcPr>
          <w:p>
            <w:pPr>
              <w:ind w:left="40"/>
              <w:spacing w:after="0"/>
              <w:rPr>
                <w:sz w:val="20"/>
                <w:szCs w:val="20"/>
                <w:color w:val="auto"/>
              </w:rPr>
            </w:pPr>
            <w:r>
              <w:rPr>
                <w:rFonts w:ascii="Arial" w:cs="Arial" w:eastAsia="Arial" w:hAnsi="Arial"/>
                <w:sz w:val="17"/>
                <w:szCs w:val="17"/>
                <w:color w:val="auto"/>
              </w:rPr>
              <w:t>securities</w:t>
            </w:r>
          </w:p>
        </w:tc>
        <w:tc>
          <w:tcPr>
            <w:tcW w:w="1680" w:type="dxa"/>
            <w:vAlign w:val="bottom"/>
          </w:tcPr>
          <w:p>
            <w:pPr>
              <w:jc w:val="right"/>
              <w:ind w:right="75"/>
              <w:spacing w:after="0"/>
              <w:rPr>
                <w:sz w:val="20"/>
                <w:szCs w:val="20"/>
                <w:color w:val="auto"/>
              </w:rPr>
            </w:pPr>
            <w:r>
              <w:rPr>
                <w:rFonts w:ascii="Arial" w:cs="Arial" w:eastAsia="Arial" w:hAnsi="Arial"/>
                <w:sz w:val="17"/>
                <w:szCs w:val="17"/>
                <w:color w:val="auto"/>
              </w:rPr>
              <w:t>108,655</w:t>
            </w: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107,781</w:t>
            </w:r>
          </w:p>
        </w:tc>
      </w:tr>
      <w:tr>
        <w:trPr>
          <w:trHeight w:val="31"/>
        </w:trPr>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Incremental shares from options and restricted stock units are computed under the treasury stock method. Options to purchase 262,205 and 786,262 shares of common stock during the first three months of fiscal 2020 and 2019, respectively, were excluded from diluted net earnings per share because they were anti-dilutive.</w:t>
      </w:r>
    </w:p>
    <w:p>
      <w:pPr>
        <w:spacing w:after="0" w:line="314"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15 </w:t>
      </w:r>
      <w:r>
        <w:rPr>
          <w:rFonts w:ascii="Arial" w:cs="Arial" w:eastAsia="Arial" w:hAnsi="Arial"/>
          <w:sz w:val="19"/>
          <w:szCs w:val="19"/>
          <w:b w:val="1"/>
          <w:bCs w:val="1"/>
          <w:color w:val="auto"/>
        </w:rPr>
        <w:t>Contingencies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U.S. Patent and Trademark Office and foreign patent offices. Management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ectPr>
          <w:pgSz w:w="11900" w:h="16838" w:orient="portrait"/>
          <w:cols w:equalWidth="0" w:num="1">
            <w:col w:w="11420"/>
          </w:cols>
          <w:pgMar w:left="240" w:top="125" w:right="2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298"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16 </w:t>
      </w:r>
      <w:r>
        <w:rPr>
          <w:rFonts w:ascii="Arial" w:cs="Arial" w:eastAsia="Arial" w:hAnsi="Arial"/>
          <w:sz w:val="19"/>
          <w:szCs w:val="19"/>
          <w:b w:val="1"/>
          <w:bCs w:val="1"/>
          <w:color w:val="auto"/>
        </w:rPr>
        <w:t>Leases</w:t>
      </w:r>
    </w:p>
    <w:p>
      <w:pPr>
        <w:spacing w:after="0" w:line="2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enters into contracts that are, or contain, operating lease agreements for certain property, plant, or equipment assets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lease term begins and is determined upon lease commencement, which is the point in time when the company takes possession of the identified asset, and includes all non-cancelable periods. Additionally, the lease term may also include options to extend or terminate the lease when it is reasonably certain that such options will be exercised after considering all relevant economic and financial factors. Options to extend or terminate a lease are generally exercisable at the company's sole discretion, subject to any required minimum notification period and/or other contractual terms as defined within the respective lease agreement, as applicable. The company's renewal options generally range from extended terms of two to ten years. Certain leases also include options to purchase the identified asset.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Lease payments are determined at lease commencement and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 Additionally, the company's operating leases generally do not include material residual value guarantees. The company has operating leases with both lease components and non-lease components. For all underlying asset classes, the company accounts for lease components separately from non-lease components based on the relative market value of each component. Non-lease components typically consist of common area maintenance, utilities, and/or other repairs and maintenance services. The costs related to non-lease components are not included within the determination of lease payments at commencement.</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discounted to present value based on the rate implicit in the operating lease agreement or the estimated incremental borrowing rate at lease commencement if the rate implicit in the lease is not readily determinable. Generally, the estimated incremental borrowing rate is used as the rate implicit in the lease is not readily determinable. The estimated incremental borrowing rate represents the rate of interest that the company would have to pay to borrow on a general and unsecured collateralized basis over a similar term, an amount equal to the lease payments in a similar economic environment. The company determines the estimated incremental borrowing rate at lease commencement based on available information at such time, including lease term, lease currency, and geographical market.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lease expense incurred on the company’s operating, short-term, and variable leases for the three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416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January 31, 2020</w:t>
            </w:r>
          </w:p>
        </w:tc>
      </w:tr>
      <w:tr>
        <w:trPr>
          <w:trHeight w:val="31"/>
        </w:trPr>
        <w:tc>
          <w:tcPr>
            <w:tcW w:w="58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expense</w:t>
            </w:r>
          </w:p>
        </w:tc>
        <w:tc>
          <w:tcPr>
            <w:tcW w:w="4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4,834</w:t>
            </w:r>
          </w:p>
        </w:tc>
      </w:tr>
      <w:tr>
        <w:trPr>
          <w:trHeight w:val="239"/>
        </w:trPr>
        <w:tc>
          <w:tcPr>
            <w:tcW w:w="5800" w:type="dxa"/>
            <w:vAlign w:val="bottom"/>
          </w:tcPr>
          <w:p>
            <w:pPr>
              <w:ind w:left="40"/>
              <w:spacing w:after="0"/>
              <w:rPr>
                <w:sz w:val="20"/>
                <w:szCs w:val="20"/>
                <w:color w:val="auto"/>
              </w:rPr>
            </w:pPr>
            <w:r>
              <w:rPr>
                <w:rFonts w:ascii="Arial" w:cs="Arial" w:eastAsia="Arial" w:hAnsi="Arial"/>
                <w:sz w:val="17"/>
                <w:szCs w:val="17"/>
                <w:color w:val="auto"/>
              </w:rPr>
              <w:t>Short-term lease expense</w:t>
            </w:r>
          </w:p>
        </w:tc>
        <w:tc>
          <w:tcPr>
            <w:tcW w:w="416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682</w:t>
            </w:r>
          </w:p>
        </w:tc>
      </w:tr>
      <w:tr>
        <w:trPr>
          <w:trHeight w:val="31"/>
        </w:trPr>
        <w:tc>
          <w:tcPr>
            <w:tcW w:w="58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Variable lease expense</w:t>
            </w:r>
          </w:p>
        </w:tc>
        <w:tc>
          <w:tcPr>
            <w:tcW w:w="4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r>
      <w:tr>
        <w:trPr>
          <w:trHeight w:val="233"/>
        </w:trPr>
        <w:tc>
          <w:tcPr>
            <w:tcW w:w="58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lease expense</w:t>
            </w:r>
          </w:p>
        </w:tc>
        <w:tc>
          <w:tcPr>
            <w:tcW w:w="4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5,553</w:t>
            </w:r>
          </w:p>
        </w:tc>
      </w:tr>
      <w:tr>
        <w:trPr>
          <w:trHeight w:val="31"/>
        </w:trPr>
        <w:tc>
          <w:tcPr>
            <w:tcW w:w="58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supplemental cash flow information related to the company's operating leases for the three month period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222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January 31, 2020</w:t>
            </w:r>
          </w:p>
        </w:tc>
      </w:tr>
      <w:tr>
        <w:trPr>
          <w:trHeight w:val="31"/>
        </w:trPr>
        <w:tc>
          <w:tcPr>
            <w:tcW w:w="77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cash flows for amounts included in the measurement of lease liabilities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4,741</w:t>
            </w:r>
          </w:p>
        </w:tc>
      </w:tr>
      <w:tr>
        <w:trPr>
          <w:trHeight w:val="239"/>
        </w:trPr>
        <w:tc>
          <w:tcPr>
            <w:tcW w:w="7740" w:type="dxa"/>
            <w:vAlign w:val="bottom"/>
          </w:tcPr>
          <w:p>
            <w:pPr>
              <w:ind w:left="40"/>
              <w:spacing w:after="0"/>
              <w:rPr>
                <w:sz w:val="20"/>
                <w:szCs w:val="20"/>
                <w:color w:val="auto"/>
              </w:rPr>
            </w:pPr>
            <w:r>
              <w:rPr>
                <w:rFonts w:ascii="Arial" w:cs="Arial" w:eastAsia="Arial" w:hAnsi="Arial"/>
                <w:sz w:val="17"/>
                <w:szCs w:val="17"/>
                <w:color w:val="auto"/>
              </w:rPr>
              <w:t>Right-of-use assets obtained in exchange for lease obligations</w:t>
            </w:r>
          </w:p>
        </w:tc>
        <w:tc>
          <w:tcPr>
            <w:tcW w:w="222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6,133</w:t>
            </w:r>
          </w:p>
        </w:tc>
      </w:tr>
      <w:tr>
        <w:trPr>
          <w:trHeight w:val="31"/>
        </w:trPr>
        <w:tc>
          <w:tcPr>
            <w:tcW w:w="77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lease information related to the company's operating leases 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238125</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7280" w:type="dxa"/>
            <w:vAlign w:val="bottom"/>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4080" w:type="dxa"/>
            <w:vAlign w:val="bottom"/>
          </w:tcPr>
          <w:p>
            <w:pPr>
              <w:jc w:val="right"/>
              <w:ind w:right="115"/>
              <w:spacing w:after="0"/>
              <w:rPr>
                <w:sz w:val="20"/>
                <w:szCs w:val="20"/>
                <w:color w:val="auto"/>
              </w:rPr>
            </w:pPr>
            <w:r>
              <w:rPr>
                <w:rFonts w:ascii="Arial" w:cs="Arial" w:eastAsia="Arial" w:hAnsi="Arial"/>
                <w:sz w:val="17"/>
                <w:szCs w:val="17"/>
                <w:b w:val="1"/>
                <w:bCs w:val="1"/>
                <w:color w:val="auto"/>
              </w:rPr>
              <w:t>January 31, 2020</w:t>
            </w:r>
          </w:p>
        </w:tc>
      </w:tr>
      <w:tr>
        <w:trPr>
          <w:trHeight w:val="31"/>
        </w:trPr>
        <w:tc>
          <w:tcPr>
            <w:tcW w:w="72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of operating leases in years</w:t>
            </w:r>
          </w:p>
        </w:tc>
        <w:tc>
          <w:tcPr>
            <w:tcW w:w="4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6.2</w:t>
            </w:r>
          </w:p>
        </w:tc>
      </w:tr>
      <w:tr>
        <w:trPr>
          <w:trHeight w:val="239"/>
        </w:trPr>
        <w:tc>
          <w:tcPr>
            <w:tcW w:w="7280" w:type="dxa"/>
            <w:vAlign w:val="bottom"/>
          </w:tcPr>
          <w:p>
            <w:pPr>
              <w:ind w:left="20"/>
              <w:spacing w:after="0"/>
              <w:rPr>
                <w:sz w:val="20"/>
                <w:szCs w:val="20"/>
                <w:color w:val="auto"/>
              </w:rPr>
            </w:pPr>
            <w:r>
              <w:rPr>
                <w:rFonts w:ascii="Arial" w:cs="Arial" w:eastAsia="Arial" w:hAnsi="Arial"/>
                <w:sz w:val="17"/>
                <w:szCs w:val="17"/>
                <w:color w:val="auto"/>
              </w:rPr>
              <w:t>Weighted-average discount rate of operating leases</w:t>
            </w:r>
          </w:p>
        </w:tc>
        <w:tc>
          <w:tcPr>
            <w:tcW w:w="4080" w:type="dxa"/>
            <w:vAlign w:val="bottom"/>
          </w:tcPr>
          <w:p>
            <w:pPr>
              <w:jc w:val="right"/>
              <w:spacing w:after="0"/>
              <w:rPr>
                <w:sz w:val="20"/>
                <w:szCs w:val="20"/>
                <w:color w:val="auto"/>
              </w:rPr>
            </w:pPr>
            <w:r>
              <w:rPr>
                <w:rFonts w:ascii="Arial" w:cs="Arial" w:eastAsia="Arial" w:hAnsi="Arial"/>
                <w:sz w:val="17"/>
                <w:szCs w:val="17"/>
                <w:color w:val="auto"/>
              </w:rPr>
              <w:t>2.81%</w:t>
            </w:r>
          </w:p>
        </w:tc>
      </w:tr>
      <w:tr>
        <w:trPr>
          <w:trHeight w:val="31"/>
        </w:trPr>
        <w:tc>
          <w:tcPr>
            <w:tcW w:w="72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338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January 31, 2020</w:t>
            </w:r>
          </w:p>
        </w:tc>
      </w:tr>
      <w:tr>
        <w:trPr>
          <w:trHeight w:val="31"/>
        </w:trPr>
        <w:tc>
          <w:tcPr>
            <w:tcW w:w="65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 (remaining)</w:t>
            </w:r>
          </w:p>
        </w:tc>
        <w:tc>
          <w:tcPr>
            <w:tcW w:w="3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23,958</w:t>
            </w:r>
          </w:p>
        </w:tc>
      </w:tr>
      <w:tr>
        <w:trPr>
          <w:trHeight w:val="239"/>
        </w:trPr>
        <w:tc>
          <w:tcPr>
            <w:tcW w:w="6580" w:type="dxa"/>
            <w:vAlign w:val="bottom"/>
          </w:tcPr>
          <w:p>
            <w:pPr>
              <w:ind w:left="40"/>
              <w:spacing w:after="0"/>
              <w:rPr>
                <w:sz w:val="20"/>
                <w:szCs w:val="20"/>
                <w:color w:val="auto"/>
              </w:rPr>
            </w:pPr>
            <w:r>
              <w:rPr>
                <w:rFonts w:ascii="Arial" w:cs="Arial" w:eastAsia="Arial" w:hAnsi="Arial"/>
                <w:sz w:val="17"/>
                <w:szCs w:val="17"/>
                <w:color w:val="auto"/>
              </w:rPr>
              <w:t>2021</w:t>
            </w:r>
          </w:p>
        </w:tc>
        <w:tc>
          <w:tcPr>
            <w:tcW w:w="33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16,208</w:t>
            </w:r>
          </w:p>
        </w:tc>
      </w:tr>
      <w:tr>
        <w:trPr>
          <w:trHeight w:val="31"/>
        </w:trPr>
        <w:tc>
          <w:tcPr>
            <w:tcW w:w="65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3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13,476</w:t>
            </w:r>
          </w:p>
        </w:tc>
      </w:tr>
      <w:tr>
        <w:trPr>
          <w:trHeight w:val="239"/>
        </w:trPr>
        <w:tc>
          <w:tcPr>
            <w:tcW w:w="6580" w:type="dxa"/>
            <w:vAlign w:val="bottom"/>
          </w:tcPr>
          <w:p>
            <w:pPr>
              <w:ind w:left="40"/>
              <w:spacing w:after="0"/>
              <w:rPr>
                <w:sz w:val="20"/>
                <w:szCs w:val="20"/>
                <w:color w:val="auto"/>
              </w:rPr>
            </w:pPr>
            <w:r>
              <w:rPr>
                <w:rFonts w:ascii="Arial" w:cs="Arial" w:eastAsia="Arial" w:hAnsi="Arial"/>
                <w:sz w:val="17"/>
                <w:szCs w:val="17"/>
                <w:color w:val="auto"/>
              </w:rPr>
              <w:t>2023</w:t>
            </w:r>
          </w:p>
        </w:tc>
        <w:tc>
          <w:tcPr>
            <w:tcW w:w="33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10,417</w:t>
            </w:r>
          </w:p>
        </w:tc>
      </w:tr>
      <w:tr>
        <w:trPr>
          <w:trHeight w:val="31"/>
        </w:trPr>
        <w:tc>
          <w:tcPr>
            <w:tcW w:w="65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3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9,337</w:t>
            </w:r>
          </w:p>
        </w:tc>
      </w:tr>
      <w:tr>
        <w:trPr>
          <w:trHeight w:val="239"/>
        </w:trPr>
        <w:tc>
          <w:tcPr>
            <w:tcW w:w="658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33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21,217</w:t>
            </w:r>
          </w:p>
        </w:tc>
      </w:tr>
      <w:tr>
        <w:trPr>
          <w:trHeight w:val="31"/>
        </w:trPr>
        <w:tc>
          <w:tcPr>
            <w:tcW w:w="65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future minimum operating lease payments</w:t>
            </w:r>
          </w:p>
        </w:tc>
        <w:tc>
          <w:tcPr>
            <w:tcW w:w="3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94,613</w:t>
            </w:r>
          </w:p>
        </w:tc>
      </w:tr>
      <w:tr>
        <w:trPr>
          <w:trHeight w:val="239"/>
        </w:trPr>
        <w:tc>
          <w:tcPr>
            <w:tcW w:w="6580" w:type="dxa"/>
            <w:vAlign w:val="bottom"/>
          </w:tcPr>
          <w:p>
            <w:pPr>
              <w:ind w:left="180"/>
              <w:spacing w:after="0"/>
              <w:rPr>
                <w:sz w:val="20"/>
                <w:szCs w:val="20"/>
                <w:color w:val="auto"/>
              </w:rPr>
            </w:pPr>
            <w:r>
              <w:rPr>
                <w:rFonts w:ascii="Arial" w:cs="Arial" w:eastAsia="Arial" w:hAnsi="Arial"/>
                <w:sz w:val="17"/>
                <w:szCs w:val="17"/>
                <w:color w:val="auto"/>
              </w:rPr>
              <w:t>Less: imputed interest</w:t>
            </w:r>
          </w:p>
        </w:tc>
        <w:tc>
          <w:tcPr>
            <w:tcW w:w="338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18,224</w:t>
            </w:r>
          </w:p>
        </w:tc>
      </w:tr>
      <w:tr>
        <w:trPr>
          <w:trHeight w:val="31"/>
        </w:trPr>
        <w:tc>
          <w:tcPr>
            <w:tcW w:w="65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Present value of operating lease liabilities</w:t>
            </w:r>
          </w:p>
        </w:tc>
        <w:tc>
          <w:tcPr>
            <w:tcW w:w="3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76,389</w:t>
            </w:r>
          </w:p>
        </w:tc>
      </w:tr>
      <w:tr>
        <w:trPr>
          <w:trHeight w:val="20"/>
        </w:trPr>
        <w:tc>
          <w:tcPr>
            <w:tcW w:w="65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following table presents future minimum operating lease payments by respective fiscal year for non-cancelable operating leases under the legacy lease accounting guidance at ASC Topic 840, </w:t>
      </w:r>
      <w:r>
        <w:rPr>
          <w:rFonts w:ascii="Arial" w:cs="Arial" w:eastAsia="Arial" w:hAnsi="Arial"/>
          <w:sz w:val="18"/>
          <w:szCs w:val="18"/>
          <w:i w:val="1"/>
          <w:iCs w:val="1"/>
          <w:color w:val="auto"/>
        </w:rPr>
        <w:t>Leases</w:t>
      </w:r>
      <w:r>
        <w:rPr>
          <w:rFonts w:ascii="Arial" w:cs="Arial" w:eastAsia="Arial" w:hAnsi="Arial"/>
          <w:sz w:val="18"/>
          <w:szCs w:val="18"/>
          <w:color w:val="auto"/>
        </w:rPr>
        <w:t>, as of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203200</wp:posOffset>
            </wp:positionV>
            <wp:extent cx="7212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200" w:type="dxa"/>
            <w:vAlign w:val="bottom"/>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3720" w:type="dxa"/>
            <w:vAlign w:val="bottom"/>
          </w:tcPr>
          <w:p>
            <w:pPr>
              <w:spacing w:after="0"/>
              <w:rPr>
                <w:sz w:val="19"/>
                <w:szCs w:val="19"/>
                <w:color w:val="auto"/>
              </w:rPr>
            </w:pPr>
          </w:p>
        </w:tc>
        <w:tc>
          <w:tcPr>
            <w:tcW w:w="1440" w:type="dxa"/>
            <w:vAlign w:val="bottom"/>
          </w:tcPr>
          <w:p>
            <w:pPr>
              <w:jc w:val="right"/>
              <w:ind w:right="95"/>
              <w:spacing w:after="0"/>
              <w:rPr>
                <w:sz w:val="20"/>
                <w:szCs w:val="20"/>
                <w:color w:val="auto"/>
              </w:rPr>
            </w:pPr>
            <w:r>
              <w:rPr>
                <w:rFonts w:ascii="Arial" w:cs="Arial" w:eastAsia="Arial" w:hAnsi="Arial"/>
                <w:sz w:val="17"/>
                <w:szCs w:val="17"/>
                <w:b w:val="1"/>
                <w:bCs w:val="1"/>
                <w:color w:val="auto"/>
                <w:w w:val="91"/>
              </w:rPr>
              <w:t>October 31, 2019</w:t>
            </w:r>
          </w:p>
        </w:tc>
      </w:tr>
      <w:tr>
        <w:trPr>
          <w:trHeight w:val="31"/>
        </w:trPr>
        <w:tc>
          <w:tcPr>
            <w:tcW w:w="62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3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17,135</w:t>
            </w:r>
          </w:p>
        </w:tc>
      </w:tr>
      <w:tr>
        <w:trPr>
          <w:trHeight w:val="239"/>
        </w:trPr>
        <w:tc>
          <w:tcPr>
            <w:tcW w:w="6200" w:type="dxa"/>
            <w:vAlign w:val="bottom"/>
          </w:tcPr>
          <w:p>
            <w:pPr>
              <w:ind w:left="20"/>
              <w:spacing w:after="0"/>
              <w:rPr>
                <w:sz w:val="20"/>
                <w:szCs w:val="20"/>
                <w:color w:val="auto"/>
              </w:rPr>
            </w:pPr>
            <w:r>
              <w:rPr>
                <w:rFonts w:ascii="Arial" w:cs="Arial" w:eastAsia="Arial" w:hAnsi="Arial"/>
                <w:sz w:val="17"/>
                <w:szCs w:val="17"/>
                <w:color w:val="auto"/>
              </w:rPr>
              <w:t>2021</w:t>
            </w:r>
          </w:p>
        </w:tc>
        <w:tc>
          <w:tcPr>
            <w:tcW w:w="37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7"/>
                <w:szCs w:val="17"/>
                <w:color w:val="auto"/>
              </w:rPr>
              <w:t>15,764</w:t>
            </w:r>
          </w:p>
        </w:tc>
      </w:tr>
      <w:tr>
        <w:trPr>
          <w:trHeight w:val="31"/>
        </w:trPr>
        <w:tc>
          <w:tcPr>
            <w:tcW w:w="6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12,806</w:t>
            </w:r>
          </w:p>
        </w:tc>
      </w:tr>
      <w:tr>
        <w:trPr>
          <w:trHeight w:val="239"/>
        </w:trPr>
        <w:tc>
          <w:tcPr>
            <w:tcW w:w="6200" w:type="dxa"/>
            <w:vAlign w:val="bottom"/>
          </w:tcPr>
          <w:p>
            <w:pPr>
              <w:ind w:left="20"/>
              <w:spacing w:after="0"/>
              <w:rPr>
                <w:sz w:val="20"/>
                <w:szCs w:val="20"/>
                <w:color w:val="auto"/>
              </w:rPr>
            </w:pPr>
            <w:r>
              <w:rPr>
                <w:rFonts w:ascii="Arial" w:cs="Arial" w:eastAsia="Arial" w:hAnsi="Arial"/>
                <w:sz w:val="17"/>
                <w:szCs w:val="17"/>
                <w:color w:val="auto"/>
              </w:rPr>
              <w:t>2023</w:t>
            </w:r>
          </w:p>
        </w:tc>
        <w:tc>
          <w:tcPr>
            <w:tcW w:w="37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7"/>
                <w:szCs w:val="17"/>
                <w:color w:val="auto"/>
              </w:rPr>
              <w:t>9,772</w:t>
            </w:r>
          </w:p>
        </w:tc>
      </w:tr>
      <w:tr>
        <w:trPr>
          <w:trHeight w:val="31"/>
        </w:trPr>
        <w:tc>
          <w:tcPr>
            <w:tcW w:w="6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37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8,863</w:t>
            </w:r>
          </w:p>
        </w:tc>
      </w:tr>
      <w:tr>
        <w:trPr>
          <w:trHeight w:val="239"/>
        </w:trPr>
        <w:tc>
          <w:tcPr>
            <w:tcW w:w="620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37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7"/>
                <w:szCs w:val="17"/>
                <w:color w:val="auto"/>
              </w:rPr>
              <w:t>18,732</w:t>
            </w:r>
          </w:p>
        </w:tc>
      </w:tr>
      <w:tr>
        <w:trPr>
          <w:trHeight w:val="31"/>
        </w:trPr>
        <w:tc>
          <w:tcPr>
            <w:tcW w:w="62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3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83,072</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17 </w:t>
      </w:r>
      <w:r>
        <w:rPr>
          <w:rFonts w:ascii="Arial" w:cs="Arial" w:eastAsia="Arial" w:hAnsi="Arial"/>
          <w:sz w:val="19"/>
          <w:szCs w:val="19"/>
          <w:b w:val="1"/>
          <w:bCs w:val="1"/>
          <w:color w:val="auto"/>
        </w:rPr>
        <w:t>Derivative Instruments and Hedging Activities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third-party customers, sales and loans to wholly-owned foreign subsidiaries,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its exposure to foreign currency exchange rate risk, the company actively manages the exposure of its foreign currency exchange rate risk by entering into various derivative instruments to hedge against such risk, authorized under company policies that place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Hedging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 parties, foreign plant operations, and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foreign plant operations are recorded in net sales and cost of sales, respectively. The maximum amount of time the company hedges its exposure to the variability in future cash flows for forecasted trade sales and purchases is two years. Results of cash flow hedges of intercompany loans are recorded in other income, net as an offset to the remeasurement of the foreign loan balance.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2020, the notional amount outstanding of forward contracts designated as cash flow hedging instruments was $277.6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Cash Flow Hedging Instruments</w:t>
      </w:r>
    </w:p>
    <w:p>
      <w:pPr>
        <w:spacing w:after="0" w:line="225"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30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auto"/>
                <w:w w:val="91"/>
              </w:rPr>
              <w:t>January 31, 2020</w:t>
            </w:r>
          </w:p>
        </w:tc>
        <w:tc>
          <w:tcPr>
            <w:tcW w:w="200" w:type="dxa"/>
            <w:vAlign w:val="bottom"/>
          </w:tcPr>
          <w:p>
            <w:pPr>
              <w:spacing w:after="0"/>
              <w:rPr>
                <w:sz w:val="19"/>
                <w:szCs w:val="19"/>
                <w:color w:val="auto"/>
              </w:rPr>
            </w:pPr>
          </w:p>
        </w:tc>
        <w:tc>
          <w:tcPr>
            <w:tcW w:w="1380" w:type="dxa"/>
            <w:vAlign w:val="bottom"/>
          </w:tcPr>
          <w:p>
            <w:pPr>
              <w:jc w:val="right"/>
              <w:ind w:right="55"/>
              <w:spacing w:after="0"/>
              <w:rPr>
                <w:sz w:val="20"/>
                <w:szCs w:val="20"/>
                <w:color w:val="auto"/>
              </w:rPr>
            </w:pPr>
            <w:r>
              <w:rPr>
                <w:rFonts w:ascii="Arial" w:cs="Arial" w:eastAsia="Arial" w:hAnsi="Arial"/>
                <w:sz w:val="17"/>
                <w:szCs w:val="17"/>
                <w:b w:val="1"/>
                <w:bCs w:val="1"/>
                <w:color w:val="auto"/>
                <w:w w:val="90"/>
              </w:rPr>
              <w:t>February 1, 2019</w:t>
            </w:r>
          </w:p>
        </w:tc>
        <w:tc>
          <w:tcPr>
            <w:tcW w:w="20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October 31, 2019</w:t>
            </w:r>
          </w:p>
        </w:tc>
      </w:tr>
      <w:tr>
        <w:trPr>
          <w:trHeight w:val="31"/>
        </w:trPr>
        <w:tc>
          <w:tcPr>
            <w:tcW w:w="5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Derivative assets:</w:t>
            </w:r>
          </w:p>
        </w:tc>
        <w:tc>
          <w:tcPr>
            <w:tcW w:w="1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5580" w:type="dxa"/>
            <w:vAlign w:val="bottom"/>
          </w:tcPr>
          <w:p>
            <w:pPr>
              <w:ind w:left="18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
        </w:trPr>
        <w:tc>
          <w:tcPr>
            <w:tcW w:w="5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1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5580" w:type="dxa"/>
            <w:vAlign w:val="bottom"/>
          </w:tcPr>
          <w:p>
            <w:pPr>
              <w:ind w:left="380"/>
              <w:spacing w:after="0"/>
              <w:rPr>
                <w:sz w:val="20"/>
                <w:szCs w:val="20"/>
                <w:color w:val="auto"/>
              </w:rPr>
            </w:pPr>
            <w:r>
              <w:rPr>
                <w:rFonts w:ascii="Arial" w:cs="Arial" w:eastAsia="Arial" w:hAnsi="Arial"/>
                <w:sz w:val="17"/>
                <w:szCs w:val="17"/>
                <w:color w:val="auto"/>
              </w:rPr>
              <w:t>Forward currency contracts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9,244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4,333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8,642</w:t>
            </w:r>
          </w:p>
        </w:tc>
      </w:tr>
      <w:tr>
        <w:trPr>
          <w:trHeight w:val="31"/>
        </w:trPr>
        <w:tc>
          <w:tcPr>
            <w:tcW w:w="5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i w:val="1"/>
                <w:iCs w:val="1"/>
                <w:color w:val="auto"/>
              </w:rPr>
              <w:t>Derivatives not designated as cash flow hedging instruments:</w:t>
            </w:r>
          </w:p>
        </w:tc>
        <w:tc>
          <w:tcPr>
            <w:tcW w:w="1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5580" w:type="dxa"/>
            <w:vAlign w:val="bottom"/>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
        </w:trPr>
        <w:tc>
          <w:tcPr>
            <w:tcW w:w="5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Forward currency contracts</w:t>
            </w:r>
          </w:p>
        </w:tc>
        <w:tc>
          <w:tcPr>
            <w:tcW w:w="1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3,432</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1,503</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2,256</w:t>
            </w:r>
          </w:p>
        </w:tc>
      </w:tr>
      <w:tr>
        <w:trPr>
          <w:trHeight w:val="233"/>
        </w:trPr>
        <w:tc>
          <w:tcPr>
            <w:tcW w:w="55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assets</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12,676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5,836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10,898</w:t>
            </w:r>
          </w:p>
        </w:tc>
      </w:tr>
      <w:tr>
        <w:trPr>
          <w:trHeight w:val="31"/>
        </w:trPr>
        <w:tc>
          <w:tcPr>
            <w:tcW w:w="5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Derivative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5580" w:type="dxa"/>
            <w:vAlign w:val="bottom"/>
          </w:tcPr>
          <w:p>
            <w:pPr>
              <w:ind w:left="18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
        </w:trPr>
        <w:tc>
          <w:tcPr>
            <w:tcW w:w="5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Accrued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5580" w:type="dxa"/>
            <w:vAlign w:val="bottom"/>
          </w:tcPr>
          <w:p>
            <w:pPr>
              <w:ind w:left="380"/>
              <w:spacing w:after="0"/>
              <w:rPr>
                <w:sz w:val="20"/>
                <w:szCs w:val="20"/>
                <w:color w:val="auto"/>
              </w:rPr>
            </w:pPr>
            <w:r>
              <w:rPr>
                <w:rFonts w:ascii="Arial" w:cs="Arial" w:eastAsia="Arial" w:hAnsi="Arial"/>
                <w:sz w:val="17"/>
                <w:szCs w:val="17"/>
                <w:color w:val="auto"/>
              </w:rPr>
              <w:t>Forward currency contracts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30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5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i w:val="1"/>
                <w:iCs w:val="1"/>
                <w:color w:val="auto"/>
              </w:rPr>
              <w:t>Derivatives not designated as cash flow hedging instruments:</w:t>
            </w:r>
          </w:p>
        </w:tc>
        <w:tc>
          <w:tcPr>
            <w:tcW w:w="1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5580" w:type="dxa"/>
            <w:vAlign w:val="bottom"/>
          </w:tcPr>
          <w:p>
            <w:pPr>
              <w:ind w:left="280"/>
              <w:spacing w:after="0"/>
              <w:rPr>
                <w:sz w:val="20"/>
                <w:szCs w:val="20"/>
                <w:color w:val="auto"/>
              </w:rPr>
            </w:pPr>
            <w:r>
              <w:rPr>
                <w:rFonts w:ascii="Arial" w:cs="Arial" w:eastAsia="Arial" w:hAnsi="Arial"/>
                <w:sz w:val="17"/>
                <w:szCs w:val="17"/>
                <w:color w:val="auto"/>
              </w:rPr>
              <w:t>Accrued liabilities</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
        </w:trPr>
        <w:tc>
          <w:tcPr>
            <w:tcW w:w="5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Forward currency contracts</w:t>
            </w:r>
          </w:p>
        </w:tc>
        <w:tc>
          <w:tcPr>
            <w:tcW w:w="1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r>
      <w:tr>
        <w:trPr>
          <w:trHeight w:val="233"/>
        </w:trPr>
        <w:tc>
          <w:tcPr>
            <w:tcW w:w="55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liabilities</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w:t>
            </w:r>
          </w:p>
        </w:tc>
      </w:tr>
      <w:tr>
        <w:trPr>
          <w:trHeight w:val="31"/>
        </w:trPr>
        <w:tc>
          <w:tcPr>
            <w:tcW w:w="5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in its Condensed Consolidated Balance Sheets.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effects of the master netting arrangements on the fair value of the company’s derivative instruments that are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228600</wp:posOffset>
            </wp:positionV>
            <wp:extent cx="72123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220" w:type="dxa"/>
            <w:vAlign w:val="bottom"/>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600" w:type="dxa"/>
            <w:vAlign w:val="bottom"/>
          </w:tcPr>
          <w:p>
            <w:pPr>
              <w:spacing w:after="0"/>
              <w:rPr>
                <w:sz w:val="19"/>
                <w:szCs w:val="19"/>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b w:val="1"/>
                <w:bCs w:val="1"/>
                <w:color w:val="auto"/>
                <w:w w:val="90"/>
              </w:rPr>
              <w:t>February 1, 2019</w:t>
            </w:r>
          </w:p>
        </w:tc>
        <w:tc>
          <w:tcPr>
            <w:tcW w:w="1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October 31, 2019</w:t>
            </w:r>
          </w:p>
        </w:tc>
      </w:tr>
      <w:tr>
        <w:trPr>
          <w:trHeight w:val="31"/>
        </w:trPr>
        <w:tc>
          <w:tcPr>
            <w:tcW w:w="6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assets:</w:t>
            </w:r>
          </w:p>
        </w:tc>
        <w:tc>
          <w:tcPr>
            <w:tcW w:w="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6220" w:type="dxa"/>
            <w:vAlign w:val="bottom"/>
          </w:tcPr>
          <w:p>
            <w:pPr>
              <w:ind w:left="20"/>
              <w:spacing w:after="0"/>
              <w:rPr>
                <w:sz w:val="20"/>
                <w:szCs w:val="20"/>
                <w:color w:val="auto"/>
              </w:rPr>
            </w:pPr>
            <w:r>
              <w:rPr>
                <w:rFonts w:ascii="Arial" w:cs="Arial" w:eastAsia="Arial" w:hAnsi="Arial"/>
                <w:sz w:val="17"/>
                <w:szCs w:val="17"/>
                <w:i w:val="1"/>
                <w:iCs w:val="1"/>
                <w:color w:val="auto"/>
              </w:rPr>
              <w:t>Forward currency contracts:</w:t>
            </w: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
        </w:trPr>
        <w:tc>
          <w:tcPr>
            <w:tcW w:w="6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Gross amounts of recognized assets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12,841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5,837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11,056</w:t>
            </w:r>
          </w:p>
        </w:tc>
      </w:tr>
      <w:tr>
        <w:trPr>
          <w:trHeight w:val="239"/>
        </w:trPr>
        <w:tc>
          <w:tcPr>
            <w:tcW w:w="6220" w:type="dxa"/>
            <w:vAlign w:val="bottom"/>
          </w:tcPr>
          <w:p>
            <w:pPr>
              <w:ind w:left="160"/>
              <w:spacing w:after="0"/>
              <w:rPr>
                <w:sz w:val="20"/>
                <w:szCs w:val="20"/>
                <w:color w:val="auto"/>
              </w:rPr>
            </w:pPr>
            <w:r>
              <w:rPr>
                <w:rFonts w:ascii="Arial" w:cs="Arial" w:eastAsia="Arial" w:hAnsi="Arial"/>
                <w:sz w:val="17"/>
                <w:szCs w:val="17"/>
                <w:color w:val="auto"/>
              </w:rPr>
              <w:t>Gross liabilities offset in the Condensed Consolidated Balance Sheets</w:t>
            </w:r>
          </w:p>
        </w:tc>
        <w:tc>
          <w:tcPr>
            <w:tcW w:w="60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(165)</w:t>
            </w:r>
          </w:p>
        </w:tc>
        <w:tc>
          <w:tcPr>
            <w:tcW w:w="180" w:type="dxa"/>
            <w:vAlign w:val="bottom"/>
          </w:tcPr>
          <w:p>
            <w:pPr>
              <w:spacing w:after="0"/>
              <w:rPr>
                <w:sz w:val="20"/>
                <w:szCs w:val="20"/>
                <w:color w:val="auto"/>
              </w:rPr>
            </w:pP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31"/>
        </w:trPr>
        <w:tc>
          <w:tcPr>
            <w:tcW w:w="6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amounts of assets presented in the Condensed Consolidated Balance Sheets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12,676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5,836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10,898</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6220" w:type="dxa"/>
            <w:vAlign w:val="bottom"/>
          </w:tcPr>
          <w:p>
            <w:pPr>
              <w:ind w:left="20"/>
              <w:spacing w:after="0"/>
              <w:rPr>
                <w:sz w:val="20"/>
                <w:szCs w:val="20"/>
                <w:color w:val="auto"/>
              </w:rPr>
            </w:pPr>
            <w:r>
              <w:rPr>
                <w:rFonts w:ascii="Arial" w:cs="Arial" w:eastAsia="Arial" w:hAnsi="Arial"/>
                <w:sz w:val="17"/>
                <w:szCs w:val="17"/>
                <w:i w:val="1"/>
                <w:iCs w:val="1"/>
                <w:color w:val="auto"/>
              </w:rPr>
              <w:t>Forward currency contracts:</w:t>
            </w: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
        </w:trPr>
        <w:tc>
          <w:tcPr>
            <w:tcW w:w="6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Gross amounts of recognized liabilities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39"/>
        </w:trPr>
        <w:tc>
          <w:tcPr>
            <w:tcW w:w="6220" w:type="dxa"/>
            <w:vAlign w:val="bottom"/>
          </w:tcPr>
          <w:p>
            <w:pPr>
              <w:ind w:left="160"/>
              <w:spacing w:after="0"/>
              <w:rPr>
                <w:sz w:val="20"/>
                <w:szCs w:val="20"/>
                <w:color w:val="auto"/>
              </w:rPr>
            </w:pPr>
            <w:r>
              <w:rPr>
                <w:rFonts w:ascii="Arial" w:cs="Arial" w:eastAsia="Arial" w:hAnsi="Arial"/>
                <w:sz w:val="17"/>
                <w:szCs w:val="17"/>
                <w:color w:val="auto"/>
              </w:rPr>
              <w:t>Gross assets offset in the Condensed Consolidated Balance Sheets</w:t>
            </w:r>
          </w:p>
        </w:tc>
        <w:tc>
          <w:tcPr>
            <w:tcW w:w="600" w:type="dxa"/>
            <w:vAlign w:val="bottom"/>
          </w:tcPr>
          <w:p>
            <w:pPr>
              <w:spacing w:after="0"/>
              <w:rPr>
                <w:sz w:val="20"/>
                <w:szCs w:val="20"/>
                <w:color w:val="auto"/>
              </w:rPr>
            </w:pPr>
          </w:p>
        </w:tc>
        <w:tc>
          <w:tcPr>
            <w:tcW w:w="142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1"/>
        </w:trPr>
        <w:tc>
          <w:tcPr>
            <w:tcW w:w="6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Net amounts of liabilities presented in the Condensed Consolidated Balance Sheets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months ended January 31, 2020 and February 1, 2019:</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3"/>
          </w:tcPr>
          <w:p>
            <w:pPr>
              <w:jc w:val="right"/>
              <w:ind w:right="655"/>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1"/>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199"/>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3"/>
          </w:tcPr>
          <w:p>
            <w:pPr>
              <w:jc w:val="right"/>
              <w:ind w:right="175"/>
              <w:spacing w:after="0"/>
              <w:rPr>
                <w:sz w:val="20"/>
                <w:szCs w:val="20"/>
                <w:color w:val="auto"/>
              </w:rPr>
            </w:pPr>
            <w:r>
              <w:rPr>
                <w:rFonts w:ascii="Arial" w:cs="Arial" w:eastAsia="Arial" w:hAnsi="Arial"/>
                <w:sz w:val="17"/>
                <w:szCs w:val="17"/>
                <w:b w:val="1"/>
                <w:bCs w:val="1"/>
                <w:color w:val="auto"/>
                <w:w w:val="98"/>
              </w:rPr>
              <w:t>Gain Reclassified from AOCL into</w:t>
            </w:r>
          </w:p>
        </w:tc>
        <w:tc>
          <w:tcPr>
            <w:tcW w:w="220" w:type="dxa"/>
            <w:vAlign w:val="bottom"/>
          </w:tcPr>
          <w:p>
            <w:pPr>
              <w:spacing w:after="0"/>
              <w:rPr>
                <w:sz w:val="17"/>
                <w:szCs w:val="17"/>
                <w:color w:val="auto"/>
              </w:rPr>
            </w:pPr>
          </w:p>
        </w:tc>
        <w:tc>
          <w:tcPr>
            <w:tcW w:w="2940" w:type="dxa"/>
            <w:vAlign w:val="bottom"/>
            <w:gridSpan w:val="3"/>
          </w:tcPr>
          <w:p>
            <w:pPr>
              <w:jc w:val="right"/>
              <w:ind w:right="175"/>
              <w:spacing w:after="0"/>
              <w:rPr>
                <w:sz w:val="20"/>
                <w:szCs w:val="20"/>
                <w:color w:val="auto"/>
              </w:rPr>
            </w:pPr>
            <w:r>
              <w:rPr>
                <w:rFonts w:ascii="Arial" w:cs="Arial" w:eastAsia="Arial" w:hAnsi="Arial"/>
                <w:sz w:val="17"/>
                <w:szCs w:val="17"/>
                <w:b w:val="1"/>
                <w:bCs w:val="1"/>
                <w:color w:val="auto"/>
                <w:w w:val="97"/>
              </w:rPr>
              <w:t>Gain (Loss) Recognized in OCI on</w:t>
            </w:r>
          </w:p>
        </w:tc>
      </w:tr>
      <w:tr>
        <w:trPr>
          <w:trHeight w:val="222"/>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3"/>
          </w:tcPr>
          <w:p>
            <w:pPr>
              <w:jc w:val="right"/>
              <w:ind w:right="1115"/>
              <w:spacing w:after="0"/>
              <w:rPr>
                <w:sz w:val="20"/>
                <w:szCs w:val="20"/>
                <w:color w:val="auto"/>
              </w:rPr>
            </w:pPr>
            <w:r>
              <w:rPr>
                <w:rFonts w:ascii="Arial" w:cs="Arial" w:eastAsia="Arial" w:hAnsi="Arial"/>
                <w:sz w:val="17"/>
                <w:szCs w:val="17"/>
                <w:b w:val="1"/>
                <w:bCs w:val="1"/>
                <w:color w:val="auto"/>
              </w:rPr>
              <w:t>Earnings</w:t>
            </w:r>
          </w:p>
        </w:tc>
        <w:tc>
          <w:tcPr>
            <w:tcW w:w="220" w:type="dxa"/>
            <w:vAlign w:val="bottom"/>
          </w:tcPr>
          <w:p>
            <w:pPr>
              <w:spacing w:after="0"/>
              <w:rPr>
                <w:sz w:val="19"/>
                <w:szCs w:val="19"/>
                <w:color w:val="auto"/>
              </w:rPr>
            </w:pPr>
          </w:p>
        </w:tc>
        <w:tc>
          <w:tcPr>
            <w:tcW w:w="2940" w:type="dxa"/>
            <w:vAlign w:val="bottom"/>
            <w:gridSpan w:val="3"/>
          </w:tcPr>
          <w:p>
            <w:pPr>
              <w:jc w:val="right"/>
              <w:ind w:right="1015"/>
              <w:spacing w:after="0"/>
              <w:rPr>
                <w:sz w:val="20"/>
                <w:szCs w:val="20"/>
                <w:color w:val="auto"/>
              </w:rPr>
            </w:pPr>
            <w:r>
              <w:rPr>
                <w:rFonts w:ascii="Arial" w:cs="Arial" w:eastAsia="Arial" w:hAnsi="Arial"/>
                <w:sz w:val="17"/>
                <w:szCs w:val="17"/>
                <w:b w:val="1"/>
                <w:bCs w:val="1"/>
                <w:color w:val="auto"/>
              </w:rPr>
              <w:t>Derivatives</w:t>
            </w:r>
          </w:p>
        </w:tc>
      </w:tr>
      <w:tr>
        <w:trPr>
          <w:trHeight w:val="31"/>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5120" w:type="dxa"/>
            <w:vAlign w:val="bottom"/>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12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b w:val="1"/>
                <w:bCs w:val="1"/>
                <w:color w:val="auto"/>
                <w:w w:val="91"/>
              </w:rPr>
              <w:t>January 31, 2020</w:t>
            </w:r>
          </w:p>
        </w:tc>
        <w:tc>
          <w:tcPr>
            <w:tcW w:w="22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c>
          <w:tcPr>
            <w:tcW w:w="22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January 31, 2020</w:t>
            </w:r>
          </w:p>
        </w:tc>
        <w:tc>
          <w:tcPr>
            <w:tcW w:w="22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Derivatives designated as cash flow hedging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5120" w:type="dxa"/>
            <w:vAlign w:val="bottom"/>
          </w:tcPr>
          <w:p>
            <w:pPr>
              <w:ind w:left="160"/>
              <w:spacing w:after="0"/>
              <w:rPr>
                <w:sz w:val="20"/>
                <w:szCs w:val="20"/>
                <w:color w:val="auto"/>
              </w:rPr>
            </w:pPr>
            <w:r>
              <w:rPr>
                <w:rFonts w:ascii="Arial" w:cs="Arial" w:eastAsia="Arial" w:hAnsi="Arial"/>
                <w:sz w:val="17"/>
                <w:szCs w:val="17"/>
                <w:color w:val="auto"/>
              </w:rPr>
              <w:t>Forward currency contracts: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1,238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(3,481)</w:t>
            </w:r>
          </w:p>
        </w:tc>
      </w:tr>
      <w:tr>
        <w:trPr>
          <w:trHeight w:val="239"/>
        </w:trPr>
        <w:tc>
          <w:tcPr>
            <w:tcW w:w="5120" w:type="dxa"/>
            <w:vAlign w:val="bottom"/>
          </w:tcPr>
          <w:p>
            <w:pPr>
              <w:ind w:left="260"/>
              <w:spacing w:after="0"/>
              <w:rPr>
                <w:sz w:val="20"/>
                <w:szCs w:val="20"/>
                <w:color w:val="auto"/>
              </w:rPr>
            </w:pPr>
            <w:r>
              <w:rPr>
                <w:rFonts w:ascii="Arial" w:cs="Arial" w:eastAsia="Arial" w:hAnsi="Arial"/>
                <w:sz w:val="17"/>
                <w:szCs w:val="17"/>
                <w:color w:val="auto"/>
              </w:rPr>
              <w:t>Cost of sales</w:t>
            </w:r>
          </w:p>
        </w:tc>
        <w:tc>
          <w:tcPr>
            <w:tcW w:w="12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color w:val="auto"/>
              </w:rPr>
              <w:t>332</w:t>
            </w:r>
          </w:p>
        </w:tc>
        <w:tc>
          <w:tcPr>
            <w:tcW w:w="22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243</w:t>
            </w:r>
          </w:p>
        </w:tc>
        <w:tc>
          <w:tcPr>
            <w:tcW w:w="22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68</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(528)</w:t>
            </w:r>
          </w:p>
        </w:tc>
      </w:tr>
      <w:tr>
        <w:trPr>
          <w:trHeight w:val="31"/>
        </w:trPr>
        <w:tc>
          <w:tcPr>
            <w:tcW w:w="5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derivatives designated as cash flow hedging instruments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(4,009)</w:t>
            </w: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immaterial gains within other income, net on the Condensed Consolidated Statements of Earnings during the first quarter of fiscal 2020 due to the discontinuance of cash flow hedge accounting on certain forward currency contracts designated as cash flow hedging instruments. For the first quarter of fiscal 2019, the company did not discontinue cash flow hedge accounting on any forward currency contracts designated as cash flow hedging instruments. As of January 31, 2020, the company expects to reclassify approximately $4.6 million of gains from AOCL to earnings during the next twelve months.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designated as cash flow hedging instruments and the related components excluded from effectiveness testing: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20" w:type="dxa"/>
            <w:vAlign w:val="bottom"/>
            <w:gridSpan w:val="7"/>
          </w:tcPr>
          <w:p>
            <w:pPr>
              <w:jc w:val="right"/>
              <w:ind w:right="999"/>
              <w:spacing w:after="0"/>
              <w:rPr>
                <w:sz w:val="20"/>
                <w:szCs w:val="20"/>
                <w:color w:val="auto"/>
              </w:rPr>
            </w:pPr>
            <w:r>
              <w:rPr>
                <w:rFonts w:ascii="Arial" w:cs="Arial" w:eastAsia="Arial" w:hAnsi="Arial"/>
                <w:sz w:val="16"/>
                <w:szCs w:val="16"/>
                <w:b w:val="1"/>
                <w:bCs w:val="1"/>
                <w:color w:val="auto"/>
              </w:rPr>
              <w:t>Gain Recognized in Earnings on Cash Flow Hedging Instruments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20"/>
                <w:szCs w:val="20"/>
                <w:color w:val="auto"/>
              </w:rPr>
            </w:pPr>
          </w:p>
        </w:tc>
        <w:tc>
          <w:tcPr>
            <w:tcW w:w="308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January 31, 2020</w:t>
            </w:r>
          </w:p>
        </w:tc>
        <w:tc>
          <w:tcPr>
            <w:tcW w:w="360" w:type="dxa"/>
            <w:vAlign w:val="bottom"/>
          </w:tcPr>
          <w:p>
            <w:pPr>
              <w:spacing w:after="0"/>
              <w:rPr>
                <w:sz w:val="20"/>
                <w:szCs w:val="20"/>
                <w:color w:val="auto"/>
              </w:rPr>
            </w:pPr>
          </w:p>
        </w:tc>
        <w:tc>
          <w:tcPr>
            <w:tcW w:w="29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February 1, 2019</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0"/>
                <w:szCs w:val="20"/>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 Sales</w:t>
            </w:r>
          </w:p>
        </w:tc>
        <w:tc>
          <w:tcPr>
            <w:tcW w:w="340" w:type="dxa"/>
            <w:vAlign w:val="bottom"/>
          </w:tcPr>
          <w:p>
            <w:pPr>
              <w:spacing w:after="0"/>
              <w:rPr>
                <w:sz w:val="20"/>
                <w:szCs w:val="20"/>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b w:val="1"/>
                <w:bCs w:val="1"/>
                <w:color w:val="auto"/>
                <w:w w:val="96"/>
              </w:rPr>
              <w:t>Cost of Sales</w:t>
            </w:r>
          </w:p>
        </w:tc>
        <w:tc>
          <w:tcPr>
            <w:tcW w:w="360" w:type="dxa"/>
            <w:vAlign w:val="bottom"/>
          </w:tcPr>
          <w:p>
            <w:pPr>
              <w:spacing w:after="0"/>
              <w:rPr>
                <w:sz w:val="20"/>
                <w:szCs w:val="20"/>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Net Sales</w:t>
            </w:r>
          </w:p>
        </w:tc>
        <w:tc>
          <w:tcPr>
            <w:tcW w:w="3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Cost of Sales</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Condensed Consolidated Statements of Earnings income (expense)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amounts in which the effects of cash flow hedging instruments are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recorded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767,483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(479,395)</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602,956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(387,339)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i w:val="1"/>
                <w:iCs w:val="1"/>
                <w:color w:val="auto"/>
                <w:w w:val="99"/>
              </w:rPr>
              <w:t>Gain on derivatives designated as cash flow hedging instruments: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Forward currency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Amount of gain reclassified from AOCL into earnings</w:t>
            </w:r>
          </w:p>
        </w:tc>
        <w:tc>
          <w:tcPr>
            <w:tcW w:w="3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1,205</w:t>
            </w:r>
          </w:p>
        </w:tc>
        <w:tc>
          <w:tcPr>
            <w:tcW w:w="3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332</w:t>
            </w:r>
          </w:p>
        </w:tc>
        <w:tc>
          <w:tcPr>
            <w:tcW w:w="3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1,238</w:t>
            </w: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components excluded from effectiveness testing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0"/>
        </w:trPr>
        <w:tc>
          <w:tcPr>
            <w:tcW w:w="4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impact and location of derivative instruments on the Condensed Consolidated Statements of Earnings for the company’s derivatives not designated as cash flow hedging instruments:</w:t>
      </w:r>
    </w:p>
    <w:p>
      <w:pPr>
        <w:spacing w:after="0" w:line="337" w:lineRule="exact"/>
        <w:rPr>
          <w:sz w:val="20"/>
          <w:szCs w:val="20"/>
          <w:color w:val="auto"/>
        </w:rPr>
      </w:pPr>
    </w:p>
    <w:p>
      <w:pPr>
        <w:ind w:left="91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520" w:type="dxa"/>
            <w:vAlign w:val="bottom"/>
          </w:tcPr>
          <w:p>
            <w:pPr>
              <w:spacing w:after="0"/>
              <w:rPr>
                <w:sz w:val="19"/>
                <w:szCs w:val="19"/>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b w:val="1"/>
                <w:bCs w:val="1"/>
                <w:color w:val="auto"/>
                <w:w w:val="91"/>
              </w:rPr>
              <w:t>January 31, 2020</w:t>
            </w:r>
          </w:p>
        </w:tc>
        <w:tc>
          <w:tcPr>
            <w:tcW w:w="20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r>
      <w:tr>
        <w:trPr>
          <w:trHeight w:val="31"/>
        </w:trPr>
        <w:tc>
          <w:tcPr>
            <w:tcW w:w="6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Gain (loss) on derivatives not designated as cash flow hedging instruments</w:t>
            </w:r>
          </w:p>
        </w:tc>
        <w:tc>
          <w:tcPr>
            <w:tcW w:w="1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
        </w:trPr>
        <w:tc>
          <w:tcPr>
            <w:tcW w:w="6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income, net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(1,063)</w:t>
            </w:r>
          </w:p>
        </w:tc>
      </w:tr>
      <w:tr>
        <w:trPr>
          <w:trHeight w:val="233"/>
        </w:trPr>
        <w:tc>
          <w:tcPr>
            <w:tcW w:w="69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Total gain (loss) on derivatives not designated as cash flow hedging instruments</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(1,063)</w:t>
            </w:r>
          </w:p>
        </w:tc>
      </w:tr>
      <w:tr>
        <w:trPr>
          <w:trHeight w:val="31"/>
        </w:trPr>
        <w:tc>
          <w:tcPr>
            <w:tcW w:w="6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18 </w:t>
      </w:r>
      <w:r>
        <w:rPr>
          <w:rFonts w:ascii="Arial" w:cs="Arial" w:eastAsia="Arial" w:hAnsi="Arial"/>
          <w:sz w:val="19"/>
          <w:szCs w:val="19"/>
          <w:b w:val="1"/>
          <w:bCs w:val="1"/>
          <w:color w:val="auto"/>
        </w:rPr>
        <w:t>Fair Value Measurements</w:t>
      </w:r>
    </w:p>
    <w:p>
      <w:pPr>
        <w:spacing w:after="0" w:line="2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Observable inputs other than Level 1 prices, such as quoted prices for similar assets or liabilities in active markets; quoted prices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assets or liabilities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reflecting management’s assumptions about the inputs used in pricing the asset or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 There were no transfers between the levels of the fair value hierarchy during the three month periods ended January 31, 2020 and February 1, 2019, or the fiscal year ended October 31, 2019.</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tables present, by level within the fair value hierarchy, the company's financial assets and liabilities that are measured at fair value on a recurring basis as of January 31, 2020, February 1, 2019, and October 31, 2019, according to the valuation technique utilized to determine their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300" w:type="dxa"/>
            <w:vAlign w:val="bottom"/>
            <w:gridSpan w:val="5"/>
          </w:tcPr>
          <w:p>
            <w:pPr>
              <w:ind w:left="480"/>
              <w:spacing w:after="0"/>
              <w:rPr>
                <w:sz w:val="20"/>
                <w:szCs w:val="20"/>
                <w:color w:val="auto"/>
              </w:rPr>
            </w:pPr>
            <w:r>
              <w:rPr>
                <w:rFonts w:ascii="Arial" w:cs="Arial" w:eastAsia="Arial" w:hAnsi="Arial"/>
                <w:sz w:val="17"/>
                <w:szCs w:val="17"/>
                <w:b w:val="1"/>
                <w:bCs w:val="1"/>
                <w:color w:val="auto"/>
              </w:rPr>
              <w:t>Fair Value Measurements Using Inputs Considered as:</w:t>
            </w:r>
          </w:p>
        </w:tc>
      </w:tr>
      <w:tr>
        <w:trPr>
          <w:trHeight w:val="31"/>
        </w:trPr>
        <w:tc>
          <w:tcPr>
            <w:tcW w:w="2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rPr>
              <w:t>January 31, 2020</w:t>
            </w:r>
          </w:p>
        </w:tc>
        <w:tc>
          <w:tcPr>
            <w:tcW w:w="1180" w:type="dxa"/>
            <w:vAlign w:val="bottom"/>
          </w:tcPr>
          <w:p>
            <w:pPr>
              <w:spacing w:after="0"/>
              <w:rPr>
                <w:sz w:val="20"/>
                <w:szCs w:val="20"/>
                <w:color w:val="auto"/>
              </w:rPr>
            </w:pPr>
          </w:p>
        </w:tc>
        <w:tc>
          <w:tcPr>
            <w:tcW w:w="1620" w:type="dxa"/>
            <w:vAlign w:val="bottom"/>
          </w:tcPr>
          <w:p>
            <w:pPr>
              <w:jc w:val="right"/>
              <w:ind w:right="575"/>
              <w:spacing w:after="0"/>
              <w:rPr>
                <w:sz w:val="20"/>
                <w:szCs w:val="20"/>
                <w:color w:val="auto"/>
              </w:rPr>
            </w:pPr>
            <w:r>
              <w:rPr>
                <w:rFonts w:ascii="Arial" w:cs="Arial" w:eastAsia="Arial" w:hAnsi="Arial"/>
                <w:sz w:val="17"/>
                <w:szCs w:val="17"/>
                <w:b w:val="1"/>
                <w:bCs w:val="1"/>
                <w:color w:val="auto"/>
              </w:rPr>
              <w:t>Fair Value</w:t>
            </w:r>
          </w:p>
        </w:tc>
        <w:tc>
          <w:tcPr>
            <w:tcW w:w="380" w:type="dxa"/>
            <w:vAlign w:val="bottom"/>
          </w:tcPr>
          <w:p>
            <w:pPr>
              <w:spacing w:after="0"/>
              <w:rPr>
                <w:sz w:val="20"/>
                <w:szCs w:val="20"/>
                <w:color w:val="auto"/>
              </w:rPr>
            </w:pPr>
          </w:p>
        </w:tc>
        <w:tc>
          <w:tcPr>
            <w:tcW w:w="1460" w:type="dxa"/>
            <w:vAlign w:val="bottom"/>
          </w:tcPr>
          <w:p>
            <w:pPr>
              <w:ind w:left="260"/>
              <w:spacing w:after="0"/>
              <w:rPr>
                <w:sz w:val="20"/>
                <w:szCs w:val="20"/>
                <w:color w:val="auto"/>
              </w:rPr>
            </w:pPr>
            <w:r>
              <w:rPr>
                <w:rFonts w:ascii="Arial" w:cs="Arial" w:eastAsia="Arial" w:hAnsi="Arial"/>
                <w:sz w:val="17"/>
                <w:szCs w:val="17"/>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75"/>
              <w:spacing w:after="0"/>
              <w:rPr>
                <w:sz w:val="20"/>
                <w:szCs w:val="20"/>
                <w:color w:val="auto"/>
              </w:rPr>
            </w:pPr>
            <w:r>
              <w:rPr>
                <w:rFonts w:ascii="Arial" w:cs="Arial" w:eastAsia="Arial" w:hAnsi="Arial"/>
                <w:sz w:val="17"/>
                <w:szCs w:val="17"/>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7"/>
                <w:szCs w:val="17"/>
                <w:b w:val="1"/>
                <w:bCs w:val="1"/>
                <w:color w:val="auto"/>
              </w:rPr>
              <w:t>Level 3</w:t>
            </w:r>
          </w:p>
        </w:tc>
      </w:tr>
      <w:tr>
        <w:trPr>
          <w:trHeight w:val="31"/>
        </w:trPr>
        <w:tc>
          <w:tcPr>
            <w:tcW w:w="2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9"/>
        </w:trPr>
        <w:tc>
          <w:tcPr>
            <w:tcW w:w="294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12,676</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Pr>
          <w:p>
            <w:pPr>
              <w:ind w:left="116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12,676</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Pr>
          <w:p>
            <w:pPr>
              <w:ind w:left="1160"/>
              <w:spacing w:after="0"/>
              <w:rPr>
                <w:sz w:val="20"/>
                <w:szCs w:val="20"/>
                <w:color w:val="auto"/>
              </w:rPr>
            </w:pPr>
            <w:r>
              <w:rPr>
                <w:rFonts w:ascii="Arial" w:cs="Arial" w:eastAsia="Arial" w:hAnsi="Arial"/>
                <w:sz w:val="17"/>
                <w:szCs w:val="17"/>
                <w:color w:val="auto"/>
              </w:rPr>
              <w:t>—</w:t>
            </w:r>
          </w:p>
        </w:tc>
      </w:tr>
      <w:tr>
        <w:trPr>
          <w:trHeight w:val="31"/>
        </w:trPr>
        <w:tc>
          <w:tcPr>
            <w:tcW w:w="2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12,676</w:t>
            </w: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12,676</w:t>
            </w:r>
          </w:p>
        </w:tc>
        <w:tc>
          <w:tcPr>
            <w:tcW w:w="4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r>
      <w:tr>
        <w:trPr>
          <w:trHeight w:val="20"/>
        </w:trPr>
        <w:tc>
          <w:tcPr>
            <w:tcW w:w="2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300" w:type="dxa"/>
            <w:vAlign w:val="bottom"/>
            <w:gridSpan w:val="5"/>
          </w:tcPr>
          <w:p>
            <w:pPr>
              <w:ind w:left="480"/>
              <w:spacing w:after="0"/>
              <w:rPr>
                <w:sz w:val="20"/>
                <w:szCs w:val="20"/>
                <w:color w:val="auto"/>
              </w:rPr>
            </w:pPr>
            <w:r>
              <w:rPr>
                <w:rFonts w:ascii="Arial" w:cs="Arial" w:eastAsia="Arial" w:hAnsi="Arial"/>
                <w:sz w:val="17"/>
                <w:szCs w:val="17"/>
                <w:b w:val="1"/>
                <w:bCs w:val="1"/>
                <w:color w:val="auto"/>
              </w:rPr>
              <w:t>Fair Value Measurements Using Inputs Considered as:</w:t>
            </w:r>
          </w:p>
        </w:tc>
      </w:tr>
      <w:tr>
        <w:trPr>
          <w:trHeight w:val="31"/>
        </w:trPr>
        <w:tc>
          <w:tcPr>
            <w:tcW w:w="2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rPr>
              <w:t>February 1, 2019</w:t>
            </w:r>
          </w:p>
        </w:tc>
        <w:tc>
          <w:tcPr>
            <w:tcW w:w="1180" w:type="dxa"/>
            <w:vAlign w:val="bottom"/>
          </w:tcPr>
          <w:p>
            <w:pPr>
              <w:spacing w:after="0"/>
              <w:rPr>
                <w:sz w:val="20"/>
                <w:szCs w:val="20"/>
                <w:color w:val="auto"/>
              </w:rPr>
            </w:pPr>
          </w:p>
        </w:tc>
        <w:tc>
          <w:tcPr>
            <w:tcW w:w="1620" w:type="dxa"/>
            <w:vAlign w:val="bottom"/>
          </w:tcPr>
          <w:p>
            <w:pPr>
              <w:jc w:val="right"/>
              <w:ind w:right="575"/>
              <w:spacing w:after="0"/>
              <w:rPr>
                <w:sz w:val="20"/>
                <w:szCs w:val="20"/>
                <w:color w:val="auto"/>
              </w:rPr>
            </w:pPr>
            <w:r>
              <w:rPr>
                <w:rFonts w:ascii="Arial" w:cs="Arial" w:eastAsia="Arial" w:hAnsi="Arial"/>
                <w:sz w:val="17"/>
                <w:szCs w:val="17"/>
                <w:b w:val="1"/>
                <w:bCs w:val="1"/>
                <w:color w:val="auto"/>
              </w:rPr>
              <w:t>Fair Value</w:t>
            </w:r>
          </w:p>
        </w:tc>
        <w:tc>
          <w:tcPr>
            <w:tcW w:w="380" w:type="dxa"/>
            <w:vAlign w:val="bottom"/>
          </w:tcPr>
          <w:p>
            <w:pPr>
              <w:spacing w:after="0"/>
              <w:rPr>
                <w:sz w:val="20"/>
                <w:szCs w:val="20"/>
                <w:color w:val="auto"/>
              </w:rPr>
            </w:pPr>
          </w:p>
        </w:tc>
        <w:tc>
          <w:tcPr>
            <w:tcW w:w="1460" w:type="dxa"/>
            <w:vAlign w:val="bottom"/>
          </w:tcPr>
          <w:p>
            <w:pPr>
              <w:ind w:left="260"/>
              <w:spacing w:after="0"/>
              <w:rPr>
                <w:sz w:val="20"/>
                <w:szCs w:val="20"/>
                <w:color w:val="auto"/>
              </w:rPr>
            </w:pPr>
            <w:r>
              <w:rPr>
                <w:rFonts w:ascii="Arial" w:cs="Arial" w:eastAsia="Arial" w:hAnsi="Arial"/>
                <w:sz w:val="17"/>
                <w:szCs w:val="17"/>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75"/>
              <w:spacing w:after="0"/>
              <w:rPr>
                <w:sz w:val="20"/>
                <w:szCs w:val="20"/>
                <w:color w:val="auto"/>
              </w:rPr>
            </w:pPr>
            <w:r>
              <w:rPr>
                <w:rFonts w:ascii="Arial" w:cs="Arial" w:eastAsia="Arial" w:hAnsi="Arial"/>
                <w:sz w:val="17"/>
                <w:szCs w:val="17"/>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7"/>
                <w:szCs w:val="17"/>
                <w:b w:val="1"/>
                <w:bCs w:val="1"/>
                <w:color w:val="auto"/>
              </w:rPr>
              <w:t>Level 3</w:t>
            </w:r>
          </w:p>
        </w:tc>
      </w:tr>
      <w:tr>
        <w:trPr>
          <w:trHeight w:val="31"/>
        </w:trPr>
        <w:tc>
          <w:tcPr>
            <w:tcW w:w="2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9"/>
        </w:trPr>
        <w:tc>
          <w:tcPr>
            <w:tcW w:w="294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5,836</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Pr>
          <w:p>
            <w:pPr>
              <w:ind w:left="116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5,836</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Pr>
          <w:p>
            <w:pPr>
              <w:ind w:left="1160"/>
              <w:spacing w:after="0"/>
              <w:rPr>
                <w:sz w:val="20"/>
                <w:szCs w:val="20"/>
                <w:color w:val="auto"/>
              </w:rPr>
            </w:pPr>
            <w:r>
              <w:rPr>
                <w:rFonts w:ascii="Arial" w:cs="Arial" w:eastAsia="Arial" w:hAnsi="Arial"/>
                <w:sz w:val="17"/>
                <w:szCs w:val="17"/>
                <w:color w:val="auto"/>
              </w:rPr>
              <w:t>—</w:t>
            </w:r>
          </w:p>
        </w:tc>
      </w:tr>
      <w:tr>
        <w:trPr>
          <w:trHeight w:val="31"/>
        </w:trPr>
        <w:tc>
          <w:tcPr>
            <w:tcW w:w="2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5,836</w:t>
            </w: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5,836</w:t>
            </w:r>
          </w:p>
        </w:tc>
        <w:tc>
          <w:tcPr>
            <w:tcW w:w="4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r>
      <w:tr>
        <w:trPr>
          <w:trHeight w:val="20"/>
        </w:trPr>
        <w:tc>
          <w:tcPr>
            <w:tcW w:w="2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9"/>
        </w:trPr>
        <w:tc>
          <w:tcPr>
            <w:tcW w:w="294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33</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Pr>
          <w:p>
            <w:pPr>
              <w:ind w:left="116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33</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Pr>
          <w:p>
            <w:pPr>
              <w:ind w:left="1160"/>
              <w:spacing w:after="0"/>
              <w:rPr>
                <w:sz w:val="20"/>
                <w:szCs w:val="20"/>
                <w:color w:val="auto"/>
              </w:rPr>
            </w:pPr>
            <w:r>
              <w:rPr>
                <w:rFonts w:ascii="Arial" w:cs="Arial" w:eastAsia="Arial" w:hAnsi="Arial"/>
                <w:sz w:val="17"/>
                <w:szCs w:val="17"/>
                <w:color w:val="auto"/>
              </w:rPr>
              <w:t>—</w:t>
            </w:r>
          </w:p>
        </w:tc>
      </w:tr>
      <w:tr>
        <w:trPr>
          <w:trHeight w:val="31"/>
        </w:trPr>
        <w:tc>
          <w:tcPr>
            <w:tcW w:w="2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33</w:t>
            </w: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w:t>
            </w:r>
          </w:p>
        </w:tc>
        <w:tc>
          <w:tcPr>
            <w:tcW w:w="4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r>
      <w:tr>
        <w:trPr>
          <w:trHeight w:val="20"/>
        </w:trPr>
        <w:tc>
          <w:tcPr>
            <w:tcW w:w="2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300" w:type="dxa"/>
            <w:vAlign w:val="bottom"/>
            <w:gridSpan w:val="5"/>
          </w:tcPr>
          <w:p>
            <w:pPr>
              <w:ind w:left="480"/>
              <w:spacing w:after="0"/>
              <w:rPr>
                <w:sz w:val="20"/>
                <w:szCs w:val="20"/>
                <w:color w:val="auto"/>
              </w:rPr>
            </w:pPr>
            <w:r>
              <w:rPr>
                <w:rFonts w:ascii="Arial" w:cs="Arial" w:eastAsia="Arial" w:hAnsi="Arial"/>
                <w:sz w:val="17"/>
                <w:szCs w:val="17"/>
                <w:b w:val="1"/>
                <w:bCs w:val="1"/>
                <w:color w:val="auto"/>
              </w:rPr>
              <w:t>Fair Value Measurements Using Inputs Considered as:</w:t>
            </w:r>
          </w:p>
        </w:tc>
      </w:tr>
      <w:tr>
        <w:trPr>
          <w:trHeight w:val="31"/>
        </w:trPr>
        <w:tc>
          <w:tcPr>
            <w:tcW w:w="2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2940" w:type="dxa"/>
            <w:vAlign w:val="bottom"/>
          </w:tcPr>
          <w:p>
            <w:pPr>
              <w:ind w:left="40"/>
              <w:spacing w:after="0"/>
              <w:rPr>
                <w:sz w:val="20"/>
                <w:szCs w:val="20"/>
                <w:color w:val="auto"/>
              </w:rPr>
            </w:pPr>
            <w:r>
              <w:rPr>
                <w:rFonts w:ascii="Arial" w:cs="Arial" w:eastAsia="Arial" w:hAnsi="Arial"/>
                <w:sz w:val="17"/>
                <w:szCs w:val="17"/>
                <w:b w:val="1"/>
                <w:bCs w:val="1"/>
                <w:color w:val="auto"/>
              </w:rPr>
              <w:t>October 31, 2019</w:t>
            </w:r>
          </w:p>
        </w:tc>
        <w:tc>
          <w:tcPr>
            <w:tcW w:w="1180" w:type="dxa"/>
            <w:vAlign w:val="bottom"/>
          </w:tcPr>
          <w:p>
            <w:pPr>
              <w:spacing w:after="0"/>
              <w:rPr>
                <w:sz w:val="20"/>
                <w:szCs w:val="20"/>
                <w:color w:val="auto"/>
              </w:rPr>
            </w:pPr>
          </w:p>
        </w:tc>
        <w:tc>
          <w:tcPr>
            <w:tcW w:w="1620" w:type="dxa"/>
            <w:vAlign w:val="bottom"/>
          </w:tcPr>
          <w:p>
            <w:pPr>
              <w:jc w:val="right"/>
              <w:ind w:right="575"/>
              <w:spacing w:after="0"/>
              <w:rPr>
                <w:sz w:val="20"/>
                <w:szCs w:val="20"/>
                <w:color w:val="auto"/>
              </w:rPr>
            </w:pPr>
            <w:r>
              <w:rPr>
                <w:rFonts w:ascii="Arial" w:cs="Arial" w:eastAsia="Arial" w:hAnsi="Arial"/>
                <w:sz w:val="17"/>
                <w:szCs w:val="17"/>
                <w:b w:val="1"/>
                <w:bCs w:val="1"/>
                <w:color w:val="auto"/>
              </w:rPr>
              <w:t>Fair Value</w:t>
            </w:r>
          </w:p>
        </w:tc>
        <w:tc>
          <w:tcPr>
            <w:tcW w:w="380" w:type="dxa"/>
            <w:vAlign w:val="bottom"/>
          </w:tcPr>
          <w:p>
            <w:pPr>
              <w:spacing w:after="0"/>
              <w:rPr>
                <w:sz w:val="20"/>
                <w:szCs w:val="20"/>
                <w:color w:val="auto"/>
              </w:rPr>
            </w:pPr>
          </w:p>
        </w:tc>
        <w:tc>
          <w:tcPr>
            <w:tcW w:w="1460" w:type="dxa"/>
            <w:vAlign w:val="bottom"/>
          </w:tcPr>
          <w:p>
            <w:pPr>
              <w:ind w:left="260"/>
              <w:spacing w:after="0"/>
              <w:rPr>
                <w:sz w:val="20"/>
                <w:szCs w:val="20"/>
                <w:color w:val="auto"/>
              </w:rPr>
            </w:pPr>
            <w:r>
              <w:rPr>
                <w:rFonts w:ascii="Arial" w:cs="Arial" w:eastAsia="Arial" w:hAnsi="Arial"/>
                <w:sz w:val="17"/>
                <w:szCs w:val="17"/>
                <w:b w:val="1"/>
                <w:bCs w:val="1"/>
                <w:color w:val="auto"/>
              </w:rPr>
              <w:t>Level 1</w:t>
            </w:r>
          </w:p>
        </w:tc>
        <w:tc>
          <w:tcPr>
            <w:tcW w:w="460" w:type="dxa"/>
            <w:vAlign w:val="bottom"/>
          </w:tcPr>
          <w:p>
            <w:pPr>
              <w:spacing w:after="0"/>
              <w:rPr>
                <w:sz w:val="20"/>
                <w:szCs w:val="20"/>
                <w:color w:val="auto"/>
              </w:rPr>
            </w:pPr>
          </w:p>
        </w:tc>
        <w:tc>
          <w:tcPr>
            <w:tcW w:w="1460" w:type="dxa"/>
            <w:vAlign w:val="bottom"/>
          </w:tcPr>
          <w:p>
            <w:pPr>
              <w:jc w:val="right"/>
              <w:ind w:right="575"/>
              <w:spacing w:after="0"/>
              <w:rPr>
                <w:sz w:val="20"/>
                <w:szCs w:val="20"/>
                <w:color w:val="auto"/>
              </w:rPr>
            </w:pPr>
            <w:r>
              <w:rPr>
                <w:rFonts w:ascii="Arial" w:cs="Arial" w:eastAsia="Arial" w:hAnsi="Arial"/>
                <w:sz w:val="17"/>
                <w:szCs w:val="17"/>
                <w:b w:val="1"/>
                <w:bCs w:val="1"/>
                <w:color w:val="auto"/>
              </w:rPr>
              <w:t>Level 2</w:t>
            </w:r>
          </w:p>
        </w:tc>
        <w:tc>
          <w:tcPr>
            <w:tcW w:w="480" w:type="dxa"/>
            <w:vAlign w:val="bottom"/>
          </w:tcPr>
          <w:p>
            <w:pPr>
              <w:spacing w:after="0"/>
              <w:rPr>
                <w:sz w:val="20"/>
                <w:szCs w:val="20"/>
                <w:color w:val="auto"/>
              </w:rPr>
            </w:pPr>
          </w:p>
        </w:tc>
        <w:tc>
          <w:tcPr>
            <w:tcW w:w="1440" w:type="dxa"/>
            <w:vAlign w:val="bottom"/>
          </w:tcPr>
          <w:p>
            <w:pPr>
              <w:ind w:left="260"/>
              <w:spacing w:after="0"/>
              <w:rPr>
                <w:sz w:val="20"/>
                <w:szCs w:val="20"/>
                <w:color w:val="auto"/>
              </w:rPr>
            </w:pPr>
            <w:r>
              <w:rPr>
                <w:rFonts w:ascii="Arial" w:cs="Arial" w:eastAsia="Arial" w:hAnsi="Arial"/>
                <w:sz w:val="17"/>
                <w:szCs w:val="17"/>
                <w:b w:val="1"/>
                <w:bCs w:val="1"/>
                <w:color w:val="auto"/>
              </w:rPr>
              <w:t>Level 3</w:t>
            </w:r>
          </w:p>
        </w:tc>
      </w:tr>
      <w:tr>
        <w:trPr>
          <w:trHeight w:val="31"/>
        </w:trPr>
        <w:tc>
          <w:tcPr>
            <w:tcW w:w="2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9"/>
        </w:trPr>
        <w:tc>
          <w:tcPr>
            <w:tcW w:w="294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10,898</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Pr>
          <w:p>
            <w:pPr>
              <w:ind w:left="116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10,898</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Pr>
          <w:p>
            <w:pPr>
              <w:ind w:left="1160"/>
              <w:spacing w:after="0"/>
              <w:rPr>
                <w:sz w:val="20"/>
                <w:szCs w:val="20"/>
                <w:color w:val="auto"/>
              </w:rPr>
            </w:pPr>
            <w:r>
              <w:rPr>
                <w:rFonts w:ascii="Arial" w:cs="Arial" w:eastAsia="Arial" w:hAnsi="Arial"/>
                <w:sz w:val="17"/>
                <w:szCs w:val="17"/>
                <w:color w:val="auto"/>
              </w:rPr>
              <w:t>—</w:t>
            </w:r>
          </w:p>
        </w:tc>
      </w:tr>
      <w:tr>
        <w:trPr>
          <w:trHeight w:val="31"/>
        </w:trPr>
        <w:tc>
          <w:tcPr>
            <w:tcW w:w="2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10,898</w:t>
            </w: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10,898</w:t>
            </w:r>
          </w:p>
        </w:tc>
        <w:tc>
          <w:tcPr>
            <w:tcW w:w="4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r>
      <w:tr>
        <w:trPr>
          <w:trHeight w:val="20"/>
        </w:trPr>
        <w:tc>
          <w:tcPr>
            <w:tcW w:w="2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9"/>
        </w:trPr>
        <w:tc>
          <w:tcPr>
            <w:tcW w:w="2940" w:type="dxa"/>
            <w:vAlign w:val="bottom"/>
          </w:tcPr>
          <w:p>
            <w:pPr>
              <w:ind w:left="180"/>
              <w:spacing w:after="0"/>
              <w:rPr>
                <w:sz w:val="20"/>
                <w:szCs w:val="20"/>
                <w:color w:val="auto"/>
              </w:rPr>
            </w:pPr>
            <w:r>
              <w:rPr>
                <w:rFonts w:ascii="Arial" w:cs="Arial" w:eastAsia="Arial" w:hAnsi="Arial"/>
                <w:sz w:val="17"/>
                <w:szCs w:val="17"/>
                <w:color w:val="auto"/>
              </w:rPr>
              <w:t>Forward currency contracts</w:t>
            </w: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9</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Pr>
          <w:p>
            <w:pPr>
              <w:ind w:left="1160"/>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Pr>
          <w:p>
            <w:pPr>
              <w:ind w:left="1160"/>
              <w:spacing w:after="0"/>
              <w:rPr>
                <w:sz w:val="20"/>
                <w:szCs w:val="20"/>
                <w:color w:val="auto"/>
              </w:rPr>
            </w:pPr>
            <w:r>
              <w:rPr>
                <w:rFonts w:ascii="Arial" w:cs="Arial" w:eastAsia="Arial" w:hAnsi="Arial"/>
                <w:sz w:val="17"/>
                <w:szCs w:val="17"/>
                <w:color w:val="auto"/>
              </w:rPr>
              <w:t>—</w:t>
            </w:r>
          </w:p>
        </w:tc>
      </w:tr>
      <w:tr>
        <w:trPr>
          <w:trHeight w:val="31"/>
        </w:trPr>
        <w:tc>
          <w:tcPr>
            <w:tcW w:w="2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w:t>
            </w: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4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w:t>
            </w:r>
          </w:p>
        </w:tc>
      </w:tr>
      <w:tr>
        <w:trPr>
          <w:trHeight w:val="20"/>
        </w:trPr>
        <w:tc>
          <w:tcPr>
            <w:tcW w:w="2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business combinations are measured at fair value. For additional information on the company's business combinations and the related nonrecurring fair value measurement of the assets acquired and liabilities assumed, refer to Note 2,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carrying amounts of the company's short-term financial instruments, including cash and cash equivalents, accounts receivable, accounts payable, and short-term debt, including current maturities of long-term debt, when applicable, approximate their fair values due to their short-term nature.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31, 2020 and October 31, 2019, the company's long-term debt included $423.9 million of fixed-rate debt that is not subject to variable interest rate fluctuations. The fair value of such long-term debt is determined using Level 2 inputs by discounting the projected cash flows based on quoted market rates at which similar amounts of debt could currently be borrowed. As of January 31, 2020, the estimated fair value of long-term debt with fixed interest rates was $513.7 million compared to its carrying amount of $423.9 million. As of October 31, 2019, the estimated fair value of long-term debt with fixed interest rates was $493.8 million compared to its carrying amount of $423.9 million.</w:t>
      </w:r>
    </w:p>
    <w:p>
      <w:pPr>
        <w:sectPr>
          <w:pgSz w:w="11900" w:h="16838" w:orient="portrait"/>
          <w:cols w:equalWidth="0" w:num="1">
            <w:col w:w="11420"/>
          </w:cols>
          <w:pgMar w:left="240" w:top="125"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43"/>
          <w:szCs w:val="43"/>
          <w:b w:val="1"/>
          <w:bCs w:val="1"/>
          <w:color w:val="auto"/>
        </w:rPr>
        <w:t xml:space="preserve">19 </w:t>
      </w:r>
      <w:r>
        <w:rPr>
          <w:rFonts w:ascii="Arial" w:cs="Arial" w:eastAsia="Arial" w:hAnsi="Arial"/>
          <w:sz w:val="19"/>
          <w:szCs w:val="19"/>
          <w:b w:val="1"/>
          <w:bCs w:val="1"/>
          <w:color w:val="auto"/>
        </w:rPr>
        <w:t>Subsequent Events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Venture Products, Inc. ("Venture Products")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20, 2020, the company entered into an Agreement and Plan of Merger to acquire Venture Products, Inc., a privately held Ohio corporation and the manufacturer of Ventrac-branded products, and an agreement to purchase the real property used by Venture Products ("Purchase Agreement"), for a total purchase price of $167.5 million in cash, subject to certain customary adjustments. On March 2, 2020 ("Venture Products closing date"), pursuant to the Agreement and Plan of Merger and the Purchase Agreement, the company completed its acquisition of Venture Products. Venture Products designs, manufactures, and markets articulating turf, landscape, and snow and ice management equipment for grounds, landscape contractor, golf, municipal, and rural acreage customers and provides innovative product offerings that broaden and strengthen the company's Professional segment and expands its dealer network.</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Agreement and Plan of Merger was structured as a merger, pursuant to which a wholly-owned subsidiary of the company merged with and into Venture Products, with Venture Products continuing as the surviving entity and a wholly-owned subsidiary of the company. As a result of the merger, all of the outstanding equity securities of Venture Products were canceled and now only represent the right to receive the applicable consideration as described in the Agreement and Plan of Merger. The separate Purchase Agreement as part of the Venture Products acquisition was with an affiliate of Venture Products and was for the real estate used by Venture Products. The aggregate preliminary consideration was $163.4 million and remains subject to certain customary adjustments based on, among other things, the amount of actual cash, debt, and working capital in the business of Venture Products at the Venture Products closing date. Such customary adjustments are expected to be completed during fiscal 2020. The company funded the acquisition with borrowings under its existing unsecured senior revolving credit facility. Due to the limited time since the Venture Products closing date, at this time it is impracticable for the company to make the additional disclosures required under the accounting standards codification guidance for business combinations as the company is still gathering information necessary to provide such disclosures.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has evaluated all additional subsequent events and concluded that no other subsequent events have occurred that would require recognition in the Condensed Consolidated Financial Statements or disclosure in the Notes to the Condensed Consolidated Financial Statements.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79"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Company Overview</w:t>
      </w:r>
    </w:p>
    <w:p>
      <w:pPr>
        <w:spacing w:after="0" w:line="23"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Segments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Position</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Forward-Looking Information</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MD&amp;A should be read in conjunction with the MD&amp;A included in Part II, Item 7 of our Annual Report on Form 10-K for the fiscal year ended October 31, 2019.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Non-GAAP Financial Measures and Metrics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Throughout this MD&amp;A, we have provided adjusted non-GAAP financial measures and metrics, which are not calculated or presented in accordance with United States ("U.S.") generally accepted accounting principles ("GAAP"), as information supplemental and in addition to the most directly comparable financial measures and metrics presented in this report that are calculated and presented in accordance with U.S. GAAP. We use these adjusted non-GAAP financial measures and metrics in making operating decisions because we believe these adjusted non-GAAP financial measures and metrics provide meaningful supplemental information regarding our core operational performance and provide us with a better understanding of how to allocate resources to both ongoing and prospective business initiatives. Additionally, these adjusted non-GAAP financial measures and metrics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these adjusted non-GAAP financial measures and metrics, when considered in conjunction with our Condensed Consolidated Financial Statements prepared in accordance with U.S. GAAP, provide investors with useful supplemental financial information to better understand our core operational performance. Reconciliations of adjusted non-GAAP financial measures and metrics to the most directly comparable reported U.S. GAAP financial measures and metrics are included in the section titled "Adjusted Non-GAAP Financial Measures and Metrics" within this MD&amp;A. These adjusted non-GAAP financial measures and metrics, however, should not be considered superior to, as a substitute for, or as an alternative to, and should be considered in conjunction with, the most directly comparable U.S. GAAP financial measures and metrics. Further, these adjusted non-GAAP financial measures and metrics may differ from similar measures and metrics used by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our operations into two reportable business segments: Professional and Residential. Our remaining activities are presented as "Other" due to their insignificance. Such Other activities consist of earnings (loss) from our wholly-owned domestic distribution companies, corporate activities, and the elimination of intersegment revenues and expenses. Unless the context indicates otherwise, the terms "company," "TTC," "Toro," "we," "our," or "us" refer to The Toro Company and its consolidated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Venture Products, Inc. ("Venture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20, 2020, we entered into an agreement and plan of merger to acquire Venture Products, Inc., a privately held Ohio corporation and the manufacturer of Ventrac-branded products, and an agreement to purchase the real property used by Venture Products ("Purchase Agreement"), for a total purchase price of $167.5 million in cash, subject to certain customary adjustments. On March 2, 2020 ("Venture Products closing date"), subsequent to the end of the first quarter of fiscal 2020, pursuant to the Agreement and Plan of Merger and the Purchase Agreement, we completed the acquisition of Venture Products. Venture Products designs, manufactures, and markets articulating turf, landscape, and snow and ice management equipment for grounds, landscape contractor, golf, municipal, and rural acreage customers and provides innovative product offerings that broaden and strengthen our Professional segment and expands our dealer network.</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Agreement and Plan of Merger was structured as a merger, pursuant to which a wholly-owned subsidiary of TTC merged with and into Venture Products, with Venture Products continuing as the surviving entity and a wholly-owned subsidiary of TTC. As a result of the merger, all of the outstanding equity securities of Venture Products were canceled and now only represent the right to receive the applicable consideration as described in the Agreement and Plan of Merger. The separate Purchase Agreement as part of the Venture Products acquisition was with an affiliate of Venture Products and was for the real estate used by Venture Products. The aggregate preliminary consideration was $163.4 million and remains subject to certain customary adjustments based on, among other things, the amount of actual cash, debt, and working capital in the business of Venture Products at the Venture Products closing date. Such customary adjustments are expected to be completed during fiscal 2020. We funded the acquisition with borrowings under our existing unsecured senior revolving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The Charles Machine Works, Inc. ("CMW")</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April 1, 2019 ("CMW closing date"), pursuant to the Agreement and Plan of Merger dated February 14, 2019 ("merger agreement"), we completed our acquisition of CMW, a privately held Oklahoma corporation. CMW designs, manufactures, and markets a range of professional products to serve the underground construction market, including horizontal directional drills, walk and ride trenchers, compact utility loaders/skid steers, vacuum excavators, asset locators, pipe rehabilitation solutions, and after-market tools. CMW provides innovative product offerings that broadened and strengthened our Professional segment product portfolio and expanded our dealer network, while also providing a complementary geographic manufacturing footprint. At the CMW closing date, we paid preliminary merger consideration of $679.3 million that was subject to customary adjustments based on, among other things, the amount of actual cash, debt, and working capital in the business of CMW at the CMW closing date. During the fourth quarter of fiscal 2019, we finalized such cash, debt and working capital adjustments and these adjustments resulted in an aggregate merger consideration of $685.0 million ("purchase price"). We funded the purchase price for the acquisition by using a combination of cash proceeds from the issuance of borrowings under our unsecured senior term loan credit agreement and borrowings under our unsecured senior revolving credit facility. For additional information regarding the acquisition and the financing agreements utilized to fund the purchase price, refer to Note 2,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Note 6, </w:t>
      </w:r>
      <w:r>
        <w:rPr>
          <w:rFonts w:ascii="Arial" w:cs="Arial" w:eastAsia="Arial" w:hAnsi="Arial"/>
          <w:sz w:val="16"/>
          <w:szCs w:val="16"/>
          <w:i w:val="1"/>
          <w:iCs w:val="1"/>
          <w:color w:val="auto"/>
        </w:rPr>
        <w:t>Indebtedness</w:t>
      </w:r>
      <w:r>
        <w:rPr>
          <w:rFonts w:ascii="Arial" w:cs="Arial" w:eastAsia="Arial" w:hAnsi="Arial"/>
          <w:sz w:val="16"/>
          <w:szCs w:val="16"/>
          <w:color w:val="auto"/>
        </w:rPr>
        <w:t>, in the Notes to Condensed Consolidated Financial Statements included in Part 1. Item 1 of this Quarterly Report on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first quarter of fiscal 2020, our net sales increased 27.3 percent, as compared to the first quarter of fiscal 2019. Professional segment net sales increased 30.7 percent for the first quarter comparison, primarily due to incremental sales as a result of our acquisition of CMW, improved net price realization, and strong shipments of snow and ice management products, partially offset by fewer shipments of our landscape contractor zero-turn riding mowers. Residential segment net sales increased 14.3 percent for the first quarter comparison, mainly due to incremental shipments as a result of our expanded mass retail channel and increased sales of Pope-branded irrigation products, partially offset by fewer shipments of walk power mowers.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earnings for the first quarter of fiscal 2020 were $70.1 million, or $0.65 per diluted share, compared to $59.5 million, or $0.55 per diluted share, for the first quarter of fiscal 2019. This increase was primarily driven by improved gross margins and incremental earnings as a result of our CMW acquisition, partially offset by increased interest expense due to higher average outstanding borrowings and a lower benefit from the excess tax deduction for share-based compensation.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non-GAAP net earnings for the first quarter of fiscal 2020 were $69.7 million, or $0.64 per diluted share, compared to $56.7 million, or $0.53 per diluted share, for the prior year comparative period, an increase of 20.8 percent per diluted share. The primary factors contributing to the adjusted non-GAAP net earnings increase for the first quarter included improved gross margins and incremental earnings as a result of our CMW acquisition, partially offset by increased interest expense on higher average outstanding borrowings. Reconciliations of adjusted non-GAAP financial measures and metrics to the most directly comparable reported U.S. GAAP financial measures and metrics are included in the section titled "Adjusted Non-GAAP Financial Measures and Metrics" within this MD&amp;A.</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increased our cash dividend for the first quarter of fiscal 2020 by 11.1 percent to $0.25 per share compared to the $0.225 per share cash dividend paid in the first quarter of fiscal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Field inventory levels were higher as of the end of the first quarter of fiscal 2020 than the end of the first quarter of fiscal 2019, primarily as a result of higher Professional segment field inventory due to incremental field inventory as a result of our acquisition of CMW and higher field inventory for our landscape contractor zero-turn riding mowers due to soft retail demand as a result of the unfavorable weather conditions throughout fiscal 2019, as well as higher Residential segment field inventory due to initial shipments into our expanded mass retail channel.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Three-Year Employee Initiative - "Vision 2020"</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current multi-year employee initiative, "Vision 2020", which began with our 2018 fiscal year, focuses on driving profitable growth with an emphasis on innovation and serving our customers, which we believe will generate further momentum for the organization. Through the first two fiscal years of our Vision 2020 initiative, we set specific financial goals, which included organic revenue and operating earnings growth. With our transformational acquisition of CMW, we will complete the third and final fiscal year of our Vision 2020 initiative with a revised enterprise-wide performance goal of achieving adjusted non-GAAP operating earnings of $485.0 million, which is intended to help us drive profitable growth as a combined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Worldwide consolidated net sales for the first quarter of fiscal 2020 were $767.5 million, up 27.3 percent compared to $603.0 million in the first quarter of fiscal 2019. This increase was primarily driven by incremental sales as a result of our acquisition of CMW, incremental Residential segment zero-turn riding mower shipments as a result of our expanded mass retail channel, improved net price realization as a result of price increases across our product lines and a revised floor plan financing rate structure as a result of the amendments to certain agreements pertaining to our Red Iron joint venture, and strong early-season order activity for our snow and ice management products. The net sales increase was partially offset by fewer shipments of our Professional segment landscape contractor zero-turn riding mowers as we managed field inventory levels ahead of our key selling season, as well as fewer shipments of our Residential segment walk power mowers due to soft retail demand as a result of early season snowfalls in key regions.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sales in international markets increased by 24.2 percent for the first quarter of fiscal 2020. Changes in foreign currency exchange rates resulted in an increase in our net sales of approximately $0.5 million for the first quarter of fiscal 2020. The net sales increase was mainly driven by incremental sales as a result of our acquisition of CMW, as well as increased sales of our golf and grounds equipment and our Pope-branded irrigation products in key regions. The net sales increase was partially offset by decreased shipments of our Residential segment zero-turn riding mowers and walk power mowers.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391" w:lineRule="exact"/>
        <w:rPr>
          <w:sz w:val="20"/>
          <w:szCs w:val="20"/>
          <w:color w:val="auto"/>
        </w:rPr>
      </w:pPr>
    </w:p>
    <w:p>
      <w:pPr>
        <w:ind w:left="894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spacing w:after="0"/>
              <w:rPr>
                <w:sz w:val="19"/>
                <w:szCs w:val="19"/>
                <w:color w:val="auto"/>
              </w:rPr>
            </w:pPr>
          </w:p>
        </w:tc>
        <w:tc>
          <w:tcPr>
            <w:tcW w:w="4120" w:type="dxa"/>
            <w:vAlign w:val="bottom"/>
          </w:tcPr>
          <w:p>
            <w:pPr>
              <w:jc w:val="right"/>
              <w:ind w:right="195"/>
              <w:spacing w:after="0"/>
              <w:rPr>
                <w:sz w:val="20"/>
                <w:szCs w:val="20"/>
                <w:color w:val="auto"/>
              </w:rPr>
            </w:pPr>
            <w:r>
              <w:rPr>
                <w:rFonts w:ascii="Arial" w:cs="Arial" w:eastAsia="Arial" w:hAnsi="Arial"/>
                <w:sz w:val="17"/>
                <w:szCs w:val="17"/>
                <w:b w:val="1"/>
                <w:bCs w:val="1"/>
                <w:color w:val="auto"/>
              </w:rPr>
              <w:t>January 31, 2020</w:t>
            </w:r>
          </w:p>
        </w:tc>
        <w:tc>
          <w:tcPr>
            <w:tcW w:w="1700" w:type="dxa"/>
            <w:vAlign w:val="bottom"/>
          </w:tcPr>
          <w:p>
            <w:pPr>
              <w:jc w:val="right"/>
              <w:ind w:right="115"/>
              <w:spacing w:after="0"/>
              <w:rPr>
                <w:sz w:val="20"/>
                <w:szCs w:val="20"/>
                <w:color w:val="auto"/>
              </w:rPr>
            </w:pPr>
            <w:r>
              <w:rPr>
                <w:rFonts w:ascii="Arial" w:cs="Arial" w:eastAsia="Arial" w:hAnsi="Arial"/>
                <w:sz w:val="17"/>
                <w:szCs w:val="17"/>
                <w:b w:val="1"/>
                <w:bCs w:val="1"/>
                <w:color w:val="auto"/>
              </w:rPr>
              <w:t>February 1, 2019</w:t>
            </w:r>
          </w:p>
        </w:tc>
      </w:tr>
      <w:tr>
        <w:trPr>
          <w:trHeight w:val="31"/>
        </w:trPr>
        <w:tc>
          <w:tcPr>
            <w:tcW w:w="56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sales</w:t>
            </w:r>
          </w:p>
        </w:tc>
        <w:tc>
          <w:tcPr>
            <w:tcW w:w="41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100.0%</w:t>
            </w:r>
          </w:p>
        </w:tc>
        <w:tc>
          <w:tcPr>
            <w:tcW w:w="1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100.0%</w:t>
            </w:r>
          </w:p>
        </w:tc>
      </w:tr>
      <w:tr>
        <w:trPr>
          <w:trHeight w:val="239"/>
        </w:trPr>
        <w:tc>
          <w:tcPr>
            <w:tcW w:w="5600" w:type="dxa"/>
            <w:vAlign w:val="bottom"/>
          </w:tcPr>
          <w:p>
            <w:pPr>
              <w:ind w:left="40"/>
              <w:spacing w:after="0"/>
              <w:rPr>
                <w:sz w:val="20"/>
                <w:szCs w:val="20"/>
                <w:color w:val="auto"/>
              </w:rPr>
            </w:pPr>
            <w:r>
              <w:rPr>
                <w:rFonts w:ascii="Arial" w:cs="Arial" w:eastAsia="Arial" w:hAnsi="Arial"/>
                <w:sz w:val="17"/>
                <w:szCs w:val="17"/>
                <w:color w:val="auto"/>
              </w:rPr>
              <w:t>Cost of sales</w:t>
            </w:r>
          </w:p>
        </w:tc>
        <w:tc>
          <w:tcPr>
            <w:tcW w:w="4120" w:type="dxa"/>
            <w:vAlign w:val="bottom"/>
          </w:tcPr>
          <w:p>
            <w:pPr>
              <w:jc w:val="right"/>
              <w:ind w:right="235"/>
              <w:spacing w:after="0"/>
              <w:rPr>
                <w:sz w:val="20"/>
                <w:szCs w:val="20"/>
                <w:color w:val="auto"/>
              </w:rPr>
            </w:pPr>
            <w:r>
              <w:rPr>
                <w:rFonts w:ascii="Arial" w:cs="Arial" w:eastAsia="Arial" w:hAnsi="Arial"/>
                <w:sz w:val="17"/>
                <w:szCs w:val="17"/>
                <w:color w:val="auto"/>
              </w:rPr>
              <w:t>(62.5)</w:t>
            </w:r>
          </w:p>
        </w:tc>
        <w:tc>
          <w:tcPr>
            <w:tcW w:w="1700" w:type="dxa"/>
            <w:vAlign w:val="bottom"/>
          </w:tcPr>
          <w:p>
            <w:pPr>
              <w:jc w:val="right"/>
              <w:ind w:right="175"/>
              <w:spacing w:after="0"/>
              <w:rPr>
                <w:sz w:val="20"/>
                <w:szCs w:val="20"/>
                <w:color w:val="auto"/>
              </w:rPr>
            </w:pPr>
            <w:r>
              <w:rPr>
                <w:rFonts w:ascii="Arial" w:cs="Arial" w:eastAsia="Arial" w:hAnsi="Arial"/>
                <w:sz w:val="17"/>
                <w:szCs w:val="17"/>
                <w:color w:val="auto"/>
              </w:rPr>
              <w:t>(64.2)</w:t>
            </w:r>
          </w:p>
        </w:tc>
      </w:tr>
      <w:tr>
        <w:trPr>
          <w:trHeight w:val="31"/>
        </w:trPr>
        <w:tc>
          <w:tcPr>
            <w:tcW w:w="56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Gross profit</w:t>
            </w:r>
          </w:p>
        </w:tc>
        <w:tc>
          <w:tcPr>
            <w:tcW w:w="412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37.5</w:t>
            </w:r>
          </w:p>
        </w:tc>
        <w:tc>
          <w:tcPr>
            <w:tcW w:w="170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35.8</w:t>
            </w:r>
          </w:p>
        </w:tc>
      </w:tr>
      <w:tr>
        <w:trPr>
          <w:trHeight w:val="239"/>
        </w:trPr>
        <w:tc>
          <w:tcPr>
            <w:tcW w:w="560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4120" w:type="dxa"/>
            <w:vAlign w:val="bottom"/>
          </w:tcPr>
          <w:p>
            <w:pPr>
              <w:jc w:val="right"/>
              <w:ind w:right="235"/>
              <w:spacing w:after="0"/>
              <w:rPr>
                <w:sz w:val="20"/>
                <w:szCs w:val="20"/>
                <w:color w:val="auto"/>
              </w:rPr>
            </w:pPr>
            <w:r>
              <w:rPr>
                <w:rFonts w:ascii="Arial" w:cs="Arial" w:eastAsia="Arial" w:hAnsi="Arial"/>
                <w:sz w:val="17"/>
                <w:szCs w:val="17"/>
                <w:color w:val="auto"/>
              </w:rPr>
              <w:t>(25.6)</w:t>
            </w:r>
          </w:p>
        </w:tc>
        <w:tc>
          <w:tcPr>
            <w:tcW w:w="1700" w:type="dxa"/>
            <w:vAlign w:val="bottom"/>
          </w:tcPr>
          <w:p>
            <w:pPr>
              <w:jc w:val="right"/>
              <w:ind w:right="175"/>
              <w:spacing w:after="0"/>
              <w:rPr>
                <w:sz w:val="20"/>
                <w:szCs w:val="20"/>
                <w:color w:val="auto"/>
              </w:rPr>
            </w:pPr>
            <w:r>
              <w:rPr>
                <w:rFonts w:ascii="Arial" w:cs="Arial" w:eastAsia="Arial" w:hAnsi="Arial"/>
                <w:sz w:val="17"/>
                <w:szCs w:val="17"/>
                <w:color w:val="auto"/>
              </w:rPr>
              <w:t>(24.2)</w:t>
            </w:r>
          </w:p>
        </w:tc>
      </w:tr>
      <w:tr>
        <w:trPr>
          <w:trHeight w:val="31"/>
        </w:trPr>
        <w:tc>
          <w:tcPr>
            <w:tcW w:w="56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earnings</w:t>
            </w:r>
          </w:p>
        </w:tc>
        <w:tc>
          <w:tcPr>
            <w:tcW w:w="412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11.9</w:t>
            </w:r>
          </w:p>
        </w:tc>
        <w:tc>
          <w:tcPr>
            <w:tcW w:w="170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11.6</w:t>
            </w:r>
          </w:p>
        </w:tc>
      </w:tr>
      <w:tr>
        <w:trPr>
          <w:trHeight w:val="239"/>
        </w:trPr>
        <w:tc>
          <w:tcPr>
            <w:tcW w:w="560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4120" w:type="dxa"/>
            <w:vAlign w:val="bottom"/>
          </w:tcPr>
          <w:p>
            <w:pPr>
              <w:jc w:val="right"/>
              <w:ind w:right="235"/>
              <w:spacing w:after="0"/>
              <w:rPr>
                <w:sz w:val="20"/>
                <w:szCs w:val="20"/>
                <w:color w:val="auto"/>
              </w:rPr>
            </w:pPr>
            <w:r>
              <w:rPr>
                <w:rFonts w:ascii="Arial" w:cs="Arial" w:eastAsia="Arial" w:hAnsi="Arial"/>
                <w:sz w:val="17"/>
                <w:szCs w:val="17"/>
                <w:color w:val="auto"/>
              </w:rPr>
              <w:t>(1.1)</w:t>
            </w:r>
          </w:p>
        </w:tc>
        <w:tc>
          <w:tcPr>
            <w:tcW w:w="1700" w:type="dxa"/>
            <w:vAlign w:val="bottom"/>
          </w:tcPr>
          <w:p>
            <w:pPr>
              <w:jc w:val="right"/>
              <w:ind w:right="175"/>
              <w:spacing w:after="0"/>
              <w:rPr>
                <w:sz w:val="20"/>
                <w:szCs w:val="20"/>
                <w:color w:val="auto"/>
              </w:rPr>
            </w:pPr>
            <w:r>
              <w:rPr>
                <w:rFonts w:ascii="Arial" w:cs="Arial" w:eastAsia="Arial" w:hAnsi="Arial"/>
                <w:sz w:val="17"/>
                <w:szCs w:val="17"/>
                <w:color w:val="auto"/>
              </w:rPr>
              <w:t>(0.8)</w:t>
            </w:r>
          </w:p>
        </w:tc>
      </w:tr>
      <w:tr>
        <w:trPr>
          <w:trHeight w:val="31"/>
        </w:trPr>
        <w:tc>
          <w:tcPr>
            <w:tcW w:w="56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net</w:t>
            </w:r>
          </w:p>
        </w:tc>
        <w:tc>
          <w:tcPr>
            <w:tcW w:w="412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0.4</w:t>
            </w:r>
          </w:p>
        </w:tc>
        <w:tc>
          <w:tcPr>
            <w:tcW w:w="170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0.8</w:t>
            </w:r>
          </w:p>
        </w:tc>
      </w:tr>
      <w:tr>
        <w:trPr>
          <w:trHeight w:val="237"/>
        </w:trPr>
        <w:tc>
          <w:tcPr>
            <w:tcW w:w="56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412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rPr>
              <w:t>11.2</w:t>
            </w:r>
          </w:p>
        </w:tc>
        <w:tc>
          <w:tcPr>
            <w:tcW w:w="170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rPr>
              <w:t>11.6</w:t>
            </w:r>
          </w:p>
        </w:tc>
      </w:tr>
      <w:tr>
        <w:trPr>
          <w:trHeight w:val="27"/>
        </w:trPr>
        <w:tc>
          <w:tcPr>
            <w:tcW w:w="56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for income taxes</w:t>
            </w:r>
          </w:p>
        </w:tc>
        <w:tc>
          <w:tcPr>
            <w:tcW w:w="41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(2.1)</w:t>
            </w:r>
          </w:p>
        </w:tc>
        <w:tc>
          <w:tcPr>
            <w:tcW w:w="170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(1.7)</w:t>
            </w:r>
          </w:p>
        </w:tc>
      </w:tr>
      <w:tr>
        <w:trPr>
          <w:trHeight w:val="233"/>
        </w:trPr>
        <w:tc>
          <w:tcPr>
            <w:tcW w:w="560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Net earnings</w:t>
            </w:r>
          </w:p>
        </w:tc>
        <w:tc>
          <w:tcPr>
            <w:tcW w:w="412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9.1%</w:t>
            </w:r>
          </w:p>
        </w:tc>
        <w:tc>
          <w:tcPr>
            <w:tcW w:w="17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9.9%</w:t>
            </w:r>
          </w:p>
        </w:tc>
      </w:tr>
      <w:tr>
        <w:trPr>
          <w:trHeight w:val="31"/>
        </w:trPr>
        <w:tc>
          <w:tcPr>
            <w:tcW w:w="56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for the first quarter of 2020 was $288.1 million, up 33.6 percent compared to $215.6 million in the first quarter of 2019. Gross margin for the first quarter of fiscal 2020 was 37.5 percent, an increase of 170 basis points when compared to the first quarter of fiscal 2019. Adjusted non-GAAP gross profit for the first quarter of 2020 was $288.6 million, up 33.8 percent compared to $215.6 million in the first quarter of 2019. Adjusted non-GAAP gross margin was 37.6 percent for the first quarter of fiscal 2020 compared to 35.8 percent for the first quarter of fiscal 2019, an increase of 180 basis points. The increase in gross margin and adjusted non-GAAP gross margin for the first quarter comparison was primarily driven by the favorable impact of strategic productivity and synergy initiatives, improved net price realization as a result of price increases across our product lines</w:t>
      </w:r>
    </w:p>
    <w:p>
      <w:pPr>
        <w:sectPr>
          <w:pgSz w:w="11900" w:h="16838" w:orient="portrait"/>
          <w:cols w:equalWidth="0" w:num="1">
            <w:col w:w="11420"/>
          </w:cols>
          <w:pgMar w:left="240" w:top="125"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the revised floor plan financing rate structure under our Red Iron joint venture, lower freight costs due to cost reduction initiatives, and lower commodity and tariff costs. These increases in gross margin and adjusted non-GAAP gross margin were partially offset by unfavorable product mix, largely driven by the incremental sales of lower margin product as a result of our CMW acquisition.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non-GAAP gross profit and adjusted non-GAAP gross margin excludes the impact of acquisition-related costs, which include costs incurred related to our acquisition of Venture Products, as well as integration costs and charges incurred for the take-down of the inventory fair value step-up amount resulting from purchase accounting adjustments related to our acquisition of CMW. Reconciliations of adjusted non-GAAP financial measures and metrics to the most directly comparable reported U.S. GAAP financial measures and metrics are included in the section titled "Adjusted Non-GAAP Financial Measures and Metrics" within this MD&amp;A.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expense increased $51.4 million, or 35.3 percent, for the first quarter of fiscal 2020. As a percentage of net sales, SG&amp;A expense increased 140 basis points for the first quarter of fiscal 2020. The increase in SG&amp;A expense as a percentage of net sales for the first quarter comparison was primarily due to our acquisition of CMW resulting in incremental administrative, indirect sales and marketing, and engineering expense; higher amortization of other intangible assets; and integration-related expenditures; as well as higher indirect sales and marketing expense, increased charitable contributions, and higher engineering expense related to new product development in our legacy businesses. The increase was partially offset by lower direct marketing expense in our legacy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$3.4 million for the first quarter of fiscal 2020 compared to the first quarter of fiscal 2019. This increase was driven by increased interest expense incurred on higher average outstanding borrowings to fund the purchase price for our acquisition of CMW, partially offset by a reduction in interest incurred on outstanding borrowings under our revolving credit facility during the first quarter of fiscal 2020, as compared to the first quarter of fiscal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net for the first quarter of fiscal 2020 decreased $1.5 million when compared to the first quarter of fiscal 2019. This decrease was primarily due to lower earnings from our Red Iron joint venture as a result of the amendments to certain agreements pertaining to the joint venture, decreased interest income on marketable securities, and unfavorable foreign currency exchange rate fluctuations.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 for the first quarter of fiscal 2020 was 18.6 percent compared to 15.0 percent in the first quarter of 2019. This increase was primarily driven by a lower discrete tax benefit for the excess tax deduction for share-based compensation.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adjusted non-GAAP effective tax rate for the first quarter of fiscal 2020 was 21.0 percent, compared to an adjusted non-GAAP effective tax rate of 20.9 percent in the first quarter of fiscal 2019. The adjusted non-GAAP effective tax rate excludes the impact of discrete tax benefits recorded as excess tax deductions for share-based compensation and acquisition-related costs, which include costs incurred related to our acquisition of Venture Products, as well as integration costs and charges incurred for the take-down of the inventory fair value step-up amount resulting from purchase accounting adjustments related to our acquisition of CMW. Reconciliations of adjusted non-GAAP financial measures and metrics to the most directly comparable reported U.S. GAAP financial measures and metrics are included in the section titled "Adjusted Non-GAAP Financial Measures and Metrics" within this MD&amp;A.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earnings for the first quarter of fiscal 2020 were $70.1 million, or $0.65 per diluted share, compared to $59.5 million, or $0.55 per diluted share, for the first quarter of fiscal 2019. This increase was primarily driven by improved gross margins mainly as a result of strategic productivity and synergy initiatives and improved net price realization, partially offset by unfavorable product mix within our Professional segment due to sales of lower margin products as a result of our CMW acquisition; as well as incremental earnings as a result of our CMW acquisition. The net earnings increase was also partially offset by increased interest expense on higher average outstanding borrowings and a lower benefit from the excess tax deduction for share-based compensation.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non-GAAP net earnings for the first quarter of fiscal 2020 were $69.7 million, or $0.64 per diluted share, compared to $56.7 million, or $0.53 per diluted share, for the first quarter of fiscal 2019, an increase of 20.8 percent per diluted share. The primary factors contributing to the adjusted non-GAAP net earnings increase included improved gross margins mainly as a result of strategic productivity and synergy initiatives and improved net price realization, partially offset by unfavorable product mix within our Professional segment due to sales of lower margin product as a result of our CMW acquisition; as well as incremental</w:t>
      </w:r>
    </w:p>
    <w:p>
      <w:pPr>
        <w:sectPr>
          <w:pgSz w:w="11900" w:h="16838" w:orient="portrait"/>
          <w:cols w:equalWidth="0" w:num="1">
            <w:col w:w="11420"/>
          </w:cols>
          <w:pgMar w:left="240" w:top="125"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as a result of our CMW acquisition. The adjusted non-GAAP net earnings increase was partially offset by increased interest expense as a result of higher average outstanding borrowings.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Adjusted non-GAAP net earnings and adjusted non-GAAP net earnings per diluted share exclude the impact of acquisition-related costs, which include costs incurred related to our acquisition of Venture Products, as well as integration costs and charges incurred for the take-down of the inventory fair value step-up amount resulting from purchase accounting adjustments related to our acquisition of CMW. Additionally, adjusted non-GAAP net earnings and adjusted non-GAAP net earnings per diluted share exclude discrete tax benefits recorded as excess tax deductions for share-based compensation. Reconciliations of adjusted non-GAAP financial measures and metrics to the most directly comparable reported U.S. GAAP financial measures and metrics are included in the section titled "Adjusted Non-GAAP Financial Measures and Metrics" within this MD&amp;A.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includes earnings (loss) from our wholly-owned domestic distribution companies, Red Iron joint venture, corporate activities, other income, and interest expense. Corporate activities include general corporate expenditures (finance, human resources, legal, information services, public relations, and similar activities) and other unallocated corporate assets and liabilities, such as corporate facilities and deferred tax assets and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for our reportable business segments and Other activities: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gridSpan w:val="3"/>
          </w:tcPr>
          <w:p>
            <w:pPr>
              <w:jc w:val="right"/>
              <w:ind w:right="795"/>
              <w:spacing w:after="0"/>
              <w:rPr>
                <w:sz w:val="20"/>
                <w:szCs w:val="20"/>
                <w:color w:val="auto"/>
              </w:rPr>
            </w:pPr>
            <w:r>
              <w:rPr>
                <w:rFonts w:ascii="Arial" w:cs="Arial" w:eastAsia="Arial" w:hAnsi="Arial"/>
                <w:sz w:val="17"/>
                <w:szCs w:val="17"/>
                <w:b w:val="1"/>
                <w:bCs w:val="1"/>
                <w:color w:val="auto"/>
              </w:rPr>
              <w:t>Three Months Ended</w:t>
            </w:r>
          </w:p>
        </w:tc>
        <w:tc>
          <w:tcPr>
            <w:tcW w:w="1460" w:type="dxa"/>
            <w:vAlign w:val="bottom"/>
          </w:tcPr>
          <w:p>
            <w:pPr>
              <w:spacing w:after="0"/>
              <w:rPr>
                <w:sz w:val="19"/>
                <w:szCs w:val="19"/>
                <w:color w:val="auto"/>
              </w:rPr>
            </w:pPr>
          </w:p>
        </w:tc>
      </w:tr>
      <w:tr>
        <w:trPr>
          <w:trHeight w:val="31"/>
        </w:trPr>
        <w:tc>
          <w:tcPr>
            <w:tcW w:w="3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382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44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January 31, 2020</w:t>
            </w:r>
          </w:p>
        </w:tc>
        <w:tc>
          <w:tcPr>
            <w:tcW w:w="22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b w:val="1"/>
                <w:bCs w:val="1"/>
                <w:color w:val="auto"/>
                <w:w w:val="90"/>
              </w:rPr>
              <w:t>February 1, 2019</w:t>
            </w:r>
          </w:p>
        </w:tc>
        <w:tc>
          <w:tcPr>
            <w:tcW w:w="360" w:type="dxa"/>
            <w:vAlign w:val="bottom"/>
          </w:tcPr>
          <w:p>
            <w:pPr>
              <w:spacing w:after="0"/>
              <w:rPr>
                <w:sz w:val="20"/>
                <w:szCs w:val="20"/>
                <w:color w:val="auto"/>
              </w:rPr>
            </w:pPr>
          </w:p>
        </w:tc>
        <w:tc>
          <w:tcPr>
            <w:tcW w:w="1400" w:type="dxa"/>
            <w:vAlign w:val="bottom"/>
          </w:tcPr>
          <w:p>
            <w:pPr>
              <w:jc w:val="right"/>
              <w:ind w:right="495"/>
              <w:spacing w:after="0"/>
              <w:rPr>
                <w:sz w:val="20"/>
                <w:szCs w:val="20"/>
                <w:color w:val="auto"/>
              </w:rPr>
            </w:pPr>
            <w:r>
              <w:rPr>
                <w:rFonts w:ascii="Arial" w:cs="Arial" w:eastAsia="Arial" w:hAnsi="Arial"/>
                <w:sz w:val="17"/>
                <w:szCs w:val="17"/>
                <w:b w:val="1"/>
                <w:bCs w:val="1"/>
                <w:color w:val="auto"/>
              </w:rPr>
              <w:t>$ Change</w:t>
            </w:r>
          </w:p>
        </w:tc>
        <w:tc>
          <w:tcPr>
            <w:tcW w:w="146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31"/>
        </w:trPr>
        <w:tc>
          <w:tcPr>
            <w:tcW w:w="3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594,721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455,006</w:t>
            </w: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139,715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30.7%</w:t>
            </w:r>
          </w:p>
        </w:tc>
      </w:tr>
      <w:tr>
        <w:trPr>
          <w:trHeight w:val="239"/>
        </w:trPr>
        <w:tc>
          <w:tcPr>
            <w:tcW w:w="382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144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165,848</w:t>
            </w:r>
          </w:p>
        </w:tc>
        <w:tc>
          <w:tcPr>
            <w:tcW w:w="22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145,158</w:t>
            </w:r>
          </w:p>
        </w:tc>
        <w:tc>
          <w:tcPr>
            <w:tcW w:w="360" w:type="dxa"/>
            <w:vAlign w:val="bottom"/>
          </w:tcPr>
          <w:p>
            <w:pPr>
              <w:spacing w:after="0"/>
              <w:rPr>
                <w:sz w:val="20"/>
                <w:szCs w:val="20"/>
                <w:color w:val="auto"/>
              </w:rPr>
            </w:pPr>
          </w:p>
        </w:tc>
        <w:tc>
          <w:tcPr>
            <w:tcW w:w="1400" w:type="dxa"/>
            <w:vAlign w:val="bottom"/>
          </w:tcPr>
          <w:p>
            <w:pPr>
              <w:jc w:val="right"/>
              <w:ind w:right="215"/>
              <w:spacing w:after="0"/>
              <w:rPr>
                <w:sz w:val="20"/>
                <w:szCs w:val="20"/>
                <w:color w:val="auto"/>
              </w:rPr>
            </w:pPr>
            <w:r>
              <w:rPr>
                <w:rFonts w:ascii="Arial" w:cs="Arial" w:eastAsia="Arial" w:hAnsi="Arial"/>
                <w:sz w:val="17"/>
                <w:szCs w:val="17"/>
                <w:color w:val="auto"/>
              </w:rPr>
              <w:t>20,690</w:t>
            </w:r>
          </w:p>
        </w:tc>
        <w:tc>
          <w:tcPr>
            <w:tcW w:w="1460" w:type="dxa"/>
            <w:vAlign w:val="bottom"/>
          </w:tcPr>
          <w:p>
            <w:pPr>
              <w:jc w:val="right"/>
              <w:ind w:right="95"/>
              <w:spacing w:after="0"/>
              <w:rPr>
                <w:sz w:val="20"/>
                <w:szCs w:val="20"/>
                <w:color w:val="auto"/>
              </w:rPr>
            </w:pPr>
            <w:r>
              <w:rPr>
                <w:rFonts w:ascii="Arial" w:cs="Arial" w:eastAsia="Arial" w:hAnsi="Arial"/>
                <w:sz w:val="17"/>
                <w:szCs w:val="17"/>
                <w:color w:val="auto"/>
              </w:rPr>
              <w:t>14.3</w:t>
            </w:r>
          </w:p>
        </w:tc>
      </w:tr>
      <w:tr>
        <w:trPr>
          <w:trHeight w:val="31"/>
        </w:trPr>
        <w:tc>
          <w:tcPr>
            <w:tcW w:w="3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6,914</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2,792</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4,122</w:t>
            </w: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147.6</w:t>
            </w:r>
          </w:p>
        </w:tc>
      </w:tr>
      <w:tr>
        <w:trPr>
          <w:trHeight w:val="233"/>
        </w:trPr>
        <w:tc>
          <w:tcPr>
            <w:tcW w:w="382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net sales*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767,483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602,956</w:t>
            </w:r>
          </w:p>
        </w:tc>
        <w:tc>
          <w:tcPr>
            <w:tcW w:w="3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rPr>
              <w:t>164,527</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27.3%</w:t>
            </w:r>
          </w:p>
        </w:tc>
      </w:tr>
      <w:tr>
        <w:trPr>
          <w:trHeight w:val="71"/>
        </w:trPr>
        <w:tc>
          <w:tcPr>
            <w:tcW w:w="38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r>
        <w:trPr>
          <w:trHeight w:val="278"/>
        </w:trPr>
        <w:tc>
          <w:tcPr>
            <w:tcW w:w="38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39"/>
        </w:trPr>
        <w:tc>
          <w:tcPr>
            <w:tcW w:w="3820" w:type="dxa"/>
            <w:vAlign w:val="bottom"/>
          </w:tcPr>
          <w:p>
            <w:pPr>
              <w:ind w:left="40"/>
              <w:spacing w:after="0"/>
              <w:rPr>
                <w:sz w:val="20"/>
                <w:szCs w:val="20"/>
                <w:color w:val="auto"/>
              </w:rPr>
            </w:pPr>
            <w:r>
              <w:rPr>
                <w:rFonts w:ascii="Arial" w:cs="Arial" w:eastAsia="Arial" w:hAnsi="Arial"/>
                <w:sz w:val="17"/>
                <w:szCs w:val="17"/>
                <w:color w:val="auto"/>
              </w:rPr>
              <w:t>*Includes international net sales of:</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175,835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141,545</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215"/>
              <w:spacing w:after="0"/>
              <w:rPr>
                <w:sz w:val="20"/>
                <w:szCs w:val="20"/>
                <w:color w:val="auto"/>
              </w:rPr>
            </w:pPr>
            <w:r>
              <w:rPr>
                <w:rFonts w:ascii="Arial" w:cs="Arial" w:eastAsia="Arial" w:hAnsi="Arial"/>
                <w:sz w:val="17"/>
                <w:szCs w:val="17"/>
                <w:color w:val="auto"/>
              </w:rPr>
              <w:t>34,290</w:t>
            </w:r>
          </w:p>
        </w:tc>
        <w:tc>
          <w:tcPr>
            <w:tcW w:w="1460" w:type="dxa"/>
            <w:vAlign w:val="bottom"/>
          </w:tcPr>
          <w:p>
            <w:pPr>
              <w:jc w:val="right"/>
              <w:spacing w:after="0"/>
              <w:rPr>
                <w:sz w:val="20"/>
                <w:szCs w:val="20"/>
                <w:color w:val="auto"/>
              </w:rPr>
            </w:pPr>
            <w:r>
              <w:rPr>
                <w:rFonts w:ascii="Arial" w:cs="Arial" w:eastAsia="Arial" w:hAnsi="Arial"/>
                <w:sz w:val="17"/>
                <w:szCs w:val="17"/>
                <w:color w:val="auto"/>
              </w:rPr>
              <w:t>24.2%</w:t>
            </w:r>
          </w:p>
        </w:tc>
      </w:tr>
      <w:tr>
        <w:trPr>
          <w:trHeight w:val="31"/>
        </w:trPr>
        <w:tc>
          <w:tcPr>
            <w:tcW w:w="3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segment earnings for our reportable business segments and operating (loss) for our Other activities: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1460" w:type="dxa"/>
            <w:vAlign w:val="bottom"/>
          </w:tcPr>
          <w:p>
            <w:pPr>
              <w:spacing w:after="0"/>
              <w:rPr>
                <w:sz w:val="19"/>
                <w:szCs w:val="19"/>
                <w:color w:val="auto"/>
              </w:rPr>
            </w:pPr>
          </w:p>
        </w:tc>
      </w:tr>
      <w:tr>
        <w:trPr>
          <w:trHeight w:val="31"/>
        </w:trPr>
        <w:tc>
          <w:tcPr>
            <w:tcW w:w="3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3"/>
        </w:trPr>
        <w:tc>
          <w:tcPr>
            <w:tcW w:w="34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w:t>
            </w:r>
          </w:p>
        </w:tc>
        <w:tc>
          <w:tcPr>
            <w:tcW w:w="1780" w:type="dxa"/>
            <w:vAlign w:val="bottom"/>
          </w:tcPr>
          <w:p>
            <w:pPr>
              <w:spacing w:after="0"/>
              <w:rPr>
                <w:sz w:val="20"/>
                <w:szCs w:val="20"/>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b w:val="1"/>
                <w:bCs w:val="1"/>
                <w:color w:val="auto"/>
                <w:w w:val="89"/>
              </w:rPr>
              <w:t>January 31, 2020</w:t>
            </w:r>
          </w:p>
        </w:tc>
        <w:tc>
          <w:tcPr>
            <w:tcW w:w="180" w:type="dxa"/>
            <w:vAlign w:val="bottom"/>
          </w:tcPr>
          <w:p>
            <w:pPr>
              <w:spacing w:after="0"/>
              <w:rPr>
                <w:sz w:val="20"/>
                <w:szCs w:val="20"/>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b w:val="1"/>
                <w:bCs w:val="1"/>
                <w:color w:val="auto"/>
                <w:w w:val="90"/>
              </w:rPr>
              <w:t>February 1, 2019</w:t>
            </w:r>
          </w:p>
        </w:tc>
        <w:tc>
          <w:tcPr>
            <w:tcW w:w="320" w:type="dxa"/>
            <w:vAlign w:val="bottom"/>
          </w:tcPr>
          <w:p>
            <w:pPr>
              <w:spacing w:after="0"/>
              <w:rPr>
                <w:sz w:val="20"/>
                <w:szCs w:val="20"/>
                <w:color w:val="auto"/>
              </w:rPr>
            </w:pPr>
          </w:p>
        </w:tc>
        <w:tc>
          <w:tcPr>
            <w:tcW w:w="1440" w:type="dxa"/>
            <w:vAlign w:val="bottom"/>
          </w:tcPr>
          <w:p>
            <w:pPr>
              <w:jc w:val="right"/>
              <w:ind w:right="535"/>
              <w:spacing w:after="0"/>
              <w:rPr>
                <w:sz w:val="20"/>
                <w:szCs w:val="20"/>
                <w:color w:val="auto"/>
              </w:rPr>
            </w:pPr>
            <w:r>
              <w:rPr>
                <w:rFonts w:ascii="Arial" w:cs="Arial" w:eastAsia="Arial" w:hAnsi="Arial"/>
                <w:sz w:val="17"/>
                <w:szCs w:val="17"/>
                <w:b w:val="1"/>
                <w:bCs w:val="1"/>
                <w:color w:val="auto"/>
              </w:rPr>
              <w:t>$ Change</w:t>
            </w:r>
          </w:p>
        </w:tc>
        <w:tc>
          <w:tcPr>
            <w:tcW w:w="146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31"/>
        </w:trPr>
        <w:tc>
          <w:tcPr>
            <w:tcW w:w="3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Professional</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102,474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87,978</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14,496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16.5 %</w:t>
            </w:r>
          </w:p>
        </w:tc>
      </w:tr>
      <w:tr>
        <w:trPr>
          <w:trHeight w:val="239"/>
        </w:trPr>
        <w:tc>
          <w:tcPr>
            <w:tcW w:w="3440" w:type="dxa"/>
            <w:vAlign w:val="bottom"/>
          </w:tcPr>
          <w:p>
            <w:pPr>
              <w:ind w:left="40"/>
              <w:spacing w:after="0"/>
              <w:rPr>
                <w:sz w:val="20"/>
                <w:szCs w:val="20"/>
                <w:color w:val="auto"/>
              </w:rPr>
            </w:pPr>
            <w:r>
              <w:rPr>
                <w:rFonts w:ascii="Arial" w:cs="Arial" w:eastAsia="Arial" w:hAnsi="Arial"/>
                <w:sz w:val="17"/>
                <w:szCs w:val="17"/>
                <w:color w:val="auto"/>
              </w:rPr>
              <w:t>Residential</w:t>
            </w:r>
          </w:p>
        </w:tc>
        <w:tc>
          <w:tcPr>
            <w:tcW w:w="1780" w:type="dxa"/>
            <w:vAlign w:val="bottom"/>
          </w:tcPr>
          <w:p>
            <w:pPr>
              <w:spacing w:after="0"/>
              <w:rPr>
                <w:sz w:val="20"/>
                <w:szCs w:val="20"/>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21,566</w:t>
            </w:r>
          </w:p>
        </w:tc>
        <w:tc>
          <w:tcPr>
            <w:tcW w:w="180" w:type="dxa"/>
            <w:vAlign w:val="bottom"/>
          </w:tcPr>
          <w:p>
            <w:pPr>
              <w:spacing w:after="0"/>
              <w:rPr>
                <w:sz w:val="20"/>
                <w:szCs w:val="20"/>
                <w:color w:val="auto"/>
              </w:rPr>
            </w:pPr>
          </w:p>
        </w:tc>
        <w:tc>
          <w:tcPr>
            <w:tcW w:w="1400" w:type="dxa"/>
            <w:vAlign w:val="bottom"/>
          </w:tcPr>
          <w:p>
            <w:pPr>
              <w:jc w:val="right"/>
              <w:ind w:right="75"/>
              <w:spacing w:after="0"/>
              <w:rPr>
                <w:sz w:val="20"/>
                <w:szCs w:val="20"/>
                <w:color w:val="auto"/>
              </w:rPr>
            </w:pPr>
            <w:r>
              <w:rPr>
                <w:rFonts w:ascii="Arial" w:cs="Arial" w:eastAsia="Arial" w:hAnsi="Arial"/>
                <w:sz w:val="17"/>
                <w:szCs w:val="17"/>
                <w:color w:val="auto"/>
              </w:rPr>
              <w:t>13,072</w:t>
            </w:r>
          </w:p>
        </w:tc>
        <w:tc>
          <w:tcPr>
            <w:tcW w:w="320" w:type="dxa"/>
            <w:vAlign w:val="bottom"/>
          </w:tcPr>
          <w:p>
            <w:pPr>
              <w:spacing w:after="0"/>
              <w:rPr>
                <w:sz w:val="20"/>
                <w:szCs w:val="20"/>
                <w:color w:val="auto"/>
              </w:rPr>
            </w:pPr>
          </w:p>
        </w:tc>
        <w:tc>
          <w:tcPr>
            <w:tcW w:w="1440" w:type="dxa"/>
            <w:vAlign w:val="bottom"/>
          </w:tcPr>
          <w:p>
            <w:pPr>
              <w:jc w:val="right"/>
              <w:ind w:right="255"/>
              <w:spacing w:after="0"/>
              <w:rPr>
                <w:sz w:val="20"/>
                <w:szCs w:val="20"/>
                <w:color w:val="auto"/>
              </w:rPr>
            </w:pPr>
            <w:r>
              <w:rPr>
                <w:rFonts w:ascii="Arial" w:cs="Arial" w:eastAsia="Arial" w:hAnsi="Arial"/>
                <w:sz w:val="17"/>
                <w:szCs w:val="17"/>
                <w:color w:val="auto"/>
              </w:rPr>
              <w:t>8,494</w:t>
            </w:r>
          </w:p>
        </w:tc>
        <w:tc>
          <w:tcPr>
            <w:tcW w:w="1460" w:type="dxa"/>
            <w:vAlign w:val="bottom"/>
          </w:tcPr>
          <w:p>
            <w:pPr>
              <w:jc w:val="right"/>
              <w:ind w:right="135"/>
              <w:spacing w:after="0"/>
              <w:rPr>
                <w:sz w:val="20"/>
                <w:szCs w:val="20"/>
                <w:color w:val="auto"/>
              </w:rPr>
            </w:pPr>
            <w:r>
              <w:rPr>
                <w:rFonts w:ascii="Arial" w:cs="Arial" w:eastAsia="Arial" w:hAnsi="Arial"/>
                <w:sz w:val="17"/>
                <w:szCs w:val="17"/>
                <w:color w:val="auto"/>
              </w:rPr>
              <w:t>65.0</w:t>
            </w:r>
          </w:p>
        </w:tc>
      </w:tr>
      <w:tr>
        <w:trPr>
          <w:trHeight w:val="31"/>
        </w:trPr>
        <w:tc>
          <w:tcPr>
            <w:tcW w:w="3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(37,901)</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(31,030)</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(6,871)</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(22.1)</w:t>
            </w:r>
          </w:p>
        </w:tc>
      </w:tr>
      <w:tr>
        <w:trPr>
          <w:trHeight w:val="233"/>
        </w:trPr>
        <w:tc>
          <w:tcPr>
            <w:tcW w:w="344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Total segment earnings</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86,139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70,020</w:t>
            </w:r>
          </w:p>
        </w:tc>
        <w:tc>
          <w:tcPr>
            <w:tcW w:w="32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color w:val="auto"/>
              </w:rPr>
              <w:t>16,119</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23.0 %</w:t>
            </w:r>
          </w:p>
        </w:tc>
      </w:tr>
      <w:tr>
        <w:trPr>
          <w:trHeight w:val="31"/>
        </w:trPr>
        <w:tc>
          <w:tcPr>
            <w:tcW w:w="3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Worldwide net sales for our Professional segment for the first quarter of fiscal 2020 increased 30.7 percent compared to the first quarter of fiscal 2019. This increase was primarily driven by incremental sales as a result of our acquisition of CMW, improved net price realization as a result of price increases across our product lines and a revised floor plan financing rate structure as a result of the amendments to certain agreements pertaining to our Red Iron joint venture, and strong early-season order activity for our snow and ice management products. The net sales increase was partially offset by fewer shipments of our landscape contractor zero-turn riding mowers as we managed field inventory levels ahead of our key selling season.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Professional segment earnings for the first quarter of fiscal 2020 increased 16.5 percent compared to the first quarter of fiscal 2019 and decreased to 17.2 percent from 19.3 percent when expressed as a percentage of net sales for the quarter comparison. As a percentage of net sales, the Professional segment earnings decrease was primarily due to our acquisition of CMW resulting in incremental administrative, indirect sales and marketing, and engineering expense; unfavorable product mix, largely driven by the incremental sales of lower margin product as a result of our CMW acquisition; and higher amortization of other intangible assets. Also contributing to the decrease in segment earnings as a percentage of net sales was higher indirect sales and marketing</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expense in our legacy businesses. Somewhat offsetting the decrease in segment earnings as a percentage of net sales was improved net price realization as a result of price increases across our product lines and a revised floor plan financing rate structure as a result of the amendments to certain agreements pertaining to our Red Iron joint venture, the favorable impact of strategic productivity and synergy initiatives, and lower direct marketing expense in our landscape contractor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Worldwide net sales for our Residential segment for the first quarter of 2020 increased 14.3 percent compared to the first quarter of fiscal 2019. This increase was mainly due to incremental zero-turn riding mower shipments as a result of our expanded mass retail channel and increased sales of Pope-branded irrigation products, partially offset by fewer shipments of walk power mowers due to soft retail demand as a result of early season snowfalls in key regions.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Earnings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Residential segment earnings for the first quarter of fiscal 2020 increased 65.0 percent compared to the first quarter of fiscal 2019, and when expressed as a percentage of net sales, increased to 13.0 percent from 9.0 percent. As a percentage of net sales, the Residential segment earnings increase was mainly driven by the favorable impact of strategic productivity and synergy initiatives, lower commodity and tariff costs, and reductions in freight cost due to cost reduction initiatives. The increase in segment earnings as a percentage of net sales was partially offset by an increase in indirect sales and marketing costs and higher depreciation on tooling related to new product introductions.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 Sales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for our Other activities include sales from our wholly-owned domestic distribution companies less sales from the Professional and Residential segments to the distribution companies. Net sales for our Other activities in the first quarter of fiscal 2020 increased by $4.1 million compared to the first quarter of fiscal 2019, due to incremental sales of our golf and grounds equipment as a result of our acquisition of a Northeastern U.S. distribution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operating loss for our Other activities for the first quarter of fiscal 2020 increased $6.9 million compared to the first quarter of fiscal 2019, primarily due to increased interest expense due to higher average outstanding borrowings resulting from our CMW acquisition, increased expense related to charitable contributions, higher corporate and integration costs as a result of our CMW acquisition, lower income from our Red Iron joint venture as a result of the amendments to certain agreements pertaining to the joint venture, and lower interest income on marketable securities. The operating loss increase was partially offset by higher earnings before income taxes for our wholly-owned domestic distribution companies driven by higher sales. For further information regarding the amendments to certain agreements pertaining to our Red Iron joint venture, refer to the section titled "Customer Financing Arrangements" located within the "Financial Position" section of this MD&amp;A.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strategy continues to place emphasis on improving asset utilization with a focus on reducing the amount of working capital in the supply chain, adjusting production plans, and maintaining or improving order replenishment and service levels to end-users. Accounts receivable as of the end of the first quarter of fiscal 2020 increased $95.7 million, or 42.4 percent, compared to the end of the first quarter of fiscal 2019, primarily due to incremental receivables as a result of our acquisition of CMW and as a result of higher sales within our Residential segment due to our expanded mass retail channel, partially offset by the impact of foreign currency exchange rates. Inventory levels were up $322.3 million, or 77.4 percent, as of the end of the first quarter of fiscal 2020 compared to the end of the first quarter of fiscal 2019, primarily due to incremental inventories as a result of our acquisition of CMW, higher Residential segment inventories to support our expanded mass retail channel and new product introductions, and higher net inventory balances in our landscape contractor businesses as we managed field inventory levels ahead of our key selling season. Accounts payable increased $66.5 million, or 23.6 percent, as of the end of the first quarter of fiscal 2020 compared to the end of the first quarter of fiscal 2019, mainly due to incremental accounts payable as a result of our acquisition of CMW and negotiating more favorable payment terms with suppliers as a component of our working capital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operating activities for the first three months of fiscal 2020 was $23.3 million compared to cash provided by operating activities for the first three months of fiscal 2019 of $26.0 million. This year-over-year cash use change was primarily due to cash utilized for purchases of inventory and higher accounts receivables not financed through our Red Iron joint venture due to sales to a new mass channel retail partner within our Residential segment, partially offset by higher net earnings and the year-over-year</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source benefit as a component of our working capital initiatives. Cash used in investing activities decreased $15.0 million during the first three months of fiscal 2020 compared to the first three months of fiscal 2019, primarily due to less cash utilized for acquisitions and investments in property, plant, and equipment. Cash used in financing activities for the first three months of fiscal 2020 decreased $30.8 million compared to the first three months of fiscal 2019, mainly due to reduced cash utilized for purchases of TTC common stock and higher net borrowings under our revolving credit facility, partially offset by more cash utilized for dividend payments on shares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 We believe that the funds available through existing, and potential future, financing arrangements and forecasted cash flows will be sufficient to provide the necessary capital resources for our anticipated working capital needs, capital expenditures, investments, debt repayments, quarterly cash dividend payments, and common stock repurchases, all as applicable, for at least the next twelve months. As of January 31, 2020, cash and short-term investments held by our foreign subsidiaries were approximately $69.9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January 31, 2020, we had $714.9 million of outstanding indebtedness that included $100.0 million of 7.8 percent debentures due June 15, 2027, $123.9 million of 6.625 percent senior notes due May 1, 2037, $100.0 million outstanding under our $200.0 million three year unsecured senior term loan facility, $180.0 million outstanding under our $300.0 million five year unsecured senior term loan facility, $100.0 million outstanding under our Series A Senior Notes, $100.0 million outstanding under our Series B Senior Notes, and $14.0 million of outstanding borrowings under our revolving credit facility. The January 31, 2020 outstanding indebtedness amounts were partially offset by debt issuance costs and deferred charges of $3.0 million related to our outstanding indebtedness. As of January 31, 2020, we have reclassified $99.9 million of the remaining outstanding principal balance under the term loan credit agreement, net of the related proportionate share of debt issuance costs, and $14.0 million of outstanding borrowings under our revolving credit facility to current portion of long-term debt within the Condensed Consolidated Balance Sheet as of such date as we intend to prepay such amounts utilizing cash flows from operations within the next twelve months.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February 1, 2019, we had $312.6 million of outstanding indebtedness that was classified as long-term debt within our Condensed Consolidated Balance Sheet as of such date and included $100.0 million of 7.8 percent debentures due June 15, 2027, $123.9 million of 6.625 percent senior notes due May 1, 2037, and $91.0 million of outstanding borrowings under our revolving credit facility. The February 1, 2019 outstanding indebtedness amounts were partially offset by debt issuance costs and deferred charges of $2.3 million related to our outstanding indebtedness.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domestic and non-U.S. operations maintained credit lines for import letters of credit in the aggregate amount of approximately $13.1 million and $13.7 million as of January 31, 2020 and February 1, 2019, respectively. We had $3.5 million outstanding on such letters of credit as of January 31, 2020 and February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Seasonal cash requirements are financed from operations, cash on hand, and with borrowings under our $600.0 million unsecured senior five-year revolving credit facility that expires in June 2023, as applicable. Included in our $600.0 million revolving credit facility is a $10.0 million sublimit for standby letters of credit and a $30.0 million sublimit for swingline loans. At our election, and with the approval of the named borrowers on the revolving credit facility and the election of the lenders to fund such increase, the aggregate maximum principal amount available under the facility may be increased by an amount up to $300.0 million. Funds are available under the revolving credit facility for working capital, capital expenditures, and other lawful corporate purposes, including, but not limited to, acquisitions and common stock repurchases, subject in each case to compliance with certain financial covenants described below.</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Outstanding loans under the revolving credit facility (other than swingline loans), if applicable, bear interest at a variable rate generally based on LIBOR or an alternative variable rate based on the highest of the Bank of America prime rate, the federal funds rate or a rate generally based on LIBOR, in each case subject to an additional basis point spread that is calculated based on the better of the leverage ratio (as measured quarterly and defined as the ratio of total indebtedness to consolidated earnings before interest and taxes plus depreciation and amortization expense) and debt rating of TTC. Swingline loans under the revolving credit facility bear interest at a rate determined by the swingline lender or an alternative variable rate based on the highest of the Bank of America prime rate, the federal funds rate or a rate generally based on LIBOR, in each case subject to an additional basis point spread that is calculated based on the better of the leverage ratio and debt rating of TTC. Interest is payable quarterly in arrears. Our debt rating for long-term unsecured senior, non-credit enhanced debt was unchanged during the first quarter of fiscal 2020</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Standard and Poor's Ratings Group at BBB and by Moody's Investors Service at Baa3. If our debt rating falls below investment grade and/or our leverage ratio rises above 1.50, the basis point spread we currently pay on outstanding debt under the revolving credit facility would increase. However, the credit commitment could not be canceled by the banks based solely on a ratings downgrade. For the three month periods ended January 31, 2020 and February 1, 2019, we incurred interest expense of approximately $0.1 million and $0.8 million, respectively, on the outstanding borrowings under our revolving credit facility.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revolving credit facility contains customary covenants, including, without limitation, financial covenants,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revolving credit facility,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January 31, 2020, we were not limited in the amount for payments of cash dividends and common stock repurchases. We were in compliance with all covenants related to the credit agreement for our revolving credit facility as of January 31, 2020, and we expect to be in compliance with all covenants during the remainder of fiscal 2020. If we were out of compliance with any covenant required by this credit agreement following the applicable cure period, the banks could terminate their commitments unless we could negotiate a covenant waiver from the banks. In addition, our long-term senior notes, debentures, term loan facilities, and any amounts outstanding under the revolving credit facility could become due and payable if we were unable to obtain a covenant waiver or refinance our borrowings under our credit agreement.</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31, 2020, we had $14.0 million of outstanding borrowings under the revolving credit facility and $1.9 million outstanding under the sublimit for standby letters of credit, resulting in $584.1 million of unutilized availability under our revolving credit facility. As of February 1, 2019, we had $91.0 million outstanding under the revolving credit facility and $1.5 million outstanding under the sublimit for standby letters of credit, resulting in $507.5 million of unutilized availability under the revolving credit facility. On March 2, 2020, subsequent to the end of the first quarter of fiscal 2020, we funded the acquisition of Venture Products with borrowings under our revolving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2019, we entered into a term loan credit agreement with a syndicate of financial institutions for the purpose of partially funding the purchase price of our acquisition of CMW and the related fees and expenses incurred in connection with such acquisition. The term loan credit agreement provided for a $200.0 million three year unsecured senior term loan facility maturing on April 1, 2022 and a $300.0 million five year unsecured senior term loan facility maturing on April 1, 2024. The funds under both term loan facilities were received on April 1, 2019 in connection with the closing of our acquisition of CMW. There are no scheduled principal amortization payments prior to maturity on the $200.0 million three year unsecured senior term loan facility. For the $300.0 million five year unsecured senior term loan facility, we are required to make quarterly principal amortization payments of 2.5 percent of the original aggregate principal balance beginning with the last business day of the thirteenth calendar quarter ending after April 1, 2019, with the remainder of the unpaid principal balance due at maturity. No principal payments are required during the first three and one-quarter (3.25) years of the $300.0 million five year unsecured senior term loan facility. The term loan facilities may be prepaid and terminated at our election at any time without penalty or premium. As of January 31, 2020, we have prepaid $100.0 million and $120.0 million against the outstanding principal balances of the $200.0 million three year unsecured senior term loan facility and $300.0 million five year unsecured senior term loan facility, respectively.</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Outstanding borrowings under the term loan credit agreement bear interest at a variable rate generally based on LIBOR or an alternative variable rate, based on the highest of the Bank of America prime rate, the federal funds rate, or a rate generally based on LIBOR, in each case subject to an additional basis point spread as defined in the term loan credit agreement. Interest is payable quarterly in arrears. For the three month period ended January 31, 2020, we incurred interest expense of approximately $1.9 million on the outstanding borrowings under the term loan credit agreement.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term loan credit agreement contains customary covenants, including, without limitation, financial covenants, generally consistent with those applicable under our revolving credit facility, such as the maintenance of minimum interest coverage and maximum leverage ratios; and negative covenants, which among other things, limit disposition of assets, consolidations and mergers, restricted payments, liens, and other matters customarily restricted in such agreements. Most of these restrictions are subject to certain minimum thresholds and exceptions. Under the term loan credit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January 31, 2020, we were in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compliance with all covenants related to our term loan credit agreement and were not limited in the amount for payments of cash dividends and common stock repurchases. Additionally, we expect to be in compliance with all covenants related to our term loan credit agreement during the remainder of fiscal 2020. If we were out of compliance with any covenant required by the term loan credit agreement following the applicable cure period, our term loan facilities, long-term senior notes, debentures, and any amounts outstanding under the revolving credit facility could become due and payable if we were unable to obtain a covenant waiver or refinance our borrowings under our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3.81% Series A and 3.91% Series B Senior Notes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30, 2019, we entered into a private placement note purchase agreement with certain purchasers pursuant to which we agreed to issue and sell an aggregate principal amount of $100.0 million of 3.81% Series A Senior Notes due June 15, 2029 ("Series A Senior Notes") and $100.0 million of 3.91% Series B Senior Notes due June 15, 2031 ("Series B Senior Notes" and together with the Series A Senior Notes, the "Senior Notes"). On June 27, 2019, we issued $100.0 million of the Series A Senior Notes and $100.0 million of the Series B Senior Notes pursuant to the private placement note purchase agreement. The Senior Notes are senior unsecured obligations of TTC.</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on the Senior Notes is payable semiannually on the 15th day of June and December in each year. For the three month period ended January 31, 2020, we incurred interest expense of approximately $1.9 million on the outstanding borrowings under the private placement note purchase agreement.</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 principal is due on the Senior Notes prior to their stated due dates. We have the right to prepay all or a portion of either series of the Senior Notes in amounts equal to not less than 10.0 percent of the principal amount of the Senior Notes then outstanding upon notice to the holders of the series of Senior Notes being prepaid for 100.0 percent of the principal amount prepaid, plus a make-whole premium, as set forth in the private placement note purchase agreement, plus accrued and unpaid interest, if any, to the date of prepayment. In addition, at any time on or after the date that is 90 days prior to the maturity date of the respective series, we have the right to prepay all of the outstanding Senior Note of such series for 100.0 percent of the principal amount so prepaid, plus accrued and unpaid interest, if any, to the date of prepayment. Upon the occurrence of certain change of control events, we are required to offer to prepay all Senior Notes for the principal amount thereof plus accrued and unpaid interest, if any, to the date of prepayment.</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private placement note purchase agreement contains customary representations and warranties of TTC, as well as certain customary covenants, including, without limitation, financial covenants, such as the maintenance of minimum interest coverage and maximum leverage ratios, and other covenants, which, among other things, provide limitations on transactions with affiliates, mergers, consolidations and sales of assets, liens and priority debt. Under the private placement note purchase agreement, we are not limited in the amount for payments of cash dividends and common stock repurchases as long as, both before and after giving pro forma effect to such payments, our leverage ratio from the previous quarter compliance certificate is less than or equal to 3.5 (or, at our option (which we may exercise twice during the term of the facility) after certain acquisitions with aggregate consideration in excess of $75.0 million, for the first four quarters following the exercise of such option, is less than or equal to 4.0), provided that immediately after giving effect of any such proposed action, no default or event of default would exist. As of January 31, 2020, we were not limited in the amount for payments of cash dividends and stock repurchases. We were in compliance with all covenants related to the private placement note purchase agreement as of January 31, 2020 and we expect to be in compliance with all covenants during the remainder of fiscal 2020. If we were out of compliance with any covenant required by this private placement note purchase agreement following the applicable cure period, our term loan facilities, long-term senior notes, debentures, and any amounts outstanding under the revolving credit facility would become due and payable if we were unable to obtain a covenant waiver or refinance our borrowings under our private placement note purchase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approved a cash dividend of $0.25 per share for the first quarter of fiscal 2020 that was paid on January 9, 2020. This was an increase of 11.1 percent over our cash dividend of $0.225 per share for the first quarter of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three months of fiscal 2020, we curtailed repurchasing shares of our common stock in the open market under our Board authorized repurchase plan. While we may repurchase shares of our common stock during the remainder of fiscal 2020, with the acquisition of Venture Products, we intend to be flexible on our share repurchases during the remainder of fiscal 2020 in light of our recently completed acquisition of Venture Products and depending on debt repayments, market conditions, and/or other factors.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customer financing arrangements are described in further detail within our most recently filed Annual Report on Form 10-K. There have been no material changes to our customer financing arrangements with the exception of the amendments to certain agreements pertaining to our Red Iron joint venture described in further detail within the section titled "Wholesale Financing"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Financing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Red Iron joint venture with TCF Inventory Finance, Inc. ("TCFIF"), a subsidiary of TCF National Bank, provides inventory financing to certain distributors and dealers of certain of our products in the U.S. that enables them to carry representative inventories of certain of our products. On December 20, 2019, during the first quarter of fiscal 2020, we amended certain agreements pertaining to the Red Iron joint venture. The purpose of these amendments was, among other things, to: (i) adjust certain rates under the floor plan financing rate structure charged to our distributors and dealers participating in financing arrangements through the Red Iron joint venture; (ii) extend the term of the Red Iron joint venture from October 31, 2024 to October 31, 2026, subject to two-year extensions thereafter unless either we or TCFIF provides written notice to the other party of non-renewal at least one year prior to the end of the then-current term; (iii) amend certain exclusivity-related provisions, including the definition of our products that are subject to exclusivity, inclusion of a two-year review period by us for products acquired in future acquisitions to assess, without a commitment to exclusivity, the potential benefits and detriments of including such acquired products under the Red Iron financing arrangement, and the pro-rata payback over a five-year period of the exclusivity incentive payment we received from TCFIF in 2016; (iv) extend the maturity date of the revolving credit facility used by Red Iron primarily to finance the acquisition of inventory from us by our distributors and dealers from October 31, 2024 to October 31, 2026 and to increase the amount available under such revolving credit facility from $550 million to $625 million; and (v) memorialize certain other non-material amendments. Under separate agreements between Red Iron and the dealers and distributors, Red Iron provides loans to the dealers and distributors for the advances paid by Red Iron to us. The net amount of receivables financed for dealers and distributors under this arrangement for the three month periods ended January 31, 2020 and February 1, 2019 was $405.1 million and $428.8 million, respectively.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floor plan financing agreements with other third-party financial institutions to provide floor plan financing to certain dealers and distributors not financed through Red Iron, which include agreements with third-party financial institutions in the U.S. and internationally in Australia. These third-party financial institutions financed $87.1 million and $7.8 million of receivables for such dealers and distributors during the three month periods ended January 31, 2020 and February 1, 2019, respectively. As of January 31, 2020 and February 1, 2019, $161.1 million and $11.9 million of receivables financed by the third-party financing companies, excluding Red Iron, respectively, were outstanding.</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entered into a limited inventory repurchase agreement with Red Iron. Under the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for which we have agreed to repurchase products repossessed by the separate third-party financial institutions. As of January 31, 2020, we were contingently liable to repurchase up to a maximum amount of $128.2 million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any subsequent resale of the repossessed product. We have repurchased immaterial amounts of inventory pursuant to such arrangements during the three month periods ended January 31, 2020 and February 1, 2019. However, a decline in retail sales or financial difficulties of our distributors or dealers could cause this situation to change and thereby require us to repurchase financed product, which could have an adverse effect on our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obligated to make future payments under various existing contracts, such as debt agreements, operating lease agreements, unconditional purchase obligations, and other long-term obligations. Our contractual obligations are described in further detail within our most recently filed Annual Report on Form 10-K. There have been no material changes to such contractual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off-balance sheet arrangements with Red Iron, our joint venture with TCFIF, and other third-party financial institutions in which inventory receivables for certain dealers and distributors are financed by Red Iron or such other third-party financial institutions. Additionally, we use standby letters of credit under our revolving credit facility, import letters of credit, and surety bonds in the ordinary course of business to ensure the performance of contractual obligations, as required under certain contracts. Our off-balance sheet arrangements are described in further detail within our most recently filed Annual Report on Form 10-K. There have been no material changes to such off-balance sheet arrangements, with the exception of the amendments to certain agreements pertaining to our Red Iron joint venture described in further detail within the section titled "Wholesale Financing" above.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NON-GAAP FINANCIAL MEASURES AND METRICS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provided adjusted non-GAAP financial measures and metrics, which are not calculated or presented in accordance with U.S. GAAP, as information supplemental and in addition to the most directly comparable financial measures and metrics that are calculated and presented in accordance with U.S. GAAP. We use these adjusted non-GAAP financial measures and metrics in making operating decisions because we believe these adjusted non-GAAP financial measures and metrics provide meaningful supplemental information regarding our core operational performance and provide us with a better understanding of how to allocate resources to both ongoing and prospective business initiatives. Additionally, these adjusted non-GAAP financial measures and metrics facilitate our internal comparisons to both our historical operating results and to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positions.We believe that these adjusted non-GAAP financial measures and metrics, when considered in conjunction with our Condensed Consolidated Financial Statements prepared in accordance with U.S. GAAP, provide investors with useful supplemental financial information to better understand our core operational performance. These adjusted non-GAAP financial measures and metrics should not be considered superior to, as a substitute for, or as an alternative to, and should be considered in conjunction with, the most directly comparable adjusted U.S. GAAP financial measures and metrics. The adjusted non-GAAP financial measures and metrics may differ from similar measures and metrics used by other companies.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provides a reconciliation of financial measures and metrics calculated and reported in accordance with U.S. GAAP to the most directly comparable adjusted non-GAAP financial measures and metrics for the three month periods ended January 31, 2020 and February 1, 2019:</w:t>
      </w:r>
    </w:p>
    <w:p>
      <w:pPr>
        <w:spacing w:after="0" w:line="313" w:lineRule="exact"/>
        <w:rPr>
          <w:sz w:val="20"/>
          <w:szCs w:val="20"/>
          <w:color w:val="auto"/>
        </w:rPr>
      </w:pPr>
    </w:p>
    <w:p>
      <w:pPr>
        <w:ind w:left="906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 except per share data)</w:t>
            </w:r>
          </w:p>
        </w:tc>
        <w:tc>
          <w:tcPr>
            <w:tcW w:w="2480" w:type="dxa"/>
            <w:vAlign w:val="bottom"/>
          </w:tcPr>
          <w:p>
            <w:pPr>
              <w:spacing w:after="0"/>
              <w:rPr>
                <w:sz w:val="19"/>
                <w:szCs w:val="19"/>
                <w:color w:val="auto"/>
              </w:rPr>
            </w:pPr>
          </w:p>
        </w:tc>
        <w:tc>
          <w:tcPr>
            <w:tcW w:w="1460" w:type="dxa"/>
            <w:vAlign w:val="bottom"/>
          </w:tcPr>
          <w:p>
            <w:pPr>
              <w:jc w:val="right"/>
              <w:ind w:right="115"/>
              <w:spacing w:after="0"/>
              <w:rPr>
                <w:sz w:val="20"/>
                <w:szCs w:val="20"/>
                <w:color w:val="auto"/>
              </w:rPr>
            </w:pPr>
            <w:r>
              <w:rPr>
                <w:rFonts w:ascii="Arial" w:cs="Arial" w:eastAsia="Arial" w:hAnsi="Arial"/>
                <w:sz w:val="17"/>
                <w:szCs w:val="17"/>
                <w:b w:val="1"/>
                <w:bCs w:val="1"/>
                <w:color w:val="auto"/>
                <w:w w:val="91"/>
              </w:rPr>
              <w:t>January 31, 2020</w:t>
            </w:r>
          </w:p>
        </w:tc>
        <w:tc>
          <w:tcPr>
            <w:tcW w:w="180" w:type="dxa"/>
            <w:vAlign w:val="bottom"/>
          </w:tcPr>
          <w:p>
            <w:pPr>
              <w:spacing w:after="0"/>
              <w:rPr>
                <w:sz w:val="19"/>
                <w:szCs w:val="19"/>
                <w:color w:val="auto"/>
              </w:rPr>
            </w:pPr>
          </w:p>
        </w:tc>
        <w:tc>
          <w:tcPr>
            <w:tcW w:w="1420" w:type="dxa"/>
            <w:vAlign w:val="bottom"/>
          </w:tcPr>
          <w:p>
            <w:pPr>
              <w:jc w:val="right"/>
              <w:ind w:right="55"/>
              <w:spacing w:after="0"/>
              <w:rPr>
                <w:sz w:val="20"/>
                <w:szCs w:val="20"/>
                <w:color w:val="auto"/>
              </w:rPr>
            </w:pPr>
            <w:r>
              <w:rPr>
                <w:rFonts w:ascii="Arial" w:cs="Arial" w:eastAsia="Arial" w:hAnsi="Arial"/>
                <w:sz w:val="17"/>
                <w:szCs w:val="17"/>
                <w:b w:val="1"/>
                <w:bCs w:val="1"/>
                <w:color w:val="auto"/>
                <w:w w:val="93"/>
              </w:rPr>
              <w:t>February 1, 2019</w:t>
            </w:r>
          </w:p>
        </w:tc>
      </w:tr>
      <w:tr>
        <w:trPr>
          <w:trHeight w:val="31"/>
        </w:trPr>
        <w:tc>
          <w:tcPr>
            <w:tcW w:w="5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288,088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215,617</w:t>
            </w:r>
          </w:p>
        </w:tc>
      </w:tr>
      <w:tr>
        <w:trPr>
          <w:trHeight w:val="270"/>
        </w:trPr>
        <w:tc>
          <w:tcPr>
            <w:tcW w:w="588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4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470</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gross profit</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288,558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215,617</w:t>
            </w:r>
          </w:p>
        </w:tc>
      </w:tr>
      <w:tr>
        <w:trPr>
          <w:trHeight w:val="291"/>
        </w:trPr>
        <w:tc>
          <w:tcPr>
            <w:tcW w:w="5880" w:type="dxa"/>
            <w:vAlign w:val="bottom"/>
            <w:tcBorders>
              <w:top w:val="single" w:sz="8" w:color="auto"/>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margin</w:t>
            </w:r>
          </w:p>
        </w:tc>
        <w:tc>
          <w:tcPr>
            <w:tcW w:w="2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270"/>
        </w:trPr>
        <w:tc>
          <w:tcPr>
            <w:tcW w:w="588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4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gross margin</w:t>
            </w:r>
          </w:p>
        </w:tc>
        <w:tc>
          <w:tcPr>
            <w:tcW w:w="2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291"/>
        </w:trPr>
        <w:tc>
          <w:tcPr>
            <w:tcW w:w="5880" w:type="dxa"/>
            <w:vAlign w:val="bottom"/>
            <w:tcBorders>
              <w:top w:val="single" w:sz="8" w:color="auto"/>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earnings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91,129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70,054</w:t>
            </w:r>
          </w:p>
        </w:tc>
      </w:tr>
      <w:tr>
        <w:trPr>
          <w:trHeight w:val="239"/>
        </w:trPr>
        <w:tc>
          <w:tcPr>
            <w:tcW w:w="5880" w:type="dxa"/>
            <w:vAlign w:val="bottom"/>
          </w:tcPr>
          <w:p>
            <w:pPr>
              <w:ind w:left="180"/>
              <w:spacing w:after="0"/>
              <w:rPr>
                <w:sz w:val="20"/>
                <w:szCs w:val="20"/>
                <w:color w:val="auto"/>
              </w:rPr>
            </w:pPr>
            <w:r>
              <w:rPr>
                <w:rFonts w:ascii="Arial" w:cs="Arial" w:eastAsia="Arial" w:hAnsi="Arial"/>
                <w:sz w:val="17"/>
                <w:szCs w:val="17"/>
                <w:color w:val="auto"/>
              </w:rPr>
              <w:t>Acquisition-related costs1</w:t>
            </w:r>
          </w:p>
        </w:tc>
        <w:tc>
          <w:tcPr>
            <w:tcW w:w="2480" w:type="dxa"/>
            <w:vAlign w:val="bottom"/>
          </w:tcPr>
          <w:p>
            <w:pPr>
              <w:spacing w:after="0"/>
              <w:rPr>
                <w:sz w:val="20"/>
                <w:szCs w:val="20"/>
                <w:color w:val="auto"/>
              </w:rPr>
            </w:pPr>
          </w:p>
        </w:tc>
        <w:tc>
          <w:tcPr>
            <w:tcW w:w="1460" w:type="dxa"/>
            <w:vAlign w:val="bottom"/>
          </w:tcPr>
          <w:p>
            <w:pPr>
              <w:jc w:val="right"/>
              <w:ind w:right="135"/>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20"/>
                <w:szCs w:val="20"/>
                <w:color w:val="auto"/>
              </w:rPr>
            </w:pPr>
          </w:p>
        </w:tc>
        <w:tc>
          <w:tcPr>
            <w:tcW w:w="1420" w:type="dxa"/>
            <w:vAlign w:val="bottom"/>
          </w:tcPr>
          <w:p>
            <w:pPr>
              <w:jc w:val="right"/>
              <w:ind w:right="95"/>
              <w:spacing w:after="0"/>
              <w:rPr>
                <w:sz w:val="20"/>
                <w:szCs w:val="20"/>
                <w:color w:val="auto"/>
              </w:rPr>
            </w:pPr>
            <w:r>
              <w:rPr>
                <w:rFonts w:ascii="Arial" w:cs="Arial" w:eastAsia="Arial" w:hAnsi="Arial"/>
                <w:sz w:val="17"/>
                <w:szCs w:val="17"/>
                <w:color w:val="auto"/>
              </w:rPr>
              <w:t>1,647</w:t>
            </w:r>
          </w:p>
        </w:tc>
      </w:tr>
      <w:tr>
        <w:trPr>
          <w:trHeight w:val="31"/>
        </w:trPr>
        <w:tc>
          <w:tcPr>
            <w:tcW w:w="5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operating earnings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93,147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71,701</w:t>
            </w:r>
          </w:p>
        </w:tc>
      </w:tr>
      <w:tr>
        <w:trPr>
          <w:trHeight w:val="291"/>
        </w:trPr>
        <w:tc>
          <w:tcPr>
            <w:tcW w:w="5880" w:type="dxa"/>
            <w:vAlign w:val="bottom"/>
            <w:tcBorders>
              <w:top w:val="single" w:sz="8" w:color="auto"/>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Earnings before income taxes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86,139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70,020</w:t>
            </w:r>
          </w:p>
        </w:tc>
      </w:tr>
      <w:tr>
        <w:trPr>
          <w:trHeight w:val="270"/>
        </w:trPr>
        <w:tc>
          <w:tcPr>
            <w:tcW w:w="588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4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2,018</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1,647</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non-GAAP earnings before income taxes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88,157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71,667</w:t>
            </w:r>
          </w:p>
        </w:tc>
      </w:tr>
      <w:tr>
        <w:trPr>
          <w:trHeight w:val="291"/>
        </w:trPr>
        <w:tc>
          <w:tcPr>
            <w:tcW w:w="5880" w:type="dxa"/>
            <w:vAlign w:val="bottom"/>
            <w:tcBorders>
              <w:top w:val="single" w:sz="8" w:color="auto"/>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spacing w:after="0"/>
              <w:rPr>
                <w:sz w:val="24"/>
                <w:szCs w:val="24"/>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earnings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70,091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59,540</w:t>
            </w:r>
          </w:p>
        </w:tc>
      </w:tr>
      <w:tr>
        <w:trPr>
          <w:trHeight w:val="270"/>
        </w:trPr>
        <w:tc>
          <w:tcPr>
            <w:tcW w:w="58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480" w:type="dxa"/>
            <w:vAlign w:val="bottom"/>
          </w:tcPr>
          <w:p>
            <w:pPr>
              <w:spacing w:after="0"/>
              <w:rPr>
                <w:sz w:val="23"/>
                <w:szCs w:val="23"/>
                <w:color w:val="auto"/>
              </w:rPr>
            </w:pPr>
          </w:p>
        </w:tc>
        <w:tc>
          <w:tcPr>
            <w:tcW w:w="1460" w:type="dxa"/>
            <w:vAlign w:val="bottom"/>
          </w:tcPr>
          <w:p>
            <w:pPr>
              <w:jc w:val="right"/>
              <w:ind w:right="135"/>
              <w:spacing w:after="0"/>
              <w:rPr>
                <w:sz w:val="20"/>
                <w:szCs w:val="20"/>
                <w:color w:val="auto"/>
              </w:rPr>
            </w:pPr>
            <w:r>
              <w:rPr>
                <w:rFonts w:ascii="Arial" w:cs="Arial" w:eastAsia="Arial" w:hAnsi="Arial"/>
                <w:sz w:val="17"/>
                <w:szCs w:val="17"/>
                <w:color w:val="auto"/>
              </w:rPr>
              <w:t>1,633</w:t>
            </w:r>
          </w:p>
        </w:tc>
        <w:tc>
          <w:tcPr>
            <w:tcW w:w="180" w:type="dxa"/>
            <w:vAlign w:val="bottom"/>
          </w:tcPr>
          <w:p>
            <w:pPr>
              <w:spacing w:after="0"/>
              <w:rPr>
                <w:sz w:val="23"/>
                <w:szCs w:val="23"/>
                <w:color w:val="auto"/>
              </w:rPr>
            </w:pPr>
          </w:p>
        </w:tc>
        <w:tc>
          <w:tcPr>
            <w:tcW w:w="1420" w:type="dxa"/>
            <w:vAlign w:val="bottom"/>
          </w:tcPr>
          <w:p>
            <w:pPr>
              <w:jc w:val="right"/>
              <w:ind w:right="95"/>
              <w:spacing w:after="0"/>
              <w:rPr>
                <w:sz w:val="20"/>
                <w:szCs w:val="20"/>
                <w:color w:val="auto"/>
              </w:rPr>
            </w:pPr>
            <w:r>
              <w:rPr>
                <w:rFonts w:ascii="Arial" w:cs="Arial" w:eastAsia="Arial" w:hAnsi="Arial"/>
                <w:sz w:val="17"/>
                <w:szCs w:val="17"/>
                <w:color w:val="auto"/>
              </w:rPr>
              <w:t>1,510</w:t>
            </w:r>
          </w:p>
        </w:tc>
      </w:tr>
      <w:tr>
        <w:trPr>
          <w:trHeight w:val="270"/>
        </w:trPr>
        <w:tc>
          <w:tcPr>
            <w:tcW w:w="58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2</w:t>
            </w:r>
          </w:p>
        </w:tc>
        <w:tc>
          <w:tcPr>
            <w:tcW w:w="2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(2,035)</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(4,361)</w:t>
            </w:r>
          </w:p>
        </w:tc>
      </w:tr>
      <w:tr>
        <w:trPr>
          <w:trHeight w:val="233"/>
        </w:trPr>
        <w:tc>
          <w:tcPr>
            <w:tcW w:w="5880" w:type="dxa"/>
            <w:vAlign w:val="bottom"/>
          </w:tcPr>
          <w:p>
            <w:pPr>
              <w:ind w:left="40"/>
              <w:spacing w:after="0"/>
              <w:rPr>
                <w:sz w:val="20"/>
                <w:szCs w:val="20"/>
                <w:color w:val="auto"/>
              </w:rPr>
            </w:pPr>
            <w:r>
              <w:rPr>
                <w:rFonts w:ascii="Arial" w:cs="Arial" w:eastAsia="Arial" w:hAnsi="Arial"/>
                <w:sz w:val="17"/>
                <w:szCs w:val="17"/>
                <w:color w:val="auto"/>
              </w:rPr>
              <w:t>Adjusted non-GAAP net earnings</w:t>
            </w:r>
          </w:p>
        </w:tc>
        <w:tc>
          <w:tcPr>
            <w:tcW w:w="248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35"/>
              <w:spacing w:after="0"/>
              <w:rPr>
                <w:sz w:val="20"/>
                <w:szCs w:val="20"/>
                <w:color w:val="auto"/>
              </w:rPr>
            </w:pPr>
            <w:r>
              <w:rPr>
                <w:rFonts w:ascii="Arial" w:cs="Arial" w:eastAsia="Arial" w:hAnsi="Arial"/>
                <w:sz w:val="17"/>
                <w:szCs w:val="17"/>
                <w:color w:val="auto"/>
              </w:rPr>
              <w:t>69,689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95"/>
              <w:spacing w:after="0"/>
              <w:rPr>
                <w:sz w:val="20"/>
                <w:szCs w:val="20"/>
                <w:color w:val="auto"/>
              </w:rPr>
            </w:pPr>
            <w:r>
              <w:rPr>
                <w:rFonts w:ascii="Arial" w:cs="Arial" w:eastAsia="Arial" w:hAnsi="Arial"/>
                <w:sz w:val="17"/>
                <w:szCs w:val="17"/>
                <w:color w:val="auto"/>
              </w:rPr>
              <w:t>56,689</w:t>
            </w:r>
          </w:p>
        </w:tc>
      </w:tr>
      <w:tr>
        <w:trPr>
          <w:trHeight w:val="31"/>
        </w:trPr>
        <w:tc>
          <w:tcPr>
            <w:tcW w:w="5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8"/>
        </w:trPr>
        <w:tc>
          <w:tcPr>
            <w:tcW w:w="5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Diluted EPS</w:t>
            </w: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0.55</w:t>
            </w:r>
          </w:p>
        </w:tc>
      </w:tr>
      <w:tr>
        <w:trPr>
          <w:trHeight w:val="270"/>
        </w:trPr>
        <w:tc>
          <w:tcPr>
            <w:tcW w:w="5880" w:type="dxa"/>
            <w:vAlign w:val="bottom"/>
          </w:tcPr>
          <w:p>
            <w:pPr>
              <w:ind w:left="18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2480" w:type="dxa"/>
            <w:vAlign w:val="bottom"/>
          </w:tcPr>
          <w:p>
            <w:pPr>
              <w:spacing w:after="0"/>
              <w:rPr>
                <w:sz w:val="23"/>
                <w:szCs w:val="23"/>
                <w:color w:val="auto"/>
              </w:rPr>
            </w:pPr>
          </w:p>
        </w:tc>
        <w:tc>
          <w:tcPr>
            <w:tcW w:w="1460" w:type="dxa"/>
            <w:vAlign w:val="bottom"/>
          </w:tcPr>
          <w:p>
            <w:pPr>
              <w:jc w:val="right"/>
              <w:ind w:right="135"/>
              <w:spacing w:after="0"/>
              <w:rPr>
                <w:sz w:val="20"/>
                <w:szCs w:val="20"/>
                <w:color w:val="auto"/>
              </w:rPr>
            </w:pPr>
            <w:r>
              <w:rPr>
                <w:rFonts w:ascii="Arial" w:cs="Arial" w:eastAsia="Arial" w:hAnsi="Arial"/>
                <w:sz w:val="17"/>
                <w:szCs w:val="17"/>
                <w:color w:val="auto"/>
              </w:rPr>
              <w:t>0.01</w:t>
            </w:r>
          </w:p>
        </w:tc>
        <w:tc>
          <w:tcPr>
            <w:tcW w:w="180" w:type="dxa"/>
            <w:vAlign w:val="bottom"/>
          </w:tcPr>
          <w:p>
            <w:pPr>
              <w:spacing w:after="0"/>
              <w:rPr>
                <w:sz w:val="23"/>
                <w:szCs w:val="23"/>
                <w:color w:val="auto"/>
              </w:rPr>
            </w:pPr>
          </w:p>
        </w:tc>
        <w:tc>
          <w:tcPr>
            <w:tcW w:w="1420" w:type="dxa"/>
            <w:vAlign w:val="bottom"/>
          </w:tcPr>
          <w:p>
            <w:pPr>
              <w:jc w:val="right"/>
              <w:ind w:right="95"/>
              <w:spacing w:after="0"/>
              <w:rPr>
                <w:sz w:val="20"/>
                <w:szCs w:val="20"/>
                <w:color w:val="auto"/>
              </w:rPr>
            </w:pPr>
            <w:r>
              <w:rPr>
                <w:rFonts w:ascii="Arial" w:cs="Arial" w:eastAsia="Arial" w:hAnsi="Arial"/>
                <w:sz w:val="17"/>
                <w:szCs w:val="17"/>
                <w:color w:val="auto"/>
              </w:rPr>
              <w:t>0.02</w:t>
            </w:r>
          </w:p>
        </w:tc>
      </w:tr>
      <w:tr>
        <w:trPr>
          <w:trHeight w:val="270"/>
        </w:trPr>
        <w:tc>
          <w:tcPr>
            <w:tcW w:w="5880" w:type="dxa"/>
            <w:vAlign w:val="bottom"/>
            <w:tcBorders>
              <w:bottom w:val="single" w:sz="8" w:color="auto"/>
            </w:tcBorders>
            <w:shd w:val="clear" w:color="auto" w:fill="CCEEFF"/>
          </w:tcPr>
          <w:p>
            <w:pPr>
              <w:ind w:left="18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2</w:t>
            </w:r>
          </w:p>
        </w:tc>
        <w:tc>
          <w:tcPr>
            <w:tcW w:w="2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(0.02)</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(0.04)</w:t>
            </w:r>
          </w:p>
        </w:tc>
      </w:tr>
      <w:tr>
        <w:trPr>
          <w:trHeight w:val="233"/>
        </w:trPr>
        <w:tc>
          <w:tcPr>
            <w:tcW w:w="5880" w:type="dxa"/>
            <w:vAlign w:val="bottom"/>
          </w:tcPr>
          <w:p>
            <w:pPr>
              <w:ind w:left="40"/>
              <w:spacing w:after="0"/>
              <w:rPr>
                <w:sz w:val="20"/>
                <w:szCs w:val="20"/>
                <w:color w:val="auto"/>
              </w:rPr>
            </w:pPr>
            <w:r>
              <w:rPr>
                <w:rFonts w:ascii="Arial" w:cs="Arial" w:eastAsia="Arial" w:hAnsi="Arial"/>
                <w:sz w:val="17"/>
                <w:szCs w:val="17"/>
                <w:color w:val="auto"/>
              </w:rPr>
              <w:t>Adjusted non-GAAP diluted EPS</w:t>
            </w:r>
          </w:p>
        </w:tc>
        <w:tc>
          <w:tcPr>
            <w:tcW w:w="248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35"/>
              <w:spacing w:after="0"/>
              <w:rPr>
                <w:sz w:val="20"/>
                <w:szCs w:val="20"/>
                <w:color w:val="auto"/>
              </w:rPr>
            </w:pPr>
            <w:r>
              <w:rPr>
                <w:rFonts w:ascii="Arial" w:cs="Arial" w:eastAsia="Arial" w:hAnsi="Arial"/>
                <w:sz w:val="17"/>
                <w:szCs w:val="17"/>
                <w:color w:val="auto"/>
              </w:rPr>
              <w:t>0.64</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95"/>
              <w:spacing w:after="0"/>
              <w:rPr>
                <w:sz w:val="20"/>
                <w:szCs w:val="20"/>
                <w:color w:val="auto"/>
              </w:rPr>
            </w:pPr>
            <w:r>
              <w:rPr>
                <w:rFonts w:ascii="Arial" w:cs="Arial" w:eastAsia="Arial" w:hAnsi="Arial"/>
                <w:sz w:val="17"/>
                <w:szCs w:val="17"/>
                <w:color w:val="auto"/>
              </w:rPr>
              <w:t>0.53</w:t>
            </w:r>
          </w:p>
        </w:tc>
      </w:tr>
      <w:tr>
        <w:trPr>
          <w:trHeight w:val="31"/>
        </w:trPr>
        <w:tc>
          <w:tcPr>
            <w:tcW w:w="58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9020"/>
        <w:spacing w:after="0"/>
        <w:rPr>
          <w:sz w:val="20"/>
          <w:szCs w:val="20"/>
          <w:color w:val="auto"/>
        </w:rPr>
      </w:pPr>
      <w:r>
        <w:rPr>
          <w:rFonts w:ascii="Arial" w:cs="Arial" w:eastAsia="Arial" w:hAnsi="Arial"/>
          <w:sz w:val="17"/>
          <w:szCs w:val="17"/>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229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5660" w:type="dxa"/>
            <w:vAlign w:val="bottom"/>
          </w:tcPr>
          <w:p>
            <w:pPr>
              <w:spacing w:after="0"/>
              <w:rPr>
                <w:sz w:val="19"/>
                <w:szCs w:val="19"/>
                <w:color w:val="auto"/>
              </w:rPr>
            </w:pPr>
          </w:p>
        </w:tc>
        <w:tc>
          <w:tcPr>
            <w:tcW w:w="4140" w:type="dxa"/>
            <w:vAlign w:val="bottom"/>
          </w:tcPr>
          <w:p>
            <w:pPr>
              <w:jc w:val="right"/>
              <w:ind w:right="175"/>
              <w:spacing w:after="0"/>
              <w:rPr>
                <w:sz w:val="20"/>
                <w:szCs w:val="20"/>
                <w:color w:val="auto"/>
              </w:rPr>
            </w:pPr>
            <w:r>
              <w:rPr>
                <w:rFonts w:ascii="Arial" w:cs="Arial" w:eastAsia="Arial" w:hAnsi="Arial"/>
                <w:sz w:val="17"/>
                <w:szCs w:val="17"/>
                <w:b w:val="1"/>
                <w:bCs w:val="1"/>
                <w:color w:val="auto"/>
              </w:rPr>
              <w:t>January 31, 2020</w:t>
            </w:r>
          </w:p>
        </w:tc>
        <w:tc>
          <w:tcPr>
            <w:tcW w:w="1580" w:type="dxa"/>
            <w:vAlign w:val="bottom"/>
          </w:tcPr>
          <w:p>
            <w:pPr>
              <w:jc w:val="right"/>
              <w:ind w:right="75"/>
              <w:spacing w:after="0"/>
              <w:rPr>
                <w:sz w:val="20"/>
                <w:szCs w:val="20"/>
                <w:color w:val="auto"/>
              </w:rPr>
            </w:pPr>
            <w:r>
              <w:rPr>
                <w:rFonts w:ascii="Arial" w:cs="Arial" w:eastAsia="Arial" w:hAnsi="Arial"/>
                <w:sz w:val="17"/>
                <w:szCs w:val="17"/>
                <w:b w:val="1"/>
                <w:bCs w:val="1"/>
                <w:color w:val="auto"/>
              </w:rPr>
              <w:t>February 1, 2019</w:t>
            </w:r>
          </w:p>
        </w:tc>
      </w:tr>
      <w:tr>
        <w:trPr>
          <w:trHeight w:val="31"/>
        </w:trPr>
        <w:tc>
          <w:tcPr>
            <w:tcW w:w="56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4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r>
      <w:tr>
        <w:trPr>
          <w:trHeight w:val="270"/>
        </w:trPr>
        <w:tc>
          <w:tcPr>
            <w:tcW w:w="5660" w:type="dxa"/>
            <w:vAlign w:val="bottom"/>
          </w:tcPr>
          <w:p>
            <w:pPr>
              <w:ind w:left="160"/>
              <w:spacing w:after="0" w:line="270"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8"/>
                <w:szCs w:val="28"/>
                <w:color w:val="auto"/>
                <w:vertAlign w:val="superscript"/>
              </w:rPr>
              <w:t>1</w:t>
            </w:r>
          </w:p>
        </w:tc>
        <w:tc>
          <w:tcPr>
            <w:tcW w:w="41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70"/>
        </w:trPr>
        <w:tc>
          <w:tcPr>
            <w:tcW w:w="5660" w:type="dxa"/>
            <w:vAlign w:val="bottom"/>
            <w:tcBorders>
              <w:bottom w:val="single" w:sz="8" w:color="auto"/>
            </w:tcBorders>
            <w:shd w:val="clear" w:color="auto" w:fill="CCEEFF"/>
          </w:tcPr>
          <w:p>
            <w:pPr>
              <w:ind w:left="160"/>
              <w:spacing w:after="0" w:line="270"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8"/>
                <w:szCs w:val="28"/>
                <w:color w:val="auto"/>
                <w:vertAlign w:val="superscript"/>
              </w:rPr>
              <w:t>2</w:t>
            </w:r>
          </w:p>
        </w:tc>
        <w:tc>
          <w:tcPr>
            <w:tcW w:w="4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6.2 %</w:t>
            </w:r>
          </w:p>
        </w:tc>
      </w:tr>
      <w:tr>
        <w:trPr>
          <w:trHeight w:val="233"/>
        </w:trPr>
        <w:tc>
          <w:tcPr>
            <w:tcW w:w="5660" w:type="dxa"/>
            <w:vAlign w:val="bottom"/>
          </w:tcPr>
          <w:p>
            <w:pPr>
              <w:ind w:left="20"/>
              <w:spacing w:after="0"/>
              <w:rPr>
                <w:sz w:val="20"/>
                <w:szCs w:val="20"/>
                <w:color w:val="auto"/>
              </w:rPr>
            </w:pPr>
            <w:r>
              <w:rPr>
                <w:rFonts w:ascii="Arial" w:cs="Arial" w:eastAsia="Arial" w:hAnsi="Arial"/>
                <w:sz w:val="17"/>
                <w:szCs w:val="17"/>
                <w:color w:val="auto"/>
              </w:rPr>
              <w:t>Adjusted non-GAAP effective tax rate</w:t>
            </w:r>
          </w:p>
        </w:tc>
        <w:tc>
          <w:tcPr>
            <w:tcW w:w="4140" w:type="dxa"/>
            <w:vAlign w:val="bottom"/>
          </w:tcPr>
          <w:p>
            <w:pPr>
              <w:jc w:val="right"/>
              <w:ind w:right="55"/>
              <w:spacing w:after="0"/>
              <w:rPr>
                <w:sz w:val="20"/>
                <w:szCs w:val="20"/>
                <w:color w:val="auto"/>
              </w:rPr>
            </w:pPr>
            <w:r>
              <w:rPr>
                <w:rFonts w:ascii="Arial" w:cs="Arial" w:eastAsia="Arial" w:hAnsi="Arial"/>
                <w:sz w:val="17"/>
                <w:szCs w:val="17"/>
                <w:color w:val="auto"/>
              </w:rPr>
              <w:t>21.0%</w:t>
            </w:r>
          </w:p>
        </w:tc>
        <w:tc>
          <w:tcPr>
            <w:tcW w:w="1580" w:type="dxa"/>
            <w:vAlign w:val="bottom"/>
          </w:tcPr>
          <w:p>
            <w:pPr>
              <w:jc w:val="right"/>
              <w:spacing w:after="0"/>
              <w:rPr>
                <w:sz w:val="20"/>
                <w:szCs w:val="20"/>
                <w:color w:val="auto"/>
              </w:rPr>
            </w:pPr>
            <w:r>
              <w:rPr>
                <w:rFonts w:ascii="Arial" w:cs="Arial" w:eastAsia="Arial" w:hAnsi="Arial"/>
                <w:sz w:val="17"/>
                <w:szCs w:val="17"/>
                <w:color w:val="auto"/>
              </w:rPr>
              <w:t>20.9 %</w:t>
            </w:r>
          </w:p>
        </w:tc>
      </w:tr>
      <w:tr>
        <w:trPr>
          <w:trHeight w:val="31"/>
        </w:trPr>
        <w:tc>
          <w:tcPr>
            <w:tcW w:w="56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ind w:left="180" w:hanging="172"/>
        <w:spacing w:after="0" w:line="230" w:lineRule="auto"/>
        <w:tabs>
          <w:tab w:leader="none" w:pos="18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 xml:space="preserve">During first quarter of fiscal 2020, we entered into an Agreement and Plan of Merger to acquire Venture Products, a privately-held Ohio corporation and the manufacturer of Ventrac-branded products, and an agreement to purchase the real property used by Venture Products("Purchase Agreement"). On March 2, 2020, subsequent to the end of the first quarter of fiscal 2020, pursuant to the Agreement and Plan of Merger and the Purchase Agreement, we completed the acquisition of Venture Products. During the second quarter of fiscal 2019, we acquired CMW. For additional information regarding our acquisition of CMW, refer to Note 2, </w:t>
      </w:r>
      <w:r>
        <w:rPr>
          <w:rFonts w:ascii="Arial" w:cs="Arial" w:eastAsia="Arial" w:hAnsi="Arial"/>
          <w:sz w:val="15"/>
          <w:szCs w:val="15"/>
          <w:i w:val="1"/>
          <w:iCs w:val="1"/>
          <w:color w:val="auto"/>
        </w:rPr>
        <w:t>Business Combinations</w:t>
      </w:r>
      <w:r>
        <w:rPr>
          <w:rFonts w:ascii="Arial" w:cs="Arial" w:eastAsia="Arial" w:hAnsi="Arial"/>
          <w:sz w:val="15"/>
          <w:szCs w:val="15"/>
          <w:color w:val="auto"/>
        </w:rPr>
        <w:t>, within the Notes to Condensed Consolidated Financial Statements included within Part 1, Item 1, "Financial Statements" of this Quarterly Report on Form 10-Q. Acquisition-related costs for the three month period ended January 31, 2020 represent costs incurred related to our acquisition of Venture Products, as well as integration costs and charges incurred for the take-down of the inventory fair value step-up amount resulting from purchase accounting adjustments related to our acquisition of CMW. Additionally, we elected to recast acquisition-related costs for the three month period ended February 1, 2019 to conform to the current period presentation and as a result, acquisition-related costs were restated to be inclusive of the costs incurred related to our acquisition of CMW for the three month period ended February 1, 2019.</w:t>
      </w:r>
    </w:p>
    <w:p>
      <w:pPr>
        <w:spacing w:after="0" w:line="198" w:lineRule="exact"/>
        <w:rPr>
          <w:sz w:val="20"/>
          <w:szCs w:val="20"/>
          <w:color w:val="auto"/>
        </w:rPr>
      </w:pPr>
    </w:p>
    <w:p>
      <w:pPr>
        <w:jc w:val="both"/>
        <w:ind w:left="180" w:hanging="172"/>
        <w:spacing w:after="0" w:line="223" w:lineRule="auto"/>
        <w:tabs>
          <w:tab w:leader="none" w:pos="18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 xml:space="preserve">In the first quarter of fiscal 2017, we adopted Accounting Standards Update No. 2016-09, </w:t>
      </w:r>
      <w:r>
        <w:rPr>
          <w:rFonts w:ascii="Arial" w:cs="Arial" w:eastAsia="Arial" w:hAnsi="Arial"/>
          <w:sz w:val="14"/>
          <w:szCs w:val="14"/>
          <w:i w:val="1"/>
          <w:iCs w:val="1"/>
          <w:color w:val="auto"/>
        </w:rPr>
        <w:t>Stock-based Compensation: Improvements to Employee Share-based Payment Accounting</w:t>
      </w:r>
      <w:r>
        <w:rPr>
          <w:rFonts w:ascii="Arial" w:cs="Arial" w:eastAsia="Arial" w:hAnsi="Arial"/>
          <w:sz w:val="14"/>
          <w:szCs w:val="14"/>
          <w:color w:val="auto"/>
        </w:rPr>
        <w:t>, which requires that any excess tax deduction for share-based compensation be immediately recorded within income tax expense. These amounts represent the discrete tax benefits recorded as excess tax deductions for share-based compensation during the three month periods ended January 31, 2020 and February 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There have been no material changes to our critical accounting policies and estimates since our most recent Annual Report on Form 10-K for the fiscal year ended October 31, 2019. Refer to Part II, Item 7, "Management’s Discussion and Analysis of Financial Condition and Results of Operations", and Part II, Item 8, Note 1, </w:t>
      </w:r>
      <w:r>
        <w:rPr>
          <w:rFonts w:ascii="Arial" w:cs="Arial" w:eastAsia="Arial" w:hAnsi="Arial"/>
          <w:sz w:val="18"/>
          <w:szCs w:val="18"/>
          <w:i w:val="1"/>
          <w:iCs w:val="1"/>
          <w:color w:val="auto"/>
        </w:rPr>
        <w:t>Summary of Significant Accounting Policies and Related Data</w:t>
      </w:r>
      <w:r>
        <w:rPr>
          <w:rFonts w:ascii="Arial" w:cs="Arial" w:eastAsia="Arial" w:hAnsi="Arial"/>
          <w:sz w:val="18"/>
          <w:szCs w:val="18"/>
          <w:color w:val="auto"/>
        </w:rPr>
        <w:t>, within our Annual Report on Form 10-K for the fiscal year ended October 31, 2019 for a discussion of our critical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2016-03, </w:t>
      </w:r>
      <w:r>
        <w:rPr>
          <w:rFonts w:ascii="Arial" w:cs="Arial" w:eastAsia="Arial" w:hAnsi="Arial"/>
          <w:sz w:val="17"/>
          <w:szCs w:val="17"/>
          <w:i w:val="1"/>
          <w:iCs w:val="1"/>
          <w:color w:val="auto"/>
        </w:rPr>
        <w:t>Financial Instruments -</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326): Measurement of Credit Losses on Financial Instruments</w:t>
      </w:r>
      <w:r>
        <w:rPr>
          <w:rFonts w:ascii="Arial" w:cs="Arial" w:eastAsia="Arial" w:hAnsi="Arial"/>
          <w:sz w:val="17"/>
          <w:szCs w:val="17"/>
          <w:color w:val="auto"/>
        </w:rPr>
        <w:t>, which modifies the measurement approach for credit losses on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will affect trade receivables, off-balance-sheet credit exposures, and any other financial assets not excluded from the scope of this amendment that have the contractual right to receive cash. The amended guidance will become effective in the first quarter of fiscal 2021. We are currently evaluating the impact of this new standard on our Consolidated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2018-13, Fair Value </w:t>
      </w:r>
      <w:r>
        <w:rPr>
          <w:rFonts w:ascii="Arial" w:cs="Arial" w:eastAsia="Arial" w:hAnsi="Arial"/>
          <w:sz w:val="18"/>
          <w:szCs w:val="18"/>
          <w:i w:val="1"/>
          <w:iCs w:val="1"/>
          <w:color w:val="auto"/>
        </w:rPr>
        <w:t>Measurement (Topic 820)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makes a number of changes to add, modify or remove certain disclosure requirements of fair value measurements. The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will become effective in the first quarter of fiscal 2021. Early adoption is permitted for any removed or modified disclosures. We are currently evaluating the impact of this new standard on our Consolidated Financial Statements.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2018, the FASB issued ASU No. 2018-14, </w:t>
      </w:r>
      <w:r>
        <w:rPr>
          <w:rFonts w:ascii="Arial" w:cs="Arial" w:eastAsia="Arial" w:hAnsi="Arial"/>
          <w:sz w:val="16"/>
          <w:szCs w:val="16"/>
          <w:i w:val="1"/>
          <w:iCs w:val="1"/>
          <w:color w:val="auto"/>
        </w:rPr>
        <w:t>Compensation - Retirement Benefits - Defined Benefit Plans (Topic 715)</w:t>
      </w:r>
      <w:r>
        <w:rPr>
          <w:rFonts w:ascii="Arial" w:cs="Arial" w:eastAsia="Arial" w:hAnsi="Arial"/>
          <w:sz w:val="16"/>
          <w:szCs w:val="16"/>
          <w:color w:val="auto"/>
        </w:rPr>
        <w:t>, which modifies the disclosure requirements for defined benefit pension plans and other post-retirement plans. The amended guidance will become effective in the first quarter of fiscal 2021. Early adoption is permitted. We are currently evaluating the impact of this new standard on our Consolidated Financial Statements.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eliminates certain exceptions related to the approach for intraperiod tax allocation, the methodology for 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amended guidance will become effective in the first quarter of fiscal 2022. Early adoption is permitted. We are currently evaluating the impact of this new standard on our Consolidated Financial Statements.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 - Equity Securities (Topic 321), Investments - Equity Method and Joint Ventures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323), and Derivatives and Hedging (Topic 815)</w:t>
      </w:r>
      <w:r>
        <w:rPr>
          <w:rFonts w:ascii="Arial" w:cs="Arial" w:eastAsia="Arial" w:hAnsi="Arial"/>
          <w:sz w:val="17"/>
          <w:szCs w:val="17"/>
          <w:color w:val="auto"/>
        </w:rPr>
        <w:t>, which clarified that before applying or upon discontinuing the equity method of accounting for an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in equity securities an entity should consider observable transactions that require it to apply or discontinue the equity method of accounting for the purposes of applying the fair value measurement alternative. The amended guidance will become effective in the first quarter of fiscal 2022. Early adoption is permitted. We are currently evaluating the impact of this standard on our Consolidated Financial Statements.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all other recently issued accounting pronouncements from the FASB that we have not noted above, will not have a material impact on our Consolidated Financial Statements or do not apply to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and financial condition; our business strategies and goals; the integration of each of the CMW and Venture Products acquisitions; and the effect of laws, rules, policies, regulations, tax reform, new accounting pronouncements, and outstanding litigation on our business and future performance.</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6" w:lineRule="exact"/>
        <w:rPr>
          <w:sz w:val="20"/>
          <w:szCs w:val="20"/>
          <w:color w:val="auto"/>
        </w:rPr>
      </w:pPr>
    </w:p>
    <w:p>
      <w:pPr>
        <w:jc w:val="both"/>
        <w:ind w:left="660" w:hanging="328"/>
        <w:spacing w:after="0" w:line="267"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reduced governmental or municipal spending; slow down or reductions in levels of golf course development, renovation, and improvement; golf course closures; reduced levels of home ownership, construction, and sales; home foreclosures; negative consumer confidence; reduced consumer spending levels; increased unemployment rates; prolonged high unemployment rates; higher costs of commodities, components, parts, and accessories and/or transportation-related costs, including as a result of inflation, changing prices, tariffs, and/or duties; inflationary or deflationary pressures; reduced credit availability or unfavorable credit terms for our distributors, dealers, and end-user customers; higher short-term, mortgage, and other interest rates; reduced infrastructure spending; and general economic and political conditions and expectations.</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and/or cause disruptions in our operations, including as a result of disruption in our supply chain, and adversely affect our net sales and operating results, or may affect the timing of demand for some of our products and/or our ability to manufacture product to fulfill customer demand, which may adversely affect net sales and operating results in subsequent periods.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 have in the past affected our operating results and could continue to result in declines in our net sales and net earnings.</w:t>
      </w:r>
    </w:p>
    <w:p>
      <w:pPr>
        <w:jc w:val="both"/>
        <w:ind w:left="660" w:hanging="328"/>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Increases in the cost, or disruption and/or shortages in the availability, of commodities, components, parts and accessories containing various materials that we purchase for use in our manufacturing process and end-products or to be sold as stand-alone end-products, such as steel, aluminum, petroleum and natural gas-based resins, linerboard, copper, lead, rubber, engines, transmissions, transaxles, hydraulics, electric motors, and other commodities, components, parts and accessories, and increases in our other costs of doing business, such as transportation costs and/or increased tariffs, duties or other charges as a result of pandemics and/or epidemics, including COVID-19 (e.g. the coronavirus), changes to U.S. or international trade policies or trade agreements or trade regulation and/or industry activity, that could or have in the past affected our profit margins, operating results and businesses and could continue to result in declines in our profit margins, operating results and businesses.</w:t>
      </w:r>
    </w:p>
    <w:p>
      <w:pPr>
        <w:spacing w:after="0" w:line="4"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certain factors, including golf course revenues and the amount of investment in golf course renovations and improvements; the level of new golf course development and golf course closures; infrastructure improvements; demand for our products in the rental, specialty and underground construction markets; the extent to which property owners outsource their lawn care and snow and ice removal activities; residential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and/or municipal commercial construction activity; continued acceptance of, and demand for, ag-irrigation solutions; the timing and occurrence of winter weather conditions; availability of cash or credit to Professional segment customers on acceptable terms to finance new product purchases; and the amount of government revenues, budget, and spending levels for grounds maintenance or construction equipment.</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consumers buying our products at mass retailers, dealers, and home centers; the amount of product placement at mass retailers and home centers; consumer confidence and spending levels; changing buying patterns of customers; and the impact of significant sales or promotional events.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financial performance, including our profit margins and net earnings, can be impacted depending on the mix of products we sell during a given period, as our Professional segment products generally have higher profit margins than our Residential segment products. Similarly, within each segment, if we experience lower sales of products that generally carry higher profit margins, our financial performance, including profit margins and net earnings, could be negatively impacted.</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intend to grow our business in part through acquisitions, including by our recently completed acquisitions of CMW and Venture Products, and alliances, strong customer relations, and new joint ventures, investments, and partnerships, which could be risky and harm our business, reputation, financial condition, and operating results, particularly if we are not able to successfully integrate such acquisitions and alliances, joint ventures, investments, and partnerships, such transactions result in disruption to our operations, we experience loss of key employees, customers, or channel partners, significant amounts of goodwill, other intangible assets, and/or long-lived assets incurred as a result of a transaction are subsequently written off, and other factors. If previous or future acquisitions do not produce the expected results or integration into our operations takes more time than expected, our business could be harmed.</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January 31, 2020, we had goodwill of $362.1 million, which is maintained in various reporting units, including goodwill from the CMW acquisition, and other intangible assets of $347.6 million, which together comprise 28.5 percent of our total assets as of January 31, 2020. As a result of our recently completed Venture Products acquisition, our goodwill and intangible asset balances will likely increase. If we determine that our goodwill or other intangible assets recorded in connection with the CMW acquisition or any other prior or future acquisitions have become impaired, we will be required to record a charge resulting from the impairment. Impairment charges could be significant and could adversely affect our consolidated results of operations and financial position.</w:t>
      </w:r>
    </w:p>
    <w:p>
      <w:pPr>
        <w:spacing w:after="0" w:line="2"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manage our inventory levels to meet our customers' demand for our products is important for our business. If we underestimate or overestimate both channel and retail demand for our products, are not able to manufacture product to fulfill customer demand, and/or do not produce or maintain appropriate inventory levels, our net sales, profit margins, net earnings, and/or working capital could be negatively impacted.</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and operating results are subject to the inventory management decisions of our distribution channel customers. Any adjustments in the carrying amount of inventories by our distribution channel customers may impact our inventory management and working capital goals as well as operating results.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composition of, financial viability of, and/or the relationships with, our distribution channel customers could negatively impact our business and operating results.</w:t>
      </w: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some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trade or other policy changes between the U.S. and other countries, trade regulation and/or industry activity that favors domestic companies, pandemics and/or epidemics, including as a result of COVID-19 (e.g. the coronavirus), or weakened international economic conditions;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6" w:lineRule="exact"/>
        <w:rPr>
          <w:rFonts w:ascii="Arial" w:cs="Arial" w:eastAsia="Arial" w:hAnsi="Arial"/>
          <w:sz w:val="16"/>
          <w:szCs w:val="16"/>
          <w:color w:val="auto"/>
        </w:rPr>
      </w:pPr>
    </w:p>
    <w:p>
      <w:pPr>
        <w:jc w:val="both"/>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as well as develop and market new products, that respond to customer needs and preferences and achieve market acceptance, including by incorporating new, emerging and/or disruptive technologies that may become preferred by our customers, we may experience a decrease in demand for our products, and our net sales could be adversely affected.</w:t>
      </w:r>
    </w:p>
    <w:p>
      <w:pPr>
        <w:jc w:val="both"/>
        <w:ind w:left="66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disruption, including as a result of natural or man-made disasters, inclement weather, including as a result of climate change-related events, work slowdowns, strikes, pandemics and/or epidemics, including as a result of COVID-19 (e.g. the coronavirus), or other events, at any of our facilities or in our manufacturing or other operations, or those of our distribution channel customers or suppliers, or our inability to cost-effectively expand existing facilities, open and manage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facilities, and/or move production between manufacturing facilities could adversely affect our business and operating results.</w:t>
      </w:r>
    </w:p>
    <w:p>
      <w:pPr>
        <w:spacing w:after="0" w:line="23" w:lineRule="exact"/>
        <w:rPr>
          <w:sz w:val="20"/>
          <w:szCs w:val="20"/>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labor needs fluctuate throughout the year and any failure by us to hire and/or retain a labor force to adequately staff manufacturing operations, perform service or warranty work, or other necessary activities or by such labor force to adequately and safely perform their jobs could adversely affect our business, operating results, and reputation.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information security practices, or those of our business partners or third-party service providers, fail to adequately perform and/or protect sensitive or confidential information, or if we, our business partners, or third-party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66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policies and regulations with which compliance may require us to incur expenses or modify our products or operations and non-compliance may result in harm to our reputation and/or expose us to penalties. Governmental policies and regulations may also adversely affect the demand for some of our products and our operating results. In addition, changes in laws, policies, and regulations in the U.S. or other countries in which we conduct business also may adversely affect our financial results, including as a result of,</w:t>
      </w:r>
    </w:p>
    <w:p>
      <w:pPr>
        <w:spacing w:after="0" w:line="2" w:lineRule="exact"/>
        <w:rPr>
          <w:rFonts w:ascii="Arial" w:cs="Arial" w:eastAsia="Arial" w:hAnsi="Arial"/>
          <w:sz w:val="16"/>
          <w:szCs w:val="16"/>
          <w:color w:val="auto"/>
        </w:rPr>
      </w:pPr>
    </w:p>
    <w:p>
      <w:pPr>
        <w:jc w:val="both"/>
        <w:ind w:left="660"/>
        <w:spacing w:after="0" w:line="281" w:lineRule="auto"/>
        <w:rPr>
          <w:rFonts w:ascii="Arial" w:cs="Arial" w:eastAsia="Arial" w:hAnsi="Arial"/>
          <w:sz w:val="16"/>
          <w:szCs w:val="16"/>
          <w:color w:val="auto"/>
        </w:rPr>
      </w:pPr>
      <w:r>
        <w:rPr>
          <w:rFonts w:ascii="Arial" w:cs="Arial" w:eastAsia="Arial" w:hAnsi="Arial"/>
          <w:sz w:val="16"/>
          <w:szCs w:val="16"/>
          <w:color w:val="auto"/>
        </w:rPr>
        <w:t>(i) taxation and tax policy changes, tax rate changes, new tax laws, new or revised tax law interpretations or guidance, including as a result of the Tax Act, (ii) changes to, or adoption of new, healthcare laws or regulations, or (iii) changes to U.S. or international policies or trade agreements or trade regulation and/or industry activity that could result in additional duties or other charges on commodities, components, parts or accessories we import.</w:t>
      </w:r>
    </w:p>
    <w:p>
      <w:pPr>
        <w:spacing w:after="0" w:line="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standards, policies, or assumptions in applying accounting policies could adversely affect our financial statements, including our financial results and financial condition.</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Climate change legislation, regulations, or accords may adversely impact our operations.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product quality issues, product liability claims, and other litigation from time to time that could adversely affect our business, reputation, operating results, or financial condition.</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dependent upon various floor planning programs to provide competitive inventory financing programs to certain distributors and dealers of our products. Any material change in the availability or terms of credit offered to our customers by such programs, challenges or delays in transferring new distributors and dealers from any business we might acquire or otherwise to such programs, or any termination or disruption of our various floor planning programs or any delay in securing replacement credit sources, could adversely affect our net sales and operating results.</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our credit arrangements and the indentures and other terms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such terms, especially the financial covenants, our credit arrangements could be terminated and our senior notes, debentures, term loan facilities, and any amounts outstanding under our revolving credit facility could become due and payable.</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addition of further leverage to our capital structure could result in a downgrade to our credit ratings in the future and the failure to maintain investment grade credit ratings could adversely affect our cost of funding and our liquidity by limiting the access to capital markets or the availability of funding from a variety of lenders.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expanding and renovating our corporate and other facilities and could experience disruptions to our operations in connection with such efforts.</w:t>
      </w:r>
    </w:p>
    <w:p>
      <w:pPr>
        <w:ind w:left="660" w:right="2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achieve our projected financial information or other business initiatives in the time periods that we anticipate, or at all, which could have an adverse effect on our business, operating results and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2019. Refer to Part II, Item 7A, "Quantitative and Qualitative Disclosures about Market Risk", within our Annual Report on Form 10-K for the fiscal year ended October 31, 2019 for a complete discussion of our market risk. Refer below for further discussion on foreign currency exchange rate risk, interest rate risk, and commodity cost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foreign currency exchange rate risk arising from transactions in the normal course of business, such as sales to third-party customers, sales and loans to wholly-owned foreign subsidiaries,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reduce our exposure to foreign currency exchange rate risk, we actively manage the exposure of our foreign currency exchange rate risk by entering into various derivative instruments to hedge against such risk, authorized under company policies that place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Changes in the fair values of the spot rate component of outstanding, highly effective cash flow hedging instruments included in the assessment of hedge effectiveness are recorded in other comprehensive income within accumulated other comprehensive loss ("AOCL") on the Condensed Consolidated Balance Sheets and are subsequently reclassified to net earnings within the Condensed Consolidated Statements of Earnings during the same period in which the cash flows of the underlying hedged transaction affect net earnings. Certain derivative instruments we hold do not meet the cash flow hedge accounting criteria or have components that are excluded from cash flow hedge accounting; therefore, changes in their fair value are recorded in the Condensed Consolidated Statements of Earnings within the same line item as that of the underlying exposure. For additional information regarding our derivative instruments, see Note 17,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in our Notes to Condensed Consolidated Financial Statements included in Item 1 of this Quarterly Report on Form 10-Q.</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foreign currency exchange contracts in the table below have maturity dates in fiscal 2020 through fiscal 2022. All items are non-trading and stated in U.S. dollars. As of January 31, 2020, the average contracted rate, notional amount, fair value, and the gain at fair value of outstanding derivative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020" w:type="dxa"/>
            <w:vAlign w:val="bottom"/>
          </w:tcPr>
          <w:p>
            <w:pPr>
              <w:jc w:val="right"/>
              <w:ind w:right="375"/>
              <w:spacing w:after="0"/>
              <w:rPr>
                <w:sz w:val="20"/>
                <w:szCs w:val="20"/>
                <w:color w:val="auto"/>
              </w:rPr>
            </w:pPr>
            <w:r>
              <w:rPr>
                <w:rFonts w:ascii="Arial" w:cs="Arial" w:eastAsia="Arial" w:hAnsi="Arial"/>
                <w:sz w:val="17"/>
                <w:szCs w:val="17"/>
                <w:b w:val="1"/>
                <w:bCs w:val="1"/>
                <w:color w:val="auto"/>
              </w:rPr>
              <w:t>Average</w:t>
            </w: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4640" w:type="dxa"/>
            <w:vAlign w:val="bottom"/>
          </w:tcPr>
          <w:p>
            <w:pPr>
              <w:ind w:left="40"/>
              <w:spacing w:after="0"/>
              <w:rPr>
                <w:sz w:val="20"/>
                <w:szCs w:val="20"/>
                <w:color w:val="auto"/>
              </w:rPr>
            </w:pPr>
            <w:r>
              <w:rPr>
                <w:rFonts w:ascii="Arial" w:cs="Arial" w:eastAsia="Arial" w:hAnsi="Arial"/>
                <w:sz w:val="17"/>
                <w:szCs w:val="17"/>
                <w:b w:val="1"/>
                <w:bCs w:val="1"/>
                <w:color w:val="auto"/>
              </w:rPr>
              <w:t>(Dollars in thousands, except average contracted rate)</w:t>
            </w:r>
          </w:p>
        </w:tc>
        <w:tc>
          <w:tcPr>
            <w:tcW w:w="2020" w:type="dxa"/>
            <w:vAlign w:val="bottom"/>
          </w:tcPr>
          <w:p>
            <w:pPr>
              <w:jc w:val="right"/>
              <w:ind w:right="75"/>
              <w:spacing w:after="0"/>
              <w:rPr>
                <w:sz w:val="20"/>
                <w:szCs w:val="20"/>
                <w:color w:val="auto"/>
              </w:rPr>
            </w:pPr>
            <w:r>
              <w:rPr>
                <w:rFonts w:ascii="Arial" w:cs="Arial" w:eastAsia="Arial" w:hAnsi="Arial"/>
                <w:sz w:val="17"/>
                <w:szCs w:val="17"/>
                <w:b w:val="1"/>
                <w:bCs w:val="1"/>
                <w:color w:val="auto"/>
              </w:rPr>
              <w:t>Contracted Rate</w:t>
            </w:r>
          </w:p>
        </w:tc>
        <w:tc>
          <w:tcPr>
            <w:tcW w:w="162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Notional Amount</w:t>
            </w:r>
          </w:p>
        </w:tc>
        <w:tc>
          <w:tcPr>
            <w:tcW w:w="320" w:type="dxa"/>
            <w:vAlign w:val="bottom"/>
          </w:tcPr>
          <w:p>
            <w:pPr>
              <w:spacing w:after="0"/>
              <w:rPr>
                <w:sz w:val="19"/>
                <w:szCs w:val="19"/>
                <w:color w:val="auto"/>
              </w:rPr>
            </w:pPr>
          </w:p>
        </w:tc>
        <w:tc>
          <w:tcPr>
            <w:tcW w:w="1260" w:type="dxa"/>
            <w:vAlign w:val="bottom"/>
          </w:tcPr>
          <w:p>
            <w:pPr>
              <w:jc w:val="right"/>
              <w:ind w:right="295"/>
              <w:spacing w:after="0"/>
              <w:rPr>
                <w:sz w:val="20"/>
                <w:szCs w:val="20"/>
                <w:color w:val="auto"/>
              </w:rPr>
            </w:pPr>
            <w:r>
              <w:rPr>
                <w:rFonts w:ascii="Arial" w:cs="Arial" w:eastAsia="Arial" w:hAnsi="Arial"/>
                <w:sz w:val="17"/>
                <w:szCs w:val="17"/>
                <w:b w:val="1"/>
                <w:bCs w:val="1"/>
                <w:color w:val="auto"/>
              </w:rPr>
              <w:t>Fair Value</w:t>
            </w:r>
          </w:p>
        </w:tc>
        <w:tc>
          <w:tcPr>
            <w:tcW w:w="1560" w:type="dxa"/>
            <w:vAlign w:val="bottom"/>
            <w:gridSpan w:val="2"/>
          </w:tcPr>
          <w:p>
            <w:pPr>
              <w:jc w:val="right"/>
              <w:spacing w:after="0"/>
              <w:rPr>
                <w:sz w:val="20"/>
                <w:szCs w:val="20"/>
                <w:color w:val="auto"/>
              </w:rPr>
            </w:pPr>
            <w:r>
              <w:rPr>
                <w:rFonts w:ascii="Arial" w:cs="Arial" w:eastAsia="Arial" w:hAnsi="Arial"/>
                <w:sz w:val="17"/>
                <w:szCs w:val="17"/>
                <w:b w:val="1"/>
                <w:bCs w:val="1"/>
                <w:color w:val="auto"/>
              </w:rPr>
              <w:t>Gain at Fair Value</w:t>
            </w:r>
          </w:p>
        </w:tc>
      </w:tr>
      <w:tr>
        <w:trPr>
          <w:trHeight w:val="31"/>
        </w:trPr>
        <w:tc>
          <w:tcPr>
            <w:tcW w:w="46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U.S. dollar/Sell Australian dollar</w:t>
            </w: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0.7111</w:t>
            </w:r>
          </w:p>
        </w:tc>
        <w:tc>
          <w:tcPr>
            <w:tcW w:w="5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102,819</w:t>
            </w:r>
          </w:p>
        </w:tc>
        <w:tc>
          <w:tcPr>
            <w:tcW w:w="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107,232</w:t>
            </w:r>
          </w:p>
        </w:tc>
        <w:tc>
          <w:tcPr>
            <w:tcW w:w="64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4,413</w:t>
            </w:r>
          </w:p>
        </w:tc>
      </w:tr>
      <w:tr>
        <w:trPr>
          <w:trHeight w:val="239"/>
        </w:trPr>
        <w:tc>
          <w:tcPr>
            <w:tcW w:w="4640" w:type="dxa"/>
            <w:vAlign w:val="bottom"/>
          </w:tcPr>
          <w:p>
            <w:pPr>
              <w:ind w:left="40"/>
              <w:spacing w:after="0"/>
              <w:rPr>
                <w:sz w:val="20"/>
                <w:szCs w:val="20"/>
                <w:color w:val="auto"/>
              </w:rPr>
            </w:pPr>
            <w:r>
              <w:rPr>
                <w:rFonts w:ascii="Arial" w:cs="Arial" w:eastAsia="Arial" w:hAnsi="Arial"/>
                <w:sz w:val="17"/>
                <w:szCs w:val="17"/>
                <w:color w:val="auto"/>
              </w:rPr>
              <w:t>Buy U.S. dollar/Sell Canadian dollar</w:t>
            </w:r>
          </w:p>
        </w:tc>
        <w:tc>
          <w:tcPr>
            <w:tcW w:w="2020" w:type="dxa"/>
            <w:vAlign w:val="bottom"/>
          </w:tcPr>
          <w:p>
            <w:pPr>
              <w:jc w:val="right"/>
              <w:ind w:right="35"/>
              <w:spacing w:after="0"/>
              <w:rPr>
                <w:sz w:val="20"/>
                <w:szCs w:val="20"/>
                <w:color w:val="auto"/>
              </w:rPr>
            </w:pPr>
            <w:r>
              <w:rPr>
                <w:rFonts w:ascii="Arial" w:cs="Arial" w:eastAsia="Arial" w:hAnsi="Arial"/>
                <w:sz w:val="17"/>
                <w:szCs w:val="17"/>
                <w:color w:val="auto"/>
              </w:rPr>
              <w:t>1.3139</w:t>
            </w:r>
          </w:p>
        </w:tc>
        <w:tc>
          <w:tcPr>
            <w:tcW w:w="58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33,093</w:t>
            </w:r>
          </w:p>
        </w:tc>
        <w:tc>
          <w:tcPr>
            <w:tcW w:w="32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33,246</w:t>
            </w:r>
          </w:p>
        </w:tc>
        <w:tc>
          <w:tcPr>
            <w:tcW w:w="6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153</w:t>
            </w:r>
          </w:p>
        </w:tc>
      </w:tr>
      <w:tr>
        <w:trPr>
          <w:trHeight w:val="31"/>
        </w:trPr>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U.S. dollar/Sell Euro</w:t>
            </w: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1.1824</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147,421</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154,681</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7,260</w:t>
            </w:r>
          </w:p>
        </w:tc>
      </w:tr>
      <w:tr>
        <w:trPr>
          <w:trHeight w:val="239"/>
        </w:trPr>
        <w:tc>
          <w:tcPr>
            <w:tcW w:w="4640" w:type="dxa"/>
            <w:vAlign w:val="bottom"/>
          </w:tcPr>
          <w:p>
            <w:pPr>
              <w:ind w:left="40"/>
              <w:spacing w:after="0"/>
              <w:rPr>
                <w:sz w:val="20"/>
                <w:szCs w:val="20"/>
                <w:color w:val="auto"/>
              </w:rPr>
            </w:pPr>
            <w:r>
              <w:rPr>
                <w:rFonts w:ascii="Arial" w:cs="Arial" w:eastAsia="Arial" w:hAnsi="Arial"/>
                <w:sz w:val="17"/>
                <w:szCs w:val="17"/>
                <w:color w:val="auto"/>
              </w:rPr>
              <w:t>Buy U.S. dollar/Sell British pound</w:t>
            </w:r>
          </w:p>
        </w:tc>
        <w:tc>
          <w:tcPr>
            <w:tcW w:w="2020" w:type="dxa"/>
            <w:vAlign w:val="bottom"/>
          </w:tcPr>
          <w:p>
            <w:pPr>
              <w:jc w:val="right"/>
              <w:ind w:right="35"/>
              <w:spacing w:after="0"/>
              <w:rPr>
                <w:sz w:val="20"/>
                <w:szCs w:val="20"/>
                <w:color w:val="auto"/>
              </w:rPr>
            </w:pPr>
            <w:r>
              <w:rPr>
                <w:rFonts w:ascii="Arial" w:cs="Arial" w:eastAsia="Arial" w:hAnsi="Arial"/>
                <w:sz w:val="17"/>
                <w:szCs w:val="17"/>
                <w:color w:val="auto"/>
              </w:rPr>
              <w:t>1.3333</w:t>
            </w:r>
          </w:p>
        </w:tc>
        <w:tc>
          <w:tcPr>
            <w:tcW w:w="58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54,317</w:t>
            </w:r>
          </w:p>
        </w:tc>
        <w:tc>
          <w:tcPr>
            <w:tcW w:w="32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55,116</w:t>
            </w:r>
          </w:p>
        </w:tc>
        <w:tc>
          <w:tcPr>
            <w:tcW w:w="6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799</w:t>
            </w:r>
          </w:p>
        </w:tc>
      </w:tr>
      <w:tr>
        <w:trPr>
          <w:trHeight w:val="31"/>
        </w:trPr>
        <w:tc>
          <w:tcPr>
            <w:tcW w:w="46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Buy Mexican peso/Sell U.S. dollar</w:t>
            </w:r>
          </w:p>
        </w:tc>
        <w:tc>
          <w:tcPr>
            <w:tcW w:w="2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19.7763</w:t>
            </w:r>
          </w:p>
        </w:tc>
        <w:tc>
          <w:tcPr>
            <w:tcW w:w="5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2,023</w:t>
            </w:r>
          </w:p>
        </w:tc>
        <w:tc>
          <w:tcPr>
            <w:tcW w:w="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2,074</w:t>
            </w:r>
          </w:p>
        </w:tc>
        <w:tc>
          <w:tcPr>
            <w:tcW w:w="64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w:t>
            </w:r>
          </w:p>
        </w:tc>
      </w:tr>
      <w:tr>
        <w:trPr>
          <w:trHeight w:val="20"/>
        </w:trPr>
        <w:tc>
          <w:tcPr>
            <w:tcW w:w="46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AOCL in stockholders’ equity on the Condensed Consolidated Balance Sheets, and would not impact net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 risk on interest rates relates primarily to fluctuations in LIBOR-based interest rates on our revolving credit facility and term loan credit agreement, as well as the potential increase in the fair value of our fixed-rate long-term debt resulting from a potential decrease in interest rates. We generally do not use interest rate swaps to mitigate the impact of fluctuations in interest rates. Our indebtedness as of January 31, 2020 includes $423.9 million of fixed rate debt that is not subject to variable interest rate fluctuations, $280.0 million of LIBOR-based borrowings under our term loan credit agreement, and $14.0 million outstanding on our LIBOR-based revolving credit facility. We have no earnings or cash flow exposure due to market risks on our fixed-rate long-term debt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 Risk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the commodities, components, parts, and accessories used in our manufacturing process and end-products, or to be sold as standalone end-products, are exposed to commodity cost changes, including, for example, as a result of inflation, deflation, changing prices, tariffs, and/or duties. Our primary commodity cost exposures are with steel, aluminum, petroleum and natural gas-based resins, copper, lead, rubber, linerboard, and other materials, as well as components, such as engines, transmissions, transaxles, hydraulics, and electric motors, for use in our products. Our largest spend for commodities, components, parts, and accessories are generally for steel, engines, hydraulic components, transmissions, resin, aluminum, and electric motors,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strategically work to mitigate any unfavorable impact as a result of changes to the cost of commodities, components, parts, and accessories that affect our product lines. Historically, we have mitigated, and we currently expect that we would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Additionally, we enter into fixed-price contracts for future purchases of natural gas in the normal course of operations as a means to manage natural gas price risks. However, to the extent that commodity, components, parts, and accessories costs increase, as a result of inflation, tariffs, duties, trade regulatory actions, industry actions or otherwise,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components, parts, and accessories costs. In the first three months of fiscal 2020, the average cost of commodities, components, parts, and accessories, including the impact tariff costs, was lower compared to the first three months of fiscal 2019. We anticipate that the average cost for commodities, components, parts, and accessories, including the impact of tariff costs, for the remainder of fiscal 2020 will be less than the average costs experienced during the comparable period of fiscal 2019.</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its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evaluated, with the participation of the our Chairman of the Board, President and Chief Executive Officer and Vice President, Treasurer and Chief Financial Officer, the effectiveness of the design and operation of our disclosure controls and procedures as of the end of the period covered by this Quarterly Report on Form 10-Q. Based on that evaluation, our Chairman of the Board, President and Chief Executive Officer and Vice President, Treasurer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Treasurer and Chief Financial Officer, as appropriate, to allow timely decisions regarding required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 2019, during the second quarter of fiscal 2019, we completed the acquisition of CMW. Prior to this acquisition, CMW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CMW that we believe are appropriate and necessary to account for the acquisition and to consolidate and report our financial results. We expect to complete our integration activities related to internal control over financial reporting for CMW during the second quarter of fiscal 2020. Accordingly, we expect to include CMW within our assessment of internal control over financial reporting as of October 31, 2020.</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exception of integration activities in connection with the company's acquisition of CMW, there was no change in our internal control over financial reporting that occurred during the three month period ended January 31, 2020 that has materially affected, or is reasonably likely to materially affect, our internal control over financial reporting.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the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and foreign patent offices. We believe these activities help us minimize our risk of being a defendant in patent infringement litigation. We are currently involved in patent litigation cases, including cases by or against competitors, where we are asserting and defending against claims of patent infringement. Such cases are at varying stages in the litigation process.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For a description of our material legal proceedings, see Note 15, </w:t>
      </w:r>
      <w:r>
        <w:rPr>
          <w:rFonts w:ascii="Arial" w:cs="Arial" w:eastAsia="Arial" w:hAnsi="Arial"/>
          <w:sz w:val="17"/>
          <w:szCs w:val="17"/>
          <w:i w:val="1"/>
          <w:iCs w:val="1"/>
          <w:color w:val="auto"/>
        </w:rPr>
        <w:t>Contingencies</w:t>
      </w:r>
      <w:r>
        <w:rPr>
          <w:rFonts w:ascii="Arial" w:cs="Arial" w:eastAsia="Arial" w:hAnsi="Arial"/>
          <w:sz w:val="17"/>
          <w:szCs w:val="17"/>
          <w:color w:val="auto"/>
        </w:rPr>
        <w:t>, in our Notes to Condensed Consolidated Financial Statements under the heading "Litigation" included in Item 1 of this Quarterly Report on Form 10-Q, which is incorporated into this Part II. Item 1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 with the exception of the addition of the following risk factor: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acquisition of Venture Products, Inc. involves a number of risks, the occurrence of which could adversely affect our business, financial condition, and operating results.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20, 2020, pursuant to the Agreement and Plan of Merger and the Purchase Agreement, we completed our acquisition of Venture Products. The acquisition involves certain risks, the occurrence of which could adversely affect our business, financial condition, and operating results, including:</w:t>
      </w:r>
    </w:p>
    <w:p>
      <w:pPr>
        <w:spacing w:after="0" w:line="3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to integrate Venture Products'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 to our existing operations and plans or inability to effectively manage our expanded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difficulties, or delays in securing, integrating, and assimilating information, financial systems, internal controls, operations, manufacturing processes, products, or the distribution channel for Venture Products' businesses and product lines;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Venture Products employees, suppliers, customers, distributors, or dealers or other adverse effects on existing business relationships with suppliers, customers, distributors, and dealers;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impact on overall profitability if our expanded operations do not achieve the growth prospects, net sales, earnings, cost or revenue synergies, or other financial results projected in our valuation models, or delays in the realization thereof;</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reallocation of amounts of capital from our other strategic initiatives;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because we financed the acquisition and related transaction expenses with additional borrowings under our existing credit facility, our ability to access additional capital thereunder may be limited and the increase in our leverage and debt service requirements could restrict our ability to access additional capital when needed or to pursue other important elements of our business strategy;</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inaccurate assessment of undisclosed, contingent, or other liabilities, unanticipated costs associated with the acquisition, and despite the existence of representations, warranties, and indemnities in the merger agreement, an inability to recover or manage such liabilities and costs;</w:t>
      </w: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incorrect estimates made in the accounting for the acquisition or the potential write-off of significant amounts of goodwill, intangible assets, and/or other tangible assets if the Venture Products business does not perform in the future as expected;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mentioned in our recently filed Annual Report on Form 10-K, Part 1, Item 1A, "Risk Factors".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with respect to shares of the company's common stock purchased by the company during each of the three fiscal months in our first quarter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86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20" w:type="dxa"/>
            <w:vAlign w:val="bottom"/>
          </w:tcPr>
          <w:p>
            <w:pPr>
              <w:ind w:left="640"/>
              <w:spacing w:after="0"/>
              <w:rPr>
                <w:sz w:val="20"/>
                <w:szCs w:val="20"/>
                <w:color w:val="auto"/>
              </w:rPr>
            </w:pPr>
            <w:r>
              <w:rPr>
                <w:rFonts w:ascii="Arial" w:cs="Arial" w:eastAsia="Arial" w:hAnsi="Arial"/>
                <w:sz w:val="18"/>
                <w:szCs w:val="18"/>
                <w:b w:val="1"/>
                <w:bCs w:val="1"/>
                <w:color w:val="auto"/>
              </w:rPr>
              <w:t>(or Units)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4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4180" w:type="dxa"/>
            <w:vAlign w:val="bottom"/>
          </w:tcPr>
          <w:p>
            <w:pPr>
              <w:spacing w:after="0"/>
              <w:rPr>
                <w:sz w:val="18"/>
                <w:szCs w:val="18"/>
                <w:color w:val="auto"/>
              </w:rPr>
            </w:pPr>
          </w:p>
        </w:tc>
        <w:tc>
          <w:tcPr>
            <w:tcW w:w="212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Price Paid</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4180" w:type="dxa"/>
            <w:vAlign w:val="bottom"/>
          </w:tcPr>
          <w:p>
            <w:pPr>
              <w:spacing w:after="0"/>
              <w:rPr>
                <w:sz w:val="18"/>
                <w:szCs w:val="18"/>
                <w:color w:val="auto"/>
              </w:rPr>
            </w:pPr>
          </w:p>
        </w:tc>
        <w:tc>
          <w:tcPr>
            <w:tcW w:w="212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Shares (or Units)</w:t>
            </w:r>
          </w:p>
        </w:tc>
        <w:tc>
          <w:tcPr>
            <w:tcW w:w="2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 Share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Under the Plans or</w:t>
            </w:r>
          </w:p>
        </w:tc>
      </w:tr>
      <w:tr>
        <w:trPr>
          <w:trHeight w:val="261"/>
        </w:trPr>
        <w:tc>
          <w:tcPr>
            <w:tcW w:w="4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120" w:type="dxa"/>
            <w:vAlign w:val="bottom"/>
            <w:tcBorders>
              <w:bottom w:val="single" w:sz="8" w:color="auto"/>
            </w:tcBorders>
          </w:tcPr>
          <w:p>
            <w:pPr>
              <w:jc w:val="center"/>
              <w:ind w:left="510"/>
              <w:spacing w:after="0" w:line="262" w:lineRule="exact"/>
              <w:rPr>
                <w:sz w:val="20"/>
                <w:szCs w:val="20"/>
                <w:color w:val="auto"/>
              </w:rPr>
            </w:pPr>
            <w:r>
              <w:rPr>
                <w:rFonts w:ascii="Arial" w:cs="Arial" w:eastAsia="Arial" w:hAnsi="Arial"/>
                <w:sz w:val="18"/>
                <w:szCs w:val="18"/>
                <w:b w:val="1"/>
                <w:bCs w:val="1"/>
                <w:color w:val="auto"/>
                <w:w w:val="83"/>
              </w:rPr>
              <w:t>Purchased</w:t>
            </w:r>
            <w:r>
              <w:rPr>
                <w:rFonts w:ascii="Arial" w:cs="Arial" w:eastAsia="Arial" w:hAnsi="Arial"/>
                <w:sz w:val="25"/>
                <w:szCs w:val="25"/>
                <w:b w:val="1"/>
                <w:bCs w:val="1"/>
                <w:color w:val="auto"/>
                <w:w w:val="83"/>
                <w:vertAlign w:val="superscript"/>
              </w:rPr>
              <w:t>1,2</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(or Unit)</w:t>
            </w:r>
          </w:p>
        </w:tc>
        <w:tc>
          <w:tcPr>
            <w:tcW w:w="202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c>
          <w:tcPr>
            <w:tcW w:w="18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 2019 through November 29, 2019</w:t>
            </w:r>
          </w:p>
        </w:tc>
        <w:tc>
          <w:tcPr>
            <w:tcW w:w="2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7,042,256</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November 30, 2019 through January 3, 2020</w:t>
            </w:r>
          </w:p>
        </w:tc>
        <w:tc>
          <w:tcPr>
            <w:tcW w:w="2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ind w:left="16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7,042,256</w:t>
            </w:r>
          </w:p>
        </w:tc>
      </w:tr>
      <w:tr>
        <w:trPr>
          <w:trHeight w:val="27"/>
        </w:trPr>
        <w:tc>
          <w:tcPr>
            <w:tcW w:w="4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5"/>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4, 2020 through January 31, 2020</w:t>
            </w:r>
          </w:p>
        </w:tc>
        <w:tc>
          <w:tcPr>
            <w:tcW w:w="2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1,310</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82.61</w:t>
            </w:r>
          </w:p>
        </w:tc>
        <w:tc>
          <w:tcPr>
            <w:tcW w:w="202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7,042,256</w:t>
            </w:r>
          </w:p>
        </w:tc>
      </w:tr>
      <w:tr>
        <w:trPr>
          <w:trHeight w:val="237"/>
        </w:trPr>
        <w:tc>
          <w:tcPr>
            <w:tcW w:w="4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1,310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82.61</w:t>
            </w:r>
          </w:p>
        </w:tc>
        <w:tc>
          <w:tcPr>
            <w:tcW w:w="2020" w:type="dxa"/>
            <w:vAlign w:val="bottom"/>
            <w:tcBorders>
              <w:top w:val="single" w:sz="8" w:color="auto"/>
            </w:tcBorders>
          </w:tcPr>
          <w:p>
            <w:pPr>
              <w:ind w:left="168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tcPr>
          <w:p>
            <w:pPr>
              <w:spacing w:after="0"/>
              <w:rPr>
                <w:sz w:val="20"/>
                <w:szCs w:val="20"/>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180" w:hanging="172"/>
        <w:spacing w:after="0" w:line="233" w:lineRule="auto"/>
        <w:tabs>
          <w:tab w:leader="none" w:pos="18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On December 3, 2015, the company’s Board of Directors authorized the repurchase of 8,000,000 shares of the company’s common stock in open-market or privately negotiated transactions. On December 4, 2018, the company’s Board of Directors authorized the repurchase of up to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authorized stock repurchase program during the first quarter of fiscal 2020 and 7,042,256 shares remained available to repurchase under this authorized stock repurchase program as of January 31, 2020.</w:t>
      </w:r>
    </w:p>
    <w:p>
      <w:pPr>
        <w:spacing w:after="0" w:line="201" w:lineRule="exact"/>
        <w:rPr>
          <w:sz w:val="20"/>
          <w:szCs w:val="20"/>
          <w:color w:val="auto"/>
        </w:rPr>
      </w:pPr>
    </w:p>
    <w:p>
      <w:pPr>
        <w:jc w:val="both"/>
        <w:ind w:left="180" w:hanging="172"/>
        <w:spacing w:after="0" w:line="225" w:lineRule="auto"/>
        <w:tabs>
          <w:tab w:leader="none" w:pos="18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Includes 1,310 units (shares) of the company’s common stock purchased in open-market transactions at an average price of $82.61 per share on behalf of a rabbi trust formed to pay benefit obligations of the company to participants in deferred compensation plans. These 1,310 shares were not repurchased under the company’s authorized stock repurchase program described in footnote 1 above.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760" w:type="dxa"/>
            <w:vAlign w:val="bottom"/>
            <w:gridSpan w:val="3"/>
          </w:tcPr>
          <w:p>
            <w:pPr>
              <w:jc w:val="right"/>
              <w:ind w:right="48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ITEM 6. EXHIBITS</w:t>
            </w:r>
          </w:p>
        </w:tc>
        <w:tc>
          <w:tcPr>
            <w:tcW w:w="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w:t>
            </w: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Exhibit No.</w:t>
            </w:r>
          </w:p>
        </w:tc>
        <w:tc>
          <w:tcPr>
            <w:tcW w:w="7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00" w:type="dxa"/>
            <w:vAlign w:val="bottom"/>
            <w:gridSpan w:val="13"/>
          </w:tcPr>
          <w:p>
            <w:pPr>
              <w:ind w:left="8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2.1</w:t>
            </w:r>
          </w:p>
        </w:tc>
        <w:tc>
          <w:tcPr>
            <w:tcW w:w="480" w:type="dxa"/>
            <w:vAlign w:val="bottom"/>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Agreement and Plan of Merger dated as of February 14, 2019, by and among The Toro Company, The Charles Machine Works, Inc.,</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6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Helix Company, Inc., and Agent 186 LLC as Shareholders’ Agent (incorporated by reference to Exhibit 2.1 to Registrant’s Current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Report on Form 8-K dated February 15, 2019, Commission File No. 1-8649).</w:t>
              </w:r>
            </w:hyperlink>
          </w:p>
        </w:tc>
        <w:tc>
          <w:tcPr>
            <w:tcW w:w="40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2.2 (1)</w:t>
            </w:r>
          </w:p>
        </w:tc>
        <w:tc>
          <w:tcPr>
            <w:tcW w:w="480" w:type="dxa"/>
            <w:vAlign w:val="bottom"/>
          </w:tcPr>
          <w:p>
            <w:pPr>
              <w:spacing w:after="0"/>
              <w:rPr>
                <w:sz w:val="21"/>
                <w:szCs w:val="21"/>
                <w:color w:val="auto"/>
              </w:rPr>
            </w:pPr>
          </w:p>
        </w:tc>
        <w:tc>
          <w:tcPr>
            <w:tcW w:w="966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Third Amendment to Agreement to Form Joint Venture effective as of December 20, 2019 by and between The Toro Company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53">
              <w:r>
                <w:rPr>
                  <w:rFonts w:ascii="Arial" w:cs="Arial" w:eastAsia="Arial" w:hAnsi="Arial"/>
                  <w:sz w:val="18"/>
                  <w:szCs w:val="18"/>
                  <w:color w:val="0000FF"/>
                  <w:w w:val="92"/>
                </w:rPr>
                <w:t>TCF Inventory Finance, Inc. (filed herewith).</w:t>
              </w:r>
            </w:hyperlink>
          </w:p>
        </w:tc>
        <w:tc>
          <w:tcPr>
            <w:tcW w:w="6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2.3</w:t>
            </w:r>
          </w:p>
        </w:tc>
        <w:tc>
          <w:tcPr>
            <w:tcW w:w="480" w:type="dxa"/>
            <w:vAlign w:val="bottom"/>
          </w:tcPr>
          <w:p>
            <w:pPr>
              <w:spacing w:after="0"/>
              <w:rPr>
                <w:sz w:val="21"/>
                <w:szCs w:val="21"/>
                <w:color w:val="auto"/>
              </w:rPr>
            </w:pPr>
          </w:p>
        </w:tc>
        <w:tc>
          <w:tcPr>
            <w:tcW w:w="9660" w:type="dxa"/>
            <w:vAlign w:val="bottom"/>
            <w:gridSpan w:val="16"/>
          </w:tcPr>
          <w:p>
            <w:pPr>
              <w:spacing w:after="0"/>
              <w:rPr>
                <w:rFonts w:ascii="Arial" w:cs="Arial" w:eastAsia="Arial" w:hAnsi="Arial"/>
                <w:sz w:val="18"/>
                <w:szCs w:val="18"/>
                <w:color w:val="0000FF"/>
                <w:w w:val="93"/>
              </w:rPr>
            </w:pPr>
            <w:hyperlink w:anchor="page57">
              <w:r>
                <w:rPr>
                  <w:rFonts w:ascii="Arial" w:cs="Arial" w:eastAsia="Arial" w:hAnsi="Arial"/>
                  <w:sz w:val="18"/>
                  <w:szCs w:val="18"/>
                  <w:color w:val="0000FF"/>
                  <w:w w:val="93"/>
                </w:rPr>
                <w:t>Fifth Amendment to Limited Liability Company Agreement of Red Iron Acceptance, LLC effective as of December 20, 2019 by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between Red Iron Holding Corporation and TCFIF Joint Venture I, LLC (filed herewith).</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2.4 (1)</w:t>
            </w: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966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First Amendment to Fourth Amended and Restated Program and Repurchase Agreement effective as of December 20, 2019 by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w:anchor="page60">
              <w:r>
                <w:rPr>
                  <w:rFonts w:ascii="Arial" w:cs="Arial" w:eastAsia="Arial" w:hAnsi="Arial"/>
                  <w:sz w:val="18"/>
                  <w:szCs w:val="18"/>
                  <w:color w:val="0000FF"/>
                  <w:w w:val="91"/>
                </w:rPr>
                <w:t>between The Toro Company and Red Iron Acceptance, LLC (filed herewith).</w:t>
              </w:r>
            </w:hyperlink>
          </w:p>
        </w:tc>
        <w:tc>
          <w:tcPr>
            <w:tcW w:w="41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3.1 and 4.1</w:t>
            </w:r>
          </w:p>
        </w:tc>
        <w:tc>
          <w:tcPr>
            <w:tcW w:w="9620" w:type="dxa"/>
            <w:vAlign w:val="bottom"/>
            <w:tcBorders>
              <w:bottom w:val="single" w:sz="8" w:color="0000FF"/>
            </w:tcBorders>
            <w:gridSpan w:val="14"/>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Restated Certificate of Incorporation of The Toro Company (incorporated by reference to Exhibit 3.1 to Registrant’s Current Report</w:t>
              </w:r>
            </w:hyperlink>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on Form 8-K dated June 17, 2008, Commission File No. 1-8649).</w:t>
              </w:r>
            </w:hyperlink>
          </w:p>
        </w:tc>
        <w:tc>
          <w:tcPr>
            <w:tcW w:w="49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3.2 and 4.2</w:t>
            </w:r>
          </w:p>
        </w:tc>
        <w:tc>
          <w:tcPr>
            <w:tcW w:w="9660" w:type="dxa"/>
            <w:vAlign w:val="bottom"/>
            <w:gridSpan w:val="16"/>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Certificate of Amendment to Restated Certificate of Incorporation of The Toro Company (incorporated by reference to Exhibit 3.1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Registrant’s Current Report on Form 8-K dated March 12, 2013, Commission File No. 1-8649).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3.3 and 4.3</w:t>
            </w:r>
          </w:p>
        </w:tc>
        <w:tc>
          <w:tcPr>
            <w:tcW w:w="7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9660" w:type="dxa"/>
            <w:vAlign w:val="bottom"/>
            <w:tcBorders>
              <w:bottom w:val="single" w:sz="8" w:color="0000FF"/>
            </w:tcBorders>
            <w:gridSpan w:val="16"/>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Amended and Restated Bylaws of The Toro Company (incorporated by reference to Exhibit 3.1 to Registrant’s Current Report on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Form 8-K dated July 19, 2016, Commission File No. 1-8649).</w:t>
              </w:r>
            </w:hyperlink>
          </w:p>
        </w:tc>
        <w:tc>
          <w:tcPr>
            <w:tcW w:w="5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6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4.4</w:t>
            </w:r>
          </w:p>
        </w:tc>
        <w:tc>
          <w:tcPr>
            <w:tcW w:w="480" w:type="dxa"/>
            <w:vAlign w:val="bottom"/>
          </w:tcPr>
          <w:p>
            <w:pPr>
              <w:spacing w:after="0"/>
              <w:rPr>
                <w:sz w:val="24"/>
                <w:szCs w:val="24"/>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6"/>
              </w:rPr>
              <w:t>Company’s 7.80% Debentures due June 15, 2027 (incorporated by reference to Exhibit 4(a) to Registrant’s Current Report 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4"/>
              </w:rPr>
              <w:t>Form 8-K dated June 24, 1997, Commission File No. 1-8649). (Filed on paper - hyperlink is not required pursuant to Rule 105 of</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rPr>
              <w:t>Regulation S-T)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4.5</w:t>
            </w:r>
          </w:p>
        </w:tc>
        <w:tc>
          <w:tcPr>
            <w:tcW w:w="480" w:type="dxa"/>
            <w:vAlign w:val="bottom"/>
          </w:tcPr>
          <w:p>
            <w:pPr>
              <w:spacing w:after="0"/>
              <w:rPr>
                <w:sz w:val="19"/>
                <w:szCs w:val="19"/>
                <w:color w:val="auto"/>
              </w:rPr>
            </w:pPr>
          </w:p>
        </w:tc>
        <w:tc>
          <w:tcPr>
            <w:tcW w:w="9640" w:type="dxa"/>
            <w:vAlign w:val="bottom"/>
            <w:tcBorders>
              <w:bottom w:val="single" w:sz="8" w:color="0000FF"/>
            </w:tcBorders>
            <w:gridSpan w:val="15"/>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Indenture dated as of April 20, 2007, between Registrant and The Bank of New York Trust Company, N.A., as Trustee, relating to</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The Toro Company’s 6.625% Notes due May 1, 2037 (incorporated by reference to Exhibit 4.3 to Registrant’s Registration Statement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on Form S-3 filed with the Securities and Exchange Commission on April 23, 2007, Registration No. 333-142282).</w:t>
              </w:r>
            </w:hyperlink>
          </w:p>
        </w:tc>
        <w:tc>
          <w:tcPr>
            <w:tcW w:w="132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4.6</w:t>
            </w:r>
          </w:p>
        </w:tc>
        <w:tc>
          <w:tcPr>
            <w:tcW w:w="480" w:type="dxa"/>
            <w:vAlign w:val="bottom"/>
          </w:tcPr>
          <w:p>
            <w:pPr>
              <w:spacing w:after="0"/>
              <w:rPr>
                <w:sz w:val="21"/>
                <w:szCs w:val="21"/>
                <w:color w:val="auto"/>
              </w:rPr>
            </w:pPr>
          </w:p>
        </w:tc>
        <w:tc>
          <w:tcPr>
            <w:tcW w:w="9660" w:type="dxa"/>
            <w:vAlign w:val="bottom"/>
            <w:gridSpan w:val="16"/>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First Supplemental Indenture dated as of April 26, 2007, between Registrant and The Bank of New York Trust Company, N.A., as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74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60" w:type="dxa"/>
            <w:vAlign w:val="bottom"/>
            <w:gridSpan w:val="16"/>
          </w:tcPr>
          <w:p>
            <w:pPr>
              <w:spacing w:after="0" w:line="196"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Trustee, relating to The Toro Company’s 6.625% Notes due May 1, 2037 (incorporated by reference to Exhibit 4.1 to Registrant’s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Current Report on Form 8-K dated April 23, 2007, Commission File No. 1-8649).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4.7</w:t>
            </w: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9660" w:type="dxa"/>
            <w:vAlign w:val="bottom"/>
            <w:gridSpan w:val="16"/>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Form of The Toro Company 6.625% Note due May 1, 2037 (incorporated by reference to Exhibit 4.2 to Registrant’s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on Form 8-K dated April 23, 2007, Commission File No. 1-8649).</w:t>
              </w:r>
            </w:hyperlink>
          </w:p>
        </w:tc>
        <w:tc>
          <w:tcPr>
            <w:tcW w:w="486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10.1</w:t>
            </w:r>
          </w:p>
        </w:tc>
        <w:tc>
          <w:tcPr>
            <w:tcW w:w="480" w:type="dxa"/>
            <w:vAlign w:val="bottom"/>
          </w:tcPr>
          <w:p>
            <w:pPr>
              <w:spacing w:after="0"/>
              <w:rPr>
                <w:sz w:val="21"/>
                <w:szCs w:val="21"/>
                <w:color w:val="auto"/>
              </w:rPr>
            </w:pPr>
          </w:p>
        </w:tc>
        <w:tc>
          <w:tcPr>
            <w:tcW w:w="9660" w:type="dxa"/>
            <w:vAlign w:val="bottom"/>
            <w:gridSpan w:val="16"/>
          </w:tcPr>
          <w:p>
            <w:pPr>
              <w:spacing w:after="0"/>
              <w:rPr>
                <w:rFonts w:ascii="Arial" w:cs="Arial" w:eastAsia="Arial" w:hAnsi="Arial"/>
                <w:sz w:val="18"/>
                <w:szCs w:val="18"/>
                <w:color w:val="0000FF"/>
                <w:w w:val="92"/>
              </w:rPr>
            </w:pPr>
            <w:hyperlink w:anchor="page64">
              <w:r>
                <w:rPr>
                  <w:rFonts w:ascii="Arial" w:cs="Arial" w:eastAsia="Arial" w:hAnsi="Arial"/>
                  <w:sz w:val="18"/>
                  <w:szCs w:val="18"/>
                  <w:color w:val="0000FF"/>
                  <w:w w:val="92"/>
                </w:rPr>
                <w:t>Third Amendment to Credit and Security Agreement effective as of December 20, 2019 by and between Red Iron Acceptance, LLC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64">
              <w:r>
                <w:rPr>
                  <w:rFonts w:ascii="Arial" w:cs="Arial" w:eastAsia="Arial" w:hAnsi="Arial"/>
                  <w:sz w:val="18"/>
                  <w:szCs w:val="18"/>
                  <w:color w:val="0000FF"/>
                </w:rPr>
                <w:t>and TCF Inventory Finance, Inc. (filed herewith).</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31.1</w:t>
            </w: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9660" w:type="dxa"/>
            <w:vAlign w:val="bottom"/>
            <w:gridSpan w:val="16"/>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Certification of Chief Executive Officer Pursuant to Rule 13a-14(a) (Section 302 of the Sarbanes-Oxley Act of 2002) (filed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herewith).</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31.2</w:t>
            </w:r>
          </w:p>
        </w:tc>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962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Certification of Chief Financial Officer Pursuant to Rule 13a-14(a) (Section 302 of the Sarbanes-Oxley Act of 2002) (filed herewith).</w:t>
              </w:r>
            </w:hyperlink>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32</w:t>
            </w:r>
          </w:p>
        </w:tc>
        <w:tc>
          <w:tcPr>
            <w:tcW w:w="480" w:type="dxa"/>
            <w:vAlign w:val="bottom"/>
          </w:tcPr>
          <w:p>
            <w:pPr>
              <w:spacing w:after="0"/>
              <w:rPr>
                <w:sz w:val="21"/>
                <w:szCs w:val="21"/>
                <w:color w:val="auto"/>
              </w:rPr>
            </w:pPr>
          </w:p>
        </w:tc>
        <w:tc>
          <w:tcPr>
            <w:tcW w:w="9660" w:type="dxa"/>
            <w:vAlign w:val="bottom"/>
            <w:gridSpan w:val="16"/>
          </w:tcPr>
          <w:p>
            <w:pPr>
              <w:spacing w:after="0"/>
              <w:rPr>
                <w:rFonts w:ascii="Arial" w:cs="Arial" w:eastAsia="Arial" w:hAnsi="Arial"/>
                <w:sz w:val="18"/>
                <w:szCs w:val="18"/>
                <w:color w:val="0000FF"/>
                <w:w w:val="95"/>
              </w:rPr>
            </w:pPr>
            <w:hyperlink w:anchor="page71">
              <w:r>
                <w:rPr>
                  <w:rFonts w:ascii="Arial" w:cs="Arial" w:eastAsia="Arial" w:hAnsi="Arial"/>
                  <w:sz w:val="18"/>
                  <w:szCs w:val="18"/>
                  <w:color w:val="0000FF"/>
                  <w:w w:val="95"/>
                </w:rPr>
                <w:t>Certification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71">
              <w:r>
                <w:rPr>
                  <w:rFonts w:ascii="Arial" w:cs="Arial" w:eastAsia="Arial" w:hAnsi="Arial"/>
                  <w:sz w:val="18"/>
                  <w:szCs w:val="18"/>
                  <w:color w:val="0000FF"/>
                </w:rPr>
                <w:t>Section 906 of the Sarbanes-Oxley Act of 2002 (furnished herewith).</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101</w:t>
            </w:r>
          </w:p>
        </w:tc>
        <w:tc>
          <w:tcPr>
            <w:tcW w:w="480" w:type="dxa"/>
            <w:vAlign w:val="bottom"/>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8"/>
              </w:rPr>
              <w:t>The following financial information from The Toro Company’s Quarterly Report on Form 10-Q for the quarterly period ended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2"/>
              </w:rPr>
              <w:t>January 31, 2020, filed with the SEC on March 5, 2020, formatted in Inline eXtensible Business Reporting Language (Inline XBRL):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4"/>
              </w:rPr>
              <w:t>(i) Condensed Consolidated Statements of Earnings for the three month periods ended January 31, 2020 and February 1, 2019,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0"/>
              </w:rPr>
              <w:t>(ii) Condensed Consolidated Statements of Comprehensive Income for the three month periods ended January 31, 2020 and February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rPr>
              <w:t>1, 2019, (iii) Condensed Consolidated Balance Sheets as of January 31, 2020, February 1, 2019, and October 31, 2019,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0"/>
              </w:rPr>
              <w:t>(iv) Condensed Consolidated Statement of Cash Flows for the three month periods ended January 31, 2020 and February 1, 2019, (v)</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w w:val="92"/>
              </w:rPr>
              <w:t>Condensed Consolidated Statements of Stockholders' Equity for the three month periods ended January 31, 2020 and February 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rPr>
              <w:t>2019, and (vi) Notes to Condensed Consolidated Financial Statements (filed herewith).</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104</w:t>
            </w:r>
          </w:p>
        </w:tc>
        <w:tc>
          <w:tcPr>
            <w:tcW w:w="480" w:type="dxa"/>
            <w:vAlign w:val="bottom"/>
          </w:tcPr>
          <w:p>
            <w:pPr>
              <w:spacing w:after="0"/>
              <w:rPr>
                <w:sz w:val="23"/>
                <w:szCs w:val="23"/>
                <w:color w:val="auto"/>
              </w:rPr>
            </w:pPr>
          </w:p>
        </w:tc>
        <w:tc>
          <w:tcPr>
            <w:tcW w:w="966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4"/>
          <w:szCs w:val="14"/>
          <w:color w:val="auto"/>
        </w:rPr>
        <w:t>Confidential portions of this exhibit have been redacted in compliance with Item 601(b)(10) of Regulation S-K.</w:t>
      </w: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8"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March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(duly authorized officer, principal financial officer, and principal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2.2</w:t>
      </w: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TO FORM JOINT VENTURE</w:t>
      </w:r>
    </w:p>
    <w:p>
      <w:pPr>
        <w:spacing w:after="0" w:line="3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THIS THIRD AMENDMENT TO AGREEMENT TO FORM JOINT VENTURE</w:t>
      </w:r>
      <w:r>
        <w:rPr>
          <w:rFonts w:ascii="Arial" w:cs="Arial" w:eastAsia="Arial" w:hAnsi="Arial"/>
          <w:sz w:val="22"/>
          <w:szCs w:val="22"/>
          <w:color w:val="auto"/>
        </w:rPr>
        <w:t>, effective as of December 20, 2019</w:t>
      </w:r>
      <w:r>
        <w:rPr>
          <w:rFonts w:ascii="Arial" w:cs="Arial" w:eastAsia="Arial" w:hAnsi="Arial"/>
          <w:sz w:val="22"/>
          <w:szCs w:val="22"/>
          <w:b w:val="1"/>
          <w:bCs w:val="1"/>
          <w:color w:val="auto"/>
        </w:rPr>
        <w:t xml:space="preserve">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by and between THE TORO COMPANY, a Delaware corporation (“</w:t>
      </w:r>
      <w:r>
        <w:rPr>
          <w:rFonts w:ascii="Arial" w:cs="Arial" w:eastAsia="Arial" w:hAnsi="Arial"/>
          <w:sz w:val="22"/>
          <w:szCs w:val="22"/>
          <w:b w:val="1"/>
          <w:bCs w:val="1"/>
          <w:color w:val="auto"/>
        </w:rPr>
        <w:t>Toro</w:t>
      </w:r>
      <w:r>
        <w:rPr>
          <w:rFonts w:ascii="Arial" w:cs="Arial" w:eastAsia="Arial" w:hAnsi="Arial"/>
          <w:sz w:val="22"/>
          <w:szCs w:val="22"/>
          <w:color w:val="auto"/>
        </w:rPr>
        <w:t>”), and TCF INVENTORY FINANCE, INC., a Minnesota corporation (“</w:t>
      </w:r>
      <w:r>
        <w:rPr>
          <w:rFonts w:ascii="Arial" w:cs="Arial" w:eastAsia="Arial" w:hAnsi="Arial"/>
          <w:sz w:val="22"/>
          <w:szCs w:val="22"/>
          <w:b w:val="1"/>
          <w:bCs w:val="1"/>
          <w:color w:val="auto"/>
        </w:rPr>
        <w:t>TCFIF</w:t>
      </w:r>
      <w:r>
        <w:rPr>
          <w:rFonts w:ascii="Arial" w:cs="Arial" w:eastAsia="Arial" w:hAnsi="Arial"/>
          <w:sz w:val="22"/>
          <w:szCs w:val="22"/>
          <w:color w:val="auto"/>
        </w:rPr>
        <w:t>”). Capitalized terms used herein and not otherwise defined shall have the meanings ascribed thereto in the JV Agreement (as hereinafter defined).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56"/>
        <w:spacing w:after="0" w:line="312" w:lineRule="auto"/>
        <w:tabs>
          <w:tab w:leader="none" w:pos="1118" w:val="left"/>
        </w:tabs>
        <w:numPr>
          <w:ilvl w:val="0"/>
          <w:numId w:val="22"/>
        </w:numPr>
        <w:rPr>
          <w:rFonts w:ascii="Arial" w:cs="Arial" w:eastAsia="Arial" w:hAnsi="Arial"/>
          <w:sz w:val="19"/>
          <w:szCs w:val="19"/>
          <w:color w:val="auto"/>
        </w:rPr>
      </w:pPr>
      <w:r>
        <w:rPr>
          <w:rFonts w:ascii="Arial" w:cs="Arial" w:eastAsia="Arial" w:hAnsi="Arial"/>
          <w:sz w:val="19"/>
          <w:szCs w:val="19"/>
          <w:color w:val="auto"/>
        </w:rPr>
        <w:t>Toro and TCFIF are parties to that certain Agreement to Form Joint Venture, made and entered into as of August 12, 2009, as amended by the First Amendment to Agreement to Form Joint Venture dated as of June 6, 2012 and the Second Amendment to Agreement to Form Joint Venture dated November 29, 2016 (as so amended, the “</w:t>
      </w:r>
      <w:r>
        <w:rPr>
          <w:rFonts w:ascii="Arial" w:cs="Arial" w:eastAsia="Arial" w:hAnsi="Arial"/>
          <w:sz w:val="19"/>
          <w:szCs w:val="19"/>
          <w:b w:val="1"/>
          <w:bCs w:val="1"/>
          <w:color w:val="auto"/>
        </w:rPr>
        <w:t>JV Agreement</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1060" w:hanging="404"/>
        <w:spacing w:after="0"/>
        <w:tabs>
          <w:tab w:leader="none" w:pos="10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parties hereto have agreed to amend the JV Agreement as provided herein.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193" w:lineRule="exact"/>
        <w:rPr>
          <w:sz w:val="20"/>
          <w:szCs w:val="20"/>
          <w:color w:val="auto"/>
        </w:rPr>
      </w:pPr>
    </w:p>
    <w:p>
      <w:pPr>
        <w:ind w:left="1460" w:hanging="804"/>
        <w:spacing w:after="0"/>
        <w:tabs>
          <w:tab w:leader="none" w:pos="1460"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660" w:firstLine="645"/>
        <w:spacing w:after="0" w:line="276" w:lineRule="auto"/>
        <w:tabs>
          <w:tab w:leader="none" w:pos="1782" w:val="left"/>
        </w:tabs>
        <w:numPr>
          <w:ilvl w:val="1"/>
          <w:numId w:val="23"/>
        </w:numPr>
        <w:rPr>
          <w:rFonts w:ascii="Arial" w:cs="Arial" w:eastAsia="Arial" w:hAnsi="Arial"/>
          <w:sz w:val="22"/>
          <w:szCs w:val="22"/>
          <w:color w:val="010000"/>
        </w:rPr>
      </w:pPr>
      <w:r>
        <w:rPr>
          <w:rFonts w:ascii="Arial" w:cs="Arial" w:eastAsia="Arial" w:hAnsi="Arial"/>
          <w:sz w:val="22"/>
          <w:szCs w:val="22"/>
          <w:u w:val="single" w:color="auto"/>
          <w:color w:val="auto"/>
        </w:rPr>
        <w:t>Definition of “Lawn and Garden Products.</w:t>
      </w:r>
      <w:r>
        <w:rPr>
          <w:rFonts w:ascii="Arial" w:cs="Arial" w:eastAsia="Arial" w:hAnsi="Arial"/>
          <w:sz w:val="22"/>
          <w:szCs w:val="22"/>
          <w:color w:val="auto"/>
        </w:rPr>
        <w:t xml:space="preserve">” The definition of “Lawn and Garden Products” in Section 1.1 of the JV Agreement is amended and restated to </w:t>
      </w:r>
      <w:r>
        <w:rPr>
          <w:rFonts w:ascii="Arial" w:cs="Arial" w:eastAsia="Arial" w:hAnsi="Arial"/>
          <w:sz w:val="22"/>
          <w:szCs w:val="22"/>
          <w:b w:val="1"/>
          <w:bCs w:val="1"/>
          <w:color w:val="auto"/>
        </w:rPr>
        <w:t>[***]</w:t>
      </w:r>
      <w:r>
        <w:rPr>
          <w:rFonts w:ascii="Arial" w:cs="Arial" w:eastAsia="Arial" w:hAnsi="Arial"/>
          <w:sz w:val="22"/>
          <w:szCs w:val="22"/>
          <w:color w:val="auto"/>
        </w:rPr>
        <w:t>, as follows:</w:t>
      </w:r>
    </w:p>
    <w:p>
      <w:pPr>
        <w:spacing w:after="0" w:line="155" w:lineRule="exact"/>
        <w:rPr>
          <w:sz w:val="20"/>
          <w:szCs w:val="20"/>
          <w:color w:val="auto"/>
        </w:rPr>
      </w:pPr>
    </w:p>
    <w:p>
      <w:pPr>
        <w:jc w:val="both"/>
        <w:ind w:left="130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Lawn and Garden Products</w:t>
      </w:r>
      <w:r>
        <w:rPr>
          <w:rFonts w:ascii="Arial" w:cs="Arial" w:eastAsia="Arial" w:hAnsi="Arial"/>
          <w:sz w:val="22"/>
          <w:szCs w:val="22"/>
          <w:color w:val="auto"/>
        </w:rPr>
        <w:t>” means any one or more of the following, inclusive of footnote one herein: walk power mowers, lawn and garden tractors, zero-turn mowers, mid-size walk-behind and stand-on mowers, large reel and riding rotary mowers, riding and walk-behind mowers for putting greens, snow blowers, debris blowers, trimmers, tillers, sweepers and vacuums, aerators, walk-behind trenchers, turf cultivation equipment, turf sprayer equipment, compact utility loaders</w:t>
      </w:r>
      <w:r>
        <w:rPr>
          <w:rFonts w:ascii="Arial" w:cs="Arial" w:eastAsia="Arial" w:hAnsi="Arial"/>
          <w:sz w:val="28"/>
          <w:szCs w:val="28"/>
          <w:color w:val="auto"/>
          <w:vertAlign w:val="superscript"/>
        </w:rPr>
        <w:t>1</w:t>
      </w:r>
      <w:r>
        <w:rPr>
          <w:rFonts w:ascii="Arial" w:cs="Arial" w:eastAsia="Arial" w:hAnsi="Arial"/>
          <w:sz w:val="22"/>
          <w:szCs w:val="22"/>
          <w:color w:val="auto"/>
        </w:rPr>
        <w:t>, golf course bunker maintenance equipment, irrigation systems, utility vehicles for golf courses, lighting products, snow and ice management products and parts and accessories for any of the foregoing.”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CONFIDENTIAL</w:t>
      </w:r>
    </w:p>
    <w:p>
      <w:pPr>
        <w:spacing w:after="0" w:line="163" w:lineRule="exact"/>
        <w:rPr>
          <w:sz w:val="20"/>
          <w:szCs w:val="20"/>
          <w:color w:val="auto"/>
        </w:rPr>
      </w:pPr>
    </w:p>
    <w:p>
      <w:pPr>
        <w:ind w:right="460" w:firstLine="8"/>
        <w:spacing w:after="0" w:line="285" w:lineRule="auto"/>
        <w:tabs>
          <w:tab w:leader="none" w:pos="304"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Indicates portions of this exhibit that have been excluded because the information is both (i) not material and (ii) would likely cause competitive harm to the registrant if publicly disclosed.</w:t>
      </w:r>
    </w:p>
    <w:p>
      <w:pPr>
        <w:sectPr>
          <w:pgSz w:w="11900" w:h="16838" w:orient="portrait"/>
          <w:cols w:equalWidth="0" w:num="1">
            <w:col w:w="11420"/>
          </w:cols>
          <w:pgMar w:left="240" w:top="126" w:right="239" w:bottom="1440" w:gutter="0" w:footer="0" w:header="0"/>
        </w:sectPr>
      </w:pPr>
    </w:p>
    <w:bookmarkStart w:id="53" w:name="page54"/>
    <w:bookmarkEnd w:id="53"/>
    <w:p>
      <w:pPr>
        <w:jc w:val="both"/>
        <w:ind w:left="660" w:firstLine="645"/>
        <w:spacing w:after="0" w:line="270" w:lineRule="auto"/>
        <w:tabs>
          <w:tab w:leader="none" w:pos="1848" w:val="left"/>
        </w:tabs>
        <w:numPr>
          <w:ilvl w:val="0"/>
          <w:numId w:val="25"/>
        </w:numPr>
        <w:rPr>
          <w:rFonts w:ascii="Arial" w:cs="Arial" w:eastAsia="Arial" w:hAnsi="Arial"/>
          <w:sz w:val="21"/>
          <w:szCs w:val="21"/>
          <w:color w:val="010000"/>
        </w:rPr>
      </w:pPr>
      <w:r>
        <w:rPr>
          <w:rFonts w:ascii="Arial" w:cs="Arial" w:eastAsia="Arial" w:hAnsi="Arial"/>
          <w:sz w:val="21"/>
          <w:szCs w:val="21"/>
          <w:u w:val="single" w:color="auto"/>
          <w:color w:val="auto"/>
        </w:rPr>
        <w:t>Exclusivity – Businesses Acquired by Toro and Toro Affiliates</w:t>
      </w:r>
      <w:r>
        <w:rPr>
          <w:rFonts w:ascii="Arial" w:cs="Arial" w:eastAsia="Arial" w:hAnsi="Arial"/>
          <w:sz w:val="21"/>
          <w:szCs w:val="21"/>
          <w:color w:val="auto"/>
        </w:rPr>
        <w:t>. Section 2.8(d)(iii) of the JV Agreement is amended and restated in its entirety to require Toro to perform a detailed analysis of the potential benefits and detriments to Toro of moving an acquired business’ financing to Red Iron, rather than a requirement that Toro use commercially reasonable efforts to move such financing business to Red Iron, as follows:</w:t>
      </w:r>
    </w:p>
    <w:p>
      <w:pPr>
        <w:spacing w:after="0" w:line="169"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“(iii) receivables arising out of any business acquired by Toro or an Affiliate of Toro following the date hereof that are subject to a financing program agreement at the time of the acquisition thereof, provided that Toro agrees to, within two years after consummation of any such acquisition, perform a detailed analysis of the potential benefits and detriments to Toro of terminating any such agreements in order to permit Red Iron to provide such financing (including whether Red Iron has the financial capacity, including access to adequate lines of credit, to accommodate such additional financing) and will provide such analysis to TCFIF, provided, however, that regardless of Toro’s analysis, it is within Toro’s sole discretion as to whether Red Iron will provide such financing for such acquired business;”</w:t>
      </w:r>
    </w:p>
    <w:p>
      <w:pPr>
        <w:spacing w:after="0" w:line="195" w:lineRule="exact"/>
        <w:rPr>
          <w:sz w:val="20"/>
          <w:szCs w:val="20"/>
          <w:color w:val="auto"/>
        </w:rPr>
      </w:pPr>
    </w:p>
    <w:p>
      <w:pPr>
        <w:jc w:val="both"/>
        <w:ind w:left="660" w:firstLine="645"/>
        <w:spacing w:after="0" w:line="260" w:lineRule="auto"/>
        <w:tabs>
          <w:tab w:leader="none" w:pos="1755" w:val="left"/>
        </w:tabs>
        <w:numPr>
          <w:ilvl w:val="0"/>
          <w:numId w:val="26"/>
        </w:numPr>
        <w:rPr>
          <w:rFonts w:ascii="Arial" w:cs="Arial" w:eastAsia="Arial" w:hAnsi="Arial"/>
          <w:sz w:val="22"/>
          <w:szCs w:val="22"/>
          <w:color w:val="010000"/>
        </w:rPr>
      </w:pPr>
      <w:r>
        <w:rPr>
          <w:rFonts w:ascii="Arial" w:cs="Arial" w:eastAsia="Arial" w:hAnsi="Arial"/>
          <w:sz w:val="22"/>
          <w:szCs w:val="22"/>
          <w:u w:val="single" w:color="auto"/>
          <w:color w:val="auto"/>
        </w:rPr>
        <w:t>Accelerated Return of Exclusivity Incentive Payment</w:t>
      </w:r>
      <w:r>
        <w:rPr>
          <w:rFonts w:ascii="Arial" w:cs="Arial" w:eastAsia="Arial" w:hAnsi="Arial"/>
          <w:sz w:val="22"/>
          <w:szCs w:val="22"/>
          <w:color w:val="auto"/>
        </w:rPr>
        <w:t>. The second to last sentence of Section 2.15(c) of the JV Agreement, regarding potential repayment of the Second Additional Exclusivity Incentive Payment, is amended and restated as follows:</w:t>
      </w:r>
    </w:p>
    <w:p>
      <w:pPr>
        <w:spacing w:after="0" w:line="177" w:lineRule="exact"/>
        <w:rPr>
          <w:sz w:val="20"/>
          <w:szCs w:val="20"/>
          <w:color w:val="auto"/>
        </w:rPr>
      </w:pPr>
    </w:p>
    <w:p>
      <w:pPr>
        <w:jc w:val="both"/>
        <w:ind w:left="1220" w:firstLine="81"/>
        <w:spacing w:after="0" w:line="253" w:lineRule="auto"/>
        <w:rPr>
          <w:sz w:val="20"/>
          <w:szCs w:val="20"/>
          <w:color w:val="auto"/>
        </w:rPr>
      </w:pPr>
      <w:r>
        <w:rPr>
          <w:rFonts w:ascii="Arial" w:cs="Arial" w:eastAsia="Arial" w:hAnsi="Arial"/>
          <w:sz w:val="22"/>
          <w:szCs w:val="22"/>
          <w:color w:val="auto"/>
        </w:rPr>
        <w:t>“If Red Iron shall be dissolved or if Toro exercises the Toro Sub Purchase Option under the LLC Agreement prior to November 1, 2023, then Toro shall remit to TCFIF an amount equal to any remaining unpaid installments under Section 2.15(d).”</w:t>
      </w:r>
    </w:p>
    <w:p>
      <w:pPr>
        <w:spacing w:after="0" w:line="186" w:lineRule="exact"/>
        <w:rPr>
          <w:sz w:val="20"/>
          <w:szCs w:val="20"/>
          <w:color w:val="auto"/>
        </w:rPr>
      </w:pPr>
    </w:p>
    <w:p>
      <w:pPr>
        <w:ind w:left="1960" w:hanging="655"/>
        <w:spacing w:after="0"/>
        <w:tabs>
          <w:tab w:leader="none" w:pos="196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Return of Exclusivity Incentive Payment</w:t>
      </w:r>
      <w:r>
        <w:rPr>
          <w:rFonts w:ascii="Arial" w:cs="Arial" w:eastAsia="Arial" w:hAnsi="Arial"/>
          <w:sz w:val="21"/>
          <w:szCs w:val="21"/>
          <w:i w:val="1"/>
          <w:iCs w:val="1"/>
          <w:color w:val="auto"/>
        </w:rPr>
        <w:t>.</w:t>
      </w:r>
      <w:r>
        <w:rPr>
          <w:rFonts w:ascii="Arial" w:cs="Arial" w:eastAsia="Arial" w:hAnsi="Arial"/>
          <w:sz w:val="21"/>
          <w:szCs w:val="21"/>
          <w:color w:val="auto"/>
        </w:rPr>
        <w:t xml:space="preserve"> The following is added as a new Section 2.15(d) to the JV</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202" w:lineRule="exact"/>
        <w:rPr>
          <w:sz w:val="20"/>
          <w:szCs w:val="20"/>
          <w:color w:val="auto"/>
        </w:rPr>
      </w:pPr>
    </w:p>
    <w:p>
      <w:pPr>
        <w:jc w:val="both"/>
        <w:ind w:left="1300"/>
        <w:spacing w:after="0" w:line="263" w:lineRule="auto"/>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u w:val="single" w:color="auto"/>
          <w:color w:val="auto"/>
        </w:rPr>
        <w:t>Return of Exclusivity Incentive Payment</w:t>
      </w:r>
      <w:r>
        <w:rPr>
          <w:rFonts w:ascii="Arial" w:cs="Arial" w:eastAsia="Arial" w:hAnsi="Arial"/>
          <w:sz w:val="20"/>
          <w:szCs w:val="20"/>
          <w:color w:val="auto"/>
        </w:rPr>
        <w:t>. In consideration of entry into the Third Amendment to Agreement to Form Joint Venture and amendments to certain other Definitive Agreements, including the Program Letter, Toro will repay to TCFIF $</w:t>
      </w:r>
      <w:r>
        <w:rPr>
          <w:rFonts w:ascii="Arial" w:cs="Arial" w:eastAsia="Arial" w:hAnsi="Arial"/>
          <w:sz w:val="20"/>
          <w:szCs w:val="20"/>
          <w:b w:val="1"/>
          <w:bCs w:val="1"/>
          <w:color w:val="auto"/>
        </w:rPr>
        <w:t>[***]</w:t>
      </w:r>
      <w:r>
        <w:rPr>
          <w:rFonts w:ascii="Arial" w:cs="Arial" w:eastAsia="Arial" w:hAnsi="Arial"/>
          <w:sz w:val="20"/>
          <w:szCs w:val="20"/>
          <w:color w:val="auto"/>
        </w:rPr>
        <w:t>, which is the amount of remaining exclusivity premium as of November 1, 2019. Such amount will be paid in five annual installments of $</w:t>
      </w:r>
      <w:r>
        <w:rPr>
          <w:rFonts w:ascii="Arial" w:cs="Arial" w:eastAsia="Arial" w:hAnsi="Arial"/>
          <w:sz w:val="20"/>
          <w:szCs w:val="20"/>
          <w:b w:val="1"/>
          <w:bCs w:val="1"/>
          <w:color w:val="auto"/>
        </w:rPr>
        <w:t>[***]</w:t>
      </w:r>
      <w:r>
        <w:rPr>
          <w:rFonts w:ascii="Arial" w:cs="Arial" w:eastAsia="Arial" w:hAnsi="Arial"/>
          <w:sz w:val="20"/>
          <w:szCs w:val="20"/>
          <w:color w:val="auto"/>
        </w:rPr>
        <w:t xml:space="preserve"> each, with the first such payment due on or as soon as reasonably practicable after December 20, 2019 and annual installments due on November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each of the four subsequent years (with the last installment due on November 1, 2023). The parties agree that such payments are between Toro and TCFIF and will not be charged as an expense to Red Iron. Further, for the avoidance of doubt, the parties acknowledge and affirm their continued obligations under Section 2.8 of this Agreement.”</w:t>
      </w:r>
    </w:p>
    <w:p>
      <w:pPr>
        <w:spacing w:after="0" w:line="177" w:lineRule="exact"/>
        <w:rPr>
          <w:sz w:val="20"/>
          <w:szCs w:val="20"/>
          <w:color w:val="auto"/>
        </w:rPr>
      </w:pPr>
    </w:p>
    <w:p>
      <w:pPr>
        <w:ind w:left="1820" w:hanging="515"/>
        <w:spacing w:after="0"/>
        <w:tabs>
          <w:tab w:leader="none" w:pos="182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Section 7.2 of the JV Agreement is amended to replace the notice for Fox Rothschild LLP with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Fox Rothschild LLP</w:t>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CONFIDENTIAL</w:t>
      </w:r>
    </w:p>
    <w:p>
      <w:pPr>
        <w:spacing w:after="0" w:line="163" w:lineRule="exact"/>
        <w:rPr>
          <w:sz w:val="20"/>
          <w:szCs w:val="20"/>
          <w:color w:val="auto"/>
        </w:rPr>
      </w:pPr>
    </w:p>
    <w:p>
      <w:pPr>
        <w:ind w:right="460" w:firstLine="8"/>
        <w:spacing w:after="0" w:line="285" w:lineRule="auto"/>
        <w:tabs>
          <w:tab w:leader="none" w:pos="304"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Indicates portions of this exhibit that have been excluded because the information is both (i) not material and (ii) would likely cause competitive harm to the registrant if publicly disclosed.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61" w:right="239" w:bottom="1440" w:gutter="0" w:footer="0" w:header="0"/>
        </w:sectPr>
      </w:pPr>
    </w:p>
    <w:bookmarkStart w:id="54" w:name="page55"/>
    <w:bookmarkEnd w:id="54"/>
    <w:p>
      <w:pPr>
        <w:ind w:left="2600"/>
        <w:spacing w:after="0"/>
        <w:rPr>
          <w:sz w:val="20"/>
          <w:szCs w:val="20"/>
          <w:color w:val="auto"/>
        </w:rPr>
      </w:pPr>
      <w:r>
        <w:rPr>
          <w:rFonts w:ascii="Arial" w:cs="Arial" w:eastAsia="Arial" w:hAnsi="Arial"/>
          <w:sz w:val="22"/>
          <w:szCs w:val="22"/>
          <w:color w:val="auto"/>
        </w:rPr>
        <w:t>Campbell Mithun Tower- Suite 2000</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222 South Ninth Street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Minneapolis, MN 55402</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Christopher M. Scotti</w:t>
      </w:r>
    </w:p>
    <w:p>
      <w:pPr>
        <w:spacing w:after="0" w:line="202" w:lineRule="exact"/>
        <w:rPr>
          <w:sz w:val="20"/>
          <w:szCs w:val="20"/>
          <w:color w:val="auto"/>
        </w:rPr>
      </w:pPr>
    </w:p>
    <w:p>
      <w:pPr>
        <w:jc w:val="both"/>
        <w:ind w:firstLine="656"/>
        <w:spacing w:after="0" w:line="266" w:lineRule="auto"/>
        <w:tabs>
          <w:tab w:leader="none" w:pos="1152" w:val="left"/>
        </w:tabs>
        <w:numPr>
          <w:ilvl w:val="0"/>
          <w:numId w:val="30"/>
        </w:numPr>
        <w:rPr>
          <w:rFonts w:ascii="Arial" w:cs="Arial" w:eastAsia="Arial" w:hAnsi="Arial"/>
          <w:sz w:val="21"/>
          <w:szCs w:val="21"/>
          <w:color w:val="010000"/>
        </w:rPr>
      </w:pPr>
      <w:r>
        <w:rPr>
          <w:rFonts w:ascii="Arial" w:cs="Arial" w:eastAsia="Arial" w:hAnsi="Arial"/>
          <w:sz w:val="21"/>
          <w:szCs w:val="21"/>
          <w:u w:val="single" w:color="auto"/>
          <w:color w:val="auto"/>
        </w:rPr>
        <w:t>Affirmation of JV Agreement; Further References</w:t>
      </w:r>
      <w:r>
        <w:rPr>
          <w:rFonts w:ascii="Arial" w:cs="Arial" w:eastAsia="Arial" w:hAnsi="Arial"/>
          <w:sz w:val="21"/>
          <w:szCs w:val="21"/>
          <w:color w:val="auto"/>
        </w:rPr>
        <w:t>. The parties hereto each acknowledge and affirm that the JV Agreement, as hereby amended, is hereby ratified and confirmed in all respects, and all terms, conditions and provisions of the JV Agreement, except as amended by this Amendment, shall remain unmodified and in full force and effect. All references in any document or instrument to the JV Agreement (including references in the JV Agreement to the terms thereof) are hereby amended to refer to the JV Agreement as amended through this Amendment.</w:t>
      </w:r>
    </w:p>
    <w:p>
      <w:pPr>
        <w:spacing w:after="0" w:line="174" w:lineRule="exact"/>
        <w:rPr>
          <w:rFonts w:ascii="Arial" w:cs="Arial" w:eastAsia="Arial" w:hAnsi="Arial"/>
          <w:sz w:val="21"/>
          <w:szCs w:val="21"/>
          <w:color w:val="010000"/>
        </w:rPr>
      </w:pPr>
    </w:p>
    <w:p>
      <w:pPr>
        <w:jc w:val="both"/>
        <w:ind w:firstLine="656"/>
        <w:spacing w:after="0" w:line="251" w:lineRule="auto"/>
        <w:tabs>
          <w:tab w:leader="none" w:pos="1004" w:val="left"/>
        </w:tabs>
        <w:numPr>
          <w:ilvl w:val="0"/>
          <w:numId w:val="30"/>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89" w:lineRule="exact"/>
        <w:rPr>
          <w:rFonts w:ascii="Arial" w:cs="Arial" w:eastAsia="Arial" w:hAnsi="Arial"/>
          <w:sz w:val="22"/>
          <w:szCs w:val="22"/>
          <w:color w:val="010000"/>
        </w:rPr>
      </w:pPr>
    </w:p>
    <w:p>
      <w:pPr>
        <w:jc w:val="both"/>
        <w:ind w:firstLine="656"/>
        <w:spacing w:after="0" w:line="254" w:lineRule="auto"/>
        <w:tabs>
          <w:tab w:leader="none" w:pos="1125" w:val="left"/>
        </w:tabs>
        <w:numPr>
          <w:ilvl w:val="0"/>
          <w:numId w:val="30"/>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CONFIDENTIAL</w:t>
      </w:r>
    </w:p>
    <w:p>
      <w:pPr>
        <w:spacing w:after="0" w:line="163" w:lineRule="exact"/>
        <w:rPr>
          <w:sz w:val="20"/>
          <w:szCs w:val="20"/>
          <w:color w:val="auto"/>
        </w:rPr>
      </w:pPr>
    </w:p>
    <w:p>
      <w:pPr>
        <w:ind w:right="460" w:firstLine="8"/>
        <w:spacing w:after="0" w:line="285" w:lineRule="auto"/>
        <w:tabs>
          <w:tab w:leader="none" w:pos="304"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Indicates portions of this exhibit that have been excluded because the information is both (i) not material and (ii) would likely cause competitive harm to the registrant if publicly disclosed.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55" w:name="page56"/>
    <w:bookmarkEnd w:id="55"/>
    <w:p>
      <w:pPr>
        <w:ind w:firstLine="648"/>
        <w:spacing w:after="0" w:line="263" w:lineRule="auto"/>
        <w:rPr>
          <w:sz w:val="20"/>
          <w:szCs w:val="20"/>
          <w:color w:val="auto"/>
        </w:rPr>
      </w:pPr>
      <w:r>
        <w:rPr>
          <w:rFonts w:ascii="Arial" w:cs="Arial" w:eastAsia="Arial" w:hAnsi="Arial"/>
          <w:sz w:val="22"/>
          <w:szCs w:val="22"/>
          <w:color w:val="auto"/>
        </w:rPr>
        <w:t>IN WITNESS WHEREOF, the parties hereto have duly executed this Amendment effective as of the day and year first above written.</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TORO COMPANY</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Renee J. Peterson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Renee J. Peterson</w:t>
      </w:r>
    </w:p>
    <w:p>
      <w:pPr>
        <w:spacing w:after="0" w:line="112" w:lineRule="exact"/>
        <w:rPr>
          <w:sz w:val="20"/>
          <w:szCs w:val="20"/>
          <w:color w:val="auto"/>
        </w:rPr>
      </w:pPr>
    </w:p>
    <w:p>
      <w:pPr>
        <w:ind w:left="3900"/>
        <w:spacing w:after="0"/>
        <w:tabs>
          <w:tab w:leader="none" w:pos="7020" w:val="left"/>
        </w:tabs>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Vice President, Treasurer and</w:t>
      </w:r>
      <w:r>
        <w:rPr>
          <w:sz w:val="20"/>
          <w:szCs w:val="20"/>
          <w:color w:val="auto"/>
        </w:rPr>
        <w:tab/>
      </w:r>
      <w:r>
        <w:rPr>
          <w:rFonts w:ascii="Arial" w:cs="Arial" w:eastAsia="Arial" w:hAnsi="Arial"/>
          <w:sz w:val="19"/>
          <w:szCs w:val="19"/>
          <w:u w:val="single" w:color="auto"/>
          <w:color w:val="auto"/>
        </w:rPr>
        <w:t>Chief Financial Officer</w:t>
      </w:r>
    </w:p>
    <w:p>
      <w:pPr>
        <w:spacing w:after="0" w:line="328"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TCF INVENTORY FINANCE, INC.</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Wrend</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Mark J. Wrend</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Third Amendment to Agreement to Form Joint Venture)</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CONFIDENTIAL</w:t>
      </w:r>
    </w:p>
    <w:p>
      <w:pPr>
        <w:spacing w:after="0" w:line="163" w:lineRule="exact"/>
        <w:rPr>
          <w:sz w:val="20"/>
          <w:szCs w:val="20"/>
          <w:color w:val="auto"/>
        </w:rPr>
      </w:pPr>
    </w:p>
    <w:p>
      <w:pPr>
        <w:ind w:right="460" w:firstLine="8"/>
        <w:spacing w:after="0" w:line="285" w:lineRule="auto"/>
        <w:tabs>
          <w:tab w:leader="none" w:pos="304"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Indicates portions of this exhibit that have been excluded because the information is both (i) not material and (ii) would likely cause competitive harm to the registrant if publicly disclosed.</w:t>
      </w:r>
    </w:p>
    <w:p>
      <w:pPr>
        <w:sectPr>
          <w:pgSz w:w="11900" w:h="16838" w:orient="portrait"/>
          <w:cols w:equalWidth="0" w:num="1">
            <w:col w:w="11420"/>
          </w:cols>
          <w:pgMar w:left="240" w:top="86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2.3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 IRON ACCEPTANCE, LLC</w:t>
      </w:r>
    </w:p>
    <w:p>
      <w:pPr>
        <w:spacing w:after="0" w:line="3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THIS FIFTH AMENDMENT TO LIMITED LIABILITY COMPANY AGREEMENT OF RED IRON ACCEPTANCE, LLC</w:t>
      </w:r>
      <w:r>
        <w:rPr>
          <w:rFonts w:ascii="Arial" w:cs="Arial" w:eastAsia="Arial" w:hAnsi="Arial"/>
          <w:sz w:val="22"/>
          <w:szCs w:val="22"/>
          <w:color w:val="auto"/>
        </w:rPr>
        <w:t>, effective as of December 20, 2019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by and between RED IRON</w:t>
      </w:r>
      <w:r>
        <w:rPr>
          <w:rFonts w:ascii="Arial" w:cs="Arial" w:eastAsia="Arial" w:hAnsi="Arial"/>
          <w:sz w:val="22"/>
          <w:szCs w:val="22"/>
          <w:b w:val="1"/>
          <w:bCs w:val="1"/>
          <w:color w:val="auto"/>
        </w:rPr>
        <w:t xml:space="preserve"> </w:t>
      </w:r>
      <w:r>
        <w:rPr>
          <w:rFonts w:ascii="Arial" w:cs="Arial" w:eastAsia="Arial" w:hAnsi="Arial"/>
          <w:sz w:val="22"/>
          <w:szCs w:val="22"/>
          <w:color w:val="auto"/>
        </w:rPr>
        <w:t>HOLDING CORPORATION, a Delaware corporation (“</w:t>
      </w:r>
      <w:r>
        <w:rPr>
          <w:rFonts w:ascii="Arial" w:cs="Arial" w:eastAsia="Arial" w:hAnsi="Arial"/>
          <w:sz w:val="22"/>
          <w:szCs w:val="22"/>
          <w:b w:val="1"/>
          <w:bCs w:val="1"/>
          <w:color w:val="auto"/>
        </w:rPr>
        <w:t>Toro Sub</w:t>
      </w:r>
      <w:r>
        <w:rPr>
          <w:rFonts w:ascii="Arial" w:cs="Arial" w:eastAsia="Arial" w:hAnsi="Arial"/>
          <w:sz w:val="22"/>
          <w:szCs w:val="22"/>
          <w:color w:val="auto"/>
        </w:rPr>
        <w:t>”), and TCFIF JOINT VENTURE I, LLC, a Minnesota limited liability company (“</w:t>
      </w:r>
      <w:r>
        <w:rPr>
          <w:rFonts w:ascii="Arial" w:cs="Arial" w:eastAsia="Arial" w:hAnsi="Arial"/>
          <w:sz w:val="22"/>
          <w:szCs w:val="22"/>
          <w:b w:val="1"/>
          <w:bCs w:val="1"/>
          <w:color w:val="auto"/>
        </w:rPr>
        <w:t>TCFIF Sub</w:t>
      </w:r>
      <w:r>
        <w:rPr>
          <w:rFonts w:ascii="Arial" w:cs="Arial" w:eastAsia="Arial" w:hAnsi="Arial"/>
          <w:sz w:val="22"/>
          <w:szCs w:val="22"/>
          <w:color w:val="auto"/>
        </w:rPr>
        <w:t>”). Capitalized terms used herein and not otherwise defined shall have the meanings ascribed thereto in the LLC Agreement (as hereinafter defined).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56"/>
        <w:spacing w:after="0" w:line="261" w:lineRule="auto"/>
        <w:tabs>
          <w:tab w:leader="none" w:pos="1135" w:val="left"/>
        </w:tabs>
        <w:numPr>
          <w:ilvl w:val="0"/>
          <w:numId w:val="33"/>
        </w:numPr>
        <w:rPr>
          <w:rFonts w:ascii="Arial" w:cs="Arial" w:eastAsia="Arial" w:hAnsi="Arial"/>
          <w:sz w:val="21"/>
          <w:szCs w:val="21"/>
          <w:color w:val="auto"/>
        </w:rPr>
      </w:pPr>
      <w:r>
        <w:rPr>
          <w:rFonts w:ascii="Arial" w:cs="Arial" w:eastAsia="Arial" w:hAnsi="Arial"/>
          <w:sz w:val="21"/>
          <w:szCs w:val="21"/>
          <w:color w:val="auto"/>
        </w:rPr>
        <w:t>Toro Sub and TCFIF Sub are parties to that certain Limited Liability Company Agreement of Red Iron Acceptance, LLC, dated as of August 12, 2009, as amended by the Amendment No. 1 to Limited Liability Company Agreement of Red Iron Acceptance, LLC, made as of May 31, 2011, the Second Amendment to Limited Liability Company Agreement of Red Iron Acceptance, LLC dated as of June 6, 2012, the Third Amendment to Limited Liability Company Agreement of Red Iron Acceptance, LLC dated as of November 29, 2016, and by the Fourth Amendment to Limited Liability Company Agreement dated as of July 17, 2019 (as so amended, the “</w:t>
      </w:r>
      <w:r>
        <w:rPr>
          <w:rFonts w:ascii="Arial" w:cs="Arial" w:eastAsia="Arial" w:hAnsi="Arial"/>
          <w:sz w:val="21"/>
          <w:szCs w:val="21"/>
          <w:b w:val="1"/>
          <w:bCs w:val="1"/>
          <w:color w:val="auto"/>
        </w:rPr>
        <w:t>LLC Agreement</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1060" w:hanging="404"/>
        <w:spacing w:after="0"/>
        <w:tabs>
          <w:tab w:leader="none" w:pos="10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parties hereto have agreed to amend the LLC Agreement as provided herein.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193" w:lineRule="exact"/>
        <w:rPr>
          <w:sz w:val="20"/>
          <w:szCs w:val="20"/>
          <w:color w:val="auto"/>
        </w:rPr>
      </w:pPr>
    </w:p>
    <w:p>
      <w:pPr>
        <w:ind w:left="1460" w:hanging="804"/>
        <w:spacing w:after="0"/>
        <w:tabs>
          <w:tab w:leader="none" w:pos="1460" w:val="left"/>
        </w:tabs>
        <w:numPr>
          <w:ilvl w:val="0"/>
          <w:numId w:val="34"/>
        </w:numPr>
        <w:rPr>
          <w:rFonts w:ascii="Arial" w:cs="Arial" w:eastAsia="Arial" w:hAnsi="Arial"/>
          <w:sz w:val="22"/>
          <w:szCs w:val="22"/>
          <w:color w:val="010000"/>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660" w:firstLine="645"/>
        <w:spacing w:after="0" w:line="276" w:lineRule="auto"/>
        <w:tabs>
          <w:tab w:leader="none" w:pos="1742" w:val="left"/>
        </w:tabs>
        <w:numPr>
          <w:ilvl w:val="1"/>
          <w:numId w:val="34"/>
        </w:numPr>
        <w:rPr>
          <w:rFonts w:ascii="Arial" w:cs="Arial" w:eastAsia="Arial" w:hAnsi="Arial"/>
          <w:sz w:val="22"/>
          <w:szCs w:val="22"/>
          <w:color w:val="010000"/>
        </w:rPr>
      </w:pPr>
      <w:r>
        <w:rPr>
          <w:rFonts w:ascii="Arial" w:cs="Arial" w:eastAsia="Arial" w:hAnsi="Arial"/>
          <w:sz w:val="22"/>
          <w:szCs w:val="22"/>
          <w:u w:val="single" w:color="auto"/>
          <w:color w:val="auto"/>
        </w:rPr>
        <w:t>Extension of Initial Term</w:t>
      </w:r>
      <w:r>
        <w:rPr>
          <w:rFonts w:ascii="Arial" w:cs="Arial" w:eastAsia="Arial" w:hAnsi="Arial"/>
          <w:sz w:val="22"/>
          <w:szCs w:val="22"/>
          <w:color w:val="auto"/>
        </w:rPr>
        <w:t>. Section 1.04 is amended and restated to extend the Initial Term by two years (to end on October 31, 2026), as follows:</w:t>
      </w:r>
    </w:p>
    <w:p>
      <w:pPr>
        <w:spacing w:after="0" w:line="155"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1.04</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Subject to the provisions of Article X below, the initial term of the Company shall commence on the date first written above (the “</w:t>
      </w:r>
      <w:r>
        <w:rPr>
          <w:rFonts w:ascii="Arial" w:cs="Arial" w:eastAsia="Arial" w:hAnsi="Arial"/>
          <w:sz w:val="22"/>
          <w:szCs w:val="22"/>
          <w:b w:val="1"/>
          <w:bCs w:val="1"/>
          <w:color w:val="auto"/>
        </w:rPr>
        <w:t>Formation Date</w:t>
      </w:r>
      <w:r>
        <w:rPr>
          <w:rFonts w:ascii="Arial" w:cs="Arial" w:eastAsia="Arial" w:hAnsi="Arial"/>
          <w:sz w:val="22"/>
          <w:szCs w:val="22"/>
          <w:color w:val="auto"/>
        </w:rPr>
        <w:t>”), shall continue until October 31, 2026 (the “</w:t>
      </w:r>
      <w:r>
        <w:rPr>
          <w:rFonts w:ascii="Arial" w:cs="Arial" w:eastAsia="Arial" w:hAnsi="Arial"/>
          <w:sz w:val="22"/>
          <w:szCs w:val="22"/>
          <w:b w:val="1"/>
          <w:bCs w:val="1"/>
          <w:color w:val="auto"/>
        </w:rPr>
        <w:t>Initial Term</w:t>
      </w:r>
      <w:r>
        <w:rPr>
          <w:rFonts w:ascii="Arial" w:cs="Arial" w:eastAsia="Arial" w:hAnsi="Arial"/>
          <w:sz w:val="22"/>
          <w:szCs w:val="22"/>
          <w:color w:val="auto"/>
        </w:rPr>
        <w:t>”), and thereafter shall be extended automatically for additional two-year terms (each, an “</w:t>
      </w:r>
      <w:r>
        <w:rPr>
          <w:rFonts w:ascii="Arial" w:cs="Arial" w:eastAsia="Arial" w:hAnsi="Arial"/>
          <w:sz w:val="22"/>
          <w:szCs w:val="22"/>
          <w:b w:val="1"/>
          <w:bCs w:val="1"/>
          <w:color w:val="auto"/>
        </w:rPr>
        <w:t>Additional Term</w:t>
      </w:r>
      <w:r>
        <w:rPr>
          <w:rFonts w:ascii="Arial" w:cs="Arial" w:eastAsia="Arial" w:hAnsi="Arial"/>
          <w:sz w:val="22"/>
          <w:szCs w:val="22"/>
          <w:color w:val="auto"/>
        </w:rPr>
        <w:t>”) unless at least one year prior to the expiration of the Initial Term or Additional Term (as applicable) either Member gives notice to the other Member of its intention not to extend the term, in which event the Company shall dissolve and be wound-up in accordance with the provisions of said Article X.”</w:t>
      </w:r>
    </w:p>
    <w:p>
      <w:pPr>
        <w:sectPr>
          <w:pgSz w:w="11900" w:h="16838" w:orient="portrait"/>
          <w:cols w:equalWidth="0" w:num="1">
            <w:col w:w="11420"/>
          </w:cols>
          <w:pgMar w:left="240" w:top="126" w:right="239" w:bottom="1440" w:gutter="0" w:footer="0" w:header="0"/>
        </w:sectPr>
      </w:pPr>
    </w:p>
    <w:bookmarkStart w:id="57" w:name="page58"/>
    <w:bookmarkEnd w:id="57"/>
    <w:p>
      <w:pPr>
        <w:ind w:left="660" w:firstLine="645"/>
        <w:spacing w:after="0" w:line="276" w:lineRule="auto"/>
        <w:tabs>
          <w:tab w:leader="none" w:pos="1794" w:val="left"/>
        </w:tabs>
        <w:numPr>
          <w:ilvl w:val="0"/>
          <w:numId w:val="35"/>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Section 11.03 of the LLC Agreement is amended to replace the notice for Fox Rothschild LLP with the following:</w:t>
      </w:r>
    </w:p>
    <w:p>
      <w:pPr>
        <w:spacing w:after="0" w:line="16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Fox Rothschild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Campbell Mithun Tower- Suite 2000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222 South Ninth Street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Minneapolis, MN 55402</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Christopher M. Scotti</w:t>
      </w:r>
    </w:p>
    <w:p>
      <w:pPr>
        <w:spacing w:after="0" w:line="202" w:lineRule="exact"/>
        <w:rPr>
          <w:sz w:val="20"/>
          <w:szCs w:val="20"/>
          <w:color w:val="auto"/>
        </w:rPr>
      </w:pPr>
    </w:p>
    <w:p>
      <w:pPr>
        <w:jc w:val="both"/>
        <w:ind w:firstLine="656"/>
        <w:spacing w:after="0" w:line="307" w:lineRule="auto"/>
        <w:tabs>
          <w:tab w:leader="none" w:pos="1017" w:val="left"/>
        </w:tabs>
        <w:numPr>
          <w:ilvl w:val="0"/>
          <w:numId w:val="36"/>
        </w:numPr>
        <w:rPr>
          <w:rFonts w:ascii="Arial" w:cs="Arial" w:eastAsia="Arial" w:hAnsi="Arial"/>
          <w:sz w:val="19"/>
          <w:szCs w:val="19"/>
          <w:color w:val="010000"/>
        </w:rPr>
      </w:pPr>
      <w:r>
        <w:rPr>
          <w:rFonts w:ascii="Arial" w:cs="Arial" w:eastAsia="Arial" w:hAnsi="Arial"/>
          <w:sz w:val="19"/>
          <w:szCs w:val="19"/>
          <w:u w:val="single" w:color="auto"/>
          <w:color w:val="auto"/>
        </w:rPr>
        <w:t>Change in Title of Director of Operations</w:t>
      </w:r>
      <w:r>
        <w:rPr>
          <w:rFonts w:ascii="Arial" w:cs="Arial" w:eastAsia="Arial" w:hAnsi="Arial"/>
          <w:sz w:val="19"/>
          <w:szCs w:val="19"/>
          <w:color w:val="auto"/>
        </w:rPr>
        <w:t>. The Director of Operations of the Company shall, from and after the date of this Amendment, be referred to as the General Manager. All references to “Director of Operations” in the LLC Agreement and in any other document or instrument entered into prior to the date hereof by the parties hereto or their respective Affiliates are hereby amended to refer to the General Manager (or such comparable role as designated by the Company from time to time).</w:t>
      </w:r>
    </w:p>
    <w:p>
      <w:pPr>
        <w:spacing w:after="0" w:line="138" w:lineRule="exact"/>
        <w:rPr>
          <w:rFonts w:ascii="Arial" w:cs="Arial" w:eastAsia="Arial" w:hAnsi="Arial"/>
          <w:sz w:val="19"/>
          <w:szCs w:val="19"/>
          <w:color w:val="010000"/>
        </w:rPr>
      </w:pPr>
    </w:p>
    <w:p>
      <w:pPr>
        <w:jc w:val="both"/>
        <w:ind w:firstLine="656"/>
        <w:spacing w:after="0" w:line="292" w:lineRule="auto"/>
        <w:tabs>
          <w:tab w:leader="none" w:pos="1085" w:val="left"/>
        </w:tabs>
        <w:numPr>
          <w:ilvl w:val="0"/>
          <w:numId w:val="36"/>
        </w:numPr>
        <w:rPr>
          <w:rFonts w:ascii="Arial" w:cs="Arial" w:eastAsia="Arial" w:hAnsi="Arial"/>
          <w:sz w:val="19"/>
          <w:szCs w:val="19"/>
          <w:color w:val="010000"/>
        </w:rPr>
      </w:pPr>
      <w:r>
        <w:rPr>
          <w:rFonts w:ascii="Arial" w:cs="Arial" w:eastAsia="Arial" w:hAnsi="Arial"/>
          <w:sz w:val="19"/>
          <w:szCs w:val="19"/>
          <w:u w:val="single" w:color="auto"/>
          <w:color w:val="auto"/>
        </w:rPr>
        <w:t>Affirmation of LLC Agreement; Further References</w:t>
      </w:r>
      <w:r>
        <w:rPr>
          <w:rFonts w:ascii="Arial" w:cs="Arial" w:eastAsia="Arial" w:hAnsi="Arial"/>
          <w:sz w:val="19"/>
          <w:szCs w:val="19"/>
          <w:color w:val="auto"/>
        </w:rPr>
        <w:t>. The parties hereto each acknowledge and affirm that the LLC Agreement, as hereby amended, is hereby ratified and confirmed in all respects, and all terms, conditions and provisions of the LLC Agreement, except as amended by this Amendment, shall remain unmodified and in full force and effect. For the avoidance of doubt, Toro Sub acknowledges and agrees that neither (a) the merger of TCF Financial Corporation, a Delaware corporation and indirect parent of TCFIF Sub, with Chemical Financial Corporation, a Michigan corporation, nor (b) the merger of Chemical Bank, a Michigan banking corporation and wholly-owned subsidiary of Chemical Financial Corporation, with TCF National Bank, a national banking association and indirect parent of TCFIF Sub (collectively, the “</w:t>
      </w:r>
      <w:r>
        <w:rPr>
          <w:rFonts w:ascii="Arial" w:cs="Arial" w:eastAsia="Arial" w:hAnsi="Arial"/>
          <w:sz w:val="19"/>
          <w:szCs w:val="19"/>
          <w:b w:val="1"/>
          <w:bCs w:val="1"/>
          <w:color w:val="auto"/>
        </w:rPr>
        <w:t>Mergers</w:t>
      </w:r>
      <w:r>
        <w:rPr>
          <w:rFonts w:ascii="Arial" w:cs="Arial" w:eastAsia="Arial" w:hAnsi="Arial"/>
          <w:sz w:val="19"/>
          <w:szCs w:val="19"/>
          <w:color w:val="auto"/>
        </w:rPr>
        <w:t>”), was a change in the controlling interest of TCF National Bank under Section 10.01(j) of the LLC Agreement.</w:t>
      </w:r>
    </w:p>
    <w:p>
      <w:pPr>
        <w:spacing w:after="0" w:line="15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All references in any document or instrument to the LLC Agreement (including references in the LLC Agreement to the terms thereof) are hereby amended to refer to the LLC Agreement as amended through this Amendment.</w:t>
      </w:r>
    </w:p>
    <w:p>
      <w:pPr>
        <w:spacing w:after="0" w:line="152" w:lineRule="exact"/>
        <w:rPr>
          <w:sz w:val="20"/>
          <w:szCs w:val="20"/>
          <w:color w:val="auto"/>
        </w:rPr>
      </w:pPr>
    </w:p>
    <w:p>
      <w:pPr>
        <w:jc w:val="both"/>
        <w:ind w:firstLine="656"/>
        <w:spacing w:after="0" w:line="251" w:lineRule="auto"/>
        <w:tabs>
          <w:tab w:leader="none" w:pos="1004" w:val="left"/>
        </w:tabs>
        <w:numPr>
          <w:ilvl w:val="0"/>
          <w:numId w:val="37"/>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89" w:lineRule="exact"/>
        <w:rPr>
          <w:rFonts w:ascii="Arial" w:cs="Arial" w:eastAsia="Arial" w:hAnsi="Arial"/>
          <w:sz w:val="22"/>
          <w:szCs w:val="22"/>
          <w:color w:val="010000"/>
        </w:rPr>
      </w:pPr>
    </w:p>
    <w:p>
      <w:pPr>
        <w:jc w:val="both"/>
        <w:ind w:firstLine="656"/>
        <w:spacing w:after="0" w:line="254" w:lineRule="auto"/>
        <w:tabs>
          <w:tab w:leader="none" w:pos="1125" w:val="left"/>
        </w:tabs>
        <w:numPr>
          <w:ilvl w:val="0"/>
          <w:numId w:val="3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04" w:right="23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auto"/>
        </w:rPr>
        <w:t>IN WITNESS WHEREOF, the parties hereto have duly executed this Agreement as of the day and year first above written.</w:t>
      </w:r>
    </w:p>
    <w:p>
      <w:pPr>
        <w:sectPr>
          <w:pgSz w:w="11900" w:h="16838" w:orient="portrait"/>
          <w:cols w:equalWidth="0" w:num="1">
            <w:col w:w="10640"/>
          </w:cols>
          <w:pgMar w:left="900" w:top="604"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RED IRON HOLDING CORPORATION</w:t>
      </w:r>
    </w:p>
    <w:p>
      <w:pPr>
        <w:spacing w:after="0" w:line="200" w:lineRule="exact"/>
        <w:rPr>
          <w:sz w:val="20"/>
          <w:szCs w:val="20"/>
          <w:color w:val="auto"/>
        </w:rPr>
      </w:pPr>
    </w:p>
    <w:p>
      <w:pPr>
        <w:spacing w:after="0" w:line="34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Renee J. Peterson</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Renee J. Peterson</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President</w:t>
      </w:r>
    </w:p>
    <w:p>
      <w:pPr>
        <w:spacing w:after="0" w:line="3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TCFIF JOINT VENTURE I, LLC</w:t>
      </w:r>
    </w:p>
    <w:p>
      <w:pPr>
        <w:spacing w:after="0" w:line="200" w:lineRule="exact"/>
        <w:rPr>
          <w:sz w:val="20"/>
          <w:szCs w:val="20"/>
          <w:color w:val="auto"/>
        </w:rPr>
      </w:pPr>
    </w:p>
    <w:p>
      <w:pPr>
        <w:spacing w:after="0" w:line="34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Wrend</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Mark J. Wrend</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40"/>
        <w:spacing w:after="0"/>
        <w:rPr>
          <w:sz w:val="20"/>
          <w:szCs w:val="20"/>
          <w:color w:val="auto"/>
        </w:rPr>
      </w:pPr>
      <w:r>
        <w:rPr>
          <w:rFonts w:ascii="Arial" w:cs="Arial" w:eastAsia="Arial" w:hAnsi="Arial"/>
          <w:sz w:val="19"/>
          <w:szCs w:val="19"/>
          <w:i w:val="1"/>
          <w:iCs w:val="1"/>
          <w:color w:val="auto"/>
        </w:rPr>
        <w:t>(Signature page to Fifth Amendment to Limited Liability Company Agreement</w:t>
      </w:r>
    </w:p>
    <w:p>
      <w:pPr>
        <w:spacing w:after="0" w:line="56" w:lineRule="exact"/>
        <w:rPr>
          <w:sz w:val="20"/>
          <w:szCs w:val="20"/>
          <w:color w:val="auto"/>
        </w:rPr>
      </w:pPr>
    </w:p>
    <w:p>
      <w:pPr>
        <w:jc w:val="center"/>
        <w:ind w:right="540"/>
        <w:spacing w:after="0"/>
        <w:rPr>
          <w:sz w:val="20"/>
          <w:szCs w:val="20"/>
          <w:color w:val="auto"/>
        </w:rPr>
      </w:pPr>
      <w:r>
        <w:rPr>
          <w:rFonts w:ascii="Arial" w:cs="Arial" w:eastAsia="Arial" w:hAnsi="Arial"/>
          <w:sz w:val="22"/>
          <w:szCs w:val="22"/>
          <w:i w:val="1"/>
          <w:iCs w:val="1"/>
          <w:color w:val="auto"/>
        </w:rPr>
        <w:t>of Red Iron Acceptance, LLC)</w:t>
      </w:r>
    </w:p>
    <w:p>
      <w:pPr>
        <w:sectPr>
          <w:pgSz w:w="11900" w:h="16838" w:orient="portrait"/>
          <w:cols w:equalWidth="0" w:num="1">
            <w:col w:w="10640"/>
          </w:cols>
          <w:pgMar w:left="900" w:top="604" w:right="35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PROGRAM AND REPURCHASE AGREEMENT</w:t>
      </w:r>
    </w:p>
    <w:p>
      <w:pPr>
        <w:spacing w:after="0" w:line="3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THIS FIRST AMENDMENT TO FOURTH AMENDED AND RESTATED PROGRAM AND REPURCHASE AGREEMENT</w:t>
      </w:r>
      <w:r>
        <w:rPr>
          <w:rFonts w:ascii="Arial" w:cs="Arial" w:eastAsia="Arial" w:hAnsi="Arial"/>
          <w:sz w:val="22"/>
          <w:szCs w:val="22"/>
          <w:color w:val="auto"/>
        </w:rPr>
        <w:t>, dated as of December 20, 2019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by and between THE TORO COMPANY,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w:t>
      </w:r>
      <w:r>
        <w:rPr>
          <w:rFonts w:ascii="Arial" w:cs="Arial" w:eastAsia="Arial" w:hAnsi="Arial"/>
          <w:sz w:val="22"/>
          <w:szCs w:val="22"/>
          <w:b w:val="1"/>
          <w:bCs w:val="1"/>
          <w:color w:val="auto"/>
        </w:rPr>
        <w:t>Seller</w:t>
      </w:r>
      <w:r>
        <w:rPr>
          <w:rFonts w:ascii="Arial" w:cs="Arial" w:eastAsia="Arial" w:hAnsi="Arial"/>
          <w:sz w:val="22"/>
          <w:szCs w:val="22"/>
          <w:color w:val="auto"/>
        </w:rPr>
        <w:t>”), and RED IRON ACCEPTANCE, LLC, a Delaware limited liability company (“</w:t>
      </w:r>
      <w:r>
        <w:rPr>
          <w:rFonts w:ascii="Arial" w:cs="Arial" w:eastAsia="Arial" w:hAnsi="Arial"/>
          <w:sz w:val="22"/>
          <w:szCs w:val="22"/>
          <w:b w:val="1"/>
          <w:bCs w:val="1"/>
          <w:color w:val="auto"/>
        </w:rPr>
        <w:t>Red Iron</w:t>
      </w:r>
      <w:r>
        <w:rPr>
          <w:rFonts w:ascii="Arial" w:cs="Arial" w:eastAsia="Arial" w:hAnsi="Arial"/>
          <w:sz w:val="22"/>
          <w:szCs w:val="22"/>
          <w:color w:val="auto"/>
        </w:rPr>
        <w:t>”). Capitalized terms used herein and not otherwise defined shall have the meanings ascribed thereto in the Repurchase Agreement (as hereinafter defined).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ind w:firstLine="656"/>
        <w:spacing w:after="0" w:line="263" w:lineRule="auto"/>
        <w:tabs>
          <w:tab w:leader="none" w:pos="1169" w:val="left"/>
        </w:tabs>
        <w:numPr>
          <w:ilvl w:val="0"/>
          <w:numId w:val="38"/>
        </w:numPr>
        <w:rPr>
          <w:rFonts w:ascii="Arial" w:cs="Arial" w:eastAsia="Arial" w:hAnsi="Arial"/>
          <w:sz w:val="22"/>
          <w:szCs w:val="22"/>
          <w:color w:val="auto"/>
        </w:rPr>
      </w:pPr>
      <w:r>
        <w:rPr>
          <w:rFonts w:ascii="Arial" w:cs="Arial" w:eastAsia="Arial" w:hAnsi="Arial"/>
          <w:sz w:val="22"/>
          <w:szCs w:val="22"/>
          <w:color w:val="auto"/>
        </w:rPr>
        <w:t>Seller and Red Iron are parties to that certain Fourth Amended and Restated Program and Repurchase Agreement, dated as of November 29, 2016 (the “</w:t>
      </w:r>
      <w:r>
        <w:rPr>
          <w:rFonts w:ascii="Arial" w:cs="Arial" w:eastAsia="Arial" w:hAnsi="Arial"/>
          <w:sz w:val="22"/>
          <w:szCs w:val="22"/>
          <w:b w:val="1"/>
          <w:bCs w:val="1"/>
          <w:color w:val="auto"/>
        </w:rPr>
        <w:t>Repurchase Agreement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060" w:hanging="404"/>
        <w:spacing w:after="0"/>
        <w:tabs>
          <w:tab w:leader="none" w:pos="10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parties hereto have agreed to amend the Repurchase Agreement as provided herein.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193" w:lineRule="exact"/>
        <w:rPr>
          <w:sz w:val="20"/>
          <w:szCs w:val="20"/>
          <w:color w:val="auto"/>
        </w:rPr>
      </w:pPr>
    </w:p>
    <w:p>
      <w:pPr>
        <w:ind w:left="1460" w:hanging="804"/>
        <w:spacing w:after="0"/>
        <w:tabs>
          <w:tab w:leader="none" w:pos="1460" w:val="left"/>
        </w:tabs>
        <w:numPr>
          <w:ilvl w:val="0"/>
          <w:numId w:val="39"/>
        </w:numPr>
        <w:rPr>
          <w:rFonts w:ascii="Arial" w:cs="Arial" w:eastAsia="Arial" w:hAnsi="Arial"/>
          <w:sz w:val="22"/>
          <w:szCs w:val="22"/>
          <w:color w:val="010000"/>
        </w:rPr>
      </w:pPr>
      <w:r>
        <w:rPr>
          <w:rFonts w:ascii="Arial" w:cs="Arial" w:eastAsia="Arial" w:hAnsi="Arial"/>
          <w:sz w:val="22"/>
          <w:szCs w:val="22"/>
          <w:u w:val="single" w:color="auto"/>
          <w:color w:val="auto"/>
        </w:rPr>
        <w:t>Clerical Corrections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660" w:right="20" w:firstLine="645"/>
        <w:spacing w:after="0" w:line="260" w:lineRule="auto"/>
        <w:tabs>
          <w:tab w:leader="none" w:pos="1742" w:val="left"/>
        </w:tabs>
        <w:numPr>
          <w:ilvl w:val="1"/>
          <w:numId w:val="39"/>
        </w:numPr>
        <w:rPr>
          <w:rFonts w:ascii="Arial" w:cs="Arial" w:eastAsia="Arial" w:hAnsi="Arial"/>
          <w:sz w:val="22"/>
          <w:szCs w:val="22"/>
          <w:color w:val="010000"/>
        </w:rPr>
      </w:pPr>
      <w:r>
        <w:rPr>
          <w:rFonts w:ascii="Arial" w:cs="Arial" w:eastAsia="Arial" w:hAnsi="Arial"/>
          <w:sz w:val="22"/>
          <w:szCs w:val="22"/>
          <w:color w:val="auto"/>
        </w:rPr>
        <w:t>References to “Distributor Dealers” were inadvertently omitted in a number of defined terms in the Repurchase Agreement. Accordingly, the following defined terms in Section 1 of the Repurchase Agreement shall be deemed to have been amended and restated as set forth below, effective as of November 29, 2016:</w:t>
      </w:r>
    </w:p>
    <w:p>
      <w:pPr>
        <w:spacing w:after="0" w:line="171" w:lineRule="exact"/>
        <w:rPr>
          <w:sz w:val="20"/>
          <w:szCs w:val="20"/>
          <w:color w:val="auto"/>
        </w:rPr>
      </w:pPr>
    </w:p>
    <w:p>
      <w:pPr>
        <w:jc w:val="both"/>
        <w:ind w:left="130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ANR-Program Year</w:t>
      </w:r>
      <w:r>
        <w:rPr>
          <w:rFonts w:ascii="Arial" w:cs="Arial" w:eastAsia="Arial" w:hAnsi="Arial"/>
          <w:sz w:val="21"/>
          <w:szCs w:val="21"/>
          <w:color w:val="auto"/>
        </w:rPr>
        <w:t>” herein shall mean, with respect to a Program Year, the average outstanding principal balance of all Wholesale Instruments due Red Iron from all Dealers, Distributors, and Distributor Dealers, determined by aggregating the “</w:t>
      </w:r>
      <w:r>
        <w:rPr>
          <w:rFonts w:ascii="Arial" w:cs="Arial" w:eastAsia="Arial" w:hAnsi="Arial"/>
          <w:sz w:val="21"/>
          <w:szCs w:val="21"/>
          <w:b w:val="1"/>
          <w:bCs w:val="1"/>
          <w:color w:val="auto"/>
        </w:rPr>
        <w:t>Monthly ADB-Program Year</w:t>
      </w:r>
      <w:r>
        <w:rPr>
          <w:rFonts w:ascii="Arial" w:cs="Arial" w:eastAsia="Arial" w:hAnsi="Arial"/>
          <w:sz w:val="21"/>
          <w:szCs w:val="21"/>
          <w:color w:val="auto"/>
        </w:rPr>
        <w:t>” (which shall mean, with respect to any month, the aggregate outstanding principal balance of all Wholesale Instruments due Red Iron from all Dealers, Distributors and Distributor Dealers each day during such calendar month divided by the</w:t>
      </w: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CONFIDENTIAL</w:t>
      </w:r>
    </w:p>
    <w:p>
      <w:pPr>
        <w:spacing w:after="0" w:line="19" w:lineRule="exact"/>
        <w:rPr>
          <w:sz w:val="20"/>
          <w:szCs w:val="20"/>
          <w:color w:val="auto"/>
        </w:rPr>
      </w:pPr>
    </w:p>
    <w:p>
      <w:pPr>
        <w:ind w:right="460" w:firstLine="8"/>
        <w:spacing w:after="0" w:line="258" w:lineRule="auto"/>
        <w:tabs>
          <w:tab w:leader="none" w:pos="304"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Indicates portions of this exhibit that have been excluded because the information is both (i) not material and (ii) would likely cause competitive harm to the registrant if publicly disclosed.</w:t>
      </w:r>
    </w:p>
    <w:p>
      <w:pPr>
        <w:sectPr>
          <w:pgSz w:w="11900" w:h="16838" w:orient="portrait"/>
          <w:cols w:equalWidth="0" w:num="1">
            <w:col w:w="11420"/>
          </w:cols>
          <w:pgMar w:left="240" w:top="126" w:right="239" w:bottom="1440" w:gutter="0" w:footer="0" w:header="0"/>
        </w:sectPr>
      </w:pPr>
    </w:p>
    <w:bookmarkStart w:id="60" w:name="page61"/>
    <w:bookmarkEnd w:id="60"/>
    <w:p>
      <w:pPr>
        <w:jc w:val="both"/>
        <w:ind w:left="1300"/>
        <w:spacing w:after="0" w:line="263" w:lineRule="auto"/>
        <w:rPr>
          <w:sz w:val="20"/>
          <w:szCs w:val="20"/>
          <w:color w:val="auto"/>
        </w:rPr>
      </w:pPr>
      <w:r>
        <w:rPr>
          <w:rFonts w:ascii="Arial" w:cs="Arial" w:eastAsia="Arial" w:hAnsi="Arial"/>
          <w:sz w:val="22"/>
          <w:szCs w:val="22"/>
          <w:color w:val="auto"/>
        </w:rPr>
        <w:t>number of days in such calendar month) for each month in such Program Year and dividing such aggregated amount by 12.</w:t>
      </w:r>
    </w:p>
    <w:p>
      <w:pPr>
        <w:spacing w:after="0" w:line="169" w:lineRule="exact"/>
        <w:rPr>
          <w:sz w:val="20"/>
          <w:szCs w:val="20"/>
          <w:color w:val="auto"/>
        </w:rPr>
      </w:pPr>
    </w:p>
    <w:p>
      <w:pPr>
        <w:jc w:val="both"/>
        <w:ind w:left="13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FLR Reliant Account</w:t>
      </w:r>
      <w:r>
        <w:rPr>
          <w:rFonts w:ascii="Arial" w:cs="Arial" w:eastAsia="Arial" w:hAnsi="Arial"/>
          <w:sz w:val="22"/>
          <w:szCs w:val="22"/>
          <w:color w:val="auto"/>
        </w:rPr>
        <w:t>” herein shall mean a Dealer, Distributor or Distributor Dealer that has requested financing from Red Iron, does not meet the criteria set by the credit and operational policies of Red Iron, but nevertheless is approved by Red Iron for financing in reliance on the FLR Account in accordance with the provisions of Section 9(b).</w:t>
      </w:r>
    </w:p>
    <w:p>
      <w:pPr>
        <w:spacing w:after="0" w:line="180" w:lineRule="exact"/>
        <w:rPr>
          <w:sz w:val="20"/>
          <w:szCs w:val="20"/>
          <w:color w:val="auto"/>
        </w:rPr>
      </w:pPr>
    </w:p>
    <w:p>
      <w:pPr>
        <w:jc w:val="both"/>
        <w:ind w:left="13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FLR Reliant Accounts Limitation</w:t>
      </w:r>
      <w:r>
        <w:rPr>
          <w:rFonts w:ascii="Arial" w:cs="Arial" w:eastAsia="Arial" w:hAnsi="Arial"/>
          <w:sz w:val="22"/>
          <w:szCs w:val="22"/>
          <w:color w:val="auto"/>
        </w:rPr>
        <w:t xml:space="preserve">” shall occur if (i) the prospective designation of a Dealer, Distributor or Distributor Dealer as an FLR Reliant Account would </w:t>
      </w:r>
      <w:r>
        <w:rPr>
          <w:rFonts w:ascii="Arial" w:cs="Arial" w:eastAsia="Arial" w:hAnsi="Arial"/>
          <w:sz w:val="22"/>
          <w:szCs w:val="22"/>
          <w:b w:val="1"/>
          <w:bCs w:val="1"/>
          <w:color w:val="auto"/>
        </w:rPr>
        <w:t>[***]</w:t>
      </w:r>
      <w:r>
        <w:rPr>
          <w:rFonts w:ascii="Arial" w:cs="Arial" w:eastAsia="Arial" w:hAnsi="Arial"/>
          <w:sz w:val="22"/>
          <w:szCs w:val="22"/>
          <w:color w:val="auto"/>
        </w:rPr>
        <w:t xml:space="preserve">, or (ii) the projected FLR Reliant Account Net Reliance for such prospective FLR Reliant Account is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76"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Losses</w:t>
      </w:r>
      <w:r>
        <w:rPr>
          <w:rFonts w:ascii="Arial" w:cs="Arial" w:eastAsia="Arial" w:hAnsi="Arial"/>
          <w:sz w:val="21"/>
          <w:szCs w:val="21"/>
          <w:color w:val="auto"/>
        </w:rPr>
        <w:t xml:space="preserve">” herein shall mean for any Program Year beginning with Program Year 2016 and each Program Year thereafter: (i) (A) the total unpaid balance of all Wholesale Instruments due to Red Iron from all Dealers, Distributors and Distributor Dealers during such Program Year (including without limitation for Inventory sold out of trust) which are charged-off in accordance with Red Iron’s accounting policies; plus (B) interest and other charges related to such Wholesale Instruments; plus (C) all costs and expenses incurred by Red Iron with respect to the collection of such Wholesale Instruments including without limitation all attorneys’ fees, bankruptcy and other court costs, less (ii) the amount of any recoveries received by Red Iron for any Wholesale Instruments </w:t>
      </w:r>
      <w:r>
        <w:rPr>
          <w:rFonts w:ascii="Arial" w:cs="Arial" w:eastAsia="Arial" w:hAnsi="Arial"/>
          <w:sz w:val="21"/>
          <w:szCs w:val="21"/>
          <w:b w:val="1"/>
          <w:bCs w:val="1"/>
          <w:color w:val="auto"/>
        </w:rPr>
        <w:t>[***]</w:t>
      </w:r>
      <w:r>
        <w:rPr>
          <w:rFonts w:ascii="Arial" w:cs="Arial" w:eastAsia="Arial" w:hAnsi="Arial"/>
          <w:sz w:val="21"/>
          <w:szCs w:val="21"/>
          <w:color w:val="auto"/>
        </w:rPr>
        <w:t xml:space="preserve">. For the avoidance of doubt, Red Iron shall not credit any recoveries received by Red Iron related to losses which were incurred by Red Iron prior to Program Year 2016 </w:t>
      </w:r>
      <w:r>
        <w:rPr>
          <w:rFonts w:ascii="Arial" w:cs="Arial" w:eastAsia="Arial" w:hAnsi="Arial"/>
          <w:sz w:val="21"/>
          <w:szCs w:val="21"/>
          <w:b w:val="1"/>
          <w:bCs w:val="1"/>
          <w:color w:val="auto"/>
        </w:rPr>
        <w:t>[***]</w:t>
      </w:r>
      <w:r>
        <w:rPr>
          <w:rFonts w:ascii="Arial" w:cs="Arial" w:eastAsia="Arial" w:hAnsi="Arial"/>
          <w:sz w:val="21"/>
          <w:szCs w:val="21"/>
          <w:color w:val="auto"/>
        </w:rPr>
        <w:t>.</w:t>
      </w:r>
    </w:p>
    <w:p>
      <w:pPr>
        <w:spacing w:after="0" w:line="186" w:lineRule="exact"/>
        <w:rPr>
          <w:sz w:val="20"/>
          <w:szCs w:val="20"/>
          <w:color w:val="auto"/>
        </w:rPr>
      </w:pPr>
    </w:p>
    <w:p>
      <w:pPr>
        <w:jc w:val="both"/>
        <w:ind w:left="660" w:right="20" w:firstLine="645"/>
        <w:spacing w:after="0" w:line="260" w:lineRule="auto"/>
        <w:tabs>
          <w:tab w:leader="none" w:pos="1875"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References to “Distributor Dealers” were also inadvertently omitted from Section 9(b) of the Repurchase Agreement. Accordingly, Section 9(b) of the Repurchase Agreement shall be deemed to have been amended and restated as set forth below, effective as of November 29, 2016:</w:t>
      </w:r>
    </w:p>
    <w:p>
      <w:pPr>
        <w:spacing w:after="0" w:line="171"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FLR Reliant Accounts Process and Limitation</w:t>
      </w:r>
      <w:r>
        <w:rPr>
          <w:rFonts w:ascii="Arial" w:cs="Arial" w:eastAsia="Arial" w:hAnsi="Arial"/>
          <w:sz w:val="21"/>
          <w:szCs w:val="21"/>
          <w:color w:val="auto"/>
        </w:rPr>
        <w:t>. If so requested, or on its own initiative, Red Iron shall, in consultation with Seller or Seller’s affiliates, review whether a Dealer, Distributor or Distributor Dealer which does not meet the criteria set by the credit and operational policies of Red Iron, should be designated as an FLR Reliant Account. Subject to such Dealer, Distributor or Distributor Dealer satisfying other applicable requirements for eligibility for financing hereunder, if so requested by Seller or an affiliate of Seller, Red Iron shall designate such Dealer, Distributor or Distributor Dealer as an FLR Reliant Account unless Red Iron determines such designation would result in an FLR Reliant Accounts Limitation, in which case Red Iron shall not designate such Dealer, Distributor or Distributor Dealer as an FLR Reliant Account.”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CONFIDENTIAL</w:t>
      </w:r>
    </w:p>
    <w:p>
      <w:pPr>
        <w:spacing w:after="0" w:line="163" w:lineRule="exact"/>
        <w:rPr>
          <w:sz w:val="20"/>
          <w:szCs w:val="20"/>
          <w:color w:val="auto"/>
        </w:rPr>
      </w:pPr>
    </w:p>
    <w:p>
      <w:pPr>
        <w:ind w:right="460" w:firstLine="8"/>
        <w:spacing w:after="0" w:line="285" w:lineRule="auto"/>
        <w:tabs>
          <w:tab w:leader="none" w:pos="304"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Indicates portions of this exhibit that have been excluded because the information is both (i) not material and (ii) would likely cause competitive harm to the registrant if publicly disclosed.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48" w:right="239" w:bottom="1440" w:gutter="0" w:footer="0" w:header="0"/>
        </w:sectPr>
      </w:pPr>
    </w:p>
    <w:bookmarkStart w:id="61" w:name="page62"/>
    <w:bookmarkEnd w:id="61"/>
    <w:p>
      <w:pPr>
        <w:ind w:firstLine="656"/>
        <w:spacing w:after="0" w:line="276" w:lineRule="auto"/>
        <w:tabs>
          <w:tab w:leader="none" w:pos="1031"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Extension of Term</w:t>
      </w:r>
      <w:r>
        <w:rPr>
          <w:rFonts w:ascii="Arial" w:cs="Arial" w:eastAsia="Arial" w:hAnsi="Arial"/>
          <w:sz w:val="22"/>
          <w:szCs w:val="22"/>
          <w:color w:val="auto"/>
        </w:rPr>
        <w:t>. The first sentence of Section 8(a) of the Repurchase Agreement is amended and restated to extend the Initial Term by two years (to end on October 31, 2026), as follows:</w:t>
      </w:r>
    </w:p>
    <w:p>
      <w:pPr>
        <w:spacing w:after="0" w:line="161"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initial term of this Agreement commenced on October 1, 2009 and, provided this Agreement is not terminated earlier as otherwise provided herein, shall continue until October 31, 2026 (the “</w:t>
      </w:r>
      <w:r>
        <w:rPr>
          <w:rFonts w:ascii="Arial" w:cs="Arial" w:eastAsia="Arial" w:hAnsi="Arial"/>
          <w:sz w:val="19"/>
          <w:szCs w:val="19"/>
          <w:b w:val="1"/>
          <w:bCs w:val="1"/>
          <w:color w:val="auto"/>
        </w:rPr>
        <w:t>Initial Term</w:t>
      </w:r>
      <w:r>
        <w:rPr>
          <w:rFonts w:ascii="Arial" w:cs="Arial" w:eastAsia="Arial" w:hAnsi="Arial"/>
          <w:sz w:val="19"/>
          <w:szCs w:val="19"/>
          <w:color w:val="auto"/>
        </w:rPr>
        <w:t>”), and thereafter shall be extended automatically for additional two-year terms (each, an “</w:t>
      </w:r>
      <w:r>
        <w:rPr>
          <w:rFonts w:ascii="Arial" w:cs="Arial" w:eastAsia="Arial" w:hAnsi="Arial"/>
          <w:sz w:val="19"/>
          <w:szCs w:val="19"/>
          <w:b w:val="1"/>
          <w:bCs w:val="1"/>
          <w:color w:val="auto"/>
        </w:rPr>
        <w:t>Additional Term</w:t>
      </w:r>
      <w:r>
        <w:rPr>
          <w:rFonts w:ascii="Arial" w:cs="Arial" w:eastAsia="Arial" w:hAnsi="Arial"/>
          <w:sz w:val="19"/>
          <w:szCs w:val="19"/>
          <w:color w:val="auto"/>
        </w:rPr>
        <w:t>”) unless at least one year prior to the expiration of the Initial Term or Additional Term (as applicable) either party gives notice to the other party of its intention not to extend the term, in which event the Agreement shall terminate at the end of the then current Initial Term or Additional Term.”</w:t>
      </w:r>
    </w:p>
    <w:p>
      <w:pPr>
        <w:spacing w:after="0" w:line="147" w:lineRule="exact"/>
        <w:rPr>
          <w:sz w:val="20"/>
          <w:szCs w:val="20"/>
          <w:color w:val="auto"/>
        </w:rPr>
      </w:pPr>
    </w:p>
    <w:p>
      <w:pPr>
        <w:ind w:firstLine="656"/>
        <w:spacing w:after="0" w:line="276" w:lineRule="auto"/>
        <w:tabs>
          <w:tab w:leader="none" w:pos="1044"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Updated Notice Address</w:t>
      </w:r>
      <w:r>
        <w:rPr>
          <w:rFonts w:ascii="Arial" w:cs="Arial" w:eastAsia="Arial" w:hAnsi="Arial"/>
          <w:sz w:val="22"/>
          <w:szCs w:val="22"/>
          <w:color w:val="auto"/>
        </w:rPr>
        <w:t>. The notice address for Red Iron in Section 10(c) of the Repurchase Agreement is amended and restated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Red Iron Acceptance,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8111 Lyndale Avenue South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Bloomington, MN 55420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Manager</w:t>
      </w:r>
    </w:p>
    <w:p>
      <w:pPr>
        <w:spacing w:after="0" w:line="242" w:lineRule="exact"/>
        <w:rPr>
          <w:sz w:val="20"/>
          <w:szCs w:val="20"/>
          <w:color w:val="auto"/>
        </w:rPr>
      </w:pPr>
    </w:p>
    <w:p>
      <w:pPr>
        <w:jc w:val="both"/>
        <w:ind w:firstLine="656"/>
        <w:spacing w:after="0" w:line="300" w:lineRule="auto"/>
        <w:tabs>
          <w:tab w:leader="none" w:pos="1058" w:val="left"/>
        </w:tabs>
        <w:numPr>
          <w:ilvl w:val="0"/>
          <w:numId w:val="45"/>
        </w:numPr>
        <w:rPr>
          <w:rFonts w:ascii="Arial" w:cs="Arial" w:eastAsia="Arial" w:hAnsi="Arial"/>
          <w:sz w:val="19"/>
          <w:szCs w:val="19"/>
          <w:color w:val="010000"/>
        </w:rPr>
      </w:pPr>
      <w:r>
        <w:rPr>
          <w:rFonts w:ascii="Arial" w:cs="Arial" w:eastAsia="Arial" w:hAnsi="Arial"/>
          <w:sz w:val="19"/>
          <w:szCs w:val="19"/>
          <w:u w:val="single" w:color="auto"/>
          <w:color w:val="auto"/>
        </w:rPr>
        <w:t>Affirmation of Repurchase Agreement; Further References</w:t>
      </w:r>
      <w:r>
        <w:rPr>
          <w:rFonts w:ascii="Arial" w:cs="Arial" w:eastAsia="Arial" w:hAnsi="Arial"/>
          <w:sz w:val="19"/>
          <w:szCs w:val="19"/>
          <w:color w:val="auto"/>
        </w:rPr>
        <w:t>. The parties hereto each acknowledge and affirm that the Repurchase Agreement, as hereby amended, is hereby ratified and confirmed in all respects, and all terms, conditions and provisions of the Repurchase Agreement, except as amended by this Amendment, shall remain unmodified and in full force and effect. All references in any document or instrument to the Repurchase Agreement (including references in the Repurchase Agreement to the terms thereof) are hereby amended to refer to the Repurchase Agreement as amended by this Amendment.</w:t>
      </w:r>
    </w:p>
    <w:p>
      <w:pPr>
        <w:spacing w:after="0" w:line="147" w:lineRule="exact"/>
        <w:rPr>
          <w:rFonts w:ascii="Arial" w:cs="Arial" w:eastAsia="Arial" w:hAnsi="Arial"/>
          <w:sz w:val="19"/>
          <w:szCs w:val="19"/>
          <w:color w:val="010000"/>
        </w:rPr>
      </w:pPr>
    </w:p>
    <w:p>
      <w:pPr>
        <w:jc w:val="both"/>
        <w:ind w:firstLine="656"/>
        <w:spacing w:after="0" w:line="254" w:lineRule="auto"/>
        <w:tabs>
          <w:tab w:leader="none" w:pos="1004" w:val="left"/>
        </w:tabs>
        <w:numPr>
          <w:ilvl w:val="0"/>
          <w:numId w:val="45"/>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on and after the date hereof, contains all of the understandings and agreements of whatsoever kind and nature existing among the parties with respect to this Amendment, the subject matter hereof, and the rights, interests, understandings, agreements and obligations of the parties pertaining to the subject matter hereof with the effect that this Amendment shall control with respect to the specific subjects hereof.</w:t>
      </w:r>
    </w:p>
    <w:p>
      <w:pPr>
        <w:spacing w:after="0" w:line="185" w:lineRule="exact"/>
        <w:rPr>
          <w:rFonts w:ascii="Arial" w:cs="Arial" w:eastAsia="Arial" w:hAnsi="Arial"/>
          <w:sz w:val="22"/>
          <w:szCs w:val="22"/>
          <w:color w:val="010000"/>
        </w:rPr>
      </w:pPr>
    </w:p>
    <w:p>
      <w:pPr>
        <w:jc w:val="both"/>
        <w:ind w:firstLine="656"/>
        <w:spacing w:after="0" w:line="254" w:lineRule="auto"/>
        <w:tabs>
          <w:tab w:leader="none" w:pos="1125" w:val="left"/>
        </w:tabs>
        <w:numPr>
          <w:ilvl w:val="0"/>
          <w:numId w:val="45"/>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CONFIDENTIAL</w:t>
      </w:r>
    </w:p>
    <w:p>
      <w:pPr>
        <w:spacing w:after="0" w:line="163" w:lineRule="exact"/>
        <w:rPr>
          <w:sz w:val="20"/>
          <w:szCs w:val="20"/>
          <w:color w:val="auto"/>
        </w:rPr>
      </w:pPr>
    </w:p>
    <w:p>
      <w:pPr>
        <w:ind w:right="460" w:firstLine="8"/>
        <w:spacing w:after="0" w:line="285" w:lineRule="auto"/>
        <w:tabs>
          <w:tab w:leader="none" w:pos="304"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Indicates portions of this exhibit that have been excluded because the information is both (i) not material and (ii) would likely cause competitive harm to the registrant if publicly disclosed.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48"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9"/>
          <w:szCs w:val="19"/>
          <w:color w:val="auto"/>
        </w:rPr>
        <w:t>IN WITNESS WHEREOF, the parties hereto have duly executed this Amendment as of the day and year first above written.</w:t>
      </w:r>
    </w:p>
    <w:p>
      <w:pPr>
        <w:spacing w:after="0" w:line="36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TORO COMPANY</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Renee J. Peterson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Renee J. Peterson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Vice President, Treasurer and</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Chief Financial Officer</w:t>
      </w:r>
    </w:p>
    <w:p>
      <w:pPr>
        <w:spacing w:after="0" w:line="3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RED IRON ACCEPTANCE, LLC</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Wrend</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Mark J. Wrend</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First Amendment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to Fourth Amended and Restated Program and Repurchase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CONFIDENTIAL</w:t>
      </w:r>
    </w:p>
    <w:p>
      <w:pPr>
        <w:spacing w:after="0" w:line="19" w:lineRule="exact"/>
        <w:rPr>
          <w:sz w:val="20"/>
          <w:szCs w:val="20"/>
          <w:color w:val="auto"/>
        </w:rPr>
      </w:pPr>
    </w:p>
    <w:p>
      <w:pPr>
        <w:ind w:right="440" w:firstLine="8"/>
        <w:spacing w:after="0" w:line="258" w:lineRule="auto"/>
        <w:tabs>
          <w:tab w:leader="none" w:pos="304"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Indicates portions of this exhibit that have been excluded because the information is both (i) not material and (ii) would likely cause competitive harm to the registrant if publicly disclosed.</w:t>
      </w:r>
    </w:p>
    <w:p>
      <w:pPr>
        <w:sectPr>
          <w:pgSz w:w="11900" w:h="16838" w:orient="portrait"/>
          <w:cols w:equalWidth="0" w:num="1">
            <w:col w:w="11400"/>
          </w:cols>
          <w:pgMar w:left="240" w:top="861"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AND SECURITY AGREEMENT</w:t>
      </w:r>
    </w:p>
    <w:p>
      <w:pPr>
        <w:spacing w:after="0" w:line="30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THIS THIRD AMENDMENT TO CREDIT AND SECURITY AGREEMENT</w:t>
      </w:r>
      <w:r>
        <w:rPr>
          <w:rFonts w:ascii="Arial" w:cs="Arial" w:eastAsia="Arial" w:hAnsi="Arial"/>
          <w:sz w:val="21"/>
          <w:szCs w:val="21"/>
          <w:color w:val="auto"/>
        </w:rPr>
        <w:t>, effective as of December 20, 2019 (this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Amendment</w:t>
      </w:r>
      <w:r>
        <w:rPr>
          <w:rFonts w:ascii="Arial" w:cs="Arial" w:eastAsia="Arial" w:hAnsi="Arial"/>
          <w:sz w:val="21"/>
          <w:szCs w:val="21"/>
          <w:color w:val="auto"/>
        </w:rPr>
        <w:t>”), is entered into by and between RED IRON ACCEPTANCE, LLC, a Delaware limited liability company (“</w:t>
      </w:r>
      <w:r>
        <w:rPr>
          <w:rFonts w:ascii="Arial" w:cs="Arial" w:eastAsia="Arial" w:hAnsi="Arial"/>
          <w:sz w:val="21"/>
          <w:szCs w:val="21"/>
          <w:b w:val="1"/>
          <w:bCs w:val="1"/>
          <w:color w:val="auto"/>
        </w:rPr>
        <w:t>Borrower</w:t>
      </w:r>
      <w:r>
        <w:rPr>
          <w:rFonts w:ascii="Arial" w:cs="Arial" w:eastAsia="Arial" w:hAnsi="Arial"/>
          <w:sz w:val="21"/>
          <w:szCs w:val="21"/>
          <w:color w:val="auto"/>
        </w:rPr>
        <w:t>”), and TCF INVENTORY FINANCE, INC., a Minnesota corporation (“</w:t>
      </w:r>
      <w:r>
        <w:rPr>
          <w:rFonts w:ascii="Arial" w:cs="Arial" w:eastAsia="Arial" w:hAnsi="Arial"/>
          <w:sz w:val="21"/>
          <w:szCs w:val="21"/>
          <w:b w:val="1"/>
          <w:bCs w:val="1"/>
          <w:color w:val="auto"/>
        </w:rPr>
        <w:t>Lender</w:t>
      </w:r>
      <w:r>
        <w:rPr>
          <w:rFonts w:ascii="Arial" w:cs="Arial" w:eastAsia="Arial" w:hAnsi="Arial"/>
          <w:sz w:val="21"/>
          <w:szCs w:val="21"/>
          <w:color w:val="auto"/>
        </w:rPr>
        <w:t>”). Capitalized terms used herein and not otherwise defined shall have the meanings ascribed thereto in the Credit Agreement (as hereinafter defined).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jc w:val="both"/>
        <w:ind w:firstLine="656"/>
        <w:spacing w:after="0" w:line="271" w:lineRule="auto"/>
        <w:tabs>
          <w:tab w:leader="none" w:pos="1205" w:val="left"/>
        </w:tabs>
        <w:numPr>
          <w:ilvl w:val="0"/>
          <w:numId w:val="48"/>
        </w:numPr>
        <w:rPr>
          <w:rFonts w:ascii="Arial" w:cs="Arial" w:eastAsia="Arial" w:hAnsi="Arial"/>
          <w:sz w:val="21"/>
          <w:szCs w:val="21"/>
          <w:color w:val="auto"/>
        </w:rPr>
      </w:pPr>
      <w:r>
        <w:rPr>
          <w:rFonts w:ascii="Arial" w:cs="Arial" w:eastAsia="Arial" w:hAnsi="Arial"/>
          <w:sz w:val="21"/>
          <w:szCs w:val="21"/>
          <w:color w:val="auto"/>
        </w:rPr>
        <w:t>Borrower and Lender are parties to that certain Credit and Security Agreement, dated as of August 12, 2009, as amended by the First Amendment to Credit and Security Agreement dated as of June 6, 2012 and the Second Amendment to Credit and Security Agreement dated as of November 29, 2016 (as so amended, the “</w:t>
      </w:r>
      <w:r>
        <w:rPr>
          <w:rFonts w:ascii="Arial" w:cs="Arial" w:eastAsia="Arial" w:hAnsi="Arial"/>
          <w:sz w:val="21"/>
          <w:szCs w:val="21"/>
          <w:b w:val="1"/>
          <w:bCs w:val="1"/>
          <w:color w:val="auto"/>
        </w:rPr>
        <w:t>Credit Agreement</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left="1060" w:hanging="404"/>
        <w:spacing w:after="0"/>
        <w:tabs>
          <w:tab w:leader="none" w:pos="10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parties hereto have agreed to amend the Credit Agreement as provided herein.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agreements hereinafter set forth, and for other good and valuable consideration, the receipt and adequacy of which are hereby acknowledged, the parties hereto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193" w:lineRule="exact"/>
        <w:rPr>
          <w:sz w:val="20"/>
          <w:szCs w:val="20"/>
          <w:color w:val="auto"/>
        </w:rPr>
      </w:pPr>
    </w:p>
    <w:p>
      <w:pPr>
        <w:ind w:left="1460" w:hanging="804"/>
        <w:spacing w:after="0"/>
        <w:tabs>
          <w:tab w:leader="none" w:pos="1460"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660" w:firstLine="645"/>
        <w:spacing w:after="0" w:line="358" w:lineRule="auto"/>
        <w:tabs>
          <w:tab w:leader="none" w:pos="1769" w:val="left"/>
        </w:tabs>
        <w:numPr>
          <w:ilvl w:val="1"/>
          <w:numId w:val="49"/>
        </w:numPr>
        <w:rPr>
          <w:rFonts w:ascii="Arial" w:cs="Arial" w:eastAsia="Arial" w:hAnsi="Arial"/>
          <w:sz w:val="19"/>
          <w:szCs w:val="19"/>
          <w:color w:val="010000"/>
        </w:rPr>
      </w:pPr>
      <w:r>
        <w:rPr>
          <w:rFonts w:ascii="Arial" w:cs="Arial" w:eastAsia="Arial" w:hAnsi="Arial"/>
          <w:sz w:val="19"/>
          <w:szCs w:val="19"/>
          <w:u w:val="single" w:color="auto"/>
          <w:color w:val="auto"/>
        </w:rPr>
        <w:t>Extension of Revolving Loan Maturity Date</w:t>
      </w:r>
      <w:r>
        <w:rPr>
          <w:rFonts w:ascii="Arial" w:cs="Arial" w:eastAsia="Arial" w:hAnsi="Arial"/>
          <w:sz w:val="19"/>
          <w:szCs w:val="19"/>
          <w:color w:val="auto"/>
        </w:rPr>
        <w:t>. The first sentence of Section 2.01(a) of the Credit Agreement is amended and restated to extend the Revolving Loan Maturity Date by two years (to end on October 31, 2026) as follows:</w:t>
      </w:r>
    </w:p>
    <w:p>
      <w:pPr>
        <w:spacing w:after="0" w:line="91"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“Subject to the terms and conditions of this Agreement, Lender agrees to advance to Borrower from time to time during the period beginning on the Closing Date and ending on October 31, 2026, or such earlier date on which the LLC Term shall end (such date or such earlier date, if applicable, the “</w:t>
      </w:r>
      <w:r>
        <w:rPr>
          <w:rFonts w:ascii="Arial" w:cs="Arial" w:eastAsia="Arial" w:hAnsi="Arial"/>
          <w:sz w:val="22"/>
          <w:szCs w:val="22"/>
          <w:b w:val="1"/>
          <w:bCs w:val="1"/>
          <w:color w:val="auto"/>
        </w:rPr>
        <w:t>Revolving Loan Maturity Date</w:t>
      </w:r>
      <w:r>
        <w:rPr>
          <w:rFonts w:ascii="Arial" w:cs="Arial" w:eastAsia="Arial" w:hAnsi="Arial"/>
          <w:sz w:val="22"/>
          <w:szCs w:val="22"/>
          <w:color w:val="auto"/>
        </w:rPr>
        <w:t>”), such loans as Borrower may request under this Section 2.01 (individually, a “</w:t>
      </w:r>
      <w:r>
        <w:rPr>
          <w:rFonts w:ascii="Arial" w:cs="Arial" w:eastAsia="Arial" w:hAnsi="Arial"/>
          <w:sz w:val="22"/>
          <w:szCs w:val="22"/>
          <w:b w:val="1"/>
          <w:bCs w:val="1"/>
          <w:color w:val="auto"/>
        </w:rPr>
        <w:t>Revolving Loan</w:t>
      </w:r>
      <w:r>
        <w:rPr>
          <w:rFonts w:ascii="Arial" w:cs="Arial" w:eastAsia="Arial" w:hAnsi="Arial"/>
          <w:sz w:val="22"/>
          <w:szCs w:val="22"/>
          <w:color w:val="auto"/>
        </w:rPr>
        <w:t>”); provided, however, that the aggregate principal amount of all Revolving Loans outstanding at any time shall not exceed the Commitment at such time.”</w:t>
      </w:r>
    </w:p>
    <w:p>
      <w:pPr>
        <w:spacing w:after="0" w:line="194" w:lineRule="exact"/>
        <w:rPr>
          <w:sz w:val="20"/>
          <w:szCs w:val="20"/>
          <w:color w:val="auto"/>
        </w:rPr>
      </w:pPr>
    </w:p>
    <w:p>
      <w:pPr>
        <w:ind w:left="660" w:firstLine="645"/>
        <w:spacing w:after="0" w:line="276" w:lineRule="auto"/>
        <w:tabs>
          <w:tab w:leader="none" w:pos="1875" w:val="left"/>
        </w:tabs>
        <w:numPr>
          <w:ilvl w:val="0"/>
          <w:numId w:val="50"/>
        </w:numPr>
        <w:rPr>
          <w:rFonts w:ascii="Arial" w:cs="Arial" w:eastAsia="Arial" w:hAnsi="Arial"/>
          <w:sz w:val="22"/>
          <w:szCs w:val="22"/>
          <w:color w:val="010000"/>
        </w:rPr>
      </w:pPr>
      <w:r>
        <w:rPr>
          <w:rFonts w:ascii="Arial" w:cs="Arial" w:eastAsia="Arial" w:hAnsi="Arial"/>
          <w:sz w:val="22"/>
          <w:szCs w:val="22"/>
          <w:u w:val="single" w:color="auto"/>
          <w:color w:val="auto"/>
        </w:rPr>
        <w:t>Increase in Commitment</w:t>
      </w:r>
      <w:r>
        <w:rPr>
          <w:rFonts w:ascii="Arial" w:cs="Arial" w:eastAsia="Arial" w:hAnsi="Arial"/>
          <w:sz w:val="22"/>
          <w:szCs w:val="22"/>
          <w:color w:val="auto"/>
        </w:rPr>
        <w:t>. The reference to “$550,000,000” in Section 2.02(a) of the Credit Agreement is replaced with “$625,000,000.”</w:t>
      </w:r>
    </w:p>
    <w:p>
      <w:pPr>
        <w:sectPr>
          <w:pgSz w:w="11900" w:h="16838" w:orient="portrait"/>
          <w:cols w:equalWidth="0" w:num="1">
            <w:col w:w="11420"/>
          </w:cols>
          <w:pgMar w:left="240" w:top="126" w:right="239" w:bottom="1440" w:gutter="0" w:footer="0" w:header="0"/>
        </w:sectPr>
      </w:pPr>
    </w:p>
    <w:bookmarkStart w:id="64" w:name="page65"/>
    <w:bookmarkEnd w:id="64"/>
    <w:p>
      <w:pPr>
        <w:jc w:val="both"/>
        <w:ind w:left="-540" w:firstLine="645"/>
        <w:spacing w:after="0" w:line="260" w:lineRule="auto"/>
        <w:tabs>
          <w:tab w:leader="none" w:pos="650" w:val="left"/>
        </w:tabs>
        <w:numPr>
          <w:ilvl w:val="0"/>
          <w:numId w:val="51"/>
        </w:numPr>
        <w:rPr>
          <w:rFonts w:ascii="Arial" w:cs="Arial" w:eastAsia="Arial" w:hAnsi="Arial"/>
          <w:sz w:val="22"/>
          <w:szCs w:val="22"/>
          <w:color w:val="010000"/>
        </w:rPr>
      </w:pPr>
      <w:r>
        <w:rPr>
          <w:rFonts w:ascii="Arial" w:cs="Arial" w:eastAsia="Arial" w:hAnsi="Arial"/>
          <w:sz w:val="22"/>
          <w:szCs w:val="22"/>
          <w:u w:val="single" w:color="auto"/>
          <w:color w:val="auto"/>
        </w:rPr>
        <w:t>Increase in Revolving Loan Note</w:t>
      </w:r>
      <w:r>
        <w:rPr>
          <w:rFonts w:ascii="Arial" w:cs="Arial" w:eastAsia="Arial" w:hAnsi="Arial"/>
          <w:sz w:val="22"/>
          <w:szCs w:val="22"/>
          <w:color w:val="auto"/>
        </w:rPr>
        <w:t>. The first two sentences of Section 2.05(a) of the Credit Agreement are amended and restated to reflect the issuance of a new Revolving Loan Note in the amount of the increased Commitment, as follows:</w:t>
      </w:r>
    </w:p>
    <w:p>
      <w:pPr>
        <w:spacing w:after="0" w:line="177" w:lineRule="exact"/>
        <w:rPr>
          <w:sz w:val="20"/>
          <w:szCs w:val="20"/>
          <w:color w:val="auto"/>
        </w:rPr>
      </w:pPr>
    </w:p>
    <w:p>
      <w:pPr>
        <w:jc w:val="both"/>
        <w:ind w:left="100"/>
        <w:spacing w:after="0" w:line="246" w:lineRule="auto"/>
        <w:rPr>
          <w:sz w:val="20"/>
          <w:szCs w:val="20"/>
          <w:color w:val="auto"/>
        </w:rPr>
      </w:pPr>
      <w:r>
        <w:rPr>
          <w:rFonts w:ascii="Arial" w:cs="Arial" w:eastAsia="Arial" w:hAnsi="Arial"/>
          <w:sz w:val="22"/>
          <w:szCs w:val="22"/>
          <w:color w:val="auto"/>
        </w:rPr>
        <w:t>“The obligation of Borrower to repay the Revolving Loans and to pay interest thereon at the rate provided herein shall be evidenced by a promissory note in the form agreed to by Lender (the “</w:t>
      </w:r>
      <w:r>
        <w:rPr>
          <w:rFonts w:ascii="Arial" w:cs="Arial" w:eastAsia="Arial" w:hAnsi="Arial"/>
          <w:sz w:val="22"/>
          <w:szCs w:val="22"/>
          <w:b w:val="1"/>
          <w:bCs w:val="1"/>
          <w:color w:val="auto"/>
        </w:rPr>
        <w:t>Revolving Loan Note</w:t>
      </w:r>
      <w:r>
        <w:rPr>
          <w:rFonts w:ascii="Arial" w:cs="Arial" w:eastAsia="Arial" w:hAnsi="Arial"/>
          <w:sz w:val="22"/>
          <w:szCs w:val="22"/>
          <w:color w:val="auto"/>
        </w:rPr>
        <w:t>”), which note shall be (i) in the face principal amount of $625,000,000, (ii) dated as of December 20, 2019, and (iii) otherwise appropriately completed. The Revolving Loan Note shall amend, restate, and replace in its entirety the original promissory note dated November 29, 2016 executed by the Borrower and payable to the order of the Lender in the face principal amount of $550,000,000 and is not intended to constitute a novation of the Borrower’s obligations thereunder.”</w:t>
      </w:r>
    </w:p>
    <w:p>
      <w:pPr>
        <w:spacing w:after="0" w:line="197" w:lineRule="exact"/>
        <w:rPr>
          <w:sz w:val="20"/>
          <w:szCs w:val="20"/>
          <w:color w:val="auto"/>
        </w:rPr>
      </w:pPr>
    </w:p>
    <w:p>
      <w:pPr>
        <w:ind w:left="-540" w:firstLine="645"/>
        <w:spacing w:after="0" w:line="276" w:lineRule="auto"/>
        <w:tabs>
          <w:tab w:leader="none" w:pos="621" w:val="left"/>
        </w:tabs>
        <w:numPr>
          <w:ilvl w:val="0"/>
          <w:numId w:val="52"/>
        </w:numPr>
        <w:rPr>
          <w:rFonts w:ascii="Arial" w:cs="Arial" w:eastAsia="Arial" w:hAnsi="Arial"/>
          <w:sz w:val="22"/>
          <w:szCs w:val="22"/>
          <w:color w:val="010000"/>
        </w:rPr>
      </w:pPr>
      <w:r>
        <w:rPr>
          <w:rFonts w:ascii="Arial" w:cs="Arial" w:eastAsia="Arial" w:hAnsi="Arial"/>
          <w:sz w:val="22"/>
          <w:szCs w:val="22"/>
          <w:u w:val="single" w:color="auto"/>
          <w:color w:val="auto"/>
        </w:rPr>
        <w:t>Definition of Lender</w:t>
      </w:r>
      <w:r>
        <w:rPr>
          <w:rFonts w:ascii="Arial" w:cs="Arial" w:eastAsia="Arial" w:hAnsi="Arial"/>
          <w:sz w:val="22"/>
          <w:szCs w:val="22"/>
          <w:color w:val="auto"/>
        </w:rPr>
        <w:t>. The definition of “Lender” in Schedule 1.01 to the Credit Agreement is amended and restated to correct the cross-reference to the preamble as follows:</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 shall have the meaning given to that term in the preamble of this Agreement.”</w:t>
      </w:r>
    </w:p>
    <w:p>
      <w:pPr>
        <w:spacing w:after="0" w:line="226" w:lineRule="exact"/>
        <w:rPr>
          <w:sz w:val="20"/>
          <w:szCs w:val="20"/>
          <w:color w:val="auto"/>
        </w:rPr>
      </w:pPr>
    </w:p>
    <w:p>
      <w:pPr>
        <w:ind w:left="-540" w:firstLine="645"/>
        <w:spacing w:after="0" w:line="276" w:lineRule="auto"/>
        <w:tabs>
          <w:tab w:leader="none" w:pos="596" w:val="left"/>
        </w:tabs>
        <w:numPr>
          <w:ilvl w:val="0"/>
          <w:numId w:val="53"/>
        </w:numPr>
        <w:rPr>
          <w:rFonts w:ascii="Arial" w:cs="Arial" w:eastAsia="Arial" w:hAnsi="Arial"/>
          <w:sz w:val="22"/>
          <w:szCs w:val="22"/>
          <w:color w:val="010000"/>
        </w:rPr>
      </w:pPr>
      <w:r>
        <w:rPr>
          <w:rFonts w:ascii="Arial" w:cs="Arial" w:eastAsia="Arial" w:hAnsi="Arial"/>
          <w:sz w:val="22"/>
          <w:szCs w:val="22"/>
          <w:u w:val="single" w:color="auto"/>
          <w:color w:val="auto"/>
        </w:rPr>
        <w:t>Definition of LIBOR</w:t>
      </w:r>
      <w:r>
        <w:rPr>
          <w:rFonts w:ascii="Arial" w:cs="Arial" w:eastAsia="Arial" w:hAnsi="Arial"/>
          <w:sz w:val="22"/>
          <w:szCs w:val="22"/>
          <w:color w:val="auto"/>
        </w:rPr>
        <w:t>. The definition of “LIBOR” in Schedule 1.01 to the Credit Agreement is amended and restated as follows:</w:t>
      </w:r>
    </w:p>
    <w:p>
      <w:pPr>
        <w:spacing w:after="0" w:line="155" w:lineRule="exact"/>
        <w:rPr>
          <w:sz w:val="20"/>
          <w:szCs w:val="20"/>
          <w:color w:val="auto"/>
        </w:rPr>
      </w:pPr>
    </w:p>
    <w:p>
      <w:pPr>
        <w:jc w:val="both"/>
        <w:ind w:left="10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LIBOR</w:t>
      </w:r>
      <w:r>
        <w:rPr>
          <w:rFonts w:ascii="Arial" w:cs="Arial" w:eastAsia="Arial" w:hAnsi="Arial"/>
          <w:sz w:val="19"/>
          <w:szCs w:val="19"/>
          <w:color w:val="auto"/>
        </w:rPr>
        <w:t>” shall mean the most recent 15 Business Day moving average of one-month interbank offered rates for dollar deposits in the London market, as reported to Lender by “The Bloomberg Financial Markets, Commodities and News,” a publicly available financial reporting service (“</w:t>
      </w:r>
      <w:r>
        <w:rPr>
          <w:rFonts w:ascii="Arial" w:cs="Arial" w:eastAsia="Arial" w:hAnsi="Arial"/>
          <w:sz w:val="19"/>
          <w:szCs w:val="19"/>
          <w:b w:val="1"/>
          <w:bCs w:val="1"/>
          <w:color w:val="auto"/>
        </w:rPr>
        <w:t>Bloomberg</w:t>
      </w:r>
      <w:r>
        <w:rPr>
          <w:rFonts w:ascii="Arial" w:cs="Arial" w:eastAsia="Arial" w:hAnsi="Arial"/>
          <w:sz w:val="19"/>
          <w:szCs w:val="19"/>
          <w:color w:val="auto"/>
        </w:rPr>
        <w:t>”). If Bloomberg no longer publishes such rates, Lender may, in its discretion, choose a similar successor publicly available financial reporting service. If Lender determines (which determination shall be conclusive absent manifest error) that (A) adequate and reasonable means do not exist for ascertaining LIBOR, including, without limitation, because such rate is no longer published by Bloomberg or by any such successor, and such circumstances are unlikely to be temporary; or (B) that such rate is no longer an active base rate measure, then, reasonably promptly after such determination by Lender, Lender and Borrower will work together in good faith to amend this Agreement to replace LIBOR with an alternate benchmark rate (including any mathematical or other adjustments to the benchmark (if any) incorporated therein), giving due consideration to any evolving or then existing convention for similar credit facilities for such alternative benchmarks, together with any changes to this Agreement advisable or appropriate to conform to such alternate benchmark rate. The substitute index determined as provided herein shall constitute “LIBOR” for all purposes under this Agreement. In addition, if LIBOR as determined without regard to this sentence would be less than</w:t>
      </w:r>
    </w:p>
    <w:p>
      <w:pPr>
        <w:spacing w:after="0" w:line="37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20"/>
          </w:cols>
          <w:pgMar w:left="1440" w:top="604" w:right="239" w:bottom="1440" w:gutter="0" w:footer="0" w:header="0"/>
        </w:sectPr>
      </w:pPr>
    </w:p>
    <w:bookmarkStart w:id="65" w:name="page66"/>
    <w:bookmarkEnd w:id="65"/>
    <w:p>
      <w:pPr>
        <w:ind w:left="1300"/>
        <w:spacing w:after="0" w:line="273" w:lineRule="auto"/>
        <w:rPr>
          <w:sz w:val="20"/>
          <w:szCs w:val="20"/>
          <w:color w:val="auto"/>
        </w:rPr>
      </w:pPr>
      <w:r>
        <w:rPr>
          <w:rFonts w:ascii="Arial" w:cs="Arial" w:eastAsia="Arial" w:hAnsi="Arial"/>
          <w:sz w:val="22"/>
          <w:szCs w:val="22"/>
          <w:color w:val="auto"/>
        </w:rPr>
        <w:t>0%, LIBOR shall be 0%. LIBOR for any month will be based on the reported one-month LIBOR rate for the most recent 15 Business Days preceding the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the immediately preceding month.”</w:t>
      </w:r>
    </w:p>
    <w:p>
      <w:pPr>
        <w:spacing w:after="0" w:line="75" w:lineRule="exact"/>
        <w:rPr>
          <w:sz w:val="20"/>
          <w:szCs w:val="20"/>
          <w:color w:val="auto"/>
        </w:rPr>
      </w:pPr>
    </w:p>
    <w:p>
      <w:pPr>
        <w:ind w:left="660" w:right="20" w:firstLine="645"/>
        <w:spacing w:after="0" w:line="276" w:lineRule="auto"/>
        <w:tabs>
          <w:tab w:leader="none" w:pos="1731"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Updated Notice Address</w:t>
      </w:r>
      <w:r>
        <w:rPr>
          <w:rFonts w:ascii="Arial" w:cs="Arial" w:eastAsia="Arial" w:hAnsi="Arial"/>
          <w:sz w:val="22"/>
          <w:szCs w:val="22"/>
          <w:color w:val="auto"/>
        </w:rPr>
        <w:t>. The notice address for each of Red Iron and for Fox Rothschild LLP in Section 8.01 of the Credit Agreement are amended and restated as follows: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Red Iron Acceptance,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8111 Lyndale Avenue South</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Bloomington, MN 55420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Manager</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Fox Rothschild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Campbell Mithun Tower- Suite 2000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222 South Ninth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Minneapolis, MN 55402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Christopher M. Scotti</w:t>
      </w:r>
    </w:p>
    <w:p>
      <w:pPr>
        <w:spacing w:after="0" w:line="242" w:lineRule="exact"/>
        <w:rPr>
          <w:sz w:val="20"/>
          <w:szCs w:val="20"/>
          <w:color w:val="auto"/>
        </w:rPr>
      </w:pPr>
    </w:p>
    <w:p>
      <w:pPr>
        <w:jc w:val="both"/>
        <w:ind w:firstLine="656"/>
        <w:spacing w:after="0" w:line="297" w:lineRule="auto"/>
        <w:tabs>
          <w:tab w:leader="none" w:pos="1071" w:val="left"/>
        </w:tabs>
        <w:numPr>
          <w:ilvl w:val="0"/>
          <w:numId w:val="55"/>
        </w:numPr>
        <w:rPr>
          <w:rFonts w:ascii="Arial" w:cs="Arial" w:eastAsia="Arial" w:hAnsi="Arial"/>
          <w:sz w:val="19"/>
          <w:szCs w:val="19"/>
          <w:color w:val="010000"/>
        </w:rPr>
      </w:pPr>
      <w:r>
        <w:rPr>
          <w:rFonts w:ascii="Arial" w:cs="Arial" w:eastAsia="Arial" w:hAnsi="Arial"/>
          <w:sz w:val="19"/>
          <w:szCs w:val="19"/>
          <w:u w:val="single" w:color="auto"/>
          <w:color w:val="auto"/>
        </w:rPr>
        <w:t>Amended and Restated Revolving Loan Note</w:t>
      </w:r>
      <w:r>
        <w:rPr>
          <w:rFonts w:ascii="Arial" w:cs="Arial" w:eastAsia="Arial" w:hAnsi="Arial"/>
          <w:sz w:val="19"/>
          <w:szCs w:val="19"/>
          <w:color w:val="auto"/>
        </w:rPr>
        <w:t>. Borrower will enter into a Second Amended and Restated Revolving Loan Note, dated as of the date of this Amendment (the “</w:t>
      </w:r>
      <w:r>
        <w:rPr>
          <w:rFonts w:ascii="Arial" w:cs="Arial" w:eastAsia="Arial" w:hAnsi="Arial"/>
          <w:sz w:val="19"/>
          <w:szCs w:val="19"/>
          <w:b w:val="1"/>
          <w:bCs w:val="1"/>
          <w:color w:val="auto"/>
        </w:rPr>
        <w:t>Second Amended and Restated Revolving Loan Note</w:t>
      </w:r>
      <w:r>
        <w:rPr>
          <w:rFonts w:ascii="Arial" w:cs="Arial" w:eastAsia="Arial" w:hAnsi="Arial"/>
          <w:sz w:val="19"/>
          <w:szCs w:val="19"/>
          <w:color w:val="auto"/>
        </w:rPr>
        <w:t>”). All references in any document or instrument to the Revolving Loan Note (other than the reference in Section 3.01(b) of the Credit Agreement, which will continue to refer to the promissory note issued on August 12, 2009) are hereby amended to refer to the Second Amended and Restated Revolving Loan Note. Lender shall return to Borrower the original promissory note made by Borrower dated November 29, 2016, and the originals of all promissory notes predecessor thereto.</w:t>
      </w:r>
    </w:p>
    <w:p>
      <w:pPr>
        <w:spacing w:after="0" w:line="146" w:lineRule="exact"/>
        <w:rPr>
          <w:rFonts w:ascii="Arial" w:cs="Arial" w:eastAsia="Arial" w:hAnsi="Arial"/>
          <w:sz w:val="19"/>
          <w:szCs w:val="19"/>
          <w:color w:val="010000"/>
        </w:rPr>
      </w:pPr>
    </w:p>
    <w:p>
      <w:pPr>
        <w:ind w:firstLine="656"/>
        <w:spacing w:after="0" w:line="276" w:lineRule="auto"/>
        <w:tabs>
          <w:tab w:leader="none" w:pos="1071"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Borrower certifies to Lender that the representations and warranties of Borrower in Section IV of the Credit Agreement are true and correct in all respects as of the date of this Amendment.</w:t>
      </w:r>
    </w:p>
    <w:p>
      <w:pPr>
        <w:spacing w:after="0" w:line="160" w:lineRule="exact"/>
        <w:rPr>
          <w:rFonts w:ascii="Arial" w:cs="Arial" w:eastAsia="Arial" w:hAnsi="Arial"/>
          <w:sz w:val="22"/>
          <w:szCs w:val="22"/>
          <w:color w:val="010000"/>
        </w:rPr>
      </w:pPr>
    </w:p>
    <w:p>
      <w:pPr>
        <w:jc w:val="both"/>
        <w:ind w:firstLine="656"/>
        <w:spacing w:after="0" w:line="266" w:lineRule="auto"/>
        <w:tabs>
          <w:tab w:leader="none" w:pos="1031" w:val="left"/>
        </w:tabs>
        <w:numPr>
          <w:ilvl w:val="0"/>
          <w:numId w:val="55"/>
        </w:numPr>
        <w:rPr>
          <w:rFonts w:ascii="Arial" w:cs="Arial" w:eastAsia="Arial" w:hAnsi="Arial"/>
          <w:sz w:val="21"/>
          <w:szCs w:val="21"/>
          <w:color w:val="010000"/>
        </w:rPr>
      </w:pPr>
      <w:r>
        <w:rPr>
          <w:rFonts w:ascii="Arial" w:cs="Arial" w:eastAsia="Arial" w:hAnsi="Arial"/>
          <w:sz w:val="21"/>
          <w:szCs w:val="21"/>
          <w:u w:val="single" w:color="auto"/>
          <w:color w:val="auto"/>
        </w:rPr>
        <w:t>Affirmation of Credit Agreement; Further References</w:t>
      </w:r>
      <w:r>
        <w:rPr>
          <w:rFonts w:ascii="Arial" w:cs="Arial" w:eastAsia="Arial" w:hAnsi="Arial"/>
          <w:sz w:val="21"/>
          <w:szCs w:val="21"/>
          <w:color w:val="auto"/>
        </w:rPr>
        <w:t>. The parties hereto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(including references in the Credit Agreement to the terms thereof) are hereby amended to refer to the Credit Agreement as amended through this Amendment.</w:t>
      </w:r>
    </w:p>
    <w:p>
      <w:pPr>
        <w:spacing w:after="0" w:line="174" w:lineRule="exact"/>
        <w:rPr>
          <w:rFonts w:ascii="Arial" w:cs="Arial" w:eastAsia="Arial" w:hAnsi="Arial"/>
          <w:sz w:val="21"/>
          <w:szCs w:val="21"/>
          <w:color w:val="010000"/>
        </w:rPr>
      </w:pPr>
    </w:p>
    <w:p>
      <w:pPr>
        <w:jc w:val="both"/>
        <w:ind w:firstLine="656"/>
        <w:spacing w:after="0" w:line="270" w:lineRule="auto"/>
        <w:tabs>
          <w:tab w:leader="none" w:pos="1004" w:val="left"/>
        </w:tabs>
        <w:numPr>
          <w:ilvl w:val="0"/>
          <w:numId w:val="55"/>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Amendment, on and after the date hereof, contains all of the understandings and agreements of whatsoever kind and nature existing among the parties hereto with respect to this Amendment, the subject matter hereof, and the rights, interests, understandings, agreements and obligations of the parties hereto pertaining to the subject matter hereof with the effect that this Amendment shall control with respect to the specific subjects 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04" w:right="239" w:bottom="1440" w:gutter="0" w:footer="0" w:header="0"/>
        </w:sectPr>
      </w:pPr>
    </w:p>
    <w:bookmarkStart w:id="66" w:name="page67"/>
    <w:bookmarkEnd w:id="66"/>
    <w:p>
      <w:pPr>
        <w:jc w:val="both"/>
        <w:ind w:left="-20" w:firstLine="656"/>
        <w:spacing w:after="0" w:line="254" w:lineRule="auto"/>
        <w:tabs>
          <w:tab w:leader="none" w:pos="1105"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604" w:right="23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IN WITNESS WHEREOF, the parties hereto have duly executed this Amendment as of the day and year first above written.</w:t>
      </w:r>
    </w:p>
    <w:p>
      <w:pPr>
        <w:sectPr>
          <w:pgSz w:w="11900" w:h="16838" w:orient="portrait"/>
          <w:cols w:equalWidth="0" w:num="1">
            <w:col w:w="10740"/>
          </w:cols>
          <w:pgMar w:left="900" w:top="604" w:right="259" w:bottom="1440" w:gutter="0" w:footer="0" w:header="0"/>
        </w:sectPr>
      </w:pPr>
    </w:p>
    <w:p>
      <w:pPr>
        <w:spacing w:after="0" w:line="36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RED IRON ACCEPTANCE, LLC</w:t>
      </w:r>
    </w:p>
    <w:p>
      <w:pPr>
        <w:spacing w:after="0" w:line="200" w:lineRule="exact"/>
        <w:rPr>
          <w:sz w:val="20"/>
          <w:szCs w:val="20"/>
          <w:color w:val="auto"/>
        </w:rPr>
      </w:pPr>
    </w:p>
    <w:p>
      <w:pPr>
        <w:spacing w:after="0" w:line="34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Wrend</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Mark J. Wrend</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Manager</w:t>
      </w:r>
    </w:p>
    <w:p>
      <w:pPr>
        <w:spacing w:after="0" w:line="32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TCF INVENTORY FINANCE, INC.</w:t>
      </w:r>
    </w:p>
    <w:p>
      <w:pPr>
        <w:spacing w:after="0" w:line="200" w:lineRule="exact"/>
        <w:rPr>
          <w:sz w:val="20"/>
          <w:szCs w:val="20"/>
          <w:color w:val="auto"/>
        </w:rPr>
      </w:pPr>
    </w:p>
    <w:p>
      <w:pPr>
        <w:spacing w:after="0" w:line="34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Wrend</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Mark J. Wrend</w:t>
      </w:r>
    </w:p>
    <w:p>
      <w:pPr>
        <w:spacing w:after="0" w:line="11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22"/>
          <w:szCs w:val="22"/>
          <w:u w:val="single" w:color="auto"/>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940"/>
        <w:spacing w:after="0"/>
        <w:rPr>
          <w:sz w:val="20"/>
          <w:szCs w:val="20"/>
          <w:color w:val="auto"/>
        </w:rPr>
      </w:pPr>
      <w:r>
        <w:rPr>
          <w:rFonts w:ascii="Arial" w:cs="Arial" w:eastAsia="Arial" w:hAnsi="Arial"/>
          <w:sz w:val="19"/>
          <w:szCs w:val="19"/>
          <w:i w:val="1"/>
          <w:iCs w:val="1"/>
          <w:color w:val="auto"/>
        </w:rPr>
        <w:t>(Signature Page to Third Amendment to Credit and Security Agreement)</w:t>
      </w:r>
    </w:p>
    <w:p>
      <w:pPr>
        <w:sectPr>
          <w:pgSz w:w="11900" w:h="16838" w:orient="portrait"/>
          <w:cols w:equalWidth="0" w:num="1">
            <w:col w:w="10740"/>
          </w:cols>
          <w:pgMar w:left="900" w:top="604" w:right="25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 Olson, certify that:</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00" w:hanging="320"/>
        <w:spacing w:after="0" w:line="250"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274" w:lineRule="auto"/>
        <w:tabs>
          <w:tab w:leader="none" w:pos="13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0" w:name="page71"/>
    <w:bookmarkEnd w:id="70"/>
    <w:p>
      <w:pPr>
        <w:ind w:left="10620"/>
        <w:spacing w:after="0"/>
        <w:rPr>
          <w:sz w:val="20"/>
          <w:szCs w:val="20"/>
          <w:color w:val="auto"/>
        </w:rPr>
      </w:pPr>
      <w:r>
        <w:rPr>
          <w:rFonts w:ascii="Arial" w:cs="Arial" w:eastAsia="Arial" w:hAnsi="Arial"/>
          <w:sz w:val="16"/>
          <w:szCs w:val="16"/>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January 31, 2020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M. Olson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5,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702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Renee J.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Treasurer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5, 2020</w:t>
      </w:r>
    </w:p>
    <w:p>
      <w:pPr>
        <w:spacing w:after="0" w:line="200" w:lineRule="exact"/>
        <w:rPr>
          <w:sz w:val="20"/>
          <w:szCs w:val="20"/>
          <w:color w:val="auto"/>
        </w:rPr>
      </w:pPr>
    </w:p>
    <w:p>
      <w:pPr>
        <w:spacing w:after="0" w:line="21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2"/>
      <w:numFmt w:val="bullet"/>
      <w:start w:val="1"/>
    </w:lvl>
  </w:abstractNum>
  <w:abstractNum w:abstractNumId="5">
    <w:nsid w:val="22221A70"/>
    <w:multiLevelType w:val="hybridMultilevel"/>
    <w:lvl w:ilvl="0">
      <w:lvlJc w:val="left"/>
      <w:lvlText w:val="3"/>
      <w:numFmt w:val="bullet"/>
      <w:start w:val="1"/>
    </w:lvl>
  </w:abstractNum>
  <w:abstractNum w:abstractNumId="6">
    <w:nsid w:val="4516DDE9"/>
    <w:multiLevelType w:val="hybridMultilevel"/>
    <w:lvl w:ilvl="0">
      <w:lvlJc w:val="left"/>
      <w:lvlText w:val="4"/>
      <w:numFmt w:val="bullet"/>
      <w:start w:val="1"/>
    </w:lvl>
  </w:abstractNum>
  <w:abstractNum w:abstractNumId="7">
    <w:nsid w:val="3006C83E"/>
    <w:multiLevelType w:val="hybridMultilevel"/>
    <w:lvl w:ilvl="0">
      <w:lvlJc w:val="left"/>
      <w:lvlText w:val="5"/>
      <w:numFmt w:val="bullet"/>
      <w:start w:val="1"/>
    </w:lvl>
  </w:abstractNum>
  <w:abstractNum w:abstractNumId="8">
    <w:nsid w:val="614FD4A1"/>
    <w:multiLevelType w:val="hybridMultilevel"/>
    <w:lvl w:ilvl="0">
      <w:lvlJc w:val="left"/>
      <w:lvlText w:val="6"/>
      <w:numFmt w:val="bullet"/>
      <w:start w:val="1"/>
    </w:lvl>
  </w:abstractNum>
  <w:abstractNum w:abstractNumId="9">
    <w:nsid w:val="419AC241"/>
    <w:multiLevelType w:val="hybridMultilevel"/>
    <w:lvl w:ilvl="0">
      <w:lvlJc w:val="left"/>
      <w:lvlText w:val="7"/>
      <w:numFmt w:val="bullet"/>
      <w:start w:val="1"/>
    </w:lvl>
  </w:abstractNum>
  <w:abstractNum w:abstractNumId="10">
    <w:nsid w:val="5577F8E1"/>
    <w:multiLevelType w:val="hybridMultilevel"/>
    <w:lvl w:ilvl="0">
      <w:lvlJc w:val="left"/>
      <w:lvlText w:val="8"/>
      <w:numFmt w:val="bullet"/>
      <w:start w:val="1"/>
    </w:lvl>
  </w:abstractNum>
  <w:abstractNum w:abstractNumId="11">
    <w:nsid w:val="440BADFC"/>
    <w:multiLevelType w:val="hybridMultilevel"/>
    <w:lvl w:ilvl="0">
      <w:lvlJc w:val="left"/>
      <w:lvlText w:val="9"/>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bullet"/>
      <w:start w:val="1"/>
    </w:lvl>
  </w:abstractNum>
  <w:abstractNum w:abstractNumId="14">
    <w:nsid w:val="77465F01"/>
    <w:multiLevelType w:val="hybridMultilevel"/>
    <w:lvl w:ilvl="0">
      <w:lvlJc w:val="left"/>
      <w:lvlText w:val="2"/>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bullet"/>
      <w:start w:val="1"/>
    </w:lvl>
  </w:abstractNum>
  <w:abstractNum w:abstractNumId="20">
    <w:nsid w:val="2D517796"/>
    <w:multiLevelType w:val="hybridMultilevel"/>
    <w:lvl w:ilvl="0">
      <w:lvlJc w:val="left"/>
      <w:lvlText w:val="3"/>
      <w:numFmt w:val="bullet"/>
      <w:start w:val="1"/>
    </w:lvl>
  </w:abstractNum>
  <w:abstractNum w:abstractNumId="21">
    <w:nsid w:val="580BD78F"/>
    <w:multiLevelType w:val="hybridMultilevel"/>
    <w:lvl w:ilvl="0">
      <w:lvlJc w:val="left"/>
      <w:lvlText w:val="%1."/>
      <w:numFmt w:val="upperLetter"/>
      <w:start w:val="1"/>
    </w:lvl>
  </w:abstractNum>
  <w:abstractNum w:abstractNumId="22">
    <w:nsid w:val="153EA438"/>
    <w:multiLevelType w:val="hybridMultilevel"/>
    <w:lvl w:ilvl="0">
      <w:lvlJc w:val="left"/>
      <w:lvlText w:val="%1."/>
      <w:numFmt w:val="decimal"/>
      <w:start w:val="1"/>
    </w:lvl>
    <w:lvl w:ilvl="1">
      <w:lvlJc w:val="left"/>
      <w:lvlText w:val="(%2)"/>
      <w:numFmt w:val="lowerLetter"/>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lowerLetter"/>
      <w:start w:val="2"/>
    </w:lvl>
  </w:abstractNum>
  <w:abstractNum w:abstractNumId="25">
    <w:nsid w:val="6A2342EC"/>
    <w:multiLevelType w:val="hybridMultilevel"/>
    <w:lvl w:ilvl="0">
      <w:lvlJc w:val="left"/>
      <w:lvlText w:val="(%1)"/>
      <w:numFmt w:val="lowerLetter"/>
      <w:start w:val="3"/>
    </w:lvl>
  </w:abstractNum>
  <w:abstractNum w:abstractNumId="26">
    <w:nsid w:val="2A487CB0"/>
    <w:multiLevelType w:val="hybridMultilevel"/>
    <w:lvl w:ilvl="0">
      <w:lvlJc w:val="left"/>
      <w:lvlText w:val="(%1)"/>
      <w:numFmt w:val="lowerLetter"/>
      <w:start w:val="4"/>
    </w:lvl>
  </w:abstractNum>
  <w:abstractNum w:abstractNumId="27">
    <w:nsid w:val="1D4ED43B"/>
    <w:multiLevelType w:val="hybridMultilevel"/>
    <w:lvl w:ilvl="0">
      <w:lvlJc w:val="left"/>
      <w:lvlText w:val="(%1)"/>
      <w:numFmt w:val="lowerLetter"/>
      <w:start w:val="5"/>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upperLetter"/>
      <w:start w:val="1"/>
    </w:lvl>
  </w:abstractNum>
  <w:abstractNum w:abstractNumId="33">
    <w:nsid w:val="542289EC"/>
    <w:multiLevelType w:val="hybridMultilevel"/>
    <w:lvl w:ilvl="0">
      <w:lvlJc w:val="left"/>
      <w:lvlText w:val="%1."/>
      <w:numFmt w:val="decimal"/>
      <w:start w:val="1"/>
    </w:lvl>
    <w:lvl w:ilvl="1">
      <w:lvlJc w:val="left"/>
      <w:lvlText w:val="(%2)"/>
      <w:numFmt w:val="lowerLetter"/>
      <w:start w:val="1"/>
    </w:lvl>
  </w:abstractNum>
  <w:abstractNum w:abstractNumId="34">
    <w:nsid w:val="6DE91B18"/>
    <w:multiLevelType w:val="hybridMultilevel"/>
    <w:lvl w:ilvl="0">
      <w:lvlJc w:val="left"/>
      <w:lvlText w:val="(%1)"/>
      <w:numFmt w:val="lowerLetter"/>
      <w:start w:val="2"/>
    </w:lvl>
  </w:abstractNum>
  <w:abstractNum w:abstractNumId="35">
    <w:nsid w:val="38437FDB"/>
    <w:multiLevelType w:val="hybridMultilevel"/>
    <w:lvl w:ilvl="0">
      <w:lvlJc w:val="left"/>
      <w:lvlText w:val="%1."/>
      <w:numFmt w:val="decimal"/>
      <w:start w:val="2"/>
    </w:lvl>
  </w:abstractNum>
  <w:abstractNum w:abstractNumId="36">
    <w:nsid w:val="7644A45C"/>
    <w:multiLevelType w:val="hybridMultilevel"/>
    <w:lvl w:ilvl="0">
      <w:lvlJc w:val="left"/>
      <w:lvlText w:val="%1."/>
      <w:numFmt w:val="decimal"/>
      <w:start w:val="4"/>
    </w:lvl>
  </w:abstractNum>
  <w:abstractNum w:abstractNumId="37">
    <w:nsid w:val="32FFF902"/>
    <w:multiLevelType w:val="hybridMultilevel"/>
    <w:lvl w:ilvl="0">
      <w:lvlJc w:val="left"/>
      <w:lvlText w:val="%1."/>
      <w:numFmt w:val="upperLetter"/>
      <w:start w:val="1"/>
    </w:lvl>
  </w:abstractNum>
  <w:abstractNum w:abstractNumId="38">
    <w:nsid w:val="684A481A"/>
    <w:multiLevelType w:val="hybridMultilevel"/>
    <w:lvl w:ilvl="0">
      <w:lvlJc w:val="left"/>
      <w:lvlText w:val="%1."/>
      <w:numFmt w:val="decimal"/>
      <w:start w:val="1"/>
    </w:lvl>
    <w:lvl w:ilvl="1">
      <w:lvlJc w:val="left"/>
      <w:lvlText w:val="(%2)"/>
      <w:numFmt w:val="lowerLetter"/>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lowerLetter"/>
      <w:start w:val="2"/>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1."/>
      <w:numFmt w:val="decimal"/>
      <w:start w:val="2"/>
    </w:lvl>
  </w:abstractNum>
  <w:abstractNum w:abstractNumId="43">
    <w:nsid w:val="79A1DEAA"/>
    <w:multiLevelType w:val="hybridMultilevel"/>
    <w:lvl w:ilvl="0">
      <w:lvlJc w:val="left"/>
      <w:lvlText w:val="%1."/>
      <w:numFmt w:val="decimal"/>
      <w:start w:val="3"/>
    </w:lvl>
  </w:abstractNum>
  <w:abstractNum w:abstractNumId="44">
    <w:nsid w:val="75C6C33A"/>
    <w:multiLevelType w:val="hybridMultilevel"/>
    <w:lvl w:ilvl="0">
      <w:lvlJc w:val="left"/>
      <w:lvlText w:val="%1."/>
      <w:numFmt w:val="decimal"/>
      <w:start w:val="4"/>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upperLetter"/>
      <w:start w:val="1"/>
    </w:lvl>
  </w:abstractNum>
  <w:abstractNum w:abstractNumId="48">
    <w:nsid w:val="374A3FE6"/>
    <w:multiLevelType w:val="hybridMultilevel"/>
    <w:lvl w:ilvl="0">
      <w:lvlJc w:val="left"/>
      <w:lvlText w:val="%1."/>
      <w:numFmt w:val="decimal"/>
      <w:start w:val="1"/>
    </w:lvl>
    <w:lvl w:ilvl="1">
      <w:lvlJc w:val="left"/>
      <w:lvlText w:val="(%2)"/>
      <w:numFmt w:val="lowerLetter"/>
      <w:start w:val="1"/>
    </w:lvl>
  </w:abstractNum>
  <w:abstractNum w:abstractNumId="49">
    <w:nsid w:val="4F4EF005"/>
    <w:multiLevelType w:val="hybridMultilevel"/>
    <w:lvl w:ilvl="0">
      <w:lvlJc w:val="left"/>
      <w:lvlText w:val="(%1)"/>
      <w:numFmt w:val="lowerLetter"/>
      <w:start w:val="2"/>
    </w:lvl>
  </w:abstractNum>
  <w:abstractNum w:abstractNumId="50">
    <w:nsid w:val="23F9C13C"/>
    <w:multiLevelType w:val="hybridMultilevel"/>
    <w:lvl w:ilvl="0">
      <w:lvlJc w:val="left"/>
      <w:lvlText w:val="(%1)"/>
      <w:numFmt w:val="lowerLetter"/>
      <w:start w:val="3"/>
    </w:lvl>
  </w:abstractNum>
  <w:abstractNum w:abstractNumId="51">
    <w:nsid w:val="649BB77C"/>
    <w:multiLevelType w:val="hybridMultilevel"/>
    <w:lvl w:ilvl="0">
      <w:lvlJc w:val="left"/>
      <w:lvlText w:val="(%1)"/>
      <w:numFmt w:val="lowerLetter"/>
      <w:start w:val="4"/>
    </w:lvl>
  </w:abstractNum>
  <w:abstractNum w:abstractNumId="52">
    <w:nsid w:val="275AC794"/>
    <w:multiLevelType w:val="hybridMultilevel"/>
    <w:lvl w:ilvl="0">
      <w:lvlJc w:val="left"/>
      <w:lvlText w:val="(%1)"/>
      <w:numFmt w:val="lowerLetter"/>
      <w:start w:val="5"/>
    </w:lvl>
  </w:abstractNum>
  <w:abstractNum w:abstractNumId="53">
    <w:nsid w:val="39386575"/>
    <w:multiLevelType w:val="hybridMultilevel"/>
    <w:lvl w:ilvl="0">
      <w:lvlJc w:val="left"/>
      <w:lvlText w:val="(%1)"/>
      <w:numFmt w:val="lowerLetter"/>
      <w:start w:val="6"/>
    </w:lvl>
  </w:abstractNum>
  <w:abstractNum w:abstractNumId="54">
    <w:nsid w:val="1CF10FD8"/>
    <w:multiLevelType w:val="hybridMultilevel"/>
    <w:lvl w:ilvl="0">
      <w:lvlJc w:val="left"/>
      <w:lvlText w:val="%1."/>
      <w:numFmt w:val="decimal"/>
      <w:start w:val="2"/>
    </w:lvl>
  </w:abstractNum>
  <w:abstractNum w:abstractNumId="55">
    <w:nsid w:val="180115BE"/>
    <w:multiLevelType w:val="hybridMultilevel"/>
    <w:lvl w:ilvl="0">
      <w:lvlJc w:val="left"/>
      <w:lvlText w:val="%1."/>
      <w:numFmt w:val="decimal"/>
      <w:start w:val="6"/>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54" Type="http://schemas.openxmlformats.org/officeDocument/2006/relationships/hyperlink" Target="http://www.sec.gov/Archives/edgar/data/737758/000156459019003064/ttc-ex21_6.htm" TargetMode="External"/><Relationship Id="rId55" Type="http://schemas.openxmlformats.org/officeDocument/2006/relationships/hyperlink" Target="http://www.sec.gov/Archives/edgar/data/737758/000073775808000033/form8-k06172008exhibitcert.htm" TargetMode="External"/><Relationship Id="rId56" Type="http://schemas.openxmlformats.org/officeDocument/2006/relationships/hyperlink" Target="http://www.sec.gov/Archives/edgar/data/737758/000119312513105223/d501846dex31.htm" TargetMode="External"/><Relationship Id="rId57" Type="http://schemas.openxmlformats.org/officeDocument/2006/relationships/hyperlink" Target="http://www.sec.gov/Archives/edgar/data/737758/000110465916133324/a16-15127_1ex3d1.htm" TargetMode="External"/><Relationship Id="rId58" Type="http://schemas.openxmlformats.org/officeDocument/2006/relationships/hyperlink" Target="http://www.sec.gov/Archives/edgar/data/737758/000110465907030051/a07-10570_1ex4d3.htm" TargetMode="External"/><Relationship Id="rId59" Type="http://schemas.openxmlformats.org/officeDocument/2006/relationships/hyperlink" Target="http://www.sec.gov/Archives/edgar/data/737758/000110465907031757/a07-10570_5ex4d1.htm" TargetMode="External"/><Relationship Id="rId60"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2020-03-05T07:45:53Z</dcterms:created>
  <dcterms:modified xsi:type="dcterms:W3CDTF">2020-03-05T07:45:53Z</dcterms:modified>
</cp:coreProperties>
</file>