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12/21/2012</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8,800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14.31</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14,940.326</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12/21/2012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8,800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42.681</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6,140.326</w:t>
            </w:r>
            <w:r>
              <w:rPr>
                <w:rFonts w:ascii="Arial" w:cs="Arial" w:eastAsia="Arial" w:hAnsi="Arial"/>
                <w:sz w:val="22"/>
                <w:szCs w:val="22"/>
                <w:color w:val="008000"/>
                <w:w w:val="83"/>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10,893.918</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11,328.375</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140" w:type="dxa"/>
            <w:vAlign w:val="bottom"/>
          </w:tcPr>
          <w:p>
            <w:pPr>
              <w:ind w:left="260"/>
              <w:spacing w:after="0"/>
              <w:rPr>
                <w:sz w:val="20"/>
                <w:szCs w:val="20"/>
                <w:color w:val="auto"/>
              </w:rPr>
            </w:pPr>
            <w:r>
              <w:rPr>
                <w:rFonts w:ascii="Arial" w:cs="Arial" w:eastAsia="Arial" w:hAnsi="Arial"/>
                <w:sz w:val="14"/>
                <w:szCs w:val="14"/>
                <w:color w:val="0000FF"/>
              </w:rPr>
              <w:t>12/21/2012</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8,800</w:t>
            </w:r>
          </w:p>
        </w:tc>
        <w:tc>
          <w:tcPr>
            <w:tcW w:w="860" w:type="dxa"/>
            <w:vAlign w:val="bottom"/>
          </w:tcPr>
          <w:p>
            <w:pPr>
              <w:ind w:left="180"/>
              <w:spacing w:after="0"/>
              <w:rPr>
                <w:sz w:val="20"/>
                <w:szCs w:val="20"/>
                <w:color w:val="auto"/>
              </w:rPr>
            </w:pPr>
            <w:r>
              <w:rPr>
                <w:rFonts w:ascii="Arial" w:cs="Arial" w:eastAsia="Arial" w:hAnsi="Arial"/>
                <w:sz w:val="14"/>
                <w:szCs w:val="14"/>
                <w:color w:val="0000FF"/>
                <w:w w:val="94"/>
              </w:rPr>
              <w:t>12/03/2009</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12/03/2018</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8,800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1,000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$42.54 to $42.84,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3,026.464 shares of restricted stock and related dividend reinvestment shares that vest in full on the third anniversary of the date of grant, which was March 20, 2012.</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12/26/2012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2019-12-17T00:58:34Z</dcterms:created>
  <dcterms:modified xsi:type="dcterms:W3CDTF">2019-12-17T00:58:34Z</dcterms:modified>
</cp:coreProperties>
</file>