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3"/>
        <w:spacing w:after="0"/>
        <w:rPr>
          <w:sz w:val="20"/>
          <w:szCs w:val="20"/>
          <w:color w:val="auto"/>
        </w:rPr>
      </w:pPr>
      <w:r>
        <w:rPr>
          <w:rFonts w:ascii="Courier New" w:cs="Courier New" w:eastAsia="Courier New" w:hAnsi="Courier New"/>
          <w:sz w:val="15"/>
          <w:szCs w:val="15"/>
          <w:color w:val="auto"/>
        </w:rPr>
        <w:t>FORM 11-K</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FOR ANNUAL REPORTS OF EMPLOYEE STOCK PURCHASE, SAVINGS AND SIMILAR PLANS</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PURSUANT TO SECTION 15(d) OF THE SECURITIES EXCHANGE ACT OF 1934</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(Mark One)</w:t>
      </w:r>
    </w:p>
    <w:p>
      <w:pPr>
        <w:spacing w:after="0" w:line="6" w:lineRule="exact"/>
        <w:rPr>
          <w:sz w:val="24"/>
          <w:szCs w:val="24"/>
          <w:color w:val="auto"/>
        </w:rPr>
      </w:pPr>
    </w:p>
    <w:p>
      <w:pPr>
        <w:ind w:left="6" w:right="3439" w:hanging="6"/>
        <w:spacing w:after="0" w:line="248" w:lineRule="auto"/>
        <w:tabs>
          <w:tab w:leader="none" w:pos="37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15(d) OF THE SECURITIES EXCHANGE ACT OF 1934</w:t>
      </w:r>
    </w:p>
    <w:p>
      <w:pPr>
        <w:spacing w:after="0" w:line="1"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December 31, 2001.</w:t>
      </w:r>
    </w:p>
    <w:p>
      <w:pPr>
        <w:spacing w:after="0" w:line="182" w:lineRule="exact"/>
        <w:rPr>
          <w:sz w:val="24"/>
          <w:szCs w:val="24"/>
          <w:color w:val="auto"/>
        </w:rPr>
      </w:pPr>
    </w:p>
    <w:p>
      <w:pPr>
        <w:ind w:left="6" w:right="3439" w:hanging="6"/>
        <w:spacing w:after="0" w:line="248" w:lineRule="auto"/>
        <w:tabs>
          <w:tab w:leader="none" w:pos="18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15(d) OF THE SECURITIES EXCHANGE ACT OF 1934</w:t>
      </w:r>
    </w:p>
    <w:p>
      <w:pPr>
        <w:spacing w:after="0" w:line="1" w:lineRule="exact"/>
        <w:rPr>
          <w:sz w:val="24"/>
          <w:szCs w:val="24"/>
          <w:color w:val="auto"/>
        </w:rPr>
      </w:pPr>
    </w:p>
    <w:p>
      <w:pPr>
        <w:ind w:left="6"/>
        <w:spacing w:after="0"/>
        <w:tabs>
          <w:tab w:leader="none" w:pos="4386" w:val="left"/>
          <w:tab w:leader="none" w:pos="6026"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5"/>
          </w:cols>
          <w:pgMar w:left="234" w:top="412" w:right="1440" w:bottom="1440" w:gutter="0" w:footer="0" w:header="0"/>
        </w:sectPr>
      </w:pPr>
    </w:p>
    <w:p>
      <w:pPr>
        <w:spacing w:after="0" w:line="6" w:lineRule="exact"/>
        <w:rPr>
          <w:sz w:val="24"/>
          <w:szCs w:val="24"/>
          <w:color w:val="auto"/>
        </w:rPr>
      </w:pPr>
    </w:p>
    <w:p>
      <w:pPr>
        <w:ind w:left="284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sectPr>
          <w:pgSz w:w="11900" w:h="16838" w:orient="portrait"/>
          <w:cols w:equalWidth="0" w:num="2">
            <w:col w:w="4206" w:space="460"/>
            <w:col w:w="5559"/>
          </w:cols>
          <w:pgMar w:left="234" w:top="412"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Commission file number 1-8649.</w:t>
      </w:r>
    </w:p>
    <w:p>
      <w:pPr>
        <w:sectPr>
          <w:pgSz w:w="11900" w:h="16838" w:orient="portrait"/>
          <w:cols w:equalWidth="0" w:num="1">
            <w:col w:w="10225"/>
          </w:cols>
          <w:pgMar w:left="234" w:top="412" w:right="1440" w:bottom="1440" w:gutter="0" w:footer="0" w:header="0"/>
          <w:type w:val="continuous"/>
        </w:sectPr>
      </w:pPr>
    </w:p>
    <w:p>
      <w:pPr>
        <w:spacing w:after="0" w:line="182" w:lineRule="exact"/>
        <w:rPr>
          <w:sz w:val="24"/>
          <w:szCs w:val="24"/>
          <w:color w:val="auto"/>
        </w:rPr>
      </w:pPr>
    </w:p>
    <w:p>
      <w:pPr>
        <w:ind w:left="1646" w:hanging="822"/>
        <w:spacing w:after="0"/>
        <w:tabs>
          <w:tab w:leader="none" w:pos="164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Toro Company Investment and Savings Plan</w:t>
      </w:r>
    </w:p>
    <w:p>
      <w:pPr>
        <w:spacing w:after="0" w:line="6" w:lineRule="exact"/>
        <w:rPr>
          <w:rFonts w:ascii="Courier New" w:cs="Courier New" w:eastAsia="Courier New" w:hAnsi="Courier New"/>
          <w:sz w:val="15"/>
          <w:szCs w:val="15"/>
          <w:color w:val="auto"/>
        </w:rPr>
      </w:pPr>
    </w:p>
    <w:p>
      <w:pPr>
        <w:ind w:left="1646" w:hanging="822"/>
        <w:spacing w:after="0"/>
        <w:tabs>
          <w:tab w:leader="none" w:pos="164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Toro Company</w:t>
      </w:r>
    </w:p>
    <w:p>
      <w:pPr>
        <w:spacing w:after="0" w:line="6" w:lineRule="exact"/>
        <w:rPr>
          <w:rFonts w:ascii="Courier New" w:cs="Courier New" w:eastAsia="Courier New" w:hAnsi="Courier New"/>
          <w:sz w:val="15"/>
          <w:szCs w:val="15"/>
          <w:color w:val="auto"/>
        </w:rPr>
      </w:pPr>
    </w:p>
    <w:p>
      <w:pPr>
        <w:ind w:left="1646" w:right="62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8111 Lyndale Avenue South Minneapolis, MN 55420</w:t>
      </w:r>
    </w:p>
    <w:p>
      <w:pPr>
        <w:spacing w:after="0" w:line="175" w:lineRule="exact"/>
        <w:rPr>
          <w:sz w:val="24"/>
          <w:szCs w:val="24"/>
          <w:color w:val="auto"/>
        </w:rPr>
      </w:pPr>
    </w:p>
    <w:p>
      <w:pPr>
        <w:ind w:left="2746"/>
        <w:spacing w:after="0"/>
        <w:rPr>
          <w:sz w:val="20"/>
          <w:szCs w:val="20"/>
          <w:color w:val="auto"/>
        </w:rPr>
      </w:pPr>
      <w:r>
        <w:rPr>
          <w:rFonts w:ascii="Courier New" w:cs="Courier New" w:eastAsia="Courier New" w:hAnsi="Courier New"/>
          <w:sz w:val="15"/>
          <w:szCs w:val="15"/>
          <w:color w:val="auto"/>
        </w:rPr>
        <w:t>REQUIRED INFORMATION</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The following financial statements shall be furnished for the plan:</w:t>
      </w:r>
    </w:p>
    <w:p>
      <w:pPr>
        <w:spacing w:after="0" w:line="6" w:lineRule="exact"/>
        <w:rPr>
          <w:sz w:val="24"/>
          <w:szCs w:val="24"/>
          <w:color w:val="auto"/>
        </w:rPr>
      </w:pPr>
    </w:p>
    <w:p>
      <w:pPr>
        <w:ind w:left="466" w:right="3259" w:hanging="466"/>
        <w:spacing w:after="0" w:line="248" w:lineRule="auto"/>
        <w:tabs>
          <w:tab w:leader="none" w:pos="4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audited statement of financial condition as of the end of the latest two fiscal years of the plan (or such lesser period as the plan has been in existence).</w:t>
      </w:r>
    </w:p>
    <w:p>
      <w:pPr>
        <w:spacing w:after="0" w:line="1" w:lineRule="exact"/>
        <w:rPr>
          <w:rFonts w:ascii="Courier New" w:cs="Courier New" w:eastAsia="Courier New" w:hAnsi="Courier New"/>
          <w:sz w:val="15"/>
          <w:szCs w:val="15"/>
          <w:color w:val="auto"/>
        </w:rPr>
      </w:pPr>
    </w:p>
    <w:p>
      <w:pPr>
        <w:ind w:left="466" w:right="3079" w:hanging="466"/>
        <w:spacing w:after="0" w:line="248" w:lineRule="auto"/>
        <w:tabs>
          <w:tab w:leader="none" w:pos="4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audited statement of income and changes in plan equity for each of the latest three fiscal years of the plan (or such lesser period as the plan has been in existence).</w:t>
      </w:r>
    </w:p>
    <w:p>
      <w:pPr>
        <w:spacing w:after="0" w:line="1" w:lineRule="exact"/>
        <w:rPr>
          <w:rFonts w:ascii="Courier New" w:cs="Courier New" w:eastAsia="Courier New" w:hAnsi="Courier New"/>
          <w:sz w:val="15"/>
          <w:szCs w:val="15"/>
          <w:color w:val="auto"/>
        </w:rPr>
      </w:pPr>
    </w:p>
    <w:p>
      <w:pPr>
        <w:ind w:left="466" w:right="3179" w:hanging="466"/>
        <w:spacing w:after="0" w:line="248" w:lineRule="auto"/>
        <w:tabs>
          <w:tab w:leader="none" w:pos="4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required by Items 1 and 2 shall be prepared in accordance with the applicable provisions of Article 6A of Regulation S-X.</w:t>
      </w:r>
    </w:p>
    <w:p>
      <w:pPr>
        <w:spacing w:after="0" w:line="1" w:lineRule="exact"/>
        <w:rPr>
          <w:rFonts w:ascii="Courier New" w:cs="Courier New" w:eastAsia="Courier New" w:hAnsi="Courier New"/>
          <w:sz w:val="15"/>
          <w:szCs w:val="15"/>
          <w:color w:val="auto"/>
        </w:rPr>
      </w:pPr>
    </w:p>
    <w:p>
      <w:pPr>
        <w:ind w:left="466" w:right="2979" w:hanging="466"/>
        <w:spacing w:after="0" w:line="249" w:lineRule="auto"/>
        <w:tabs>
          <w:tab w:leader="none" w:pos="4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the requirements of Items 1-3 above, plans subject to ERISA may file plan financial statements and schedules prepared in accordance with the financial reporting requirements of ERISA. To the extent required by ERISA, the plan financial statements shall be examined by an independent accountant, except that the "limited scope of exemption" contained in Section 103(a)(3)(C) of ERISA shall not be available.</w:t>
      </w:r>
    </w:p>
    <w:p>
      <w:pPr>
        <w:spacing w:after="0" w:line="176" w:lineRule="exact"/>
        <w:rPr>
          <w:sz w:val="24"/>
          <w:szCs w:val="24"/>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Note: A written consent of the accountant is required with respect to the plan annual financial statements which have been incorporated by reference in a registration statement on Form S-8 under the Securities Act of 1933. The consent should be filed as an exhibit to this annual report. Such consent shall be currently dated and manually signed.</w:t>
      </w:r>
    </w:p>
    <w:p>
      <w:pPr>
        <w:spacing w:after="0" w:line="17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4"/>
          <w:szCs w:val="24"/>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6" w:lineRule="exact"/>
        <w:rPr>
          <w:sz w:val="24"/>
          <w:szCs w:val="24"/>
          <w:color w:val="auto"/>
        </w:rPr>
      </w:pPr>
    </w:p>
    <w:p>
      <w:pPr>
        <w:jc w:val="center"/>
        <w:ind w:right="513"/>
        <w:spacing w:after="0"/>
        <w:rPr>
          <w:sz w:val="20"/>
          <w:szCs w:val="20"/>
          <w:color w:val="auto"/>
        </w:rPr>
      </w:pPr>
      <w:r>
        <w:rPr>
          <w:rFonts w:ascii="Courier New" w:cs="Courier New" w:eastAsia="Courier New" w:hAnsi="Courier New"/>
          <w:sz w:val="15"/>
          <w:szCs w:val="15"/>
          <w:color w:val="auto"/>
        </w:rPr>
        <w:t>The Toro Company Savings and Investment Plan</w:t>
      </w:r>
    </w:p>
    <w:p>
      <w:pPr>
        <w:spacing w:after="0" w:line="6" w:lineRule="exact"/>
        <w:rPr>
          <w:sz w:val="24"/>
          <w:szCs w:val="24"/>
          <w:color w:val="auto"/>
        </w:rPr>
      </w:pPr>
    </w:p>
    <w:p>
      <w:pPr>
        <w:jc w:val="center"/>
        <w:ind w:right="513"/>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jc w:val="center"/>
        <w:ind w:right="513"/>
        <w:spacing w:after="0"/>
        <w:rPr>
          <w:sz w:val="20"/>
          <w:szCs w:val="20"/>
          <w:color w:val="auto"/>
        </w:rPr>
      </w:pPr>
      <w:r>
        <w:rPr>
          <w:rFonts w:ascii="Courier New" w:cs="Courier New" w:eastAsia="Courier New" w:hAnsi="Courier New"/>
          <w:sz w:val="15"/>
          <w:szCs w:val="15"/>
          <w:color w:val="auto"/>
        </w:rPr>
        <w:t>(Name of Plan)</w:t>
      </w:r>
    </w:p>
    <w:p>
      <w:pPr>
        <w:sectPr>
          <w:pgSz w:w="11900" w:h="16838" w:orient="portrait"/>
          <w:cols w:equalWidth="0" w:num="1">
            <w:col w:w="10225"/>
          </w:cols>
          <w:pgMar w:left="234" w:top="412" w:right="1440" w:bottom="1440" w:gutter="0" w:footer="0" w:header="0"/>
          <w:type w:val="continuous"/>
        </w:sectPr>
      </w:pP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July 1, 2002</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/s/</w:t>
        <w:tab/>
        <w:t>Stephen P. Wolfe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Stephen P. Wolfe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Vice President - Finance,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Treasurer and Chief Financial Officer</w:t>
      </w:r>
    </w:p>
    <w:p>
      <w:pPr>
        <w:sectPr>
          <w:pgSz w:w="11900" w:h="16838" w:orient="portrait"/>
          <w:cols w:equalWidth="0" w:num="3">
            <w:col w:w="466" w:space="180"/>
            <w:col w:w="2300" w:space="720"/>
            <w:col w:w="6559"/>
          </w:cols>
          <w:pgMar w:left="234" w:top="412" w:right="1440" w:bottom="1440" w:gutter="0" w:footer="0" w:header="0"/>
          <w:type w:val="continuous"/>
        </w:sectPr>
      </w:pPr>
    </w:p>
    <w:bookmarkStart w:id="1" w:name="page2"/>
    <w:bookmarkEnd w:id="1"/>
    <w:p>
      <w:pPr>
        <w:ind w:left="1720"/>
        <w:spacing w:after="0"/>
        <w:rPr>
          <w:sz w:val="20"/>
          <w:szCs w:val="20"/>
          <w:color w:val="auto"/>
        </w:rPr>
      </w:pPr>
      <w:r>
        <w:rPr>
          <w:rFonts w:ascii="Courier New" w:cs="Courier New" w:eastAsia="Courier New" w:hAnsi="Courier New"/>
          <w:sz w:val="15"/>
          <w:szCs w:val="15"/>
          <w:color w:val="auto"/>
        </w:rPr>
        <w:t>THE TORO COMPANY</w:t>
      </w:r>
    </w:p>
    <w:p>
      <w:pPr>
        <w:spacing w:after="0" w:line="6"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INVESTMENT AND SAVINGS PLAN</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Financial Statements and Schedule</w:t>
      </w:r>
    </w:p>
    <w:p>
      <w:pPr>
        <w:spacing w:after="0" w:line="18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December 31, 2001 and 2000</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(With Independent Auditors' Report Thereon)</w:t>
      </w:r>
    </w:p>
    <w:p>
      <w:pPr>
        <w:sectPr>
          <w:pgSz w:w="11900" w:h="16838" w:orient="portrait"/>
          <w:cols w:equalWidth="0" w:num="1">
            <w:col w:w="9019"/>
          </w:cols>
          <w:pgMar w:left="1440" w:top="470" w:right="1440" w:bottom="1440" w:gutter="0" w:footer="0" w:header="0"/>
        </w:sectPr>
      </w:pPr>
    </w:p>
    <w:bookmarkStart w:id="2" w:name="page3"/>
    <w:bookmarkEnd w:id="2"/>
    <w:p>
      <w:pPr>
        <w:ind w:left="2920"/>
        <w:spacing w:after="0"/>
        <w:rPr>
          <w:sz w:val="20"/>
          <w:szCs w:val="20"/>
          <w:color w:val="auto"/>
        </w:rPr>
      </w:pPr>
      <w:r>
        <w:rPr>
          <w:rFonts w:ascii="Courier New" w:cs="Courier New" w:eastAsia="Courier New" w:hAnsi="Courier New"/>
          <w:sz w:val="15"/>
          <w:szCs w:val="15"/>
          <w:color w:val="auto"/>
        </w:rPr>
        <w:t>THE TORO COMPANY</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ind w:left="2460"/>
              <w:spacing w:after="0"/>
              <w:rPr>
                <w:sz w:val="20"/>
                <w:szCs w:val="20"/>
                <w:color w:val="auto"/>
              </w:rPr>
            </w:pPr>
            <w:r>
              <w:rPr>
                <w:rFonts w:ascii="Courier New" w:cs="Courier New" w:eastAsia="Courier New" w:hAnsi="Courier New"/>
                <w:sz w:val="15"/>
                <w:szCs w:val="15"/>
                <w:color w:val="auto"/>
              </w:rPr>
              <w:t>INVESTMENT AND SAVINGS PLAN</w:t>
            </w:r>
          </w:p>
        </w:tc>
        <w:tc>
          <w:tcPr>
            <w:tcW w:w="1000" w:type="dxa"/>
            <w:vAlign w:val="bottom"/>
          </w:tcPr>
          <w:p>
            <w:pPr>
              <w:spacing w:after="0"/>
              <w:rPr>
                <w:sz w:val="14"/>
                <w:szCs w:val="14"/>
                <w:color w:val="auto"/>
              </w:rPr>
            </w:pPr>
          </w:p>
        </w:tc>
      </w:tr>
      <w:tr>
        <w:trPr>
          <w:trHeight w:val="705"/>
        </w:trPr>
        <w:tc>
          <w:tcPr>
            <w:tcW w:w="6320" w:type="dxa"/>
            <w:vAlign w:val="bottom"/>
          </w:tcPr>
          <w:p>
            <w:pPr>
              <w:ind w:left="2920"/>
              <w:spacing w:after="0"/>
              <w:rPr>
                <w:sz w:val="20"/>
                <w:szCs w:val="20"/>
                <w:color w:val="auto"/>
              </w:rPr>
            </w:pPr>
            <w:r>
              <w:rPr>
                <w:rFonts w:ascii="Courier New" w:cs="Courier New" w:eastAsia="Courier New" w:hAnsi="Courier New"/>
                <w:sz w:val="15"/>
                <w:szCs w:val="15"/>
                <w:color w:val="auto"/>
              </w:rPr>
              <w:t>TABLE OF CONTENTS</w:t>
            </w:r>
          </w:p>
        </w:tc>
        <w:tc>
          <w:tcPr>
            <w:tcW w:w="1000" w:type="dxa"/>
            <w:vAlign w:val="bottom"/>
          </w:tcPr>
          <w:p>
            <w:pPr>
              <w:spacing w:after="0"/>
              <w:rPr>
                <w:sz w:val="24"/>
                <w:szCs w:val="24"/>
                <w:color w:val="auto"/>
              </w:rPr>
            </w:pPr>
          </w:p>
        </w:tc>
      </w:tr>
      <w:tr>
        <w:trPr>
          <w:trHeight w:val="705"/>
        </w:trPr>
        <w:tc>
          <w:tcPr>
            <w:tcW w:w="6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PAGES</w:t>
            </w:r>
          </w:p>
        </w:tc>
      </w:tr>
      <w:tr>
        <w:trPr>
          <w:trHeight w:val="352"/>
        </w:trPr>
        <w:tc>
          <w:tcPr>
            <w:tcW w:w="6320" w:type="dxa"/>
            <w:vAlign w:val="bottom"/>
          </w:tcPr>
          <w:p>
            <w:pPr>
              <w:spacing w:after="0"/>
              <w:rPr>
                <w:sz w:val="20"/>
                <w:szCs w:val="20"/>
                <w:color w:val="auto"/>
              </w:rPr>
            </w:pPr>
            <w:r>
              <w:rPr>
                <w:rFonts w:ascii="Courier New" w:cs="Courier New" w:eastAsia="Courier New" w:hAnsi="Courier New"/>
                <w:sz w:val="15"/>
                <w:szCs w:val="15"/>
                <w:color w:val="auto"/>
              </w:rPr>
              <w:t>Independent Auditors' Report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w:t>
            </w:r>
          </w:p>
        </w:tc>
      </w:tr>
      <w:tr>
        <w:trPr>
          <w:trHeight w:val="352"/>
        </w:trPr>
        <w:tc>
          <w:tcPr>
            <w:tcW w:w="6320" w:type="dxa"/>
            <w:vAlign w:val="bottom"/>
          </w:tcPr>
          <w:p>
            <w:pPr>
              <w:spacing w:after="0"/>
              <w:rPr>
                <w:sz w:val="20"/>
                <w:szCs w:val="20"/>
                <w:color w:val="auto"/>
              </w:rPr>
            </w:pPr>
            <w:r>
              <w:rPr>
                <w:rFonts w:ascii="Courier New" w:cs="Courier New" w:eastAsia="Courier New" w:hAnsi="Courier New"/>
                <w:sz w:val="15"/>
                <w:szCs w:val="15"/>
                <w:color w:val="auto"/>
              </w:rPr>
              <w:t>Statements of Net Assets Available for Plan Benefits</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w:t>
            </w:r>
          </w:p>
        </w:tc>
      </w:tr>
      <w:tr>
        <w:trPr>
          <w:trHeight w:val="352"/>
        </w:trPr>
        <w:tc>
          <w:tcPr>
            <w:tcW w:w="6320" w:type="dxa"/>
            <w:vAlign w:val="bottom"/>
          </w:tcPr>
          <w:p>
            <w:pPr>
              <w:spacing w:after="0"/>
              <w:rPr>
                <w:sz w:val="20"/>
                <w:szCs w:val="20"/>
                <w:color w:val="auto"/>
              </w:rPr>
            </w:pPr>
            <w:r>
              <w:rPr>
                <w:rFonts w:ascii="Courier New" w:cs="Courier New" w:eastAsia="Courier New" w:hAnsi="Courier New"/>
                <w:sz w:val="15"/>
                <w:szCs w:val="15"/>
                <w:color w:val="auto"/>
              </w:rPr>
              <w:t>Statements of Changes in Net Assets Available for Plan Benefits</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w:t>
            </w:r>
          </w:p>
        </w:tc>
      </w:tr>
      <w:tr>
        <w:trPr>
          <w:trHeight w:val="352"/>
        </w:trPr>
        <w:tc>
          <w:tcPr>
            <w:tcW w:w="632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w:t>
            </w:r>
          </w:p>
        </w:tc>
      </w:tr>
      <w:tr>
        <w:trPr>
          <w:trHeight w:val="352"/>
        </w:trPr>
        <w:tc>
          <w:tcPr>
            <w:tcW w:w="6320" w:type="dxa"/>
            <w:vAlign w:val="bottom"/>
          </w:tcPr>
          <w:p>
            <w:pPr>
              <w:spacing w:after="0"/>
              <w:rPr>
                <w:sz w:val="20"/>
                <w:szCs w:val="20"/>
                <w:color w:val="auto"/>
              </w:rPr>
            </w:pPr>
            <w:r>
              <w:rPr>
                <w:rFonts w:ascii="Courier New" w:cs="Courier New" w:eastAsia="Courier New" w:hAnsi="Courier New"/>
                <w:sz w:val="15"/>
                <w:szCs w:val="15"/>
                <w:color w:val="auto"/>
              </w:rPr>
              <w:t>SCHEDULE</w:t>
            </w:r>
          </w:p>
        </w:tc>
        <w:tc>
          <w:tcPr>
            <w:tcW w:w="1000" w:type="dxa"/>
            <w:vAlign w:val="bottom"/>
          </w:tcPr>
          <w:p>
            <w:pPr>
              <w:spacing w:after="0"/>
              <w:rPr>
                <w:sz w:val="24"/>
                <w:szCs w:val="24"/>
                <w:color w:val="auto"/>
              </w:rPr>
            </w:pPr>
          </w:p>
        </w:tc>
      </w:tr>
      <w:tr>
        <w:trPr>
          <w:trHeight w:val="352"/>
        </w:trPr>
        <w:tc>
          <w:tcPr>
            <w:tcW w:w="6320" w:type="dxa"/>
            <w:vAlign w:val="bottom"/>
          </w:tcPr>
          <w:p>
            <w:pPr>
              <w:spacing w:after="0"/>
              <w:rPr>
                <w:sz w:val="20"/>
                <w:szCs w:val="20"/>
                <w:color w:val="auto"/>
              </w:rPr>
            </w:pPr>
            <w:r>
              <w:rPr>
                <w:rFonts w:ascii="Courier New" w:cs="Courier New" w:eastAsia="Courier New" w:hAnsi="Courier New"/>
                <w:sz w:val="15"/>
                <w:szCs w:val="15"/>
                <w:color w:val="auto"/>
              </w:rPr>
              <w:t>Schedule of Assets (Held at End of Year)</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w:t>
            </w:r>
          </w:p>
        </w:tc>
      </w:tr>
    </w:tbl>
    <w:p>
      <w:pPr>
        <w:sectPr>
          <w:pgSz w:w="11900" w:h="16838" w:orient="portrait"/>
          <w:cols w:equalWidth="0" w:num="1">
            <w:col w:w="10219"/>
          </w:cols>
          <w:pgMar w:left="240" w:top="470" w:right="1440" w:bottom="1440" w:gutter="0" w:footer="0" w:header="0"/>
        </w:sectPr>
      </w:pPr>
    </w:p>
    <w:bookmarkStart w:id="3" w:name="page4"/>
    <w:bookmarkEnd w:id="3"/>
    <w:p>
      <w:pPr>
        <w:ind w:left="2380"/>
        <w:spacing w:after="0"/>
        <w:rPr>
          <w:sz w:val="20"/>
          <w:szCs w:val="20"/>
          <w:color w:val="auto"/>
        </w:rPr>
      </w:pPr>
      <w:r>
        <w:rPr>
          <w:rFonts w:ascii="Courier New" w:cs="Courier New" w:eastAsia="Courier New" w:hAnsi="Courier New"/>
          <w:sz w:val="15"/>
          <w:szCs w:val="15"/>
          <w:color w:val="auto"/>
        </w:rPr>
        <w:t>INDEPENDENT AUDITORS' REPORT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Plan Administrator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Toro Company Investment and Savings Plan:</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We have audited the accompanying statements of net assets available for plan benefits of The Toro Company Investment and Savings Plan (the Plan) as of December 31, 2001 and 2000, and the related statements of changes in net assets available for plan benefits for the years then ended. These financial statements are the responsibility of the Plan's management. Our responsibility is to express an opinion on these financial statements based on our audits.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net assets available for plan benefits as of December 31, 2001 and 2000, and the changes in net assets available for plan benefits for the years then ended, in conformity with accounting principles generally accepted in the United States of America.</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Our audits were performed for the purpose of forming an opinion on the basic financial statements taken as a whole. The supplemental schedule of assets (held at end of year)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12, 2002</w:t>
      </w:r>
    </w:p>
    <w:p>
      <w:pPr>
        <w:sectPr>
          <w:pgSz w:w="11900" w:h="16838" w:orient="portrait"/>
          <w:cols w:equalWidth="0" w:num="1">
            <w:col w:w="10219"/>
          </w:cols>
          <w:pgMar w:left="240" w:top="470" w:right="1440" w:bottom="1440" w:gutter="0" w:footer="0" w:header="0"/>
        </w:sectPr>
      </w:pPr>
    </w:p>
    <w:bookmarkStart w:id="4" w:name="page5"/>
    <w:bookmarkEnd w:id="4"/>
    <w:p>
      <w:pPr>
        <w:jc w:val="center"/>
        <w:ind w:right="2899"/>
        <w:spacing w:after="0"/>
        <w:rPr>
          <w:sz w:val="20"/>
          <w:szCs w:val="20"/>
          <w:color w:val="auto"/>
        </w:rPr>
      </w:pPr>
      <w:r>
        <w:rPr>
          <w:rFonts w:ascii="Courier New" w:cs="Courier New" w:eastAsia="Courier New" w:hAnsi="Courier New"/>
          <w:sz w:val="15"/>
          <w:szCs w:val="15"/>
          <w:color w:val="auto"/>
        </w:rPr>
        <w:t>THE TORO COMPANY INVESTMENT AND SAVINGS PLAN</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Statements of Net Assets Available for Plan Benefits</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December 31, 2001 and 2000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2001</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5540" w:type="dxa"/>
            <w:vAlign w:val="bottom"/>
          </w:tcPr>
          <w:p>
            <w:pPr>
              <w:spacing w:after="0"/>
              <w:rPr>
                <w:sz w:val="15"/>
                <w:szCs w:val="15"/>
                <w:color w:val="auto"/>
              </w:rPr>
            </w:pPr>
          </w:p>
        </w:tc>
        <w:tc>
          <w:tcPr>
            <w:tcW w:w="1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540" w:type="dxa"/>
            <w:vAlign w:val="bottom"/>
          </w:tcPr>
          <w:p>
            <w:pPr>
              <w:spacing w:after="0"/>
              <w:rPr>
                <w:sz w:val="20"/>
                <w:szCs w:val="20"/>
                <w:color w:val="auto"/>
              </w:rPr>
            </w:pPr>
            <w:r>
              <w:rPr>
                <w:rFonts w:ascii="Courier New" w:cs="Courier New" w:eastAsia="Courier New" w:hAnsi="Courier New"/>
                <w:sz w:val="15"/>
                <w:szCs w:val="15"/>
                <w:color w:val="auto"/>
              </w:rPr>
              <w:t>Assets held by Trustee:</w:t>
            </w: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6"/>
        </w:trPr>
        <w:tc>
          <w:tcPr>
            <w:tcW w:w="5540" w:type="dxa"/>
            <w:vAlign w:val="bottom"/>
          </w:tcPr>
          <w:p>
            <w:pPr>
              <w:ind w:left="460"/>
              <w:spacing w:after="0"/>
              <w:rPr>
                <w:sz w:val="20"/>
                <w:szCs w:val="20"/>
                <w:color w:val="auto"/>
              </w:rPr>
            </w:pPr>
            <w:r>
              <w:rPr>
                <w:rFonts w:ascii="Courier New" w:cs="Courier New" w:eastAsia="Courier New" w:hAnsi="Courier New"/>
                <w:sz w:val="15"/>
                <w:szCs w:val="15"/>
                <w:color w:val="auto"/>
              </w:rPr>
              <w:t>Investments</w:t>
            </w:r>
          </w:p>
        </w:tc>
        <w:tc>
          <w:tcPr>
            <w:tcW w:w="1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$226,162,637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238,865,248</w:t>
            </w:r>
          </w:p>
        </w:tc>
      </w:tr>
      <w:tr>
        <w:trPr>
          <w:trHeight w:val="176"/>
        </w:trPr>
        <w:tc>
          <w:tcPr>
            <w:tcW w:w="5540" w:type="dxa"/>
            <w:vAlign w:val="bottom"/>
          </w:tcPr>
          <w:p>
            <w:pPr>
              <w:ind w:left="460"/>
              <w:spacing w:after="0"/>
              <w:rPr>
                <w:sz w:val="20"/>
                <w:szCs w:val="20"/>
                <w:color w:val="auto"/>
              </w:rPr>
            </w:pPr>
            <w:r>
              <w:rPr>
                <w:rFonts w:ascii="Courier New" w:cs="Courier New" w:eastAsia="Courier New" w:hAnsi="Courier New"/>
                <w:sz w:val="15"/>
                <w:szCs w:val="15"/>
                <w:color w:val="auto"/>
              </w:rPr>
              <w:t>Employer contribution receivable</w:t>
            </w:r>
          </w:p>
        </w:tc>
        <w:tc>
          <w:tcPr>
            <w:tcW w:w="1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7,764,001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7,212,467</w:t>
            </w:r>
          </w:p>
        </w:tc>
      </w:tr>
      <w:tr>
        <w:trPr>
          <w:trHeight w:val="176"/>
        </w:trPr>
        <w:tc>
          <w:tcPr>
            <w:tcW w:w="5540" w:type="dxa"/>
            <w:vAlign w:val="bottom"/>
          </w:tcPr>
          <w:p>
            <w:pPr>
              <w:ind w:left="460"/>
              <w:spacing w:after="0"/>
              <w:rPr>
                <w:sz w:val="20"/>
                <w:szCs w:val="20"/>
                <w:color w:val="auto"/>
              </w:rPr>
            </w:pPr>
            <w:r>
              <w:rPr>
                <w:rFonts w:ascii="Courier New" w:cs="Courier New" w:eastAsia="Courier New" w:hAnsi="Courier New"/>
                <w:sz w:val="15"/>
                <w:szCs w:val="15"/>
                <w:color w:val="auto"/>
              </w:rPr>
              <w:t>Employee contribution receivable</w:t>
            </w:r>
          </w:p>
        </w:tc>
        <w:tc>
          <w:tcPr>
            <w:tcW w:w="1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50,198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35,124</w:t>
            </w:r>
          </w:p>
        </w:tc>
      </w:tr>
      <w:tr>
        <w:trPr>
          <w:trHeight w:val="176"/>
        </w:trPr>
        <w:tc>
          <w:tcPr>
            <w:tcW w:w="5540" w:type="dxa"/>
            <w:vAlign w:val="bottom"/>
          </w:tcPr>
          <w:p>
            <w:pPr>
              <w:spacing w:after="0"/>
              <w:rPr>
                <w:sz w:val="15"/>
                <w:szCs w:val="15"/>
                <w:color w:val="auto"/>
              </w:rPr>
            </w:pPr>
          </w:p>
        </w:tc>
        <w:tc>
          <w:tcPr>
            <w:tcW w:w="1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ind w:left="1560"/>
              <w:spacing w:after="0"/>
              <w:rPr>
                <w:sz w:val="20"/>
                <w:szCs w:val="20"/>
                <w:color w:val="auto"/>
              </w:rPr>
            </w:pPr>
            <w:r>
              <w:rPr>
                <w:rFonts w:ascii="Courier New" w:cs="Courier New" w:eastAsia="Courier New" w:hAnsi="Courier New"/>
                <w:sz w:val="15"/>
                <w:szCs w:val="15"/>
                <w:color w:val="auto"/>
              </w:rPr>
              <w:t>Net assets available for plan benefits</w:t>
            </w:r>
          </w:p>
        </w:tc>
        <w:tc>
          <w:tcPr>
            <w:tcW w:w="1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$233,976,836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246,112,839</w:t>
            </w:r>
          </w:p>
        </w:tc>
      </w:tr>
      <w:tr>
        <w:trPr>
          <w:trHeight w:val="176"/>
        </w:trPr>
        <w:tc>
          <w:tcPr>
            <w:tcW w:w="5540" w:type="dxa"/>
            <w:vAlign w:val="bottom"/>
          </w:tcPr>
          <w:p>
            <w:pPr>
              <w:spacing w:after="0"/>
              <w:rPr>
                <w:sz w:val="15"/>
                <w:szCs w:val="15"/>
                <w:color w:val="auto"/>
              </w:rPr>
            </w:pPr>
          </w:p>
        </w:tc>
        <w:tc>
          <w:tcPr>
            <w:tcW w:w="1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70" w:right="1440" w:bottom="1440" w:gutter="0" w:footer="0" w:header="0"/>
        </w:sectPr>
      </w:pPr>
    </w:p>
    <w:bookmarkStart w:id="5" w:name="page6"/>
    <w:bookmarkEnd w:id="5"/>
    <w:p>
      <w:pPr>
        <w:jc w:val="center"/>
        <w:ind w:right="2899"/>
        <w:spacing w:after="0"/>
        <w:rPr>
          <w:sz w:val="20"/>
          <w:szCs w:val="20"/>
          <w:color w:val="auto"/>
        </w:rPr>
      </w:pPr>
      <w:r>
        <w:rPr>
          <w:rFonts w:ascii="Courier New" w:cs="Courier New" w:eastAsia="Courier New" w:hAnsi="Courier New"/>
          <w:sz w:val="15"/>
          <w:szCs w:val="15"/>
          <w:color w:val="auto"/>
        </w:rPr>
        <w:t>THE TORO COMPANY INVESTMENT AND SAVINGS PLAN</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Statements of Changes in Net Assets Available for Plan Benefits</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Years ended December 31, 2001 and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2001</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6260" w:type="dxa"/>
            <w:vAlign w:val="bottom"/>
          </w:tcPr>
          <w:p>
            <w:pPr>
              <w:spacing w:after="0"/>
              <w:rPr>
                <w:sz w:val="15"/>
                <w:szCs w:val="15"/>
                <w:color w:val="auto"/>
              </w:rPr>
            </w:pPr>
          </w:p>
        </w:tc>
        <w:tc>
          <w:tcPr>
            <w:tcW w:w="15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6260" w:type="dxa"/>
            <w:vAlign w:val="bottom"/>
          </w:tcPr>
          <w:p>
            <w:pPr>
              <w:spacing w:after="0"/>
              <w:rPr>
                <w:sz w:val="20"/>
                <w:szCs w:val="20"/>
                <w:color w:val="auto"/>
              </w:rPr>
            </w:pPr>
            <w:r>
              <w:rPr>
                <w:rFonts w:ascii="Courier New" w:cs="Courier New" w:eastAsia="Courier New" w:hAnsi="Courier New"/>
                <w:sz w:val="15"/>
                <w:szCs w:val="15"/>
                <w:color w:val="auto"/>
              </w:rPr>
              <w:t>Investment loss: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6260" w:type="dxa"/>
            <w:vAlign w:val="bottom"/>
          </w:tcPr>
          <w:p>
            <w:pPr>
              <w:ind w:left="460"/>
              <w:spacing w:after="0"/>
              <w:rPr>
                <w:sz w:val="20"/>
                <w:szCs w:val="20"/>
                <w:color w:val="auto"/>
              </w:rPr>
            </w:pPr>
            <w:r>
              <w:rPr>
                <w:rFonts w:ascii="Courier New" w:cs="Courier New" w:eastAsia="Courier New" w:hAnsi="Courier New"/>
                <w:sz w:val="15"/>
                <w:szCs w:val="15"/>
                <w:color w:val="auto"/>
              </w:rPr>
              <w:t>Interest, dividends, and cash earnings</w:t>
            </w:r>
          </w:p>
        </w:tc>
        <w:tc>
          <w:tcPr>
            <w:tcW w:w="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6,514,099</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15,813,378</w:t>
            </w:r>
          </w:p>
        </w:tc>
      </w:tr>
      <w:tr>
        <w:trPr>
          <w:trHeight w:val="176"/>
        </w:trPr>
        <w:tc>
          <w:tcPr>
            <w:tcW w:w="6260" w:type="dxa"/>
            <w:vAlign w:val="bottom"/>
          </w:tcPr>
          <w:p>
            <w:pPr>
              <w:ind w:left="460"/>
              <w:spacing w:after="0"/>
              <w:rPr>
                <w:sz w:val="20"/>
                <w:szCs w:val="20"/>
                <w:color w:val="auto"/>
              </w:rPr>
            </w:pPr>
            <w:r>
              <w:rPr>
                <w:rFonts w:ascii="Courier New" w:cs="Courier New" w:eastAsia="Courier New" w:hAnsi="Courier New"/>
                <w:sz w:val="15"/>
                <w:szCs w:val="15"/>
                <w:color w:val="auto"/>
              </w:rPr>
              <w:t>Net realized/unrealized loss in the fair value of investments</w:t>
            </w:r>
          </w:p>
        </w:tc>
        <w:tc>
          <w:tcPr>
            <w:tcW w:w="34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(21,513,346)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(28,705,746)</w:t>
            </w:r>
          </w:p>
        </w:tc>
      </w:tr>
      <w:tr>
        <w:trPr>
          <w:trHeight w:val="176"/>
        </w:trPr>
        <w:tc>
          <w:tcPr>
            <w:tcW w:w="6260" w:type="dxa"/>
            <w:vAlign w:val="bottom"/>
          </w:tcPr>
          <w:p>
            <w:pPr>
              <w:spacing w:after="0"/>
              <w:rPr>
                <w:sz w:val="15"/>
                <w:szCs w:val="15"/>
                <w:color w:val="auto"/>
              </w:rPr>
            </w:pPr>
          </w:p>
        </w:tc>
        <w:tc>
          <w:tcPr>
            <w:tcW w:w="15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260" w:type="dxa"/>
            <w:vAlign w:val="bottom"/>
          </w:tcPr>
          <w:p>
            <w:pPr>
              <w:ind w:left="1560"/>
              <w:spacing w:after="0"/>
              <w:rPr>
                <w:sz w:val="20"/>
                <w:szCs w:val="20"/>
                <w:color w:val="auto"/>
              </w:rPr>
            </w:pPr>
            <w:r>
              <w:rPr>
                <w:rFonts w:ascii="Courier New" w:cs="Courier New" w:eastAsia="Courier New" w:hAnsi="Courier New"/>
                <w:sz w:val="15"/>
                <w:szCs w:val="15"/>
                <w:color w:val="auto"/>
              </w:rPr>
              <w:t>Net investment loss</w:t>
            </w:r>
          </w:p>
        </w:tc>
        <w:tc>
          <w:tcPr>
            <w:tcW w:w="34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(14,999,247)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(12,892,368)</w:t>
            </w:r>
          </w:p>
        </w:tc>
      </w:tr>
      <w:tr>
        <w:trPr>
          <w:trHeight w:val="176"/>
        </w:trPr>
        <w:tc>
          <w:tcPr>
            <w:tcW w:w="6260" w:type="dxa"/>
            <w:vAlign w:val="bottom"/>
          </w:tcPr>
          <w:p>
            <w:pPr>
              <w:spacing w:after="0"/>
              <w:rPr>
                <w:sz w:val="15"/>
                <w:szCs w:val="15"/>
                <w:color w:val="auto"/>
              </w:rPr>
            </w:pPr>
          </w:p>
        </w:tc>
        <w:tc>
          <w:tcPr>
            <w:tcW w:w="15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34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10,093,189</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9,387,004</w:t>
            </w: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Employee contributions</w:t>
            </w:r>
          </w:p>
        </w:tc>
        <w:tc>
          <w:tcPr>
            <w:tcW w:w="34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8,938,374</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8,684,553</w:t>
            </w: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Rollover contributions</w:t>
            </w:r>
          </w:p>
        </w:tc>
        <w:tc>
          <w:tcPr>
            <w:tcW w:w="34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329,313</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590,218</w:t>
            </w:r>
          </w:p>
        </w:tc>
      </w:tr>
      <w:tr>
        <w:trPr>
          <w:trHeight w:val="176"/>
        </w:trPr>
        <w:tc>
          <w:tcPr>
            <w:tcW w:w="6260" w:type="dxa"/>
            <w:vAlign w:val="bottom"/>
          </w:tcPr>
          <w:p>
            <w:pPr>
              <w:spacing w:after="0"/>
              <w:rPr>
                <w:sz w:val="15"/>
                <w:szCs w:val="15"/>
                <w:color w:val="auto"/>
              </w:rPr>
            </w:pPr>
          </w:p>
        </w:tc>
        <w:tc>
          <w:tcPr>
            <w:tcW w:w="15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260" w:type="dxa"/>
            <w:vAlign w:val="bottom"/>
          </w:tcPr>
          <w:p>
            <w:pPr>
              <w:ind w:left="1560"/>
              <w:spacing w:after="0"/>
              <w:rPr>
                <w:sz w:val="20"/>
                <w:szCs w:val="20"/>
                <w:color w:val="auto"/>
              </w:rPr>
            </w:pPr>
            <w:r>
              <w:rPr>
                <w:rFonts w:ascii="Courier New" w:cs="Courier New" w:eastAsia="Courier New" w:hAnsi="Courier New"/>
                <w:sz w:val="15"/>
                <w:szCs w:val="15"/>
                <w:color w:val="auto"/>
              </w:rPr>
              <w:t>Total contributions</w:t>
            </w:r>
          </w:p>
        </w:tc>
        <w:tc>
          <w:tcPr>
            <w:tcW w:w="34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19,360,876</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18,661,775</w:t>
            </w: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Benefit payments</w:t>
            </w:r>
          </w:p>
        </w:tc>
        <w:tc>
          <w:tcPr>
            <w:tcW w:w="34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(16,497,632)</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(15,967,831)</w:t>
            </w:r>
          </w:p>
        </w:tc>
      </w:tr>
      <w:tr>
        <w:trPr>
          <w:trHeight w:val="176"/>
        </w:trPr>
        <w:tc>
          <w:tcPr>
            <w:tcW w:w="6260" w:type="dxa"/>
            <w:vAlign w:val="bottom"/>
          </w:tcPr>
          <w:p>
            <w:pPr>
              <w:spacing w:after="0"/>
              <w:rPr>
                <w:sz w:val="15"/>
                <w:szCs w:val="15"/>
                <w:color w:val="auto"/>
              </w:rPr>
            </w:pPr>
          </w:p>
        </w:tc>
        <w:tc>
          <w:tcPr>
            <w:tcW w:w="15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260" w:type="dxa"/>
            <w:vAlign w:val="bottom"/>
          </w:tcPr>
          <w:p>
            <w:pPr>
              <w:ind w:left="1560"/>
              <w:spacing w:after="0"/>
              <w:rPr>
                <w:sz w:val="20"/>
                <w:szCs w:val="20"/>
                <w:color w:val="auto"/>
              </w:rPr>
            </w:pPr>
            <w:r>
              <w:rPr>
                <w:rFonts w:ascii="Courier New" w:cs="Courier New" w:eastAsia="Courier New" w:hAnsi="Courier New"/>
                <w:sz w:val="15"/>
                <w:szCs w:val="15"/>
                <w:color w:val="auto"/>
              </w:rPr>
              <w:t>Decrease in net assets available for plan benefits</w:t>
            </w:r>
          </w:p>
        </w:tc>
        <w:tc>
          <w:tcPr>
            <w:tcW w:w="34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(12,136,003)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(10,198,424)</w:t>
            </w:r>
          </w:p>
        </w:tc>
      </w:tr>
      <w:tr>
        <w:trPr>
          <w:trHeight w:val="352"/>
        </w:trPr>
        <w:tc>
          <w:tcPr>
            <w:tcW w:w="626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 benefits: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6260" w:type="dxa"/>
            <w:vAlign w:val="bottom"/>
          </w:tcPr>
          <w:p>
            <w:pPr>
              <w:ind w:left="460"/>
              <w:spacing w:after="0"/>
              <w:rPr>
                <w:sz w:val="20"/>
                <w:szCs w:val="20"/>
                <w:color w:val="auto"/>
              </w:rPr>
            </w:pPr>
            <w:r>
              <w:rPr>
                <w:rFonts w:ascii="Courier New" w:cs="Courier New" w:eastAsia="Courier New" w:hAnsi="Courier New"/>
                <w:sz w:val="15"/>
                <w:szCs w:val="15"/>
                <w:color w:val="auto"/>
              </w:rPr>
              <w:t>Beginning of year</w:t>
            </w:r>
          </w:p>
        </w:tc>
        <w:tc>
          <w:tcPr>
            <w:tcW w:w="34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246,112,839</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256,311,263</w:t>
            </w:r>
          </w:p>
        </w:tc>
      </w:tr>
      <w:tr>
        <w:trPr>
          <w:trHeight w:val="176"/>
        </w:trPr>
        <w:tc>
          <w:tcPr>
            <w:tcW w:w="6260" w:type="dxa"/>
            <w:vAlign w:val="bottom"/>
          </w:tcPr>
          <w:p>
            <w:pPr>
              <w:spacing w:after="0"/>
              <w:rPr>
                <w:sz w:val="15"/>
                <w:szCs w:val="15"/>
                <w:color w:val="auto"/>
              </w:rPr>
            </w:pPr>
          </w:p>
        </w:tc>
        <w:tc>
          <w:tcPr>
            <w:tcW w:w="15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260" w:type="dxa"/>
            <w:vAlign w:val="bottom"/>
          </w:tcPr>
          <w:p>
            <w:pPr>
              <w:ind w:left="460"/>
              <w:spacing w:after="0"/>
              <w:rPr>
                <w:sz w:val="20"/>
                <w:szCs w:val="20"/>
                <w:color w:val="auto"/>
              </w:rPr>
            </w:pPr>
            <w:r>
              <w:rPr>
                <w:rFonts w:ascii="Courier New" w:cs="Courier New" w:eastAsia="Courier New" w:hAnsi="Courier New"/>
                <w:sz w:val="15"/>
                <w:szCs w:val="15"/>
                <w:color w:val="auto"/>
              </w:rPr>
              <w:t>End of year</w:t>
            </w:r>
          </w:p>
        </w:tc>
        <w:tc>
          <w:tcPr>
            <w:tcW w:w="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233,976,836</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246,112,839</w:t>
            </w:r>
          </w:p>
        </w:tc>
      </w:tr>
      <w:tr>
        <w:trPr>
          <w:trHeight w:val="176"/>
        </w:trPr>
        <w:tc>
          <w:tcPr>
            <w:tcW w:w="6260" w:type="dxa"/>
            <w:vAlign w:val="bottom"/>
          </w:tcPr>
          <w:p>
            <w:pPr>
              <w:spacing w:after="0"/>
              <w:rPr>
                <w:sz w:val="15"/>
                <w:szCs w:val="15"/>
                <w:color w:val="auto"/>
              </w:rPr>
            </w:pPr>
          </w:p>
        </w:tc>
        <w:tc>
          <w:tcPr>
            <w:tcW w:w="15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70" w:right="1440" w:bottom="1440" w:gutter="0" w:footer="0" w:header="0"/>
        </w:sectPr>
      </w:pPr>
    </w:p>
    <w:bookmarkStart w:id="6" w:name="page7"/>
    <w:bookmarkEnd w:id="6"/>
    <w:p>
      <w:pPr>
        <w:ind w:left="1646"/>
        <w:spacing w:after="0"/>
        <w:rPr>
          <w:sz w:val="20"/>
          <w:szCs w:val="20"/>
          <w:color w:val="auto"/>
        </w:rPr>
      </w:pPr>
      <w:r>
        <w:rPr>
          <w:rFonts w:ascii="Courier New" w:cs="Courier New" w:eastAsia="Courier New" w:hAnsi="Courier New"/>
          <w:sz w:val="15"/>
          <w:szCs w:val="15"/>
          <w:color w:val="auto"/>
        </w:rPr>
        <w:t>THE TORO COMPANY INVESTMENT AND SAVINGS PLAN</w:t>
      </w:r>
    </w:p>
    <w:p>
      <w:pPr>
        <w:spacing w:after="0" w:line="182"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Notes to Financial Statements</w:t>
      </w:r>
    </w:p>
    <w:p>
      <w:pPr>
        <w:spacing w:after="0" w:line="182" w:lineRule="exact"/>
        <w:rPr>
          <w:sz w:val="20"/>
          <w:szCs w:val="20"/>
          <w:color w:val="auto"/>
        </w:rPr>
      </w:pPr>
    </w:p>
    <w:p>
      <w:pPr>
        <w:ind w:left="2466"/>
        <w:spacing w:after="0"/>
        <w:rPr>
          <w:sz w:val="20"/>
          <w:szCs w:val="20"/>
          <w:color w:val="auto"/>
        </w:rPr>
      </w:pPr>
      <w:r>
        <w:rPr>
          <w:rFonts w:ascii="Courier New" w:cs="Courier New" w:eastAsia="Courier New" w:hAnsi="Courier New"/>
          <w:sz w:val="15"/>
          <w:szCs w:val="15"/>
          <w:color w:val="auto"/>
        </w:rPr>
        <w:t>December 31, 2001 and 2000</w:t>
      </w:r>
    </w:p>
    <w:p>
      <w:pPr>
        <w:spacing w:after="0" w:line="359" w:lineRule="exact"/>
        <w:rPr>
          <w:sz w:val="20"/>
          <w:szCs w:val="20"/>
          <w:color w:val="auto"/>
        </w:rPr>
      </w:pPr>
    </w:p>
    <w:p>
      <w:pPr>
        <w:ind w:left="826" w:hanging="826"/>
        <w:spacing w:after="0"/>
        <w:tabs>
          <w:tab w:leader="none" w:pos="82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82" w:lineRule="exact"/>
        <w:rPr>
          <w:rFonts w:ascii="Courier New" w:cs="Courier New" w:eastAsia="Courier New" w:hAnsi="Courier New"/>
          <w:sz w:val="15"/>
          <w:szCs w:val="15"/>
          <w:color w:val="auto"/>
        </w:rPr>
      </w:pPr>
    </w:p>
    <w:p>
      <w:pPr>
        <w:ind w:left="1646" w:hanging="822"/>
        <w:spacing w:after="0"/>
        <w:tabs>
          <w:tab w:leader="none" w:pos="1646"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FINANCIAL STATEMENT PRESENTATION</w:t>
      </w:r>
    </w:p>
    <w:p>
      <w:pPr>
        <w:spacing w:after="0" w:line="182" w:lineRule="exact"/>
        <w:rPr>
          <w:rFonts w:ascii="Courier New" w:cs="Courier New" w:eastAsia="Courier New" w:hAnsi="Courier New"/>
          <w:sz w:val="15"/>
          <w:szCs w:val="15"/>
          <w:color w:val="auto"/>
        </w:rPr>
      </w:pPr>
    </w:p>
    <w:p>
      <w:pPr>
        <w:ind w:left="1646" w:right="31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financial statements of The Toro Company Investment and Savings Plan (the Plan) are presented in accordance with accounting principles generally accepted in the United States of America. The accounting records of the Plan are maintained on an accrual basis.</w:t>
      </w:r>
    </w:p>
    <w:p>
      <w:pPr>
        <w:spacing w:after="0" w:line="175" w:lineRule="exact"/>
        <w:rPr>
          <w:rFonts w:ascii="Courier New" w:cs="Courier New" w:eastAsia="Courier New" w:hAnsi="Courier New"/>
          <w:sz w:val="15"/>
          <w:szCs w:val="15"/>
          <w:color w:val="auto"/>
        </w:rPr>
      </w:pPr>
    </w:p>
    <w:p>
      <w:pPr>
        <w:ind w:left="1646" w:hanging="822"/>
        <w:spacing w:after="0"/>
        <w:tabs>
          <w:tab w:leader="none" w:pos="1646"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82" w:lineRule="exact"/>
        <w:rPr>
          <w:rFonts w:ascii="Courier New" w:cs="Courier New" w:eastAsia="Courier New" w:hAnsi="Courier New"/>
          <w:sz w:val="15"/>
          <w:szCs w:val="15"/>
          <w:color w:val="auto"/>
        </w:rPr>
      </w:pPr>
    </w:p>
    <w:p>
      <w:pPr>
        <w:ind w:left="16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Plan's investments are held by Putnam Fiduciary Trust Company (the Trustee). The investment securities are stated at fair values based upon published quotations or, in the absence of available quotations, at fair values determined by the Trustee. Purchases and sales of securities are recorded on a trade-date basis.</w:t>
      </w:r>
    </w:p>
    <w:p>
      <w:pPr>
        <w:spacing w:after="0" w:line="175" w:lineRule="exact"/>
        <w:rPr>
          <w:rFonts w:ascii="Courier New" w:cs="Courier New" w:eastAsia="Courier New" w:hAnsi="Courier New"/>
          <w:sz w:val="15"/>
          <w:szCs w:val="15"/>
          <w:color w:val="auto"/>
        </w:rPr>
      </w:pPr>
    </w:p>
    <w:p>
      <w:pPr>
        <w:ind w:left="16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Toro Company (the Company) maintains one master trust, the Wells Fargo Stable Value Fund, formerly the Toro Stable Value Fund, (master trust) for three profit sharing and retirement plans that are sponsored by the Company. The three plans are The Toro Company Profit Sharing Plan for Plymouth Union Employees, The Toro Company Investment and Savings Plan, and The Toro Company Employee Stock Ownership Plan. The purpose of the master trust is to pool investment transactions and achieve uniform rates of return on comparable funds under all plans.</w:t>
      </w:r>
    </w:p>
    <w:p>
      <w:pPr>
        <w:spacing w:after="0" w:line="351" w:lineRule="exact"/>
        <w:rPr>
          <w:rFonts w:ascii="Courier New" w:cs="Courier New" w:eastAsia="Courier New" w:hAnsi="Courier New"/>
          <w:sz w:val="15"/>
          <w:szCs w:val="15"/>
          <w:color w:val="auto"/>
        </w:rPr>
      </w:pPr>
    </w:p>
    <w:p>
      <w:pPr>
        <w:ind w:left="16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Plan's proportionate share of net investment income from the master trust is based upon the percentage of the fair value of the Plan's investment in the master trust's assets. The Plan's percentage interest in the net assets of the master trust was approximately 91% and 95% as of December 31, 2001 and 2000, respectively.</w:t>
      </w:r>
    </w:p>
    <w:p>
      <w:pPr>
        <w:spacing w:after="0" w:line="175" w:lineRule="exact"/>
        <w:rPr>
          <w:rFonts w:ascii="Courier New" w:cs="Courier New" w:eastAsia="Courier New" w:hAnsi="Courier New"/>
          <w:sz w:val="15"/>
          <w:szCs w:val="15"/>
          <w:color w:val="auto"/>
        </w:rPr>
      </w:pPr>
    </w:p>
    <w:p>
      <w:pPr>
        <w:ind w:left="164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Plan's share of net investment income from the master trust is determined by the Trustee based on the ratio of the fair value of the Plan's equity in the investment fund to the total net assets of the investment fund at the beginning of the plan year.</w:t>
      </w:r>
    </w:p>
    <w:p>
      <w:pPr>
        <w:spacing w:after="0" w:line="175" w:lineRule="exact"/>
        <w:rPr>
          <w:rFonts w:ascii="Courier New" w:cs="Courier New" w:eastAsia="Courier New" w:hAnsi="Courier New"/>
          <w:sz w:val="15"/>
          <w:szCs w:val="15"/>
          <w:color w:val="auto"/>
        </w:rPr>
      </w:pPr>
    </w:p>
    <w:p>
      <w:pPr>
        <w:ind w:left="16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short term securities of the Wells Fargo Stable Value Fund (formerly The Toro Stable Value Fund) are stated at cost, which approximates fair value. During 2001, the Toro Stable Value Fund included a fully benefit responsive investment contract. The contract was valued in the Plan at contract value, which included cost plus accrued interest. The contract had a stated interest rate of 6.31%. Certain guaranteed investment contracts held by the master trust matured on January 2, 2001 at a value of $2,368,232 and were transferred to the short-term investment fund. On July 2, 2001, all remaining short-term investments in the Toro Stable Value Fund totaling $47,152,920 were transferred to the Wells Fargo Stable Value Fund.</w:t>
      </w:r>
    </w:p>
    <w:p>
      <w:pPr>
        <w:spacing w:after="0" w:line="351" w:lineRule="exact"/>
        <w:rPr>
          <w:rFonts w:ascii="Courier New" w:cs="Courier New" w:eastAsia="Courier New" w:hAnsi="Courier New"/>
          <w:sz w:val="15"/>
          <w:szCs w:val="15"/>
          <w:color w:val="auto"/>
        </w:rPr>
      </w:pPr>
    </w:p>
    <w:p>
      <w:pPr>
        <w:ind w:left="1646" w:hanging="822"/>
        <w:spacing w:after="0"/>
        <w:tabs>
          <w:tab w:leader="none" w:pos="1646"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ESTIMATES</w:t>
      </w:r>
    </w:p>
    <w:p>
      <w:pPr>
        <w:spacing w:after="0" w:line="182" w:lineRule="exact"/>
        <w:rPr>
          <w:rFonts w:ascii="Courier New" w:cs="Courier New" w:eastAsia="Courier New" w:hAnsi="Courier New"/>
          <w:sz w:val="15"/>
          <w:szCs w:val="15"/>
          <w:color w:val="auto"/>
        </w:rPr>
      </w:pPr>
    </w:p>
    <w:p>
      <w:pPr>
        <w:ind w:left="16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of America requires the plan administrator to make estimates and assumptions that affect the reported amounts of net assets available for plan benefits and disclosure of contingent assets and liabilities at the date of the financial statements and the reported amounts of changes in net assets available for plan benefits during the reporting period. Actual results could differ from those estimates.</w:t>
      </w:r>
    </w:p>
    <w:p>
      <w:pPr>
        <w:spacing w:after="0" w:line="351" w:lineRule="exact"/>
        <w:rPr>
          <w:sz w:val="20"/>
          <w:szCs w:val="20"/>
          <w:color w:val="auto"/>
        </w:rPr>
      </w:pPr>
    </w:p>
    <w:p>
      <w:pPr>
        <w:jc w:val="both"/>
        <w:ind w:left="3566"/>
        <w:spacing w:after="0"/>
        <w:tabs>
          <w:tab w:leader="none" w:pos="6306"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(Continued)</w:t>
      </w:r>
    </w:p>
    <w:p>
      <w:pPr>
        <w:sectPr>
          <w:pgSz w:w="11900" w:h="16838" w:orient="portrait"/>
          <w:cols w:equalWidth="0" w:num="1">
            <w:col w:w="10225"/>
          </w:cols>
          <w:pgMar w:left="234" w:top="470" w:right="1440" w:bottom="1440" w:gutter="0" w:footer="0" w:header="0"/>
        </w:sectPr>
      </w:pPr>
    </w:p>
    <w:bookmarkStart w:id="7" w:name="page8"/>
    <w:bookmarkEnd w:id="7"/>
    <w:p>
      <w:pPr>
        <w:ind w:left="1646"/>
        <w:spacing w:after="0"/>
        <w:rPr>
          <w:sz w:val="20"/>
          <w:szCs w:val="20"/>
          <w:color w:val="auto"/>
        </w:rPr>
      </w:pPr>
      <w:r>
        <w:rPr>
          <w:rFonts w:ascii="Courier New" w:cs="Courier New" w:eastAsia="Courier New" w:hAnsi="Courier New"/>
          <w:sz w:val="15"/>
          <w:szCs w:val="15"/>
          <w:color w:val="auto"/>
        </w:rPr>
        <w:t>THE TORO COMPANY INVESTMENT AND SAVINGS PLAN</w:t>
      </w:r>
    </w:p>
    <w:p>
      <w:pPr>
        <w:spacing w:after="0" w:line="182"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Notes to Financial Statements</w:t>
      </w:r>
    </w:p>
    <w:p>
      <w:pPr>
        <w:spacing w:after="0" w:line="182" w:lineRule="exact"/>
        <w:rPr>
          <w:sz w:val="20"/>
          <w:szCs w:val="20"/>
          <w:color w:val="auto"/>
        </w:rPr>
      </w:pPr>
    </w:p>
    <w:p>
      <w:pPr>
        <w:ind w:left="2466"/>
        <w:spacing w:after="0"/>
        <w:rPr>
          <w:sz w:val="20"/>
          <w:szCs w:val="20"/>
          <w:color w:val="auto"/>
        </w:rPr>
      </w:pPr>
      <w:r>
        <w:rPr>
          <w:rFonts w:ascii="Courier New" w:cs="Courier New" w:eastAsia="Courier New" w:hAnsi="Courier New"/>
          <w:sz w:val="15"/>
          <w:szCs w:val="15"/>
          <w:color w:val="auto"/>
        </w:rPr>
        <w:t>December 31, 2001 and 2000</w:t>
      </w:r>
    </w:p>
    <w:p>
      <w:pPr>
        <w:spacing w:after="0" w:line="359" w:lineRule="exact"/>
        <w:rPr>
          <w:sz w:val="20"/>
          <w:szCs w:val="20"/>
          <w:color w:val="auto"/>
        </w:rPr>
      </w:pPr>
    </w:p>
    <w:p>
      <w:pPr>
        <w:ind w:left="826" w:hanging="826"/>
        <w:spacing w:after="0"/>
        <w:tabs>
          <w:tab w:leader="none" w:pos="82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PLAN</w:t>
      </w:r>
    </w:p>
    <w:p>
      <w:pPr>
        <w:spacing w:after="0" w:line="182" w:lineRule="exact"/>
        <w:rPr>
          <w:rFonts w:ascii="Courier New" w:cs="Courier New" w:eastAsia="Courier New" w:hAnsi="Courier New"/>
          <w:sz w:val="15"/>
          <w:szCs w:val="15"/>
          <w:color w:val="auto"/>
        </w:rPr>
      </w:pPr>
    </w:p>
    <w:p>
      <w:pPr>
        <w:ind w:left="82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is a defined contribution profit sharing plan sponsored by the Company. The Company, as administrator of the Plan, absorbs all administrative costs and Trustee fees of the Plan, with the exception of investment management fees, which are netted against investment income.</w:t>
      </w:r>
    </w:p>
    <w:p>
      <w:pPr>
        <w:spacing w:after="0" w:line="351" w:lineRule="exact"/>
        <w:rPr>
          <w:rFonts w:ascii="Courier New" w:cs="Courier New" w:eastAsia="Courier New" w:hAnsi="Courier New"/>
          <w:sz w:val="15"/>
          <w:szCs w:val="15"/>
          <w:color w:val="auto"/>
        </w:rPr>
      </w:pPr>
    </w:p>
    <w:p>
      <w:pPr>
        <w:ind w:left="82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general description of the Plan is contained in the Plan document amended as of December 21, 1998. Participants should refer to the Plan document for more complete information.</w:t>
      </w:r>
    </w:p>
    <w:p>
      <w:pPr>
        <w:spacing w:after="0" w:line="175" w:lineRule="exact"/>
        <w:rPr>
          <w:rFonts w:ascii="Courier New" w:cs="Courier New" w:eastAsia="Courier New" w:hAnsi="Courier New"/>
          <w:sz w:val="15"/>
          <w:szCs w:val="15"/>
          <w:color w:val="auto"/>
        </w:rPr>
      </w:pPr>
    </w:p>
    <w:p>
      <w:pPr>
        <w:ind w:left="82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Contributions are made under the control of the plan administrator. The allocation of the participants' and Company contributions to the investment funds is selected by the participants. Company matching contributions, together with income attributable thereto, vest at the rate of 20% after one year of vesting service, with an additional 20% being accumulated annually thereafter until the participant is 100% vested.</w:t>
      </w:r>
    </w:p>
    <w:p>
      <w:pPr>
        <w:spacing w:after="0" w:line="175" w:lineRule="exact"/>
        <w:rPr>
          <w:rFonts w:ascii="Courier New" w:cs="Courier New" w:eastAsia="Courier New" w:hAnsi="Courier New"/>
          <w:sz w:val="15"/>
          <w:szCs w:val="15"/>
          <w:color w:val="auto"/>
        </w:rPr>
      </w:pPr>
    </w:p>
    <w:p>
      <w:pPr>
        <w:ind w:left="826" w:right="335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payments and transfers of participants' interests are made under the control of the Trustee.</w:t>
      </w:r>
    </w:p>
    <w:p>
      <w:pPr>
        <w:spacing w:after="0" w:line="174" w:lineRule="exact"/>
        <w:rPr>
          <w:rFonts w:ascii="Courier New" w:cs="Courier New" w:eastAsia="Courier New" w:hAnsi="Courier New"/>
          <w:sz w:val="15"/>
          <w:szCs w:val="15"/>
          <w:color w:val="auto"/>
        </w:rPr>
      </w:pPr>
    </w:p>
    <w:p>
      <w:pPr>
        <w:jc w:val="both"/>
        <w:ind w:left="82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years ended December 31, 2001 and 2000, forfeited nonvested accounts totaled $16,258 and $20,365, respectively. These accounts are used to offset future employer contributions.</w:t>
      </w:r>
    </w:p>
    <w:p>
      <w:pPr>
        <w:spacing w:after="0" w:line="175"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CONTRIBUTIONS AND PLAN TRANSFERS</w:t>
      </w:r>
    </w:p>
    <w:p>
      <w:pPr>
        <w:spacing w:after="0" w:line="182" w:lineRule="exact"/>
        <w:rPr>
          <w:rFonts w:ascii="Courier New" w:cs="Courier New" w:eastAsia="Courier New" w:hAnsi="Courier New"/>
          <w:sz w:val="15"/>
          <w:szCs w:val="15"/>
          <w:color w:val="auto"/>
        </w:rPr>
      </w:pPr>
    </w:p>
    <w:p>
      <w:pPr>
        <w:ind w:left="82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funding policy is to make annual contributions to the Plan in amounts determined by a formula set forth in the Plan. The contribution formula is based on 5.5% of the participants' total compensation earned during the plan year plus 5.5% of the participants' compensation above the Social Security taxable wage base as of the beginning of the plan year. In addition, the Company is required to make a matching contribution equal to 50% of the participants' contributions to the Plan not to exceed 2% of the participant's total compensation. The contribution formula specifies a minimum annual contribution to the Plan. The Company contribution is allocated to participants based on compensation earned during the plan year. Investment income is allocated based on a formula specified in the Plan.</w:t>
      </w:r>
    </w:p>
    <w:p>
      <w:pPr>
        <w:spacing w:after="0" w:line="351" w:lineRule="exact"/>
        <w:rPr>
          <w:rFonts w:ascii="Courier New" w:cs="Courier New" w:eastAsia="Courier New" w:hAnsi="Courier New"/>
          <w:sz w:val="15"/>
          <w:szCs w:val="15"/>
          <w:color w:val="auto"/>
        </w:rPr>
      </w:pPr>
    </w:p>
    <w:p>
      <w:pPr>
        <w:ind w:left="826" w:right="31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contributions consist of salary reduction elections under a 401(k) feature and rollover funds from other qualified plans.</w:t>
      </w:r>
    </w:p>
    <w:p>
      <w:pPr>
        <w:spacing w:after="0" w:line="174" w:lineRule="exact"/>
        <w:rPr>
          <w:rFonts w:ascii="Courier New" w:cs="Courier New" w:eastAsia="Courier New" w:hAnsi="Courier New"/>
          <w:sz w:val="15"/>
          <w:szCs w:val="15"/>
          <w:color w:val="auto"/>
        </w:rPr>
      </w:pPr>
    </w:p>
    <w:p>
      <w:pPr>
        <w:ind w:left="826" w:right="30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to/from other plans represent participant elected transfers to/from other Company plans.</w:t>
      </w:r>
    </w:p>
    <w:p>
      <w:pPr>
        <w:spacing w:after="0" w:line="174"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PARTY-IN-INTEREST TRANSACTIONS</w:t>
      </w:r>
    </w:p>
    <w:p>
      <w:pPr>
        <w:spacing w:after="0" w:line="182" w:lineRule="exact"/>
        <w:rPr>
          <w:rFonts w:ascii="Courier New" w:cs="Courier New" w:eastAsia="Courier New" w:hAnsi="Courier New"/>
          <w:sz w:val="15"/>
          <w:szCs w:val="15"/>
          <w:color w:val="auto"/>
        </w:rPr>
      </w:pPr>
    </w:p>
    <w:p>
      <w:pPr>
        <w:ind w:left="82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Putnam Fiduciary Trust Company and The Toro Company are parties-in-interest with respect to the Plan. In the opinion of the Plan's legal counsel, transactions between the Plan and the Trustee and the Company are exempt from being considered as `prohibited transactions' under the Employee Retirement Income Security Act of 1974 (ERISA) Section 408(b).</w:t>
      </w:r>
    </w:p>
    <w:p>
      <w:pPr>
        <w:spacing w:after="0" w:line="351"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TERMINATION</w:t>
      </w:r>
    </w:p>
    <w:p>
      <w:pPr>
        <w:spacing w:after="0" w:line="182" w:lineRule="exact"/>
        <w:rPr>
          <w:rFonts w:ascii="Courier New" w:cs="Courier New" w:eastAsia="Courier New" w:hAnsi="Courier New"/>
          <w:sz w:val="15"/>
          <w:szCs w:val="15"/>
          <w:color w:val="auto"/>
        </w:rPr>
      </w:pPr>
    </w:p>
    <w:p>
      <w:pPr>
        <w:ind w:left="826" w:right="30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voluntarily agreed to make contributions to the Plan. Although the Company has not expressed any intent to terminate the profit sharing plan agreement, it may do so at any time. Upon termination of the Plan, the interest of the participants in the Plan shall fully vest.</w:t>
      </w: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10225"/>
          </w:cols>
          <w:pgMar w:left="234" w:top="470" w:right="1440" w:bottom="1440" w:gutter="0" w:footer="0" w:header="0"/>
        </w:sectPr>
      </w:pPr>
    </w:p>
    <w:bookmarkStart w:id="8" w:name="page9"/>
    <w:bookmarkEnd w:id="8"/>
    <w:p>
      <w:pPr>
        <w:ind w:left="1646"/>
        <w:spacing w:after="0"/>
        <w:rPr>
          <w:sz w:val="20"/>
          <w:szCs w:val="20"/>
          <w:color w:val="auto"/>
        </w:rPr>
      </w:pPr>
      <w:r>
        <w:rPr>
          <w:rFonts w:ascii="Courier New" w:cs="Courier New" w:eastAsia="Courier New" w:hAnsi="Courier New"/>
          <w:sz w:val="15"/>
          <w:szCs w:val="15"/>
          <w:color w:val="auto"/>
        </w:rPr>
        <w:t>THE TORO COMPANY INVESTMENT AND SAVINGS PLAN</w:t>
      </w:r>
    </w:p>
    <w:p>
      <w:pPr>
        <w:spacing w:after="0" w:line="182"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Notes to Financial Statements</w:t>
      </w:r>
    </w:p>
    <w:p>
      <w:pPr>
        <w:spacing w:after="0" w:line="182" w:lineRule="exact"/>
        <w:rPr>
          <w:sz w:val="20"/>
          <w:szCs w:val="20"/>
          <w:color w:val="auto"/>
        </w:rPr>
      </w:pPr>
    </w:p>
    <w:p>
      <w:pPr>
        <w:ind w:left="2466"/>
        <w:spacing w:after="0"/>
        <w:rPr>
          <w:sz w:val="20"/>
          <w:szCs w:val="20"/>
          <w:color w:val="auto"/>
        </w:rPr>
      </w:pPr>
      <w:r>
        <w:rPr>
          <w:rFonts w:ascii="Courier New" w:cs="Courier New" w:eastAsia="Courier New" w:hAnsi="Courier New"/>
          <w:sz w:val="15"/>
          <w:szCs w:val="15"/>
          <w:color w:val="auto"/>
        </w:rPr>
        <w:t>December 31, 2001 and 2000</w:t>
      </w:r>
    </w:p>
    <w:p>
      <w:pPr>
        <w:spacing w:after="0" w:line="359" w:lineRule="exact"/>
        <w:rPr>
          <w:sz w:val="20"/>
          <w:szCs w:val="20"/>
          <w:color w:val="auto"/>
        </w:rPr>
      </w:pPr>
    </w:p>
    <w:p>
      <w:pPr>
        <w:ind w:left="826" w:hanging="826"/>
        <w:spacing w:after="0"/>
        <w:tabs>
          <w:tab w:leader="none" w:pos="82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82" w:lineRule="exact"/>
        <w:rPr>
          <w:rFonts w:ascii="Courier New" w:cs="Courier New" w:eastAsia="Courier New" w:hAnsi="Courier New"/>
          <w:sz w:val="15"/>
          <w:szCs w:val="15"/>
          <w:color w:val="auto"/>
        </w:rPr>
      </w:pPr>
    </w:p>
    <w:p>
      <w:pPr>
        <w:ind w:left="82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the trust agreement, the Trustee manages investment funds on behalf of the Plan. The Trustee has been granted discretionary authority concerning the purchases and sales of the investments of the investment funds. In accordance with the trust agreement, certain assets of the Plan are held together with assets of other plans sponsored by the Company in the master trust.</w:t>
      </w:r>
    </w:p>
    <w:p>
      <w:pPr>
        <w:spacing w:after="0" w:line="175" w:lineRule="exact"/>
        <w:rPr>
          <w:rFonts w:ascii="Courier New" w:cs="Courier New" w:eastAsia="Courier New" w:hAnsi="Courier New"/>
          <w:sz w:val="15"/>
          <w:szCs w:val="15"/>
          <w:color w:val="auto"/>
        </w:rPr>
      </w:pPr>
    </w:p>
    <w:p>
      <w:pPr>
        <w:ind w:left="826" w:right="30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net assets available for benefits of the master trust at December 31, 2001 and 2000 were as follows:</w:t>
      </w:r>
    </w:p>
    <w:p>
      <w:pPr>
        <w:spacing w:after="0" w:line="200" w:lineRule="exact"/>
        <w:rPr>
          <w:sz w:val="20"/>
          <w:szCs w:val="20"/>
          <w:color w:val="auto"/>
        </w:rPr>
      </w:pPr>
    </w:p>
    <w:p>
      <w:pPr>
        <w:spacing w:after="0" w:line="32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490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90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6"/>
        </w:trPr>
        <w:tc>
          <w:tcPr>
            <w:tcW w:w="4900" w:type="dxa"/>
            <w:vAlign w:val="bottom"/>
          </w:tcPr>
          <w:p>
            <w:pPr>
              <w:ind w:left="460"/>
              <w:spacing w:after="0"/>
              <w:rPr>
                <w:sz w:val="20"/>
                <w:szCs w:val="20"/>
                <w:color w:val="auto"/>
              </w:rPr>
            </w:pPr>
            <w:r>
              <w:rPr>
                <w:rFonts w:ascii="Courier New" w:cs="Courier New" w:eastAsia="Courier New" w:hAnsi="Courier New"/>
                <w:sz w:val="15"/>
                <w:szCs w:val="15"/>
                <w:color w:val="auto"/>
              </w:rPr>
              <w:t>Short-term investment funds</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$49,722,525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41,370,916</w:t>
            </w:r>
          </w:p>
        </w:tc>
      </w:tr>
      <w:tr>
        <w:trPr>
          <w:trHeight w:val="176"/>
        </w:trPr>
        <w:tc>
          <w:tcPr>
            <w:tcW w:w="4900" w:type="dxa"/>
            <w:vAlign w:val="bottom"/>
          </w:tcPr>
          <w:p>
            <w:pPr>
              <w:ind w:left="460"/>
              <w:spacing w:after="0"/>
              <w:rPr>
                <w:sz w:val="20"/>
                <w:szCs w:val="20"/>
                <w:color w:val="auto"/>
              </w:rPr>
            </w:pPr>
            <w:r>
              <w:rPr>
                <w:rFonts w:ascii="Courier New" w:cs="Courier New" w:eastAsia="Courier New" w:hAnsi="Courier New"/>
                <w:sz w:val="15"/>
                <w:szCs w:val="15"/>
                <w:color w:val="auto"/>
              </w:rPr>
              <w:t>Guaranteed investment contracts</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2,367,031</w:t>
            </w:r>
          </w:p>
        </w:tc>
      </w:tr>
      <w:tr>
        <w:trPr>
          <w:trHeight w:val="176"/>
        </w:trPr>
        <w:tc>
          <w:tcPr>
            <w:tcW w:w="490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00" w:type="dxa"/>
            <w:vAlign w:val="bottom"/>
          </w:tcPr>
          <w:p>
            <w:pPr>
              <w:ind w:left="1560"/>
              <w:spacing w:after="0"/>
              <w:rPr>
                <w:sz w:val="20"/>
                <w:szCs w:val="20"/>
                <w:color w:val="auto"/>
              </w:rPr>
            </w:pPr>
            <w:r>
              <w:rPr>
                <w:rFonts w:ascii="Courier New" w:cs="Courier New" w:eastAsia="Courier New" w:hAnsi="Courier New"/>
                <w:sz w:val="15"/>
                <w:szCs w:val="15"/>
                <w:color w:val="auto"/>
              </w:rPr>
              <w:t>Total assets available for benefits</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$49,722,525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43,737,947</w:t>
            </w:r>
          </w:p>
        </w:tc>
      </w:tr>
      <w:tr>
        <w:trPr>
          <w:trHeight w:val="176"/>
        </w:trPr>
        <w:tc>
          <w:tcPr>
            <w:tcW w:w="490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left="646" w:right="2979"/>
        <w:spacing w:after="0" w:line="250" w:lineRule="auto"/>
        <w:rPr>
          <w:sz w:val="20"/>
          <w:szCs w:val="20"/>
          <w:color w:val="auto"/>
        </w:rPr>
      </w:pPr>
      <w:r>
        <w:rPr>
          <w:rFonts w:ascii="Courier New" w:cs="Courier New" w:eastAsia="Courier New" w:hAnsi="Courier New"/>
          <w:sz w:val="15"/>
          <w:szCs w:val="15"/>
          <w:color w:val="auto"/>
        </w:rPr>
        <w:t>The changes in net assets available for benefits of the master trust for the year ended December 31, 2001 were as follows:</w:t>
      </w:r>
    </w:p>
    <w:p>
      <w:pPr>
        <w:spacing w:after="0" w:line="200" w:lineRule="exact"/>
        <w:rPr>
          <w:sz w:val="20"/>
          <w:szCs w:val="20"/>
          <w:color w:val="auto"/>
        </w:rPr>
      </w:pPr>
    </w:p>
    <w:p>
      <w:pPr>
        <w:spacing w:after="0" w:line="327" w:lineRule="exact"/>
        <w:rPr>
          <w:sz w:val="20"/>
          <w:szCs w:val="20"/>
          <w:color w:val="auto"/>
        </w:rPr>
      </w:pPr>
    </w:p>
    <w:tbl>
      <w:tblPr>
        <w:tblLayout w:type="fixed"/>
        <w:tblInd w:w="926" w:type="dxa"/>
        <w:tblCellMar>
          <w:top w:w="0" w:type="dxa"/>
          <w:left w:w="0" w:type="dxa"/>
          <w:bottom w:w="0" w:type="dxa"/>
          <w:right w:w="0" w:type="dxa"/>
        </w:tblCellMar>
      </w:tblP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Realized gain on investments</w:t>
            </w:r>
          </w:p>
        </w:tc>
        <w:tc>
          <w:tcPr>
            <w:tcW w:w="1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1,244,460</w:t>
            </w:r>
          </w:p>
        </w:tc>
      </w:tr>
      <w:tr>
        <w:trPr>
          <w:trHeight w:val="176"/>
        </w:trPr>
        <w:tc>
          <w:tcPr>
            <w:tcW w:w="3800" w:type="dxa"/>
            <w:vAlign w:val="bottom"/>
          </w:tcPr>
          <w:p>
            <w:pPr>
              <w:spacing w:after="0"/>
              <w:rPr>
                <w:sz w:val="20"/>
                <w:szCs w:val="20"/>
                <w:color w:val="auto"/>
              </w:rPr>
            </w:pPr>
            <w:r>
              <w:rPr>
                <w:rFonts w:ascii="Courier New" w:cs="Courier New" w:eastAsia="Courier New" w:hAnsi="Courier New"/>
                <w:sz w:val="15"/>
                <w:szCs w:val="15"/>
                <w:color w:val="auto"/>
              </w:rPr>
              <w:t>Unrealized gain on investments</w:t>
            </w:r>
          </w:p>
        </w:tc>
        <w:tc>
          <w:tcPr>
            <w:tcW w:w="1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1,695,838</w:t>
            </w:r>
          </w:p>
        </w:tc>
      </w:tr>
      <w:tr>
        <w:trPr>
          <w:trHeight w:val="176"/>
        </w:trPr>
        <w:tc>
          <w:tcPr>
            <w:tcW w:w="3800" w:type="dxa"/>
            <w:vAlign w:val="bottom"/>
          </w:tcPr>
          <w:p>
            <w:pPr>
              <w:spacing w:after="0"/>
              <w:rPr>
                <w:sz w:val="20"/>
                <w:szCs w:val="20"/>
                <w:color w:val="auto"/>
              </w:rPr>
            </w:pPr>
            <w:r>
              <w:rPr>
                <w:rFonts w:ascii="Courier New" w:cs="Courier New" w:eastAsia="Courier New" w:hAnsi="Courier New"/>
                <w:sz w:val="15"/>
                <w:szCs w:val="15"/>
                <w:color w:val="auto"/>
              </w:rPr>
              <w:t>Deposits by participating plans</w:t>
            </w:r>
          </w:p>
        </w:tc>
        <w:tc>
          <w:tcPr>
            <w:tcW w:w="1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15,608,657</w:t>
            </w:r>
          </w:p>
        </w:tc>
      </w:tr>
      <w:tr>
        <w:trPr>
          <w:trHeight w:val="176"/>
        </w:trPr>
        <w:tc>
          <w:tcPr>
            <w:tcW w:w="3800" w:type="dxa"/>
            <w:vAlign w:val="bottom"/>
          </w:tcPr>
          <w:p>
            <w:pPr>
              <w:spacing w:after="0"/>
              <w:rPr>
                <w:sz w:val="20"/>
                <w:szCs w:val="20"/>
                <w:color w:val="auto"/>
              </w:rPr>
            </w:pPr>
            <w:r>
              <w:rPr>
                <w:rFonts w:ascii="Courier New" w:cs="Courier New" w:eastAsia="Courier New" w:hAnsi="Courier New"/>
                <w:sz w:val="15"/>
                <w:szCs w:val="15"/>
                <w:color w:val="auto"/>
              </w:rPr>
              <w:t>Withdrawals by participating plans</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(12,564,377)</w:t>
            </w:r>
          </w:p>
        </w:tc>
      </w:tr>
      <w:tr>
        <w:trPr>
          <w:trHeight w:val="176"/>
        </w:trPr>
        <w:tc>
          <w:tcPr>
            <w:tcW w:w="3800" w:type="dxa"/>
            <w:vAlign w:val="bottom"/>
          </w:tcPr>
          <w:p>
            <w:pPr>
              <w:spacing w:after="0"/>
              <w:rPr>
                <w:sz w:val="15"/>
                <w:szCs w:val="15"/>
                <w:color w:val="auto"/>
              </w:rPr>
            </w:pPr>
          </w:p>
        </w:tc>
        <w:tc>
          <w:tcPr>
            <w:tcW w:w="1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ind w:left="1180"/>
              <w:spacing w:after="0"/>
              <w:rPr>
                <w:sz w:val="20"/>
                <w:szCs w:val="20"/>
                <w:color w:val="auto"/>
              </w:rPr>
            </w:pPr>
            <w:r>
              <w:rPr>
                <w:rFonts w:ascii="Courier New" w:cs="Courier New" w:eastAsia="Courier New" w:hAnsi="Courier New"/>
                <w:sz w:val="15"/>
                <w:szCs w:val="15"/>
                <w:color w:val="auto"/>
              </w:rPr>
              <w:t>Increase in net assets</w:t>
            </w:r>
          </w:p>
        </w:tc>
        <w:tc>
          <w:tcPr>
            <w:tcW w:w="1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5,984,578</w:t>
            </w:r>
          </w:p>
        </w:tc>
      </w:tr>
      <w:tr>
        <w:trPr>
          <w:trHeight w:val="352"/>
        </w:trPr>
        <w:tc>
          <w:tcPr>
            <w:tcW w:w="380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w:t>
            </w:r>
          </w:p>
        </w:tc>
        <w:tc>
          <w:tcPr>
            <w:tcW w:w="1780" w:type="dxa"/>
            <w:vAlign w:val="bottom"/>
          </w:tcPr>
          <w:p>
            <w:pPr>
              <w:spacing w:after="0"/>
              <w:rPr>
                <w:sz w:val="24"/>
                <w:szCs w:val="24"/>
                <w:color w:val="auto"/>
              </w:rPr>
            </w:pPr>
          </w:p>
        </w:tc>
      </w:tr>
      <w:tr>
        <w:trPr>
          <w:trHeight w:val="176"/>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Beginning of year</w:t>
            </w:r>
          </w:p>
        </w:tc>
        <w:tc>
          <w:tcPr>
            <w:tcW w:w="1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43,737,947</w:t>
            </w:r>
          </w:p>
        </w:tc>
      </w:tr>
      <w:tr>
        <w:trPr>
          <w:trHeight w:val="176"/>
        </w:trPr>
        <w:tc>
          <w:tcPr>
            <w:tcW w:w="3800" w:type="dxa"/>
            <w:vAlign w:val="bottom"/>
          </w:tcPr>
          <w:p>
            <w:pPr>
              <w:spacing w:after="0"/>
              <w:rPr>
                <w:sz w:val="15"/>
                <w:szCs w:val="15"/>
                <w:color w:val="auto"/>
              </w:rPr>
            </w:pPr>
          </w:p>
        </w:tc>
        <w:tc>
          <w:tcPr>
            <w:tcW w:w="1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End of year</w:t>
            </w:r>
          </w:p>
        </w:tc>
        <w:tc>
          <w:tcPr>
            <w:tcW w:w="1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$ 49,722,525</w:t>
            </w:r>
          </w:p>
        </w:tc>
      </w:tr>
      <w:tr>
        <w:trPr>
          <w:trHeight w:val="176"/>
        </w:trPr>
        <w:tc>
          <w:tcPr>
            <w:tcW w:w="3800" w:type="dxa"/>
            <w:vAlign w:val="bottom"/>
          </w:tcPr>
          <w:p>
            <w:pPr>
              <w:spacing w:after="0"/>
              <w:rPr>
                <w:sz w:val="15"/>
                <w:szCs w:val="15"/>
                <w:color w:val="auto"/>
              </w:rPr>
            </w:pPr>
          </w:p>
        </w:tc>
        <w:tc>
          <w:tcPr>
            <w:tcW w:w="1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left="646" w:right="2979"/>
        <w:spacing w:after="0" w:line="250" w:lineRule="auto"/>
        <w:rPr>
          <w:sz w:val="20"/>
          <w:szCs w:val="20"/>
          <w:color w:val="auto"/>
        </w:rPr>
      </w:pPr>
      <w:r>
        <w:rPr>
          <w:rFonts w:ascii="Courier New" w:cs="Courier New" w:eastAsia="Courier New" w:hAnsi="Courier New"/>
          <w:sz w:val="15"/>
          <w:szCs w:val="15"/>
          <w:color w:val="auto"/>
        </w:rPr>
        <w:t>The changes in net assets available for benefits of the master trust for the year ended December 31, 2000 were as follows:</w:t>
      </w:r>
    </w:p>
    <w:p>
      <w:pPr>
        <w:spacing w:after="0" w:line="200" w:lineRule="exact"/>
        <w:rPr>
          <w:sz w:val="20"/>
          <w:szCs w:val="20"/>
          <w:color w:val="auto"/>
        </w:rPr>
      </w:pPr>
    </w:p>
    <w:p>
      <w:pPr>
        <w:spacing w:after="0" w:line="327" w:lineRule="exact"/>
        <w:rPr>
          <w:sz w:val="20"/>
          <w:szCs w:val="20"/>
          <w:color w:val="auto"/>
        </w:rPr>
      </w:pPr>
    </w:p>
    <w:tbl>
      <w:tblPr>
        <w:tblLayout w:type="fixed"/>
        <w:tblInd w:w="1006" w:type="dxa"/>
        <w:tblCellMar>
          <w:top w:w="0" w:type="dxa"/>
          <w:left w:w="0" w:type="dxa"/>
          <w:bottom w:w="0" w:type="dxa"/>
          <w:right w:w="0" w:type="dxa"/>
        </w:tblCellMar>
      </w:tblP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Investment income (interest and dividends)</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2,688,159</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Deposits by participating plans</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11,894,155</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Withdrawals by participating plans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(15,567,198)</w:t>
            </w:r>
          </w:p>
        </w:tc>
      </w:tr>
      <w:tr>
        <w:trPr>
          <w:trHeight w:val="176"/>
        </w:trPr>
        <w:tc>
          <w:tcPr>
            <w:tcW w:w="4080" w:type="dxa"/>
            <w:vAlign w:val="bottom"/>
          </w:tcPr>
          <w:p>
            <w:pPr>
              <w:spacing w:after="0"/>
              <w:rPr>
                <w:sz w:val="15"/>
                <w:szCs w:val="15"/>
                <w:color w:val="auto"/>
              </w:rPr>
            </w:pP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ind w:left="1200"/>
              <w:spacing w:after="0"/>
              <w:rPr>
                <w:sz w:val="20"/>
                <w:szCs w:val="20"/>
                <w:color w:val="auto"/>
              </w:rPr>
            </w:pPr>
            <w:r>
              <w:rPr>
                <w:rFonts w:ascii="Courier New" w:cs="Courier New" w:eastAsia="Courier New" w:hAnsi="Courier New"/>
                <w:sz w:val="15"/>
                <w:szCs w:val="15"/>
                <w:color w:val="auto"/>
              </w:rPr>
              <w:t>Increase in net assets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(984,884)</w:t>
            </w: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420" w:type="dxa"/>
            <w:vAlign w:val="bottom"/>
          </w:tcPr>
          <w:p>
            <w:pPr>
              <w:spacing w:after="0"/>
              <w:rPr>
                <w:sz w:val="24"/>
                <w:szCs w:val="24"/>
                <w:color w:val="auto"/>
              </w:rPr>
            </w:pP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for benefits:</w:t>
            </w:r>
          </w:p>
        </w:tc>
        <w:tc>
          <w:tcPr>
            <w:tcW w:w="1420" w:type="dxa"/>
            <w:vAlign w:val="bottom"/>
          </w:tcPr>
          <w:p>
            <w:pPr>
              <w:spacing w:after="0"/>
              <w:rPr>
                <w:sz w:val="15"/>
                <w:szCs w:val="15"/>
                <w:color w:val="auto"/>
              </w:rPr>
            </w:pPr>
          </w:p>
        </w:tc>
      </w:tr>
      <w:tr>
        <w:trPr>
          <w:trHeight w:val="176"/>
        </w:trPr>
        <w:tc>
          <w:tcPr>
            <w:tcW w:w="4080" w:type="dxa"/>
            <w:vAlign w:val="bottom"/>
          </w:tcPr>
          <w:p>
            <w:pPr>
              <w:ind w:left="460"/>
              <w:spacing w:after="0"/>
              <w:rPr>
                <w:sz w:val="20"/>
                <w:szCs w:val="20"/>
                <w:color w:val="auto"/>
              </w:rPr>
            </w:pPr>
            <w:r>
              <w:rPr>
                <w:rFonts w:ascii="Courier New" w:cs="Courier New" w:eastAsia="Courier New" w:hAnsi="Courier New"/>
                <w:sz w:val="15"/>
                <w:szCs w:val="15"/>
                <w:color w:val="auto"/>
              </w:rPr>
              <w:t>Beginning of year</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44,722,831</w:t>
            </w:r>
          </w:p>
        </w:tc>
      </w:tr>
      <w:tr>
        <w:trPr>
          <w:trHeight w:val="176"/>
        </w:trPr>
        <w:tc>
          <w:tcPr>
            <w:tcW w:w="4080" w:type="dxa"/>
            <w:vAlign w:val="bottom"/>
          </w:tcPr>
          <w:p>
            <w:pPr>
              <w:spacing w:after="0"/>
              <w:rPr>
                <w:sz w:val="15"/>
                <w:szCs w:val="15"/>
                <w:color w:val="auto"/>
              </w:rPr>
            </w:pP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ind w:left="460"/>
              <w:spacing w:after="0"/>
              <w:rPr>
                <w:sz w:val="20"/>
                <w:szCs w:val="20"/>
                <w:color w:val="auto"/>
              </w:rPr>
            </w:pPr>
            <w:r>
              <w:rPr>
                <w:rFonts w:ascii="Courier New" w:cs="Courier New" w:eastAsia="Courier New" w:hAnsi="Courier New"/>
                <w:sz w:val="15"/>
                <w:szCs w:val="15"/>
                <w:color w:val="auto"/>
              </w:rPr>
              <w:t>End of year</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$ 43,737,947</w:t>
            </w:r>
          </w:p>
        </w:tc>
      </w:tr>
      <w:tr>
        <w:trPr>
          <w:trHeight w:val="176"/>
        </w:trPr>
        <w:tc>
          <w:tcPr>
            <w:tcW w:w="4080" w:type="dxa"/>
            <w:vAlign w:val="bottom"/>
          </w:tcPr>
          <w:p>
            <w:pPr>
              <w:spacing w:after="0"/>
              <w:rPr>
                <w:sz w:val="15"/>
                <w:szCs w:val="15"/>
                <w:color w:val="auto"/>
              </w:rPr>
            </w:pP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6</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10225"/>
          </w:cols>
          <w:pgMar w:left="234" w:top="470" w:right="1440" w:bottom="1440" w:gutter="0" w:footer="0" w:header="0"/>
        </w:sectPr>
      </w:pPr>
    </w:p>
    <w:bookmarkStart w:id="9" w:name="page10"/>
    <w:bookmarkEnd w:id="9"/>
    <w:p>
      <w:pPr>
        <w:ind w:left="1640"/>
        <w:spacing w:after="0"/>
        <w:rPr>
          <w:sz w:val="20"/>
          <w:szCs w:val="20"/>
          <w:color w:val="auto"/>
        </w:rPr>
      </w:pPr>
      <w:r>
        <w:rPr>
          <w:rFonts w:ascii="Courier New" w:cs="Courier New" w:eastAsia="Courier New" w:hAnsi="Courier New"/>
          <w:sz w:val="15"/>
          <w:szCs w:val="15"/>
          <w:color w:val="auto"/>
        </w:rPr>
        <w:t>THE TORO COMPANY INVESTMENT AND SAVINGS PLAN</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Notes to Financial Statements</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December 31, 2001 and 2000</w:t>
      </w:r>
    </w:p>
    <w:p>
      <w:pPr>
        <w:spacing w:after="0" w:line="359" w:lineRule="exact"/>
        <w:rPr>
          <w:sz w:val="20"/>
          <w:szCs w:val="20"/>
          <w:color w:val="auto"/>
        </w:rPr>
      </w:pPr>
    </w:p>
    <w:p>
      <w:pPr>
        <w:ind w:left="820" w:right="2899"/>
        <w:spacing w:after="0" w:line="250" w:lineRule="auto"/>
        <w:rPr>
          <w:sz w:val="20"/>
          <w:szCs w:val="20"/>
          <w:color w:val="auto"/>
        </w:rPr>
      </w:pPr>
      <w:r>
        <w:rPr>
          <w:rFonts w:ascii="Courier New" w:cs="Courier New" w:eastAsia="Courier New" w:hAnsi="Courier New"/>
          <w:sz w:val="15"/>
          <w:szCs w:val="15"/>
          <w:color w:val="auto"/>
        </w:rPr>
        <w:t>The following investments represent 5% or more of the Plan's net assets available for plan benefits as of December 31, 2001 and 2000:</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4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4720" w:type="dxa"/>
            <w:vAlign w:val="bottom"/>
          </w:tcPr>
          <w:p>
            <w:pPr>
              <w:spacing w:after="0"/>
              <w:rPr>
                <w:sz w:val="15"/>
                <w:szCs w:val="15"/>
                <w:color w:val="auto"/>
              </w:rPr>
            </w:pPr>
          </w:p>
        </w:tc>
        <w:tc>
          <w:tcPr>
            <w:tcW w:w="1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720" w:type="dxa"/>
            <w:vAlign w:val="bottom"/>
          </w:tcPr>
          <w:p>
            <w:pPr>
              <w:spacing w:after="0"/>
              <w:rPr>
                <w:sz w:val="20"/>
                <w:szCs w:val="20"/>
                <w:color w:val="auto"/>
              </w:rPr>
            </w:pPr>
            <w:r>
              <w:rPr>
                <w:rFonts w:ascii="Courier New" w:cs="Courier New" w:eastAsia="Courier New" w:hAnsi="Courier New"/>
                <w:sz w:val="15"/>
                <w:szCs w:val="15"/>
                <w:color w:val="auto"/>
              </w:rPr>
              <w:t>Lord Abbett Affiliated Fund</w:t>
            </w:r>
          </w:p>
        </w:tc>
        <w:tc>
          <w:tcPr>
            <w:tcW w:w="1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$43,306,240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618,461</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Wells Fargo Stable Value Fund</w:t>
            </w:r>
          </w:p>
        </w:tc>
        <w:tc>
          <w:tcPr>
            <w:tcW w:w="1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45,351,817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Toro Stable Value Fund*</w:t>
            </w:r>
          </w:p>
        </w:tc>
        <w:tc>
          <w:tcPr>
            <w:tcW w:w="1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41,478,932</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Putnam Asset Allocation: Balanced Fund*</w:t>
            </w:r>
          </w:p>
        </w:tc>
        <w:tc>
          <w:tcPr>
            <w:tcW w:w="1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14,492,489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15,501,264</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Putnam Voyager Fund*</w:t>
            </w:r>
          </w:p>
        </w:tc>
        <w:tc>
          <w:tcPr>
            <w:tcW w:w="1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53,812,677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69,881,808</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The Toro Company Common Stock**</w:t>
            </w:r>
          </w:p>
        </w:tc>
        <w:tc>
          <w:tcPr>
            <w:tcW w:w="1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31,026,196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26,883,705</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Putnam Growth Opportunities Fund - International*</w:t>
            </w:r>
          </w:p>
        </w:tc>
        <w:tc>
          <w:tcPr>
            <w:tcW w:w="1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11,792,599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14,915,573</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*Party-in-interest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**Party-in-interest and nonparticipant-directed.</w:t>
      </w:r>
    </w:p>
    <w:p>
      <w:pPr>
        <w:spacing w:after="0" w:line="182" w:lineRule="exact"/>
        <w:rPr>
          <w:sz w:val="20"/>
          <w:szCs w:val="20"/>
          <w:color w:val="auto"/>
        </w:rPr>
      </w:pPr>
    </w:p>
    <w:p>
      <w:pPr>
        <w:ind w:left="820" w:right="2899"/>
        <w:spacing w:after="0" w:line="249" w:lineRule="auto"/>
        <w:rPr>
          <w:sz w:val="20"/>
          <w:szCs w:val="20"/>
          <w:color w:val="auto"/>
        </w:rPr>
      </w:pPr>
      <w:r>
        <w:rPr>
          <w:rFonts w:ascii="Courier New" w:cs="Courier New" w:eastAsia="Courier New" w:hAnsi="Courier New"/>
          <w:sz w:val="15"/>
          <w:szCs w:val="15"/>
          <w:color w:val="auto"/>
        </w:rPr>
        <w:t>During 2001 and 2000, the Plan's investments (including gains and losses on investments bought and sold, as well as held during the year, interest, dividends, and cash earnings) depreciated in value by $14,999,247 and $12,892,368, respectively, as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2001</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2240" w:type="dxa"/>
            <w:vAlign w:val="bottom"/>
          </w:tcPr>
          <w:p>
            <w:pPr>
              <w:spacing w:after="0"/>
              <w:rPr>
                <w:sz w:val="15"/>
                <w:szCs w:val="15"/>
                <w:color w:val="auto"/>
              </w:rPr>
            </w:pPr>
          </w:p>
        </w:tc>
        <w:tc>
          <w:tcPr>
            <w:tcW w:w="2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2240" w:type="dxa"/>
            <w:vAlign w:val="bottom"/>
          </w:tcPr>
          <w:p>
            <w:pPr>
              <w:spacing w:after="0"/>
              <w:rPr>
                <w:sz w:val="20"/>
                <w:szCs w:val="20"/>
                <w:color w:val="auto"/>
              </w:rPr>
            </w:pPr>
            <w:r>
              <w:rPr>
                <w:rFonts w:ascii="Courier New" w:cs="Courier New" w:eastAsia="Courier New" w:hAnsi="Courier New"/>
                <w:sz w:val="15"/>
                <w:szCs w:val="15"/>
                <w:color w:val="auto"/>
              </w:rPr>
              <w:t>Mutual funds</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$(22,833,314)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(15,600,295)</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Common stocks</w:t>
            </w:r>
          </w:p>
        </w:tc>
        <w:tc>
          <w:tcPr>
            <w:tcW w:w="2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6,453,302</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94,582</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Master trust fund</w:t>
            </w:r>
          </w:p>
        </w:tc>
        <w:tc>
          <w:tcPr>
            <w:tcW w:w="2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1,380,765</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2,613,345</w:t>
            </w:r>
          </w:p>
        </w:tc>
      </w:tr>
      <w:tr>
        <w:trPr>
          <w:trHeight w:val="176"/>
        </w:trPr>
        <w:tc>
          <w:tcPr>
            <w:tcW w:w="2240" w:type="dxa"/>
            <w:vAlign w:val="bottom"/>
          </w:tcPr>
          <w:p>
            <w:pPr>
              <w:spacing w:after="0"/>
              <w:rPr>
                <w:sz w:val="15"/>
                <w:szCs w:val="15"/>
                <w:color w:val="auto"/>
              </w:rPr>
            </w:pPr>
          </w:p>
        </w:tc>
        <w:tc>
          <w:tcPr>
            <w:tcW w:w="2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240" w:type="dxa"/>
            <w:vAlign w:val="bottom"/>
          </w:tcPr>
          <w:p>
            <w:pPr>
              <w:spacing w:after="0"/>
              <w:rPr>
                <w:sz w:val="15"/>
                <w:szCs w:val="15"/>
                <w:color w:val="auto"/>
              </w:rPr>
            </w:pP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$(14,999,247)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(12,892,368)</w:t>
            </w:r>
          </w:p>
        </w:tc>
      </w:tr>
      <w:tr>
        <w:trPr>
          <w:trHeight w:val="176"/>
        </w:trPr>
        <w:tc>
          <w:tcPr>
            <w:tcW w:w="2240" w:type="dxa"/>
            <w:vAlign w:val="bottom"/>
          </w:tcPr>
          <w:p>
            <w:pPr>
              <w:spacing w:after="0"/>
              <w:rPr>
                <w:sz w:val="15"/>
                <w:szCs w:val="15"/>
                <w:color w:val="auto"/>
              </w:rPr>
            </w:pPr>
          </w:p>
        </w:tc>
        <w:tc>
          <w:tcPr>
            <w:tcW w:w="2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705"/>
        </w:trPr>
        <w:tc>
          <w:tcPr>
            <w:tcW w:w="2240" w:type="dxa"/>
            <w:vAlign w:val="bottom"/>
          </w:tcPr>
          <w:p>
            <w:pPr>
              <w:spacing w:after="0"/>
              <w:rPr>
                <w:sz w:val="24"/>
                <w:szCs w:val="24"/>
                <w:color w:val="auto"/>
              </w:rPr>
            </w:pP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w:t>
            </w:r>
          </w:p>
        </w:tc>
        <w:tc>
          <w:tcPr>
            <w:tcW w:w="1280" w:type="dxa"/>
            <w:vAlign w:val="bottom"/>
          </w:tcPr>
          <w:p>
            <w:pPr>
              <w:spacing w:after="0"/>
              <w:rPr>
                <w:sz w:val="24"/>
                <w:szCs w:val="24"/>
                <w:color w:val="auto"/>
              </w:rPr>
            </w:pPr>
          </w:p>
        </w:tc>
      </w:tr>
    </w:tbl>
    <w:p>
      <w:pPr>
        <w:spacing w:after="0" w:line="5"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10219"/>
          </w:cols>
          <w:pgMar w:left="240" w:top="470" w:right="1440" w:bottom="1440" w:gutter="0" w:footer="0" w:header="0"/>
        </w:sectPr>
      </w:pPr>
    </w:p>
    <w:bookmarkStart w:id="10" w:name="page11"/>
    <w:bookmarkEnd w:id="10"/>
    <w:p>
      <w:pPr>
        <w:ind w:left="1646"/>
        <w:spacing w:after="0"/>
        <w:rPr>
          <w:sz w:val="20"/>
          <w:szCs w:val="20"/>
          <w:color w:val="auto"/>
        </w:rPr>
      </w:pPr>
      <w:r>
        <w:rPr>
          <w:rFonts w:ascii="Courier New" w:cs="Courier New" w:eastAsia="Courier New" w:hAnsi="Courier New"/>
          <w:sz w:val="15"/>
          <w:szCs w:val="15"/>
          <w:color w:val="auto"/>
        </w:rPr>
        <w:t>THE TORO COMPANY INVESTMENT AND SAVINGS PLAN</w:t>
      </w:r>
    </w:p>
    <w:p>
      <w:pPr>
        <w:spacing w:after="0" w:line="182"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Notes to Financial Statements</w:t>
      </w:r>
    </w:p>
    <w:p>
      <w:pPr>
        <w:spacing w:after="0" w:line="182" w:lineRule="exact"/>
        <w:rPr>
          <w:sz w:val="20"/>
          <w:szCs w:val="20"/>
          <w:color w:val="auto"/>
        </w:rPr>
      </w:pPr>
    </w:p>
    <w:p>
      <w:pPr>
        <w:ind w:left="2466"/>
        <w:spacing w:after="0"/>
        <w:rPr>
          <w:sz w:val="20"/>
          <w:szCs w:val="20"/>
          <w:color w:val="auto"/>
        </w:rPr>
      </w:pPr>
      <w:r>
        <w:rPr>
          <w:rFonts w:ascii="Courier New" w:cs="Courier New" w:eastAsia="Courier New" w:hAnsi="Courier New"/>
          <w:sz w:val="15"/>
          <w:szCs w:val="15"/>
          <w:color w:val="auto"/>
        </w:rPr>
        <w:t>December 31, 2001 and 2000</w:t>
      </w:r>
    </w:p>
    <w:p>
      <w:pPr>
        <w:spacing w:after="0" w:line="359" w:lineRule="exact"/>
        <w:rPr>
          <w:sz w:val="20"/>
          <w:szCs w:val="20"/>
          <w:color w:val="auto"/>
        </w:rPr>
      </w:pPr>
    </w:p>
    <w:p>
      <w:pPr>
        <w:ind w:left="826" w:right="2979"/>
        <w:spacing w:after="0" w:line="249" w:lineRule="auto"/>
        <w:rPr>
          <w:sz w:val="20"/>
          <w:szCs w:val="20"/>
          <w:color w:val="auto"/>
        </w:rPr>
      </w:pPr>
      <w:r>
        <w:rPr>
          <w:rFonts w:ascii="Courier New" w:cs="Courier New" w:eastAsia="Courier New" w:hAnsi="Courier New"/>
          <w:sz w:val="15"/>
          <w:szCs w:val="15"/>
          <w:color w:val="auto"/>
        </w:rPr>
        <w:t>Information about the net assets and the significant components of the changes in net assets relating to the nonparticipant-directed investments is as follows:</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6260" w:type="dxa"/>
            <w:vAlign w:val="bottom"/>
          </w:tcPr>
          <w:p>
            <w:pPr>
              <w:spacing w:after="0"/>
              <w:rPr>
                <w:sz w:val="15"/>
                <w:szCs w:val="15"/>
                <w:color w:val="auto"/>
              </w:rPr>
            </w:pPr>
          </w:p>
        </w:tc>
        <w:tc>
          <w:tcPr>
            <w:tcW w:w="17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6260" w:type="dxa"/>
            <w:vAlign w:val="bottom"/>
          </w:tcPr>
          <w:p>
            <w:pPr>
              <w:spacing w:after="0"/>
              <w:rPr>
                <w:sz w:val="20"/>
                <w:szCs w:val="20"/>
                <w:color w:val="auto"/>
              </w:rPr>
            </w:pPr>
            <w:r>
              <w:rPr>
                <w:rFonts w:ascii="Courier New" w:cs="Courier New" w:eastAsia="Courier New" w:hAnsi="Courier New"/>
                <w:sz w:val="15"/>
                <w:szCs w:val="15"/>
                <w:color w:val="auto"/>
              </w:rPr>
              <w:t>Net assets:</w:t>
            </w: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6"/>
        </w:trPr>
        <w:tc>
          <w:tcPr>
            <w:tcW w:w="6260" w:type="dxa"/>
            <w:vAlign w:val="bottom"/>
          </w:tcPr>
          <w:p>
            <w:pPr>
              <w:ind w:left="460"/>
              <w:spacing w:after="0"/>
              <w:rPr>
                <w:sz w:val="20"/>
                <w:szCs w:val="20"/>
                <w:color w:val="auto"/>
              </w:rPr>
            </w:pPr>
            <w:r>
              <w:rPr>
                <w:rFonts w:ascii="Courier New" w:cs="Courier New" w:eastAsia="Courier New" w:hAnsi="Courier New"/>
                <w:sz w:val="15"/>
                <w:szCs w:val="15"/>
                <w:color w:val="auto"/>
              </w:rPr>
              <w:t>The Toro Company Common Stock</w:t>
            </w:r>
          </w:p>
        </w:tc>
        <w:tc>
          <w:tcPr>
            <w:tcW w:w="17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$ 31,026,196</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26,883,705</w:t>
            </w:r>
          </w:p>
        </w:tc>
      </w:tr>
      <w:tr>
        <w:trPr>
          <w:trHeight w:val="176"/>
        </w:trPr>
        <w:tc>
          <w:tcPr>
            <w:tcW w:w="6260" w:type="dxa"/>
            <w:vAlign w:val="bottom"/>
          </w:tcPr>
          <w:p>
            <w:pPr>
              <w:spacing w:after="0"/>
              <w:rPr>
                <w:sz w:val="15"/>
                <w:szCs w:val="15"/>
                <w:color w:val="auto"/>
              </w:rPr>
            </w:pPr>
          </w:p>
        </w:tc>
        <w:tc>
          <w:tcPr>
            <w:tcW w:w="17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6260" w:type="dxa"/>
            <w:vAlign w:val="bottom"/>
          </w:tcPr>
          <w:p>
            <w:pPr>
              <w:ind w:left="460"/>
              <w:spacing w:after="0"/>
              <w:rPr>
                <w:sz w:val="20"/>
                <w:szCs w:val="20"/>
                <w:color w:val="auto"/>
              </w:rPr>
            </w:pPr>
            <w:r>
              <w:rPr>
                <w:rFonts w:ascii="Courier New" w:cs="Courier New" w:eastAsia="Courier New" w:hAnsi="Courier New"/>
                <w:sz w:val="15"/>
                <w:szCs w:val="15"/>
                <w:color w:val="auto"/>
              </w:rPr>
              <w:t>Dividends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339,011</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348,579</w:t>
            </w:r>
          </w:p>
        </w:tc>
      </w:tr>
      <w:tr>
        <w:trPr>
          <w:trHeight w:val="176"/>
        </w:trPr>
        <w:tc>
          <w:tcPr>
            <w:tcW w:w="6260" w:type="dxa"/>
            <w:vAlign w:val="bottom"/>
          </w:tcPr>
          <w:p>
            <w:pPr>
              <w:ind w:left="460"/>
              <w:spacing w:after="0"/>
              <w:rPr>
                <w:sz w:val="20"/>
                <w:szCs w:val="20"/>
                <w:color w:val="auto"/>
              </w:rPr>
            </w:pPr>
            <w:r>
              <w:rPr>
                <w:rFonts w:ascii="Courier New" w:cs="Courier New" w:eastAsia="Courier New" w:hAnsi="Courier New"/>
                <w:sz w:val="15"/>
                <w:szCs w:val="15"/>
                <w:color w:val="auto"/>
              </w:rPr>
              <w:t>Net realized/unrealized gain (loss) in the fair value of</w:t>
            </w: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6260" w:type="dxa"/>
            <w:vAlign w:val="bottom"/>
          </w:tcPr>
          <w:p>
            <w:pPr>
              <w:ind w:left="720"/>
              <w:spacing w:after="0"/>
              <w:rPr>
                <w:sz w:val="20"/>
                <w:szCs w:val="20"/>
                <w:color w:val="auto"/>
              </w:rPr>
            </w:pPr>
            <w:r>
              <w:rPr>
                <w:rFonts w:ascii="Courier New" w:cs="Courier New" w:eastAsia="Courier New" w:hAnsi="Courier New"/>
                <w:sz w:val="15"/>
                <w:szCs w:val="15"/>
                <w:color w:val="auto"/>
              </w:rPr>
              <w:t>investments</w:t>
            </w:r>
          </w:p>
        </w:tc>
        <w:tc>
          <w:tcPr>
            <w:tcW w:w="560" w:type="dxa"/>
            <w:vAlign w:val="bottom"/>
          </w:tcPr>
          <w:p>
            <w:pPr>
              <w:spacing w:after="0"/>
              <w:rPr>
                <w:sz w:val="15"/>
                <w:szCs w:val="15"/>
                <w:color w:val="auto"/>
              </w:rPr>
            </w:pP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6,114,291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(253,997)</w:t>
            </w:r>
          </w:p>
        </w:tc>
      </w:tr>
      <w:tr>
        <w:trPr>
          <w:trHeight w:val="176"/>
        </w:trPr>
        <w:tc>
          <w:tcPr>
            <w:tcW w:w="6260" w:type="dxa"/>
            <w:vAlign w:val="bottom"/>
          </w:tcPr>
          <w:p>
            <w:pPr>
              <w:spacing w:after="0"/>
              <w:rPr>
                <w:sz w:val="15"/>
                <w:szCs w:val="15"/>
                <w:color w:val="auto"/>
              </w:rPr>
            </w:pPr>
          </w:p>
        </w:tc>
        <w:tc>
          <w:tcPr>
            <w:tcW w:w="17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260" w:type="dxa"/>
            <w:vAlign w:val="bottom"/>
          </w:tcPr>
          <w:p>
            <w:pPr>
              <w:ind w:left="1560"/>
              <w:spacing w:after="0"/>
              <w:rPr>
                <w:sz w:val="20"/>
                <w:szCs w:val="20"/>
                <w:color w:val="auto"/>
              </w:rPr>
            </w:pPr>
            <w:r>
              <w:rPr>
                <w:rFonts w:ascii="Courier New" w:cs="Courier New" w:eastAsia="Courier New" w:hAnsi="Courier New"/>
                <w:sz w:val="15"/>
                <w:szCs w:val="15"/>
                <w:color w:val="auto"/>
              </w:rPr>
              <w:t>Net investment income</w:t>
            </w:r>
          </w:p>
        </w:tc>
        <w:tc>
          <w:tcPr>
            <w:tcW w:w="560" w:type="dxa"/>
            <w:vAlign w:val="bottom"/>
          </w:tcPr>
          <w:p>
            <w:pPr>
              <w:spacing w:after="0"/>
              <w:rPr>
                <w:sz w:val="15"/>
                <w:szCs w:val="15"/>
                <w:color w:val="auto"/>
              </w:rPr>
            </w:pP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6,453,302</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94,582</w:t>
            </w: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Total contributions</w:t>
            </w:r>
          </w:p>
        </w:tc>
        <w:tc>
          <w:tcPr>
            <w:tcW w:w="560" w:type="dxa"/>
            <w:vAlign w:val="bottom"/>
          </w:tcPr>
          <w:p>
            <w:pPr>
              <w:spacing w:after="0"/>
              <w:rPr>
                <w:sz w:val="15"/>
                <w:szCs w:val="15"/>
                <w:color w:val="auto"/>
              </w:rPr>
            </w:pP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3,030,814</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2,891,549</w:t>
            </w:r>
          </w:p>
        </w:tc>
      </w:tr>
      <w:tr>
        <w:trPr>
          <w:trHeight w:val="352"/>
        </w:trPr>
        <w:tc>
          <w:tcPr>
            <w:tcW w:w="6260" w:type="dxa"/>
            <w:vAlign w:val="bottom"/>
          </w:tcPr>
          <w:p>
            <w:pPr>
              <w:spacing w:after="0"/>
              <w:rPr>
                <w:sz w:val="20"/>
                <w:szCs w:val="20"/>
                <w:color w:val="auto"/>
              </w:rPr>
            </w:pPr>
            <w:r>
              <w:rPr>
                <w:rFonts w:ascii="Courier New" w:cs="Courier New" w:eastAsia="Courier New" w:hAnsi="Courier New"/>
                <w:sz w:val="15"/>
                <w:szCs w:val="15"/>
                <w:color w:val="auto"/>
              </w:rPr>
              <w:t>Benefit payments</w:t>
            </w:r>
          </w:p>
        </w:tc>
        <w:tc>
          <w:tcPr>
            <w:tcW w:w="560" w:type="dxa"/>
            <w:vAlign w:val="bottom"/>
          </w:tcPr>
          <w:p>
            <w:pPr>
              <w:spacing w:after="0"/>
              <w:rPr>
                <w:sz w:val="24"/>
                <w:szCs w:val="24"/>
                <w:color w:val="auto"/>
              </w:rPr>
            </w:pP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(1,530,896)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(1,012,431)</w:t>
            </w: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Transfers to other funds</w:t>
            </w:r>
          </w:p>
        </w:tc>
        <w:tc>
          <w:tcPr>
            <w:tcW w:w="560" w:type="dxa"/>
            <w:vAlign w:val="bottom"/>
          </w:tcPr>
          <w:p>
            <w:pPr>
              <w:spacing w:after="0"/>
              <w:rPr>
                <w:sz w:val="15"/>
                <w:szCs w:val="15"/>
                <w:color w:val="auto"/>
              </w:rPr>
            </w:pP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(3,810,729)</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(1,985,788)</w:t>
            </w:r>
          </w:p>
        </w:tc>
      </w:tr>
      <w:tr>
        <w:trPr>
          <w:trHeight w:val="176"/>
        </w:trPr>
        <w:tc>
          <w:tcPr>
            <w:tcW w:w="6260" w:type="dxa"/>
            <w:vAlign w:val="bottom"/>
          </w:tcPr>
          <w:p>
            <w:pPr>
              <w:spacing w:after="0"/>
              <w:rPr>
                <w:sz w:val="15"/>
                <w:szCs w:val="15"/>
                <w:color w:val="auto"/>
              </w:rPr>
            </w:pPr>
          </w:p>
        </w:tc>
        <w:tc>
          <w:tcPr>
            <w:tcW w:w="17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260" w:type="dxa"/>
            <w:vAlign w:val="bottom"/>
          </w:tcPr>
          <w:p>
            <w:pPr>
              <w:ind w:left="1560"/>
              <w:spacing w:after="0"/>
              <w:rPr>
                <w:sz w:val="20"/>
                <w:szCs w:val="20"/>
                <w:color w:val="auto"/>
              </w:rPr>
            </w:pPr>
            <w:r>
              <w:rPr>
                <w:rFonts w:ascii="Courier New" w:cs="Courier New" w:eastAsia="Courier New" w:hAnsi="Courier New"/>
                <w:sz w:val="15"/>
                <w:szCs w:val="15"/>
                <w:color w:val="auto"/>
              </w:rPr>
              <w:t>Increase (decrease) in net assets available for</w:t>
            </w: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6260" w:type="dxa"/>
            <w:vAlign w:val="bottom"/>
          </w:tcPr>
          <w:p>
            <w:pPr>
              <w:ind w:left="1820"/>
              <w:spacing w:after="0"/>
              <w:rPr>
                <w:sz w:val="20"/>
                <w:szCs w:val="20"/>
                <w:color w:val="auto"/>
              </w:rPr>
            </w:pPr>
            <w:r>
              <w:rPr>
                <w:rFonts w:ascii="Courier New" w:cs="Courier New" w:eastAsia="Courier New" w:hAnsi="Courier New"/>
                <w:sz w:val="15"/>
                <w:szCs w:val="15"/>
                <w:color w:val="auto"/>
              </w:rPr>
              <w:t>plan benefits</w:t>
            </w:r>
          </w:p>
        </w:tc>
        <w:tc>
          <w:tcPr>
            <w:tcW w:w="560" w:type="dxa"/>
            <w:vAlign w:val="bottom"/>
          </w:tcPr>
          <w:p>
            <w:pPr>
              <w:spacing w:after="0"/>
              <w:rPr>
                <w:sz w:val="15"/>
                <w:szCs w:val="15"/>
                <w:color w:val="auto"/>
              </w:rPr>
            </w:pP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4,142,491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(12,088)</w:t>
            </w:r>
          </w:p>
        </w:tc>
      </w:tr>
      <w:tr>
        <w:trPr>
          <w:trHeight w:val="352"/>
        </w:trPr>
        <w:tc>
          <w:tcPr>
            <w:tcW w:w="626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 benefits:</w:t>
            </w: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6"/>
        </w:trPr>
        <w:tc>
          <w:tcPr>
            <w:tcW w:w="6260" w:type="dxa"/>
            <w:vAlign w:val="bottom"/>
          </w:tcPr>
          <w:p>
            <w:pPr>
              <w:ind w:left="460"/>
              <w:spacing w:after="0"/>
              <w:rPr>
                <w:sz w:val="20"/>
                <w:szCs w:val="20"/>
                <w:color w:val="auto"/>
              </w:rPr>
            </w:pPr>
            <w:r>
              <w:rPr>
                <w:rFonts w:ascii="Courier New" w:cs="Courier New" w:eastAsia="Courier New" w:hAnsi="Courier New"/>
                <w:sz w:val="15"/>
                <w:szCs w:val="15"/>
                <w:color w:val="auto"/>
              </w:rPr>
              <w:t>Beginning of year</w:t>
            </w:r>
          </w:p>
        </w:tc>
        <w:tc>
          <w:tcPr>
            <w:tcW w:w="560" w:type="dxa"/>
            <w:vAlign w:val="bottom"/>
          </w:tcPr>
          <w:p>
            <w:pPr>
              <w:spacing w:after="0"/>
              <w:rPr>
                <w:sz w:val="15"/>
                <w:szCs w:val="15"/>
                <w:color w:val="auto"/>
              </w:rPr>
            </w:pP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26,883,705</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26,895,793</w:t>
            </w:r>
          </w:p>
        </w:tc>
      </w:tr>
      <w:tr>
        <w:trPr>
          <w:trHeight w:val="176"/>
        </w:trPr>
        <w:tc>
          <w:tcPr>
            <w:tcW w:w="6260" w:type="dxa"/>
            <w:vAlign w:val="bottom"/>
          </w:tcPr>
          <w:p>
            <w:pPr>
              <w:spacing w:after="0"/>
              <w:rPr>
                <w:sz w:val="15"/>
                <w:szCs w:val="15"/>
                <w:color w:val="auto"/>
              </w:rPr>
            </w:pPr>
          </w:p>
        </w:tc>
        <w:tc>
          <w:tcPr>
            <w:tcW w:w="17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260" w:type="dxa"/>
            <w:vAlign w:val="bottom"/>
          </w:tcPr>
          <w:p>
            <w:pPr>
              <w:ind w:left="460"/>
              <w:spacing w:after="0"/>
              <w:rPr>
                <w:sz w:val="20"/>
                <w:szCs w:val="20"/>
                <w:color w:val="auto"/>
              </w:rPr>
            </w:pPr>
            <w:r>
              <w:rPr>
                <w:rFonts w:ascii="Courier New" w:cs="Courier New" w:eastAsia="Courier New" w:hAnsi="Courier New"/>
                <w:sz w:val="15"/>
                <w:szCs w:val="15"/>
                <w:color w:val="auto"/>
              </w:rPr>
              <w:t>End of year</w:t>
            </w:r>
          </w:p>
        </w:tc>
        <w:tc>
          <w:tcPr>
            <w:tcW w:w="17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$ 31,026,196</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26,883,705</w:t>
            </w:r>
          </w:p>
        </w:tc>
      </w:tr>
      <w:tr>
        <w:trPr>
          <w:trHeight w:val="176"/>
        </w:trPr>
        <w:tc>
          <w:tcPr>
            <w:tcW w:w="6260" w:type="dxa"/>
            <w:vAlign w:val="bottom"/>
          </w:tcPr>
          <w:p>
            <w:pPr>
              <w:spacing w:after="0"/>
              <w:rPr>
                <w:sz w:val="15"/>
                <w:szCs w:val="15"/>
                <w:color w:val="auto"/>
              </w:rPr>
            </w:pPr>
          </w:p>
        </w:tc>
        <w:tc>
          <w:tcPr>
            <w:tcW w:w="17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26" w:hanging="826"/>
        <w:spacing w:after="0"/>
        <w:tabs>
          <w:tab w:leader="none" w:pos="82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INCOME TAXES</w:t>
      </w:r>
    </w:p>
    <w:p>
      <w:pPr>
        <w:spacing w:after="0" w:line="182" w:lineRule="exact"/>
        <w:rPr>
          <w:rFonts w:ascii="Courier New" w:cs="Courier New" w:eastAsia="Courier New" w:hAnsi="Courier New"/>
          <w:sz w:val="15"/>
          <w:szCs w:val="15"/>
          <w:color w:val="auto"/>
        </w:rPr>
      </w:pPr>
    </w:p>
    <w:p>
      <w:pPr>
        <w:ind w:left="82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has received a determination letter from the Internal Revenue Service dated July 18, 1996 stating that the Plan is qualified under Section 401(a) of the Internal Revenue Code and that the trust created under the Plan is exempt from federal income taxes under Section 501(a) of the Code. The plan administrator believes that the Plan and its related trust continue to qualify under the provisions of Sections 401(a) and 501(a) of the Code and are exempt from federal income taxes.</w:t>
      </w:r>
    </w:p>
    <w:p>
      <w:pPr>
        <w:spacing w:after="0" w:line="175"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82" w:lineRule="exact"/>
        <w:rPr>
          <w:rFonts w:ascii="Courier New" w:cs="Courier New" w:eastAsia="Courier New" w:hAnsi="Courier New"/>
          <w:sz w:val="15"/>
          <w:szCs w:val="15"/>
          <w:color w:val="auto"/>
        </w:rPr>
      </w:pPr>
    </w:p>
    <w:p>
      <w:pPr>
        <w:ind w:left="82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2002 The Toro Company Employee Stock Ownership Plan was combined with The Toro Company Investment and Savings Plan into The Toro Company Investment, Savings and Employee Stock Ownership Plan. Additional changes to the Plan for 2002 are as follows:</w:t>
      </w:r>
    </w:p>
    <w:p>
      <w:pPr>
        <w:spacing w:after="0" w:line="175" w:lineRule="exact"/>
        <w:rPr>
          <w:rFonts w:ascii="Courier New" w:cs="Courier New" w:eastAsia="Courier New" w:hAnsi="Courier New"/>
          <w:sz w:val="15"/>
          <w:szCs w:val="15"/>
          <w:color w:val="auto"/>
        </w:rPr>
      </w:pPr>
    </w:p>
    <w:p>
      <w:pPr>
        <w:ind w:left="1646" w:right="2899" w:hanging="822"/>
        <w:spacing w:after="0" w:line="249" w:lineRule="auto"/>
        <w:tabs>
          <w:tab w:leader="none" w:pos="1646"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now allows rollovers between a Toro Plan and a 403(b) or governmental plan and rollovers to the Toro Plans of distributions from all IRAs (not just rollover IRAs)</w:t>
      </w:r>
    </w:p>
    <w:p>
      <w:pPr>
        <w:spacing w:after="0" w:line="175" w:lineRule="exact"/>
        <w:rPr>
          <w:rFonts w:ascii="Courier New" w:cs="Courier New" w:eastAsia="Courier New" w:hAnsi="Courier New"/>
          <w:sz w:val="15"/>
          <w:szCs w:val="15"/>
          <w:color w:val="auto"/>
        </w:rPr>
      </w:pPr>
    </w:p>
    <w:p>
      <w:pPr>
        <w:ind w:left="1646" w:right="2979" w:hanging="822"/>
        <w:spacing w:after="0" w:line="249" w:lineRule="auto"/>
        <w:tabs>
          <w:tab w:leader="none" w:pos="1646"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401(k) contribution limit increased to $11,000 and $1,000 each year thereafter until it will be $15,000 in 2006, which will be indexed in $500 increments in subsequent years</w:t>
      </w:r>
    </w:p>
    <w:p>
      <w:pPr>
        <w:spacing w:after="0" w:line="176" w:lineRule="exact"/>
        <w:rPr>
          <w:sz w:val="20"/>
          <w:szCs w:val="20"/>
          <w:color w:val="auto"/>
        </w:rPr>
      </w:pPr>
    </w:p>
    <w:p>
      <w:pPr>
        <w:ind w:left="826" w:right="3179"/>
        <w:spacing w:after="0" w:line="250" w:lineRule="auto"/>
        <w:rPr>
          <w:sz w:val="20"/>
          <w:szCs w:val="20"/>
          <w:color w:val="auto"/>
        </w:rPr>
      </w:pPr>
      <w:r>
        <w:rPr>
          <w:rFonts w:ascii="Courier New" w:cs="Courier New" w:eastAsia="Courier New" w:hAnsi="Courier New"/>
          <w:sz w:val="15"/>
          <w:szCs w:val="15"/>
          <w:color w:val="auto"/>
        </w:rPr>
        <w:t>In addition, the Plan will be amended during 2002 to incorporate the following tax law changes:</w:t>
      </w:r>
    </w:p>
    <w:p>
      <w:pPr>
        <w:spacing w:after="0" w:line="175" w:lineRule="exact"/>
        <w:rPr>
          <w:sz w:val="20"/>
          <w:szCs w:val="20"/>
          <w:color w:val="auto"/>
        </w:rPr>
      </w:pPr>
    </w:p>
    <w:p>
      <w:pPr>
        <w:ind w:left="1646" w:right="2979" w:hanging="822"/>
        <w:spacing w:after="0" w:line="249" w:lineRule="auto"/>
        <w:tabs>
          <w:tab w:leader="none" w:pos="164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 section 415 limit, also known as the annual additions limit, has increased to the lesser of $40,000 or 100% of income</w:t>
      </w:r>
    </w:p>
    <w:p>
      <w:pPr>
        <w:spacing w:after="0" w:line="175" w:lineRule="exact"/>
        <w:rPr>
          <w:rFonts w:ascii="Courier New" w:cs="Courier New" w:eastAsia="Courier New" w:hAnsi="Courier New"/>
          <w:sz w:val="15"/>
          <w:szCs w:val="15"/>
          <w:color w:val="auto"/>
        </w:rPr>
      </w:pPr>
    </w:p>
    <w:p>
      <w:pPr>
        <w:ind w:left="1646" w:right="2979" w:hanging="822"/>
        <w:spacing w:after="0" w:line="249" w:lineRule="auto"/>
        <w:tabs>
          <w:tab w:leader="none" w:pos="164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 on compensation for testing purposes increased from $170,000 to $200,000, which will be indexed in $5,000 increments after 2002</w:t>
      </w: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8</w:t>
      </w:r>
    </w:p>
    <w:p>
      <w:pPr>
        <w:spacing w:after="0" w:line="6" w:lineRule="exact"/>
        <w:rPr>
          <w:sz w:val="20"/>
          <w:szCs w:val="20"/>
          <w:color w:val="auto"/>
        </w:rPr>
      </w:pPr>
    </w:p>
    <w:p>
      <w:pPr>
        <w:ind w:left="6326"/>
        <w:spacing w:after="0"/>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10225"/>
          </w:cols>
          <w:pgMar w:left="234" w:top="470" w:right="1440" w:bottom="1440" w:gutter="0" w:footer="0" w:header="0"/>
        </w:sectPr>
      </w:pPr>
    </w:p>
    <w:bookmarkStart w:id="11" w:name="page12"/>
    <w:bookmarkEnd w:id="11"/>
    <w:p>
      <w:pPr>
        <w:ind w:left="1646"/>
        <w:spacing w:after="0"/>
        <w:rPr>
          <w:sz w:val="20"/>
          <w:szCs w:val="20"/>
          <w:color w:val="auto"/>
        </w:rPr>
      </w:pPr>
      <w:r>
        <w:rPr>
          <w:rFonts w:ascii="Courier New" w:cs="Courier New" w:eastAsia="Courier New" w:hAnsi="Courier New"/>
          <w:sz w:val="15"/>
          <w:szCs w:val="15"/>
          <w:color w:val="auto"/>
        </w:rPr>
        <w:t>THE TORO COMPANY INVESTMENT AND SAVINGS PLAN</w:t>
      </w:r>
    </w:p>
    <w:p>
      <w:pPr>
        <w:spacing w:after="0" w:line="182"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Notes to Financial Statements</w:t>
      </w:r>
    </w:p>
    <w:p>
      <w:pPr>
        <w:spacing w:after="0" w:line="182" w:lineRule="exact"/>
        <w:rPr>
          <w:sz w:val="20"/>
          <w:szCs w:val="20"/>
          <w:color w:val="auto"/>
        </w:rPr>
      </w:pPr>
    </w:p>
    <w:p>
      <w:pPr>
        <w:ind w:left="2466"/>
        <w:spacing w:after="0"/>
        <w:rPr>
          <w:sz w:val="20"/>
          <w:szCs w:val="20"/>
          <w:color w:val="auto"/>
        </w:rPr>
      </w:pPr>
      <w:r>
        <w:rPr>
          <w:rFonts w:ascii="Courier New" w:cs="Courier New" w:eastAsia="Courier New" w:hAnsi="Courier New"/>
          <w:sz w:val="15"/>
          <w:szCs w:val="15"/>
          <w:color w:val="auto"/>
        </w:rPr>
        <w:t>December 31, 2001 and 2000</w:t>
      </w:r>
    </w:p>
    <w:p>
      <w:pPr>
        <w:spacing w:after="0" w:line="359" w:lineRule="exact"/>
        <w:rPr>
          <w:sz w:val="20"/>
          <w:szCs w:val="20"/>
          <w:color w:val="auto"/>
        </w:rPr>
      </w:pPr>
    </w:p>
    <w:p>
      <w:pPr>
        <w:ind w:left="826" w:right="2899"/>
        <w:spacing w:after="0" w:line="249" w:lineRule="auto"/>
        <w:rPr>
          <w:sz w:val="20"/>
          <w:szCs w:val="20"/>
          <w:color w:val="auto"/>
        </w:rPr>
      </w:pPr>
      <w:r>
        <w:rPr>
          <w:rFonts w:ascii="Courier New" w:cs="Courier New" w:eastAsia="Courier New" w:hAnsi="Courier New"/>
          <w:sz w:val="15"/>
          <w:szCs w:val="15"/>
          <w:color w:val="auto"/>
        </w:rPr>
        <w:t>A general description of the Plan is contained in the Plan document restated as of January 1, 2002. Participants should refer to the Plan document for more complete information. The plan administrator has applied to the Internal Revenue Service for a new determination letter, but has not yet received a response. The plan administrator believes the plan (as restated) continues to qualify as discussed in note 7.</w:t>
      </w:r>
    </w:p>
    <w:p>
      <w:pPr>
        <w:spacing w:after="0" w:line="176" w:lineRule="exact"/>
        <w:rPr>
          <w:sz w:val="20"/>
          <w:szCs w:val="20"/>
          <w:color w:val="auto"/>
        </w:rPr>
      </w:pPr>
    </w:p>
    <w:p>
      <w:pPr>
        <w:ind w:left="826" w:right="3179" w:hanging="826"/>
        <w:spacing w:after="0" w:line="250" w:lineRule="auto"/>
        <w:tabs>
          <w:tab w:leader="none" w:pos="82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 OF DIFFERENCES BETWEEN THESE FINANCIAL STATEMENTS AND THE FINANCIAL INFORMATION REQUIRED ON FORM 5500</w:t>
      </w:r>
    </w:p>
    <w:p>
      <w:pPr>
        <w:spacing w:after="0" w:line="200" w:lineRule="exact"/>
        <w:rPr>
          <w:sz w:val="20"/>
          <w:szCs w:val="20"/>
          <w:color w:val="auto"/>
        </w:rPr>
      </w:pPr>
    </w:p>
    <w:p>
      <w:pPr>
        <w:spacing w:after="0" w:line="32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174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6860" w:type="dxa"/>
            <w:vAlign w:val="bottom"/>
          </w:tcPr>
          <w:p>
            <w:pPr>
              <w:spacing w:after="0"/>
              <w:rPr>
                <w:sz w:val="15"/>
                <w:szCs w:val="15"/>
                <w:color w:val="auto"/>
              </w:rPr>
            </w:pPr>
          </w:p>
        </w:tc>
        <w:tc>
          <w:tcPr>
            <w:tcW w:w="174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6860" w:type="dxa"/>
            <w:vAlign w:val="bottom"/>
          </w:tcPr>
          <w:p>
            <w:pPr>
              <w:spacing w:after="0"/>
              <w:rPr>
                <w:sz w:val="15"/>
                <w:szCs w:val="15"/>
                <w:color w:val="auto"/>
              </w:rPr>
            </w:pPr>
          </w:p>
        </w:tc>
        <w:tc>
          <w:tcPr>
            <w:tcW w:w="1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686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 benefits as presented in these</w:t>
            </w:r>
          </w:p>
        </w:tc>
        <w:tc>
          <w:tcPr>
            <w:tcW w:w="1740" w:type="dxa"/>
            <w:vAlign w:val="bottom"/>
          </w:tcPr>
          <w:p>
            <w:pPr>
              <w:spacing w:after="0"/>
              <w:rPr>
                <w:sz w:val="24"/>
                <w:szCs w:val="24"/>
                <w:color w:val="auto"/>
              </w:rPr>
            </w:pPr>
          </w:p>
        </w:tc>
      </w:tr>
      <w:tr>
        <w:trPr>
          <w:trHeight w:val="176"/>
        </w:trPr>
        <w:tc>
          <w:tcPr>
            <w:tcW w:w="6860" w:type="dxa"/>
            <w:vAlign w:val="bottom"/>
          </w:tcPr>
          <w:p>
            <w:pPr>
              <w:ind w:left="460"/>
              <w:spacing w:after="0"/>
              <w:rPr>
                <w:sz w:val="20"/>
                <w:szCs w:val="20"/>
                <w:color w:val="auto"/>
              </w:rPr>
            </w:pPr>
            <w:r>
              <w:rPr>
                <w:rFonts w:ascii="Courier New" w:cs="Courier New" w:eastAsia="Courier New" w:hAnsi="Courier New"/>
                <w:sz w:val="15"/>
                <w:szCs w:val="15"/>
                <w:color w:val="auto"/>
              </w:rPr>
              <w:t>financial statements</w:t>
            </w:r>
          </w:p>
        </w:tc>
        <w:tc>
          <w:tcPr>
            <w:tcW w:w="1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$ 233,976,836</w:t>
            </w:r>
          </w:p>
        </w:tc>
      </w:tr>
      <w:tr>
        <w:trPr>
          <w:trHeight w:val="352"/>
        </w:trPr>
        <w:tc>
          <w:tcPr>
            <w:tcW w:w="6860" w:type="dxa"/>
            <w:vAlign w:val="bottom"/>
          </w:tcPr>
          <w:p>
            <w:pPr>
              <w:spacing w:after="0"/>
              <w:rPr>
                <w:sz w:val="20"/>
                <w:szCs w:val="20"/>
                <w:color w:val="auto"/>
              </w:rPr>
            </w:pPr>
            <w:r>
              <w:rPr>
                <w:rFonts w:ascii="Courier New" w:cs="Courier New" w:eastAsia="Courier New" w:hAnsi="Courier New"/>
                <w:sz w:val="15"/>
                <w:szCs w:val="15"/>
                <w:color w:val="auto"/>
              </w:rPr>
              <w:t>Adjustment for employer contribution receivable</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(7,764,001)</w:t>
            </w:r>
          </w:p>
        </w:tc>
      </w:tr>
      <w:tr>
        <w:trPr>
          <w:trHeight w:val="352"/>
        </w:trPr>
        <w:tc>
          <w:tcPr>
            <w:tcW w:w="6860" w:type="dxa"/>
            <w:vAlign w:val="bottom"/>
          </w:tcPr>
          <w:p>
            <w:pPr>
              <w:spacing w:after="0"/>
              <w:rPr>
                <w:sz w:val="20"/>
                <w:szCs w:val="20"/>
                <w:color w:val="auto"/>
              </w:rPr>
            </w:pPr>
            <w:r>
              <w:rPr>
                <w:rFonts w:ascii="Courier New" w:cs="Courier New" w:eastAsia="Courier New" w:hAnsi="Courier New"/>
                <w:sz w:val="15"/>
                <w:szCs w:val="15"/>
                <w:color w:val="auto"/>
              </w:rPr>
              <w:t>Adjustment for employee contribution receivable</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(50,198)</w:t>
            </w:r>
          </w:p>
        </w:tc>
      </w:tr>
      <w:tr>
        <w:trPr>
          <w:trHeight w:val="176"/>
        </w:trPr>
        <w:tc>
          <w:tcPr>
            <w:tcW w:w="6860" w:type="dxa"/>
            <w:vAlign w:val="bottom"/>
          </w:tcPr>
          <w:p>
            <w:pPr>
              <w:spacing w:after="0"/>
              <w:rPr>
                <w:sz w:val="15"/>
                <w:szCs w:val="15"/>
                <w:color w:val="auto"/>
              </w:rPr>
            </w:pPr>
          </w:p>
        </w:tc>
        <w:tc>
          <w:tcPr>
            <w:tcW w:w="1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86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 benefits as presented on Form 5500</w:t>
            </w:r>
          </w:p>
        </w:tc>
        <w:tc>
          <w:tcPr>
            <w:tcW w:w="1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$ 226,162,637</w:t>
            </w:r>
          </w:p>
        </w:tc>
      </w:tr>
      <w:tr>
        <w:trPr>
          <w:trHeight w:val="176"/>
        </w:trPr>
        <w:tc>
          <w:tcPr>
            <w:tcW w:w="6860" w:type="dxa"/>
            <w:vAlign w:val="bottom"/>
          </w:tcPr>
          <w:p>
            <w:pPr>
              <w:spacing w:after="0"/>
              <w:rPr>
                <w:sz w:val="15"/>
                <w:szCs w:val="15"/>
                <w:color w:val="auto"/>
              </w:rPr>
            </w:pPr>
          </w:p>
        </w:tc>
        <w:tc>
          <w:tcPr>
            <w:tcW w:w="1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9"/>
        </w:trPr>
        <w:tc>
          <w:tcPr>
            <w:tcW w:w="6860" w:type="dxa"/>
            <w:vAlign w:val="bottom"/>
          </w:tcPr>
          <w:p>
            <w:pPr>
              <w:spacing w:after="0"/>
              <w:rPr>
                <w:sz w:val="24"/>
                <w:szCs w:val="24"/>
                <w:color w:val="auto"/>
              </w:rPr>
            </w:pPr>
          </w:p>
        </w:tc>
        <w:tc>
          <w:tcPr>
            <w:tcW w:w="1740" w:type="dxa"/>
            <w:vAlign w:val="bottom"/>
          </w:tcPr>
          <w:p>
            <w:pPr>
              <w:jc w:val="center"/>
              <w:ind w:left="224"/>
              <w:spacing w:after="0"/>
              <w:rPr>
                <w:sz w:val="20"/>
                <w:szCs w:val="20"/>
                <w:color w:val="auto"/>
              </w:rPr>
            </w:pPr>
            <w:r>
              <w:rPr>
                <w:rFonts w:ascii="Courier New" w:cs="Courier New" w:eastAsia="Courier New" w:hAnsi="Courier New"/>
                <w:sz w:val="15"/>
                <w:szCs w:val="15"/>
                <w:color w:val="auto"/>
              </w:rPr>
              <w:t>YEAR ENDED</w:t>
            </w:r>
          </w:p>
        </w:tc>
      </w:tr>
      <w:tr>
        <w:trPr>
          <w:trHeight w:val="176"/>
        </w:trPr>
        <w:tc>
          <w:tcPr>
            <w:tcW w:w="6860" w:type="dxa"/>
            <w:vAlign w:val="bottom"/>
          </w:tcPr>
          <w:p>
            <w:pPr>
              <w:spacing w:after="0"/>
              <w:rPr>
                <w:sz w:val="15"/>
                <w:szCs w:val="15"/>
                <w:color w:val="auto"/>
              </w:rPr>
            </w:pPr>
          </w:p>
        </w:tc>
        <w:tc>
          <w:tcPr>
            <w:tcW w:w="174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6860" w:type="dxa"/>
            <w:vAlign w:val="bottom"/>
          </w:tcPr>
          <w:p>
            <w:pPr>
              <w:spacing w:after="0"/>
              <w:rPr>
                <w:sz w:val="15"/>
                <w:szCs w:val="15"/>
                <w:color w:val="auto"/>
              </w:rPr>
            </w:pPr>
          </w:p>
        </w:tc>
        <w:tc>
          <w:tcPr>
            <w:tcW w:w="174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6860" w:type="dxa"/>
            <w:vAlign w:val="bottom"/>
          </w:tcPr>
          <w:p>
            <w:pPr>
              <w:spacing w:after="0"/>
              <w:rPr>
                <w:sz w:val="15"/>
                <w:szCs w:val="15"/>
                <w:color w:val="auto"/>
              </w:rPr>
            </w:pPr>
          </w:p>
        </w:tc>
        <w:tc>
          <w:tcPr>
            <w:tcW w:w="1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6860" w:type="dxa"/>
            <w:vAlign w:val="bottom"/>
          </w:tcPr>
          <w:p>
            <w:pPr>
              <w:spacing w:after="0"/>
              <w:rPr>
                <w:sz w:val="20"/>
                <w:szCs w:val="20"/>
                <w:color w:val="auto"/>
              </w:rPr>
            </w:pPr>
            <w:r>
              <w:rPr>
                <w:rFonts w:ascii="Courier New" w:cs="Courier New" w:eastAsia="Courier New" w:hAnsi="Courier New"/>
                <w:sz w:val="15"/>
                <w:szCs w:val="15"/>
                <w:color w:val="auto"/>
              </w:rPr>
              <w:t>Net decrease in net assets available for plan benefits as presented in</w:t>
            </w:r>
          </w:p>
        </w:tc>
        <w:tc>
          <w:tcPr>
            <w:tcW w:w="1740" w:type="dxa"/>
            <w:vAlign w:val="bottom"/>
          </w:tcPr>
          <w:p>
            <w:pPr>
              <w:spacing w:after="0"/>
              <w:rPr>
                <w:sz w:val="24"/>
                <w:szCs w:val="24"/>
                <w:color w:val="auto"/>
              </w:rPr>
            </w:pPr>
          </w:p>
        </w:tc>
      </w:tr>
      <w:tr>
        <w:trPr>
          <w:trHeight w:val="176"/>
        </w:trPr>
        <w:tc>
          <w:tcPr>
            <w:tcW w:w="6860" w:type="dxa"/>
            <w:vAlign w:val="bottom"/>
          </w:tcPr>
          <w:p>
            <w:pPr>
              <w:ind w:left="460"/>
              <w:spacing w:after="0"/>
              <w:rPr>
                <w:sz w:val="20"/>
                <w:szCs w:val="20"/>
                <w:color w:val="auto"/>
              </w:rPr>
            </w:pPr>
            <w:r>
              <w:rPr>
                <w:rFonts w:ascii="Courier New" w:cs="Courier New" w:eastAsia="Courier New" w:hAnsi="Courier New"/>
                <w:sz w:val="15"/>
                <w:szCs w:val="15"/>
                <w:color w:val="auto"/>
              </w:rPr>
              <w:t>these financial statements</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 (12,136,003)</w:t>
            </w:r>
          </w:p>
        </w:tc>
      </w:tr>
      <w:tr>
        <w:trPr>
          <w:trHeight w:val="352"/>
        </w:trPr>
        <w:tc>
          <w:tcPr>
            <w:tcW w:w="6860" w:type="dxa"/>
            <w:vAlign w:val="bottom"/>
          </w:tcPr>
          <w:p>
            <w:pPr>
              <w:spacing w:after="0"/>
              <w:rPr>
                <w:sz w:val="20"/>
                <w:szCs w:val="20"/>
                <w:color w:val="auto"/>
              </w:rPr>
            </w:pPr>
            <w:r>
              <w:rPr>
                <w:rFonts w:ascii="Courier New" w:cs="Courier New" w:eastAsia="Courier New" w:hAnsi="Courier New"/>
                <w:sz w:val="15"/>
                <w:szCs w:val="15"/>
                <w:color w:val="auto"/>
              </w:rPr>
              <w:t>Adjustment for employer contribution receivable at December 31, 2001</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(7,764,001)</w:t>
            </w:r>
          </w:p>
        </w:tc>
      </w:tr>
      <w:tr>
        <w:trPr>
          <w:trHeight w:val="352"/>
        </w:trPr>
        <w:tc>
          <w:tcPr>
            <w:tcW w:w="6860" w:type="dxa"/>
            <w:vAlign w:val="bottom"/>
          </w:tcPr>
          <w:p>
            <w:pPr>
              <w:spacing w:after="0"/>
              <w:rPr>
                <w:sz w:val="20"/>
                <w:szCs w:val="20"/>
                <w:color w:val="auto"/>
              </w:rPr>
            </w:pPr>
            <w:r>
              <w:rPr>
                <w:rFonts w:ascii="Courier New" w:cs="Courier New" w:eastAsia="Courier New" w:hAnsi="Courier New"/>
                <w:sz w:val="15"/>
                <w:szCs w:val="15"/>
                <w:color w:val="auto"/>
              </w:rPr>
              <w:t>Adjustment for employee contribution receivable at December 31, 2001</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(50,198)</w:t>
            </w:r>
          </w:p>
        </w:tc>
      </w:tr>
      <w:tr>
        <w:trPr>
          <w:trHeight w:val="352"/>
        </w:trPr>
        <w:tc>
          <w:tcPr>
            <w:tcW w:w="6860" w:type="dxa"/>
            <w:vAlign w:val="bottom"/>
          </w:tcPr>
          <w:p>
            <w:pPr>
              <w:spacing w:after="0"/>
              <w:rPr>
                <w:sz w:val="20"/>
                <w:szCs w:val="20"/>
                <w:color w:val="auto"/>
              </w:rPr>
            </w:pPr>
            <w:r>
              <w:rPr>
                <w:rFonts w:ascii="Courier New" w:cs="Courier New" w:eastAsia="Courier New" w:hAnsi="Courier New"/>
                <w:sz w:val="15"/>
                <w:szCs w:val="15"/>
                <w:color w:val="auto"/>
              </w:rPr>
              <w:t>Adjustment for employer contribution receivable at December 31, 2000</w:t>
            </w:r>
          </w:p>
        </w:tc>
        <w:tc>
          <w:tcPr>
            <w:tcW w:w="1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7,212,467</w:t>
            </w:r>
          </w:p>
        </w:tc>
      </w:tr>
      <w:tr>
        <w:trPr>
          <w:trHeight w:val="352"/>
        </w:trPr>
        <w:tc>
          <w:tcPr>
            <w:tcW w:w="6860" w:type="dxa"/>
            <w:vAlign w:val="bottom"/>
          </w:tcPr>
          <w:p>
            <w:pPr>
              <w:spacing w:after="0"/>
              <w:rPr>
                <w:sz w:val="20"/>
                <w:szCs w:val="20"/>
                <w:color w:val="auto"/>
              </w:rPr>
            </w:pPr>
            <w:r>
              <w:rPr>
                <w:rFonts w:ascii="Courier New" w:cs="Courier New" w:eastAsia="Courier New" w:hAnsi="Courier New"/>
                <w:sz w:val="15"/>
                <w:szCs w:val="15"/>
                <w:color w:val="auto"/>
              </w:rPr>
              <w:t>Adjustment for employee contribution receivable at December 31, 2000</w:t>
            </w:r>
          </w:p>
        </w:tc>
        <w:tc>
          <w:tcPr>
            <w:tcW w:w="1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35,124</w:t>
            </w:r>
          </w:p>
        </w:tc>
      </w:tr>
      <w:tr>
        <w:trPr>
          <w:trHeight w:val="176"/>
        </w:trPr>
        <w:tc>
          <w:tcPr>
            <w:tcW w:w="6860" w:type="dxa"/>
            <w:vAlign w:val="bottom"/>
          </w:tcPr>
          <w:p>
            <w:pPr>
              <w:spacing w:after="0"/>
              <w:rPr>
                <w:sz w:val="15"/>
                <w:szCs w:val="15"/>
                <w:color w:val="auto"/>
              </w:rPr>
            </w:pPr>
          </w:p>
        </w:tc>
        <w:tc>
          <w:tcPr>
            <w:tcW w:w="1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860" w:type="dxa"/>
            <w:vAlign w:val="bottom"/>
          </w:tcPr>
          <w:p>
            <w:pPr>
              <w:spacing w:after="0"/>
              <w:rPr>
                <w:sz w:val="20"/>
                <w:szCs w:val="20"/>
                <w:color w:val="auto"/>
              </w:rPr>
            </w:pPr>
            <w:r>
              <w:rPr>
                <w:rFonts w:ascii="Courier New" w:cs="Courier New" w:eastAsia="Courier New" w:hAnsi="Courier New"/>
                <w:sz w:val="15"/>
                <w:szCs w:val="15"/>
                <w:color w:val="auto"/>
              </w:rPr>
              <w:t>Net decrease in net assets available for plan benefits as presented on</w:t>
            </w:r>
          </w:p>
        </w:tc>
        <w:tc>
          <w:tcPr>
            <w:tcW w:w="1740" w:type="dxa"/>
            <w:vAlign w:val="bottom"/>
          </w:tcPr>
          <w:p>
            <w:pPr>
              <w:spacing w:after="0"/>
              <w:rPr>
                <w:sz w:val="15"/>
                <w:szCs w:val="15"/>
                <w:color w:val="auto"/>
              </w:rPr>
            </w:pPr>
          </w:p>
        </w:tc>
      </w:tr>
      <w:tr>
        <w:trPr>
          <w:trHeight w:val="176"/>
        </w:trPr>
        <w:tc>
          <w:tcPr>
            <w:tcW w:w="6860" w:type="dxa"/>
            <w:vAlign w:val="bottom"/>
          </w:tcPr>
          <w:p>
            <w:pPr>
              <w:ind w:left="460"/>
              <w:spacing w:after="0"/>
              <w:rPr>
                <w:sz w:val="20"/>
                <w:szCs w:val="20"/>
                <w:color w:val="auto"/>
              </w:rPr>
            </w:pPr>
            <w:r>
              <w:rPr>
                <w:rFonts w:ascii="Courier New" w:cs="Courier New" w:eastAsia="Courier New" w:hAnsi="Courier New"/>
                <w:sz w:val="15"/>
                <w:szCs w:val="15"/>
                <w:color w:val="auto"/>
              </w:rPr>
              <w:t>Form 5500</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 (12,702,611)</w:t>
            </w:r>
          </w:p>
        </w:tc>
      </w:tr>
      <w:tr>
        <w:trPr>
          <w:trHeight w:val="176"/>
        </w:trPr>
        <w:tc>
          <w:tcPr>
            <w:tcW w:w="6860" w:type="dxa"/>
            <w:vAlign w:val="bottom"/>
          </w:tcPr>
          <w:p>
            <w:pPr>
              <w:spacing w:after="0"/>
              <w:rPr>
                <w:sz w:val="15"/>
                <w:szCs w:val="15"/>
                <w:color w:val="auto"/>
              </w:rPr>
            </w:pPr>
          </w:p>
        </w:tc>
        <w:tc>
          <w:tcPr>
            <w:tcW w:w="1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9</w:t>
      </w:r>
    </w:p>
    <w:p>
      <w:pPr>
        <w:spacing w:after="0" w:line="6" w:lineRule="exact"/>
        <w:rPr>
          <w:sz w:val="20"/>
          <w:szCs w:val="20"/>
          <w:color w:val="auto"/>
        </w:rPr>
      </w:pPr>
    </w:p>
    <w:p>
      <w:pPr>
        <w:ind w:left="6326"/>
        <w:spacing w:after="0"/>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10225"/>
          </w:cols>
          <w:pgMar w:left="234" w:top="470" w:right="1440" w:bottom="1440" w:gutter="0" w:footer="0" w:header="0"/>
        </w:sectPr>
      </w:pPr>
    </w:p>
    <w:bookmarkStart w:id="12" w:name="page13"/>
    <w:bookmarkEnd w:id="12"/>
    <w:p>
      <w:pPr>
        <w:ind w:left="1640"/>
        <w:spacing w:after="0"/>
        <w:rPr>
          <w:sz w:val="20"/>
          <w:szCs w:val="20"/>
          <w:color w:val="auto"/>
        </w:rPr>
      </w:pPr>
      <w:r>
        <w:rPr>
          <w:rFonts w:ascii="Courier New" w:cs="Courier New" w:eastAsia="Courier New" w:hAnsi="Courier New"/>
          <w:sz w:val="15"/>
          <w:szCs w:val="15"/>
          <w:color w:val="auto"/>
        </w:rPr>
        <w:t>THE TORO COMPANY INVESTMENT AND SAVINGS PLAN</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Notes to Financial Statements</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December 31, 2001 and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174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7420" w:type="dxa"/>
            <w:vAlign w:val="bottom"/>
          </w:tcPr>
          <w:p>
            <w:pPr>
              <w:spacing w:after="0"/>
              <w:rPr>
                <w:sz w:val="15"/>
                <w:szCs w:val="15"/>
                <w:color w:val="auto"/>
              </w:rPr>
            </w:pP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7420" w:type="dxa"/>
            <w:vAlign w:val="bottom"/>
          </w:tcPr>
          <w:p>
            <w:pPr>
              <w:spacing w:after="0"/>
              <w:rPr>
                <w:sz w:val="15"/>
                <w:szCs w:val="15"/>
                <w:color w:val="auto"/>
              </w:rPr>
            </w:pPr>
          </w:p>
        </w:tc>
        <w:tc>
          <w:tcPr>
            <w:tcW w:w="1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742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 benefits as presented in these</w:t>
            </w:r>
          </w:p>
        </w:tc>
        <w:tc>
          <w:tcPr>
            <w:tcW w:w="1740" w:type="dxa"/>
            <w:vAlign w:val="bottom"/>
          </w:tcPr>
          <w:p>
            <w:pPr>
              <w:spacing w:after="0"/>
              <w:rPr>
                <w:sz w:val="24"/>
                <w:szCs w:val="24"/>
                <w:color w:val="auto"/>
              </w:rPr>
            </w:pPr>
          </w:p>
        </w:tc>
      </w:tr>
      <w:tr>
        <w:trPr>
          <w:trHeight w:val="176"/>
        </w:trPr>
        <w:tc>
          <w:tcPr>
            <w:tcW w:w="7420" w:type="dxa"/>
            <w:vAlign w:val="bottom"/>
          </w:tcPr>
          <w:p>
            <w:pPr>
              <w:ind w:left="260"/>
              <w:spacing w:after="0"/>
              <w:rPr>
                <w:sz w:val="20"/>
                <w:szCs w:val="20"/>
                <w:color w:val="auto"/>
              </w:rPr>
            </w:pPr>
            <w:r>
              <w:rPr>
                <w:rFonts w:ascii="Courier New" w:cs="Courier New" w:eastAsia="Courier New" w:hAnsi="Courier New"/>
                <w:sz w:val="15"/>
                <w:szCs w:val="15"/>
                <w:color w:val="auto"/>
              </w:rPr>
              <w:t>financial statements</w:t>
            </w:r>
          </w:p>
        </w:tc>
        <w:tc>
          <w:tcPr>
            <w:tcW w:w="1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$ 246,112,839</w:t>
            </w:r>
          </w:p>
        </w:tc>
      </w:tr>
      <w:tr>
        <w:trPr>
          <w:trHeight w:val="352"/>
        </w:trPr>
        <w:tc>
          <w:tcPr>
            <w:tcW w:w="7420" w:type="dxa"/>
            <w:vAlign w:val="bottom"/>
          </w:tcPr>
          <w:p>
            <w:pPr>
              <w:spacing w:after="0"/>
              <w:rPr>
                <w:sz w:val="20"/>
                <w:szCs w:val="20"/>
                <w:color w:val="auto"/>
              </w:rPr>
            </w:pPr>
            <w:r>
              <w:rPr>
                <w:rFonts w:ascii="Courier New" w:cs="Courier New" w:eastAsia="Courier New" w:hAnsi="Courier New"/>
                <w:sz w:val="15"/>
                <w:szCs w:val="15"/>
                <w:color w:val="auto"/>
              </w:rPr>
              <w:t>Adjustment for employer contribution receivable</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(7,212,467)</w:t>
            </w:r>
          </w:p>
        </w:tc>
      </w:tr>
      <w:tr>
        <w:trPr>
          <w:trHeight w:val="352"/>
        </w:trPr>
        <w:tc>
          <w:tcPr>
            <w:tcW w:w="7420" w:type="dxa"/>
            <w:vAlign w:val="bottom"/>
          </w:tcPr>
          <w:p>
            <w:pPr>
              <w:spacing w:after="0"/>
              <w:rPr>
                <w:sz w:val="20"/>
                <w:szCs w:val="20"/>
                <w:color w:val="auto"/>
              </w:rPr>
            </w:pPr>
            <w:r>
              <w:rPr>
                <w:rFonts w:ascii="Courier New" w:cs="Courier New" w:eastAsia="Courier New" w:hAnsi="Courier New"/>
                <w:sz w:val="15"/>
                <w:szCs w:val="15"/>
                <w:color w:val="auto"/>
              </w:rPr>
              <w:t>Adjustment for employee contribution receivable</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(35,124)</w:t>
            </w:r>
          </w:p>
        </w:tc>
      </w:tr>
      <w:tr>
        <w:trPr>
          <w:trHeight w:val="176"/>
        </w:trPr>
        <w:tc>
          <w:tcPr>
            <w:tcW w:w="7420" w:type="dxa"/>
            <w:vAlign w:val="bottom"/>
          </w:tcPr>
          <w:p>
            <w:pPr>
              <w:spacing w:after="0"/>
              <w:rPr>
                <w:sz w:val="15"/>
                <w:szCs w:val="15"/>
                <w:color w:val="auto"/>
              </w:rPr>
            </w:pPr>
          </w:p>
        </w:tc>
        <w:tc>
          <w:tcPr>
            <w:tcW w:w="1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742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 benefits as presented on Form 5500</w:t>
            </w:r>
          </w:p>
        </w:tc>
        <w:tc>
          <w:tcPr>
            <w:tcW w:w="1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$ 238,865,248</w:t>
            </w:r>
          </w:p>
        </w:tc>
      </w:tr>
      <w:tr>
        <w:trPr>
          <w:trHeight w:val="176"/>
        </w:trPr>
        <w:tc>
          <w:tcPr>
            <w:tcW w:w="7420" w:type="dxa"/>
            <w:vAlign w:val="bottom"/>
          </w:tcPr>
          <w:p>
            <w:pPr>
              <w:spacing w:after="0"/>
              <w:rPr>
                <w:sz w:val="15"/>
                <w:szCs w:val="15"/>
                <w:color w:val="auto"/>
              </w:rPr>
            </w:pPr>
          </w:p>
        </w:tc>
        <w:tc>
          <w:tcPr>
            <w:tcW w:w="1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7420" w:type="dxa"/>
            <w:vAlign w:val="bottom"/>
          </w:tcPr>
          <w:p>
            <w:pPr>
              <w:spacing w:after="0"/>
              <w:rPr>
                <w:sz w:val="24"/>
                <w:szCs w:val="24"/>
                <w:color w:val="auto"/>
              </w:rPr>
            </w:pPr>
          </w:p>
        </w:tc>
        <w:tc>
          <w:tcPr>
            <w:tcW w:w="174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YEAR ENDED</w:t>
            </w:r>
          </w:p>
        </w:tc>
      </w:tr>
      <w:tr>
        <w:trPr>
          <w:trHeight w:val="176"/>
        </w:trPr>
        <w:tc>
          <w:tcPr>
            <w:tcW w:w="7420" w:type="dxa"/>
            <w:vAlign w:val="bottom"/>
          </w:tcPr>
          <w:p>
            <w:pPr>
              <w:spacing w:after="0"/>
              <w:rPr>
                <w:sz w:val="15"/>
                <w:szCs w:val="15"/>
                <w:color w:val="auto"/>
              </w:rPr>
            </w:pPr>
          </w:p>
        </w:tc>
        <w:tc>
          <w:tcPr>
            <w:tcW w:w="1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7420" w:type="dxa"/>
            <w:vAlign w:val="bottom"/>
          </w:tcPr>
          <w:p>
            <w:pPr>
              <w:spacing w:after="0"/>
              <w:rPr>
                <w:sz w:val="15"/>
                <w:szCs w:val="15"/>
                <w:color w:val="auto"/>
              </w:rPr>
            </w:pPr>
          </w:p>
        </w:tc>
        <w:tc>
          <w:tcPr>
            <w:tcW w:w="1740" w:type="dxa"/>
            <w:vAlign w:val="bottom"/>
          </w:tcPr>
          <w:p>
            <w:pPr>
              <w:jc w:val="center"/>
              <w:ind w:left="184"/>
              <w:spacing w:after="0"/>
              <w:rPr>
                <w:sz w:val="20"/>
                <w:szCs w:val="20"/>
                <w:color w:val="auto"/>
              </w:rPr>
            </w:pPr>
            <w:r>
              <w:rPr>
                <w:rFonts w:ascii="Courier New" w:cs="Courier New" w:eastAsia="Courier New" w:hAnsi="Courier New"/>
                <w:sz w:val="15"/>
                <w:szCs w:val="15"/>
                <w:color w:val="auto"/>
                <w:w w:val="99"/>
              </w:rPr>
              <w:t>2000</w:t>
            </w:r>
          </w:p>
        </w:tc>
      </w:tr>
      <w:tr>
        <w:trPr>
          <w:trHeight w:val="176"/>
        </w:trPr>
        <w:tc>
          <w:tcPr>
            <w:tcW w:w="7420" w:type="dxa"/>
            <w:vAlign w:val="bottom"/>
          </w:tcPr>
          <w:p>
            <w:pPr>
              <w:spacing w:after="0"/>
              <w:rPr>
                <w:sz w:val="15"/>
                <w:szCs w:val="15"/>
                <w:color w:val="auto"/>
              </w:rPr>
            </w:pPr>
          </w:p>
        </w:tc>
        <w:tc>
          <w:tcPr>
            <w:tcW w:w="1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7420" w:type="dxa"/>
            <w:vAlign w:val="bottom"/>
          </w:tcPr>
          <w:p>
            <w:pPr>
              <w:spacing w:after="0"/>
              <w:rPr>
                <w:sz w:val="20"/>
                <w:szCs w:val="20"/>
                <w:color w:val="auto"/>
              </w:rPr>
            </w:pPr>
            <w:r>
              <w:rPr>
                <w:rFonts w:ascii="Courier New" w:cs="Courier New" w:eastAsia="Courier New" w:hAnsi="Courier New"/>
                <w:sz w:val="15"/>
                <w:szCs w:val="15"/>
                <w:color w:val="auto"/>
              </w:rPr>
              <w:t>Net decrease in net assets available for plan benefits as presented in these</w:t>
            </w:r>
          </w:p>
        </w:tc>
        <w:tc>
          <w:tcPr>
            <w:tcW w:w="1740" w:type="dxa"/>
            <w:vAlign w:val="bottom"/>
          </w:tcPr>
          <w:p>
            <w:pPr>
              <w:spacing w:after="0"/>
              <w:rPr>
                <w:sz w:val="24"/>
                <w:szCs w:val="24"/>
                <w:color w:val="auto"/>
              </w:rPr>
            </w:pPr>
          </w:p>
        </w:tc>
      </w:tr>
      <w:tr>
        <w:trPr>
          <w:trHeight w:val="176"/>
        </w:trPr>
        <w:tc>
          <w:tcPr>
            <w:tcW w:w="7420" w:type="dxa"/>
            <w:vAlign w:val="bottom"/>
          </w:tcPr>
          <w:p>
            <w:pPr>
              <w:ind w:left="260"/>
              <w:spacing w:after="0"/>
              <w:rPr>
                <w:sz w:val="20"/>
                <w:szCs w:val="20"/>
                <w:color w:val="auto"/>
              </w:rPr>
            </w:pPr>
            <w:r>
              <w:rPr>
                <w:rFonts w:ascii="Courier New" w:cs="Courier New" w:eastAsia="Courier New" w:hAnsi="Courier New"/>
                <w:sz w:val="15"/>
                <w:szCs w:val="15"/>
                <w:color w:val="auto"/>
              </w:rPr>
              <w:t>financial statements</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 (10,198,424)</w:t>
            </w:r>
          </w:p>
        </w:tc>
      </w:tr>
      <w:tr>
        <w:trPr>
          <w:trHeight w:val="352"/>
        </w:trPr>
        <w:tc>
          <w:tcPr>
            <w:tcW w:w="7420" w:type="dxa"/>
            <w:vAlign w:val="bottom"/>
          </w:tcPr>
          <w:p>
            <w:pPr>
              <w:spacing w:after="0"/>
              <w:rPr>
                <w:sz w:val="20"/>
                <w:szCs w:val="20"/>
                <w:color w:val="auto"/>
              </w:rPr>
            </w:pPr>
            <w:r>
              <w:rPr>
                <w:rFonts w:ascii="Courier New" w:cs="Courier New" w:eastAsia="Courier New" w:hAnsi="Courier New"/>
                <w:sz w:val="15"/>
                <w:szCs w:val="15"/>
                <w:color w:val="auto"/>
              </w:rPr>
              <w:t>Adjustment for employer contribution receivable at December 31, 2000</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(7,212,467)</w:t>
            </w:r>
          </w:p>
        </w:tc>
      </w:tr>
      <w:tr>
        <w:trPr>
          <w:trHeight w:val="352"/>
        </w:trPr>
        <w:tc>
          <w:tcPr>
            <w:tcW w:w="7420" w:type="dxa"/>
            <w:vAlign w:val="bottom"/>
          </w:tcPr>
          <w:p>
            <w:pPr>
              <w:spacing w:after="0"/>
              <w:rPr>
                <w:sz w:val="20"/>
                <w:szCs w:val="20"/>
                <w:color w:val="auto"/>
              </w:rPr>
            </w:pPr>
            <w:r>
              <w:rPr>
                <w:rFonts w:ascii="Courier New" w:cs="Courier New" w:eastAsia="Courier New" w:hAnsi="Courier New"/>
                <w:sz w:val="15"/>
                <w:szCs w:val="15"/>
                <w:color w:val="auto"/>
              </w:rPr>
              <w:t>Adjustment for employee contribution receivable at December 31, 2000</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(35,124)</w:t>
            </w:r>
          </w:p>
        </w:tc>
      </w:tr>
      <w:tr>
        <w:trPr>
          <w:trHeight w:val="352"/>
        </w:trPr>
        <w:tc>
          <w:tcPr>
            <w:tcW w:w="7420" w:type="dxa"/>
            <w:vAlign w:val="bottom"/>
          </w:tcPr>
          <w:p>
            <w:pPr>
              <w:spacing w:after="0"/>
              <w:rPr>
                <w:sz w:val="20"/>
                <w:szCs w:val="20"/>
                <w:color w:val="auto"/>
              </w:rPr>
            </w:pPr>
            <w:r>
              <w:rPr>
                <w:rFonts w:ascii="Courier New" w:cs="Courier New" w:eastAsia="Courier New" w:hAnsi="Courier New"/>
                <w:sz w:val="15"/>
                <w:szCs w:val="15"/>
                <w:color w:val="auto"/>
              </w:rPr>
              <w:t>Adjustment for employer contribution receivable at December 31, 1999</w:t>
            </w:r>
          </w:p>
        </w:tc>
        <w:tc>
          <w:tcPr>
            <w:tcW w:w="1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7,286,018</w:t>
            </w:r>
          </w:p>
        </w:tc>
      </w:tr>
      <w:tr>
        <w:trPr>
          <w:trHeight w:val="352"/>
        </w:trPr>
        <w:tc>
          <w:tcPr>
            <w:tcW w:w="7420" w:type="dxa"/>
            <w:vAlign w:val="bottom"/>
          </w:tcPr>
          <w:p>
            <w:pPr>
              <w:spacing w:after="0"/>
              <w:rPr>
                <w:sz w:val="20"/>
                <w:szCs w:val="20"/>
                <w:color w:val="auto"/>
              </w:rPr>
            </w:pPr>
            <w:r>
              <w:rPr>
                <w:rFonts w:ascii="Courier New" w:cs="Courier New" w:eastAsia="Courier New" w:hAnsi="Courier New"/>
                <w:sz w:val="15"/>
                <w:szCs w:val="15"/>
                <w:color w:val="auto"/>
              </w:rPr>
              <w:t>Adjustment for employee contribution receivable at December 31, 1999</w:t>
            </w:r>
          </w:p>
        </w:tc>
        <w:tc>
          <w:tcPr>
            <w:tcW w:w="1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37,770</w:t>
            </w:r>
          </w:p>
        </w:tc>
      </w:tr>
      <w:tr>
        <w:trPr>
          <w:trHeight w:val="176"/>
        </w:trPr>
        <w:tc>
          <w:tcPr>
            <w:tcW w:w="7420" w:type="dxa"/>
            <w:vAlign w:val="bottom"/>
          </w:tcPr>
          <w:p>
            <w:pPr>
              <w:spacing w:after="0"/>
              <w:rPr>
                <w:sz w:val="15"/>
                <w:szCs w:val="15"/>
                <w:color w:val="auto"/>
              </w:rPr>
            </w:pPr>
          </w:p>
        </w:tc>
        <w:tc>
          <w:tcPr>
            <w:tcW w:w="1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7420" w:type="dxa"/>
            <w:vAlign w:val="bottom"/>
          </w:tcPr>
          <w:p>
            <w:pPr>
              <w:spacing w:after="0"/>
              <w:rPr>
                <w:sz w:val="20"/>
                <w:szCs w:val="20"/>
                <w:color w:val="auto"/>
              </w:rPr>
            </w:pPr>
            <w:r>
              <w:rPr>
                <w:rFonts w:ascii="Courier New" w:cs="Courier New" w:eastAsia="Courier New" w:hAnsi="Courier New"/>
                <w:sz w:val="15"/>
                <w:szCs w:val="15"/>
                <w:color w:val="auto"/>
              </w:rPr>
              <w:t>Net decrease in net assets available for plan benefits as presented</w:t>
            </w:r>
          </w:p>
        </w:tc>
        <w:tc>
          <w:tcPr>
            <w:tcW w:w="1740" w:type="dxa"/>
            <w:vAlign w:val="bottom"/>
          </w:tcPr>
          <w:p>
            <w:pPr>
              <w:spacing w:after="0"/>
              <w:rPr>
                <w:sz w:val="15"/>
                <w:szCs w:val="15"/>
                <w:color w:val="auto"/>
              </w:rPr>
            </w:pPr>
          </w:p>
        </w:tc>
      </w:tr>
      <w:tr>
        <w:trPr>
          <w:trHeight w:val="176"/>
        </w:trPr>
        <w:tc>
          <w:tcPr>
            <w:tcW w:w="7420" w:type="dxa"/>
            <w:vAlign w:val="bottom"/>
          </w:tcPr>
          <w:p>
            <w:pPr>
              <w:ind w:left="260"/>
              <w:spacing w:after="0"/>
              <w:rPr>
                <w:sz w:val="20"/>
                <w:szCs w:val="20"/>
                <w:color w:val="auto"/>
              </w:rPr>
            </w:pPr>
            <w:r>
              <w:rPr>
                <w:rFonts w:ascii="Courier New" w:cs="Courier New" w:eastAsia="Courier New" w:hAnsi="Courier New"/>
                <w:sz w:val="15"/>
                <w:szCs w:val="15"/>
                <w:color w:val="auto"/>
              </w:rPr>
              <w:t>on Form 5500</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 (10,122,227)</w:t>
            </w:r>
          </w:p>
        </w:tc>
      </w:tr>
      <w:tr>
        <w:trPr>
          <w:trHeight w:val="176"/>
        </w:trPr>
        <w:tc>
          <w:tcPr>
            <w:tcW w:w="7420" w:type="dxa"/>
            <w:vAlign w:val="bottom"/>
          </w:tcPr>
          <w:p>
            <w:pPr>
              <w:spacing w:after="0"/>
              <w:rPr>
                <w:sz w:val="15"/>
                <w:szCs w:val="15"/>
                <w:color w:val="auto"/>
              </w:rPr>
            </w:pPr>
          </w:p>
        </w:tc>
        <w:tc>
          <w:tcPr>
            <w:tcW w:w="1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705"/>
        </w:trPr>
        <w:tc>
          <w:tcPr>
            <w:tcW w:w="7420" w:type="dxa"/>
            <w:vAlign w:val="bottom"/>
          </w:tcPr>
          <w:p>
            <w:pPr>
              <w:ind w:left="3560"/>
              <w:spacing w:after="0"/>
              <w:rPr>
                <w:sz w:val="20"/>
                <w:szCs w:val="20"/>
                <w:color w:val="auto"/>
              </w:rPr>
            </w:pPr>
            <w:r>
              <w:rPr>
                <w:rFonts w:ascii="Courier New" w:cs="Courier New" w:eastAsia="Courier New" w:hAnsi="Courier New"/>
                <w:sz w:val="15"/>
                <w:szCs w:val="15"/>
                <w:color w:val="auto"/>
              </w:rPr>
              <w:t>10</w:t>
            </w:r>
          </w:p>
        </w:tc>
        <w:tc>
          <w:tcPr>
            <w:tcW w:w="1740" w:type="dxa"/>
            <w:vAlign w:val="bottom"/>
          </w:tcPr>
          <w:p>
            <w:pPr>
              <w:spacing w:after="0"/>
              <w:rPr>
                <w:sz w:val="24"/>
                <w:szCs w:val="24"/>
                <w:color w:val="auto"/>
              </w:rPr>
            </w:pPr>
          </w:p>
        </w:tc>
      </w:tr>
    </w:tbl>
    <w:p>
      <w:pPr>
        <w:sectPr>
          <w:pgSz w:w="11900" w:h="16838" w:orient="portrait"/>
          <w:cols w:equalWidth="0" w:num="1">
            <w:col w:w="10219"/>
          </w:cols>
          <w:pgMar w:left="240" w:top="470" w:right="144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SCHEDULE</w:t>
            </w:r>
          </w:p>
        </w:tc>
        <w:tc>
          <w:tcPr>
            <w:tcW w:w="2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6"/>
        </w:trPr>
        <w:tc>
          <w:tcPr>
            <w:tcW w:w="5760" w:type="dxa"/>
            <w:vAlign w:val="bottom"/>
          </w:tcPr>
          <w:p>
            <w:pPr>
              <w:ind w:left="1640"/>
              <w:spacing w:after="0"/>
              <w:rPr>
                <w:sz w:val="20"/>
                <w:szCs w:val="20"/>
                <w:color w:val="auto"/>
              </w:rPr>
            </w:pPr>
            <w:r>
              <w:rPr>
                <w:rFonts w:ascii="Courier New" w:cs="Courier New" w:eastAsia="Courier New" w:hAnsi="Courier New"/>
                <w:sz w:val="15"/>
                <w:szCs w:val="15"/>
                <w:color w:val="auto"/>
              </w:rPr>
              <w:t>THE TORO COMPANY INVESTMENT AND SAVINGS PLAN</w:t>
            </w:r>
          </w:p>
        </w:tc>
        <w:tc>
          <w:tcPr>
            <w:tcW w:w="18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52"/>
        </w:trPr>
        <w:tc>
          <w:tcPr>
            <w:tcW w:w="5760" w:type="dxa"/>
            <w:vAlign w:val="bottom"/>
          </w:tcPr>
          <w:p>
            <w:pPr>
              <w:ind w:left="1820"/>
              <w:spacing w:after="0"/>
              <w:rPr>
                <w:sz w:val="20"/>
                <w:szCs w:val="20"/>
                <w:color w:val="auto"/>
              </w:rPr>
            </w:pPr>
            <w:r>
              <w:rPr>
                <w:rFonts w:ascii="Courier New" w:cs="Courier New" w:eastAsia="Courier New" w:hAnsi="Courier New"/>
                <w:sz w:val="15"/>
                <w:szCs w:val="15"/>
                <w:color w:val="auto"/>
              </w:rPr>
              <w:t>Schedule of Assets (Held at End of Year)</w:t>
            </w:r>
          </w:p>
        </w:tc>
        <w:tc>
          <w:tcPr>
            <w:tcW w:w="1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52"/>
        </w:trPr>
        <w:tc>
          <w:tcPr>
            <w:tcW w:w="5760" w:type="dxa"/>
            <w:vAlign w:val="bottom"/>
          </w:tcPr>
          <w:p>
            <w:pPr>
              <w:ind w:left="2920"/>
              <w:spacing w:after="0"/>
              <w:rPr>
                <w:sz w:val="20"/>
                <w:szCs w:val="20"/>
                <w:color w:val="auto"/>
              </w:rPr>
            </w:pPr>
            <w:r>
              <w:rPr>
                <w:rFonts w:ascii="Courier New" w:cs="Courier New" w:eastAsia="Courier New" w:hAnsi="Courier New"/>
                <w:sz w:val="15"/>
                <w:szCs w:val="15"/>
                <w:color w:val="auto"/>
              </w:rPr>
              <w:t>December 31, 2001</w:t>
            </w:r>
          </w:p>
        </w:tc>
        <w:tc>
          <w:tcPr>
            <w:tcW w:w="1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881"/>
        </w:trPr>
        <w:tc>
          <w:tcPr>
            <w:tcW w:w="5760" w:type="dxa"/>
            <w:vAlign w:val="bottom"/>
          </w:tcPr>
          <w:p>
            <w:pPr>
              <w:spacing w:after="0"/>
              <w:rPr>
                <w:sz w:val="24"/>
                <w:szCs w:val="24"/>
                <w:color w:val="auto"/>
              </w:rPr>
            </w:pPr>
          </w:p>
        </w:tc>
        <w:tc>
          <w:tcPr>
            <w:tcW w:w="1880" w:type="dxa"/>
            <w:vAlign w:val="bottom"/>
          </w:tcPr>
          <w:p>
            <w:pPr>
              <w:ind w:left="380"/>
              <w:spacing w:after="0"/>
              <w:rPr>
                <w:sz w:val="20"/>
                <w:szCs w:val="20"/>
                <w:color w:val="auto"/>
              </w:rPr>
            </w:pPr>
            <w:r>
              <w:rPr>
                <w:rFonts w:ascii="Courier New" w:cs="Courier New" w:eastAsia="Courier New" w:hAnsi="Courier New"/>
                <w:sz w:val="15"/>
                <w:szCs w:val="15"/>
                <w:color w:val="auto"/>
              </w:rPr>
              <w:t>FACE</w:t>
            </w:r>
          </w:p>
        </w:tc>
        <w:tc>
          <w:tcPr>
            <w:tcW w:w="2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6"/>
        </w:trPr>
        <w:tc>
          <w:tcPr>
            <w:tcW w:w="5760" w:type="dxa"/>
            <w:vAlign w:val="bottom"/>
          </w:tcPr>
          <w:p>
            <w:pPr>
              <w:spacing w:after="0"/>
              <w:rPr>
                <w:sz w:val="15"/>
                <w:szCs w:val="15"/>
                <w:color w:val="auto"/>
              </w:rPr>
            </w:pPr>
          </w:p>
        </w:tc>
        <w:tc>
          <w:tcPr>
            <w:tcW w:w="18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AMOUNT OR</w:t>
            </w:r>
          </w:p>
        </w:tc>
        <w:tc>
          <w:tcPr>
            <w:tcW w:w="2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6"/>
        </w:trPr>
        <w:tc>
          <w:tcPr>
            <w:tcW w:w="5760" w:type="dxa"/>
            <w:vAlign w:val="bottom"/>
          </w:tcPr>
          <w:p>
            <w:pPr>
              <w:ind w:left="2100"/>
              <w:spacing w:after="0"/>
              <w:rPr>
                <w:sz w:val="20"/>
                <w:szCs w:val="20"/>
                <w:color w:val="auto"/>
              </w:rPr>
            </w:pPr>
            <w:r>
              <w:rPr>
                <w:rFonts w:ascii="Courier New" w:cs="Courier New" w:eastAsia="Courier New" w:hAnsi="Courier New"/>
                <w:sz w:val="15"/>
                <w:szCs w:val="15"/>
                <w:color w:val="auto"/>
              </w:rPr>
              <w:t>DESCRIPTION</w:t>
            </w:r>
          </w:p>
        </w:tc>
        <w:tc>
          <w:tcPr>
            <w:tcW w:w="1880" w:type="dxa"/>
            <w:vAlign w:val="bottom"/>
          </w:tcPr>
          <w:p>
            <w:pPr>
              <w:ind w:left="380"/>
              <w:spacing w:after="0"/>
              <w:rPr>
                <w:sz w:val="20"/>
                <w:szCs w:val="20"/>
                <w:color w:val="auto"/>
              </w:rPr>
            </w:pPr>
            <w:r>
              <w:rPr>
                <w:rFonts w:ascii="Courier New" w:cs="Courier New" w:eastAsia="Courier New" w:hAnsi="Courier New"/>
                <w:sz w:val="15"/>
                <w:szCs w:val="15"/>
                <w:color w:val="auto"/>
              </w:rPr>
              <w:t>SHARES</w:t>
            </w:r>
          </w:p>
        </w:tc>
        <w:tc>
          <w:tcPr>
            <w:tcW w:w="22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COST</w:t>
            </w:r>
          </w:p>
        </w:tc>
        <w:tc>
          <w:tcPr>
            <w:tcW w:w="16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FAIR VALUE</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760" w:type="dxa"/>
            <w:vAlign w:val="bottom"/>
          </w:tcPr>
          <w:p>
            <w:pPr>
              <w:spacing w:after="0"/>
              <w:rPr>
                <w:sz w:val="20"/>
                <w:szCs w:val="20"/>
                <w:color w:val="auto"/>
              </w:rPr>
            </w:pPr>
            <w:r>
              <w:rPr>
                <w:rFonts w:ascii="Courier New" w:cs="Courier New" w:eastAsia="Courier New" w:hAnsi="Courier New"/>
                <w:sz w:val="15"/>
                <w:szCs w:val="15"/>
                <w:color w:val="auto"/>
              </w:rPr>
              <w:t>The Toro Company Common Stock**</w:t>
            </w:r>
          </w:p>
        </w:tc>
        <w:tc>
          <w:tcPr>
            <w:tcW w:w="18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689,471</w:t>
            </w:r>
          </w:p>
        </w:tc>
        <w:tc>
          <w:tcPr>
            <w:tcW w:w="22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  20,880,271</w:t>
            </w: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31,026,196</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Wells Fargo Stable Value Fund</w:t>
            </w:r>
          </w:p>
        </w:tc>
        <w:tc>
          <w:tcPr>
            <w:tcW w:w="18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1,418,517</w:t>
            </w:r>
          </w:p>
        </w:tc>
        <w:tc>
          <w:tcPr>
            <w:tcW w:w="2200" w:type="dxa"/>
            <w:vAlign w:val="bottom"/>
          </w:tcPr>
          <w:p>
            <w:pPr>
              <w:spacing w:after="0"/>
              <w:rPr>
                <w:sz w:val="15"/>
                <w:szCs w:val="15"/>
                <w:color w:val="auto"/>
              </w:rPr>
            </w:pP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45,351,817</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Putnam S&amp;P 500 Fund*</w:t>
            </w:r>
          </w:p>
        </w:tc>
        <w:tc>
          <w:tcPr>
            <w:tcW w:w="18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53,955</w:t>
            </w:r>
          </w:p>
        </w:tc>
        <w:tc>
          <w:tcPr>
            <w:tcW w:w="2200" w:type="dxa"/>
            <w:vAlign w:val="bottom"/>
          </w:tcPr>
          <w:p>
            <w:pPr>
              <w:spacing w:after="0"/>
              <w:rPr>
                <w:sz w:val="15"/>
                <w:szCs w:val="15"/>
                <w:color w:val="auto"/>
              </w:rPr>
            </w:pP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1,502,647</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Putnam Asset Allocation: Growth Fund*</w:t>
            </w:r>
          </w:p>
        </w:tc>
        <w:tc>
          <w:tcPr>
            <w:tcW w:w="18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1,134,123</w:t>
            </w:r>
          </w:p>
        </w:tc>
        <w:tc>
          <w:tcPr>
            <w:tcW w:w="2200" w:type="dxa"/>
            <w:vAlign w:val="bottom"/>
          </w:tcPr>
          <w:p>
            <w:pPr>
              <w:spacing w:after="0"/>
              <w:rPr>
                <w:sz w:val="15"/>
                <w:szCs w:val="15"/>
                <w:color w:val="auto"/>
              </w:rPr>
            </w:pP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10,932,947</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Putnam Asset Allocation: Balanced Fund*</w:t>
            </w:r>
          </w:p>
        </w:tc>
        <w:tc>
          <w:tcPr>
            <w:tcW w:w="18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1,475,814</w:t>
            </w:r>
          </w:p>
        </w:tc>
        <w:tc>
          <w:tcPr>
            <w:tcW w:w="2200" w:type="dxa"/>
            <w:vAlign w:val="bottom"/>
          </w:tcPr>
          <w:p>
            <w:pPr>
              <w:spacing w:after="0"/>
              <w:rPr>
                <w:sz w:val="15"/>
                <w:szCs w:val="15"/>
                <w:color w:val="auto"/>
              </w:rPr>
            </w:pP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14,492,489</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Putnam Asset Allocation: Conservative Fund*</w:t>
            </w:r>
          </w:p>
        </w:tc>
        <w:tc>
          <w:tcPr>
            <w:tcW w:w="18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628,682</w:t>
            </w:r>
          </w:p>
        </w:tc>
        <w:tc>
          <w:tcPr>
            <w:tcW w:w="2200" w:type="dxa"/>
            <w:vAlign w:val="bottom"/>
          </w:tcPr>
          <w:p>
            <w:pPr>
              <w:spacing w:after="0"/>
              <w:rPr>
                <w:sz w:val="15"/>
                <w:szCs w:val="15"/>
                <w:color w:val="auto"/>
              </w:rPr>
            </w:pP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5,469,529</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Putnam Growth Opportunities</w:t>
            </w:r>
          </w:p>
        </w:tc>
        <w:tc>
          <w:tcPr>
            <w:tcW w:w="18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6"/>
        </w:trPr>
        <w:tc>
          <w:tcPr>
            <w:tcW w:w="5760" w:type="dxa"/>
            <w:vAlign w:val="bottom"/>
          </w:tcPr>
          <w:p>
            <w:pPr>
              <w:ind w:left="460"/>
              <w:spacing w:after="0"/>
              <w:rPr>
                <w:sz w:val="20"/>
                <w:szCs w:val="20"/>
                <w:color w:val="auto"/>
              </w:rPr>
            </w:pPr>
            <w:r>
              <w:rPr>
                <w:rFonts w:ascii="Courier New" w:cs="Courier New" w:eastAsia="Courier New" w:hAnsi="Courier New"/>
                <w:sz w:val="15"/>
                <w:szCs w:val="15"/>
                <w:color w:val="auto"/>
              </w:rPr>
              <w:t>Fund - International*</w:t>
            </w:r>
          </w:p>
        </w:tc>
        <w:tc>
          <w:tcPr>
            <w:tcW w:w="18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591,108</w:t>
            </w:r>
          </w:p>
        </w:tc>
        <w:tc>
          <w:tcPr>
            <w:tcW w:w="2200" w:type="dxa"/>
            <w:vAlign w:val="bottom"/>
          </w:tcPr>
          <w:p>
            <w:pPr>
              <w:spacing w:after="0"/>
              <w:rPr>
                <w:sz w:val="15"/>
                <w:szCs w:val="15"/>
                <w:color w:val="auto"/>
              </w:rPr>
            </w:pP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11,792,599</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Putnam Growth Opportunities Fund*</w:t>
            </w:r>
          </w:p>
        </w:tc>
        <w:tc>
          <w:tcPr>
            <w:tcW w:w="18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309,699</w:t>
            </w:r>
          </w:p>
        </w:tc>
        <w:tc>
          <w:tcPr>
            <w:tcW w:w="2200" w:type="dxa"/>
            <w:vAlign w:val="bottom"/>
          </w:tcPr>
          <w:p>
            <w:pPr>
              <w:spacing w:after="0"/>
              <w:rPr>
                <w:sz w:val="15"/>
                <w:szCs w:val="15"/>
                <w:color w:val="auto"/>
              </w:rPr>
            </w:pP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4,636,199</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Putnam Voyager Fund*</w:t>
            </w:r>
          </w:p>
        </w:tc>
        <w:tc>
          <w:tcPr>
            <w:tcW w:w="18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3,028,288</w:t>
            </w:r>
          </w:p>
        </w:tc>
        <w:tc>
          <w:tcPr>
            <w:tcW w:w="2200" w:type="dxa"/>
            <w:vAlign w:val="bottom"/>
          </w:tcPr>
          <w:p>
            <w:pPr>
              <w:spacing w:after="0"/>
              <w:rPr>
                <w:sz w:val="15"/>
                <w:szCs w:val="15"/>
                <w:color w:val="auto"/>
              </w:rPr>
            </w:pP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53,812,677</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Lord Abbett Affiliated Fund</w:t>
            </w:r>
          </w:p>
        </w:tc>
        <w:tc>
          <w:tcPr>
            <w:tcW w:w="18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3,163,348</w:t>
            </w:r>
          </w:p>
        </w:tc>
        <w:tc>
          <w:tcPr>
            <w:tcW w:w="2200" w:type="dxa"/>
            <w:vAlign w:val="bottom"/>
          </w:tcPr>
          <w:p>
            <w:pPr>
              <w:spacing w:after="0"/>
              <w:rPr>
                <w:sz w:val="15"/>
                <w:szCs w:val="15"/>
                <w:color w:val="auto"/>
              </w:rPr>
            </w:pP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43,306,240</w:t>
            </w: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UAM ICM Small Company Portfolio</w:t>
            </w:r>
          </w:p>
        </w:tc>
        <w:tc>
          <w:tcPr>
            <w:tcW w:w="18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148,407</w:t>
            </w:r>
          </w:p>
        </w:tc>
        <w:tc>
          <w:tcPr>
            <w:tcW w:w="2200" w:type="dxa"/>
            <w:vAlign w:val="bottom"/>
          </w:tcPr>
          <w:p>
            <w:pPr>
              <w:spacing w:after="0"/>
              <w:rPr>
                <w:sz w:val="15"/>
                <w:szCs w:val="15"/>
                <w:color w:val="auto"/>
              </w:rPr>
            </w:pP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3,839,297</w:t>
            </w:r>
          </w:p>
        </w:tc>
      </w:tr>
      <w:tr>
        <w:trPr>
          <w:trHeight w:val="176"/>
        </w:trPr>
        <w:tc>
          <w:tcPr>
            <w:tcW w:w="57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8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5760" w:type="dxa"/>
            <w:vAlign w:val="bottom"/>
          </w:tcPr>
          <w:p>
            <w:pPr>
              <w:ind w:left="1560"/>
              <w:spacing w:after="0"/>
              <w:rPr>
                <w:sz w:val="20"/>
                <w:szCs w:val="20"/>
                <w:color w:val="auto"/>
              </w:rPr>
            </w:pPr>
            <w:r>
              <w:rPr>
                <w:rFonts w:ascii="Courier New" w:cs="Courier New" w:eastAsia="Courier New" w:hAnsi="Courier New"/>
                <w:sz w:val="15"/>
                <w:szCs w:val="15"/>
                <w:color w:val="auto"/>
              </w:rPr>
              <w:t>Total</w:t>
            </w:r>
          </w:p>
        </w:tc>
        <w:tc>
          <w:tcPr>
            <w:tcW w:w="188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226,162,637</w:t>
            </w:r>
          </w:p>
        </w:tc>
      </w:tr>
      <w:tr>
        <w:trPr>
          <w:trHeight w:val="176"/>
        </w:trPr>
        <w:tc>
          <w:tcPr>
            <w:tcW w:w="57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8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*Party-in-interest.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**Party-in-interest and nonparticipant-directed.</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independent auditors' report.</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520"/>
          </w:cols>
          <w:pgMar w:left="240" w:top="470" w:right="139" w:bottom="1440" w:gutter="0" w:footer="0" w:header="0"/>
        </w:sectPr>
      </w:pPr>
    </w:p>
    <w:bookmarkStart w:id="14" w:name="page15"/>
    <w:bookmarkEnd w:id="14"/>
    <w:p>
      <w:pPr>
        <w:jc w:val="right"/>
        <w:ind w:right="2899"/>
        <w:spacing w:after="0"/>
        <w:rPr>
          <w:sz w:val="20"/>
          <w:szCs w:val="20"/>
          <w:color w:val="auto"/>
        </w:rPr>
      </w:pPr>
      <w:r>
        <w:rPr>
          <w:rFonts w:ascii="Courier New" w:cs="Courier New" w:eastAsia="Courier New" w:hAnsi="Courier New"/>
          <w:sz w:val="15"/>
          <w:szCs w:val="15"/>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INDEPENDENT AUDITORS' CONSENT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Toro Company:</w:t>
      </w:r>
    </w:p>
    <w:p>
      <w:pPr>
        <w:spacing w:after="0" w:line="200" w:lineRule="exact"/>
        <w:rPr>
          <w:sz w:val="20"/>
          <w:szCs w:val="20"/>
          <w:color w:val="auto"/>
        </w:rPr>
      </w:pPr>
    </w:p>
    <w:p>
      <w:pPr>
        <w:spacing w:after="0" w:line="33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We consent to incorporation by reference in the Registration Statement No. 33-59563 on Form S-8 of The Toro Company of our report dated June 12, 2002, relating to the statements of net assets available for plan benefits of The Toro Company Investment and Savings Plan as of December 31, 2001 and 2000, and the related statements of changes in net assets available for plan benefits for the years then ended and supplemental schedule as of December 31, 2001, which report is included in Form 11-K of The Toro Company.</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28, 2002</w:t>
      </w:r>
    </w:p>
    <w:sectPr>
      <w:pgSz w:w="11900" w:h="16838" w:orient="portrait"/>
      <w:cols w:equalWidth="0" w:num="1">
        <w:col w:w="10219"/>
      </w:cols>
      <w:pgMar w:left="240" w:top="3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upperLetter"/>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lvl w:ilvl="1">
      <w:lvlJc w:val="left"/>
      <w:lvlText w:val="(%2)"/>
      <w:numFmt w:val="lowerLetter"/>
      <w:start w:val="1"/>
    </w:lvl>
  </w:abstractNum>
  <w:abstractNum w:abstractNumId="5">
    <w:nsid w:val="7545E146"/>
    <w:multiLevelType w:val="hybridMultilevel"/>
    <w:lvl w:ilvl="0">
      <w:lvlJc w:val="left"/>
      <w:lvlText w:val="(%1)"/>
      <w:numFmt w:val="decimal"/>
      <w:start w:val="2"/>
    </w:lvl>
  </w:abstractNum>
  <w:abstractNum w:abstractNumId="6">
    <w:nsid w:val="515F007C"/>
    <w:multiLevelType w:val="hybridMultilevel"/>
    <w:lvl w:ilvl="0">
      <w:lvlJc w:val="left"/>
      <w:lvlText w:val="(%1)"/>
      <w:numFmt w:val="decimal"/>
      <w:start w:val="6"/>
    </w:lvl>
  </w:abstractNum>
  <w:abstractNum w:abstractNumId="7">
    <w:nsid w:val="5BD062C2"/>
    <w:multiLevelType w:val="hybridMultilevel"/>
    <w:lvl w:ilvl="0">
      <w:lvlJc w:val="left"/>
      <w:lvlText w:val="(%1)"/>
      <w:numFmt w:val="decimal"/>
      <w:start w:val="7"/>
    </w:lvl>
    <w:lvl w:ilvl="1">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2019-12-13T14:03:29Z</dcterms:created>
  <dcterms:modified xsi:type="dcterms:W3CDTF">2019-12-13T14:03:29Z</dcterms:modified>
</cp:coreProperties>
</file>