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jc w:val="center"/>
        <w:ind w:right="-7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-3804285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-3384550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-2827020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-2020570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jc w:val="center"/>
        <w:ind w:right="6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jc w:val="center"/>
        <w:ind w:right="6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660"/>
        <w:spacing w:after="0"/>
        <w:rPr>
          <w:sz w:val="20"/>
          <w:szCs w:val="20"/>
          <w:color w:val="auto"/>
        </w:rPr>
      </w:pPr>
      <w:r>
        <w:rPr>
          <w:rFonts w:ascii="Arial" w:cs="Arial" w:eastAsia="Arial" w:hAnsi="Arial"/>
          <w:sz w:val="22"/>
          <w:szCs w:val="22"/>
          <w:b w:val="1"/>
          <w:bCs w:val="1"/>
          <w:color w:val="auto"/>
        </w:rPr>
        <w:t>Shareholder Meeting to Be Held on March 18, 2014.</w:t>
      </w:r>
    </w:p>
    <w:p>
      <w:pPr>
        <w:sectPr>
          <w:pgSz w:w="11900" w:h="16838" w:orient="portrait"/>
          <w:cols w:equalWidth="0" w:num="1">
            <w:col w:w="10740"/>
          </w:cols>
          <w:pgMar w:left="920" w:top="247" w:right="239" w:bottom="1440" w:gutter="0" w:footer="0" w:header="0"/>
        </w:sectPr>
      </w:pPr>
    </w:p>
    <w:p>
      <w:pPr>
        <w:spacing w:after="0" w:line="207" w:lineRule="exact"/>
        <w:rPr>
          <w:sz w:val="20"/>
          <w:szCs w:val="20"/>
          <w:color w:val="auto"/>
        </w:rPr>
      </w:pPr>
    </w:p>
    <w:p>
      <w:pPr>
        <w:jc w:val="right"/>
        <w:ind w:right="1540"/>
        <w:spacing w:after="0"/>
        <w:rPr>
          <w:sz w:val="20"/>
          <w:szCs w:val="20"/>
          <w:color w:val="auto"/>
        </w:rPr>
      </w:pPr>
      <w:r>
        <w:rPr>
          <w:rFonts w:ascii="Arial" w:cs="Arial" w:eastAsia="Arial" w:hAnsi="Arial"/>
          <w:sz w:val="22"/>
          <w:szCs w:val="22"/>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666115</wp:posOffset>
            </wp:positionV>
            <wp:extent cx="797560"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75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TORO COMPANY</w:t>
      </w:r>
    </w:p>
    <w:p>
      <w:pPr>
        <w:spacing w:after="0" w:line="223" w:lineRule="auto"/>
        <w:rPr>
          <w:sz w:val="20"/>
          <w:szCs w:val="20"/>
          <w:color w:val="auto"/>
        </w:rPr>
      </w:pPr>
      <w:r>
        <w:rPr>
          <w:rFonts w:ascii="Arial" w:cs="Arial" w:eastAsia="Arial" w:hAnsi="Arial"/>
          <w:sz w:val="14"/>
          <w:szCs w:val="14"/>
          <w:i w:val="1"/>
          <w:iCs w:val="1"/>
          <w:color w:val="auto"/>
        </w:rPr>
        <w:t>8111 LYNDALE AVENUE SOUTH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BLOOMINGTON, MN 55420-1196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300990</wp:posOffset>
            </wp:positionV>
            <wp:extent cx="60325" cy="875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75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74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-127635</wp:posOffset>
            </wp:positionV>
            <wp:extent cx="3567430" cy="143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7430" cy="1431925"/>
                    </a:xfrm>
                    <a:prstGeom prst="rect">
                      <a:avLst/>
                    </a:prstGeom>
                    <a:noFill/>
                  </pic:spPr>
                </pic:pic>
              </a:graphicData>
            </a:graphic>
          </wp:anchor>
        </w:drawing>
      </w:r>
    </w:p>
    <w:p>
      <w:pPr>
        <w:spacing w:after="0" w:line="138"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13"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January 22, 2014</w:t>
      </w:r>
    </w:p>
    <w:p>
      <w:pPr>
        <w:ind w:left="240"/>
        <w:spacing w:after="0"/>
        <w:tabs>
          <w:tab w:leader="none" w:pos="860" w:val="left"/>
          <w:tab w:leader="none" w:pos="25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18, 2014</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1:30 PM CDT</w:t>
      </w:r>
    </w:p>
    <w:p>
      <w:pPr>
        <w:ind w:left="240"/>
        <w:spacing w:after="0" w:line="235" w:lineRule="auto"/>
        <w:tabs>
          <w:tab w:leader="none" w:pos="12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The Toro Company</w:t>
      </w:r>
    </w:p>
    <w:p>
      <w:pPr>
        <w:ind w:left="1260"/>
        <w:spacing w:after="0" w:line="235" w:lineRule="auto"/>
        <w:rPr>
          <w:sz w:val="20"/>
          <w:szCs w:val="20"/>
          <w:color w:val="auto"/>
        </w:rPr>
      </w:pPr>
      <w:r>
        <w:rPr>
          <w:rFonts w:ascii="Arial" w:cs="Arial" w:eastAsia="Arial" w:hAnsi="Arial"/>
          <w:sz w:val="18"/>
          <w:szCs w:val="18"/>
          <w:color w:val="auto"/>
        </w:rPr>
        <w:t>8111 Lyndale Avenue South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Bloomington, MN 55420</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33" w:lineRule="exact"/>
        <w:rPr>
          <w:sz w:val="20"/>
          <w:szCs w:val="20"/>
          <w:color w:val="auto"/>
        </w:rPr>
      </w:pPr>
    </w:p>
    <w:p>
      <w:pPr>
        <w:sectPr>
          <w:pgSz w:w="11900" w:h="16838" w:orient="portrait"/>
          <w:cols w:equalWidth="0" w:num="2">
            <w:col w:w="4520" w:space="720"/>
            <w:col w:w="5500"/>
          </w:cols>
          <w:pgMar w:left="920" w:top="247" w:right="239" w:bottom="1440" w:gutter="0" w:footer="0" w:header="0"/>
          <w:type w:val="continuous"/>
        </w:sectPr>
      </w:pPr>
    </w:p>
    <w:p>
      <w:pPr>
        <w:ind w:left="5240"/>
        <w:spacing w:after="0"/>
        <w:rPr>
          <w:sz w:val="20"/>
          <w:szCs w:val="20"/>
          <w:color w:val="auto"/>
        </w:rPr>
      </w:pPr>
      <w:r>
        <w:rPr>
          <w:rFonts w:ascii="Arial" w:cs="Arial" w:eastAsia="Arial" w:hAnsi="Arial"/>
          <w:sz w:val="16"/>
          <w:szCs w:val="16"/>
          <w:b w:val="1"/>
          <w:bCs w:val="1"/>
          <w:color w:val="FFFFFF"/>
        </w:rPr>
        <w:t>See the reverse side of this notice to obtain proxy materials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-104140</wp:posOffset>
            </wp:positionV>
            <wp:extent cx="3559175"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257175"/>
                    </a:xfrm>
                    <a:prstGeom prst="rect">
                      <a:avLst/>
                    </a:prstGeom>
                    <a:noFill/>
                  </pic:spPr>
                </pic:pic>
              </a:graphicData>
            </a:graphic>
          </wp:anchor>
        </w:drawing>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FFFFFF"/>
        </w:rPr>
        <w:t>voting instructions.</w:t>
      </w:r>
    </w:p>
    <w:p>
      <w:pPr>
        <w:sectPr>
          <w:pgSz w:w="11900" w:h="16838" w:orient="portrait"/>
          <w:cols w:equalWidth="0" w:num="1">
            <w:col w:w="10740"/>
          </w:cols>
          <w:pgMar w:left="920" w:top="247" w:right="239" w:bottom="144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-104140</wp:posOffset>
            </wp:positionV>
            <wp:extent cx="222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-104140</wp:posOffset>
            </wp:positionV>
            <wp:extent cx="214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1"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How to Access the Proxy Materials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066280" cy="2204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6280" cy="2204085"/>
                    </a:xfrm>
                    <a:prstGeom prst="rect">
                      <a:avLst/>
                    </a:prstGeom>
                    <a:noFill/>
                  </pic:spPr>
                </pic:pic>
              </a:graphicData>
            </a:graphic>
          </wp:anchor>
        </w:drawing>
      </w:r>
    </w:p>
    <w:p>
      <w:pPr>
        <w:ind w:left="240"/>
        <w:spacing w:after="0"/>
        <w:tabs>
          <w:tab w:leader="none" w:pos="342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6"/>
          <w:szCs w:val="16"/>
          <w:color w:val="auto"/>
        </w:rPr>
        <w:t>ANNUAL REPORT</w:t>
      </w:r>
    </w:p>
    <w:p>
      <w:pPr>
        <w:ind w:left="240"/>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0560"/>
          </w:cols>
          <w:pgMar w:left="840" w:top="247" w:right="499" w:bottom="1440" w:gutter="0" w:footer="0" w:header="0"/>
        </w:sectPr>
      </w:pPr>
    </w:p>
    <w:p>
      <w:pPr>
        <w:spacing w:after="0" w:line="50" w:lineRule="exact"/>
        <w:rPr>
          <w:sz w:val="20"/>
          <w:szCs w:val="20"/>
          <w:color w:val="auto"/>
        </w:rPr>
      </w:pPr>
    </w:p>
    <w:p>
      <w:pPr>
        <w:ind w:left="240" w:right="1600"/>
        <w:spacing w:after="0" w:line="239" w:lineRule="auto"/>
        <w:rPr>
          <w:sz w:val="20"/>
          <w:szCs w:val="20"/>
          <w:color w:val="auto"/>
        </w:rPr>
      </w:pPr>
      <w:r>
        <w:rPr>
          <w:rFonts w:ascii="Arial" w:cs="Arial" w:eastAsia="Arial" w:hAnsi="Arial"/>
          <w:sz w:val="18"/>
          <w:szCs w:val="18"/>
          <w:color w:val="auto"/>
        </w:rPr>
        <w:t xml:space="preserve">Have the information that is printed in the box marked by the arrow visit: </w:t>
      </w:r>
      <w:r>
        <w:rPr>
          <w:rFonts w:ascii="Arial" w:cs="Arial" w:eastAsia="Arial" w:hAnsi="Arial"/>
          <w:sz w:val="18"/>
          <w:szCs w:val="18"/>
          <w:i w:val="1"/>
          <w:iCs w:val="1"/>
          <w:color w:val="auto"/>
        </w:rPr>
        <w:t>www.proxyvote.com.</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w:t>
      </w:r>
    </w:p>
    <w:p>
      <w:pPr>
        <w:spacing w:after="0" w:line="253" w:lineRule="exact"/>
        <w:rPr>
          <w:sz w:val="20"/>
          <w:szCs w:val="20"/>
          <w:color w:val="auto"/>
        </w:rPr>
      </w:pPr>
    </w:p>
    <w:p>
      <w:pPr>
        <w:sectPr>
          <w:pgSz w:w="11900" w:h="16838" w:orient="portrait"/>
          <w:cols w:equalWidth="0" w:num="2">
            <w:col w:w="7080" w:space="720"/>
            <w:col w:w="2760"/>
          </w:cols>
          <w:pgMar w:left="840" w:top="247" w:right="499" w:bottom="1440" w:gutter="0" w:footer="0" w:header="0"/>
          <w:type w:val="continuous"/>
        </w:sect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p>
      <w:pPr>
        <w:ind w:left="1740"/>
        <w:spacing w:after="0"/>
        <w:tabs>
          <w:tab w:leader="none" w:pos="35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ind w:left="1940" w:hanging="195"/>
        <w:spacing w:after="0" w:line="235" w:lineRule="auto"/>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(located on the following page) in the subject line.</w:t>
      </w:r>
    </w:p>
    <w:p>
      <w:pPr>
        <w:ind w:left="240"/>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March 4, 2014 to facilitate timely delivery.</w:t>
      </w:r>
    </w:p>
    <w:p>
      <w:pPr>
        <w:spacing w:after="0" w:line="273"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-104140</wp:posOffset>
            </wp:positionV>
            <wp:extent cx="222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-104140</wp:posOffset>
            </wp:positionV>
            <wp:extent cx="214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49530</wp:posOffset>
            </wp:positionV>
            <wp:extent cx="7040880" cy="1046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0880" cy="1046480"/>
                    </a:xfrm>
                    <a:prstGeom prst="rect">
                      <a:avLst/>
                    </a:prstGeom>
                    <a:noFill/>
                  </pic:spPr>
                </pic:pic>
              </a:graphicData>
            </a:graphic>
          </wp:anchor>
        </w:drawing>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Please check the meeting materials for any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-225425</wp:posOffset>
            </wp:positionV>
            <wp:extent cx="60325" cy="875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7503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303655" cy="137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60"/>
          </w:cols>
          <w:pgMar w:left="840" w:top="247" w:right="499" w:bottom="1440" w:gutter="0" w:footer="0" w:header="0"/>
          <w:type w:val="continuous"/>
        </w:sectPr>
      </w:pPr>
    </w:p>
    <w:bookmarkStart w:id="3" w:name="page4"/>
    <w:bookmarkEnd w:id="3"/>
    <w:p>
      <w:pPr>
        <w:ind w:left="38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654685</wp:posOffset>
            </wp:positionH>
            <wp:positionV relativeFrom="page">
              <wp:posOffset>183515</wp:posOffset>
            </wp:positionV>
            <wp:extent cx="25984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8420" cy="12890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6388735</wp:posOffset>
            </wp:positionH>
            <wp:positionV relativeFrom="paragraph">
              <wp:posOffset>2540</wp:posOffset>
            </wp:positionV>
            <wp:extent cx="291465" cy="38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1465" cy="386080"/>
                    </a:xfrm>
                    <a:prstGeom prst="rect">
                      <a:avLst/>
                    </a:prstGeom>
                    <a:noFill/>
                  </pic:spPr>
                </pic:pic>
              </a:graphicData>
            </a:graphic>
          </wp:anchor>
        </w:drawing>
      </w:r>
    </w:p>
    <w:p>
      <w:pPr>
        <w:spacing w:after="0" w:line="4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The Board of Directors recommends</w:t>
      </w:r>
    </w:p>
    <w:p>
      <w:pPr>
        <w:spacing w:after="0" w:line="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you vote FOR the following:</w:t>
      </w:r>
    </w:p>
    <w:p>
      <w:pPr>
        <w:spacing w:after="0" w:line="55" w:lineRule="exact"/>
        <w:rPr>
          <w:sz w:val="20"/>
          <w:szCs w:val="20"/>
          <w:color w:val="auto"/>
        </w:rPr>
      </w:pPr>
    </w:p>
    <w:p>
      <w:pPr>
        <w:ind w:left="307" w:hanging="307"/>
        <w:spacing w:after="0"/>
        <w:tabs>
          <w:tab w:leader="none" w:pos="307"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52" w:lineRule="exact"/>
        <w:rPr>
          <w:rFonts w:ascii="Arial" w:cs="Arial" w:eastAsia="Arial" w:hAnsi="Arial"/>
          <w:sz w:val="14"/>
          <w:szCs w:val="14"/>
          <w:color w:val="auto"/>
        </w:rPr>
      </w:pPr>
    </w:p>
    <w:p>
      <w:pPr>
        <w:ind w:left="307"/>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72" w:lineRule="exact"/>
        <w:rPr>
          <w:rFonts w:ascii="Arial" w:cs="Arial" w:eastAsia="Arial" w:hAnsi="Arial"/>
          <w:sz w:val="14"/>
          <w:szCs w:val="14"/>
          <w:color w:val="auto"/>
        </w:rPr>
      </w:pPr>
    </w:p>
    <w:p>
      <w:pPr>
        <w:ind w:left="527" w:hanging="227"/>
        <w:spacing w:after="0"/>
        <w:tabs>
          <w:tab w:leader="none" w:pos="527" w:val="left"/>
        </w:tabs>
        <w:numPr>
          <w:ilvl w:val="1"/>
          <w:numId w:val="7"/>
        </w:numPr>
        <w:rPr>
          <w:rFonts w:ascii="Arial" w:cs="Arial" w:eastAsia="Arial" w:hAnsi="Arial"/>
          <w:sz w:val="14"/>
          <w:szCs w:val="14"/>
          <w:color w:val="auto"/>
        </w:rPr>
      </w:pPr>
      <w:r>
        <w:rPr>
          <w:rFonts w:ascii="Arial" w:cs="Arial" w:eastAsia="Arial" w:hAnsi="Arial"/>
          <w:sz w:val="14"/>
          <w:szCs w:val="14"/>
          <w:color w:val="auto"/>
        </w:rPr>
        <w:t>Jeffrey M. Ettinger</w:t>
      </w:r>
    </w:p>
    <w:p>
      <w:pPr>
        <w:ind w:left="527" w:hanging="227"/>
        <w:spacing w:after="0" w:line="221" w:lineRule="auto"/>
        <w:tabs>
          <w:tab w:leader="none" w:pos="527" w:val="left"/>
        </w:tabs>
        <w:numPr>
          <w:ilvl w:val="1"/>
          <w:numId w:val="7"/>
        </w:numPr>
        <w:rPr>
          <w:rFonts w:ascii="Arial" w:cs="Arial" w:eastAsia="Arial" w:hAnsi="Arial"/>
          <w:sz w:val="14"/>
          <w:szCs w:val="14"/>
          <w:color w:val="auto"/>
        </w:rPr>
      </w:pPr>
      <w:r>
        <w:rPr>
          <w:rFonts w:ascii="Arial" w:cs="Arial" w:eastAsia="Arial" w:hAnsi="Arial"/>
          <w:sz w:val="14"/>
          <w:szCs w:val="14"/>
          <w:color w:val="auto"/>
        </w:rPr>
        <w:t>Katherine J. Harless</w:t>
      </w:r>
    </w:p>
    <w:p>
      <w:pPr>
        <w:ind w:left="527" w:hanging="227"/>
        <w:spacing w:after="0"/>
        <w:tabs>
          <w:tab w:leader="none" w:pos="527" w:val="left"/>
        </w:tabs>
        <w:numPr>
          <w:ilvl w:val="1"/>
          <w:numId w:val="7"/>
        </w:numPr>
        <w:rPr>
          <w:rFonts w:ascii="Arial" w:cs="Arial" w:eastAsia="Arial" w:hAnsi="Arial"/>
          <w:sz w:val="14"/>
          <w:szCs w:val="14"/>
          <w:color w:val="auto"/>
        </w:rPr>
      </w:pPr>
      <w:r>
        <w:rPr>
          <w:rFonts w:ascii="Arial" w:cs="Arial" w:eastAsia="Arial" w:hAnsi="Arial"/>
          <w:sz w:val="14"/>
          <w:szCs w:val="14"/>
          <w:color w:val="auto"/>
        </w:rPr>
        <w:t>Michael J. Hoffman</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66" w:lineRule="exact"/>
        <w:rPr>
          <w:sz w:val="20"/>
          <w:szCs w:val="20"/>
          <w:color w:val="auto"/>
        </w:rPr>
      </w:pPr>
    </w:p>
    <w:p>
      <w:pPr>
        <w:ind w:left="307" w:hanging="307"/>
        <w:spacing w:after="0"/>
        <w:tabs>
          <w:tab w:leader="none" w:pos="307" w:val="left"/>
        </w:tabs>
        <w:numPr>
          <w:ilvl w:val="0"/>
          <w:numId w:val="8"/>
        </w:numPr>
        <w:rPr>
          <w:rFonts w:ascii="Arial" w:cs="Arial" w:eastAsia="Arial" w:hAnsi="Arial"/>
          <w:sz w:val="12"/>
          <w:szCs w:val="12"/>
          <w:color w:val="auto"/>
        </w:rPr>
      </w:pPr>
      <w:r>
        <w:rPr>
          <w:rFonts w:ascii="Arial" w:cs="Arial" w:eastAsia="Arial" w:hAnsi="Arial"/>
          <w:sz w:val="12"/>
          <w:szCs w:val="12"/>
          <w:color w:val="auto"/>
        </w:rPr>
        <w:t>Ratification of the selection of KPMG LLP as our independent registered public accounting firm for our fiscal year ending October 31, 2014.</w:t>
      </w:r>
    </w:p>
    <w:p>
      <w:pPr>
        <w:spacing w:after="0" w:line="159" w:lineRule="exact"/>
        <w:rPr>
          <w:rFonts w:ascii="Arial" w:cs="Arial" w:eastAsia="Arial" w:hAnsi="Arial"/>
          <w:sz w:val="12"/>
          <w:szCs w:val="12"/>
          <w:color w:val="auto"/>
        </w:rPr>
      </w:pPr>
    </w:p>
    <w:p>
      <w:pPr>
        <w:ind w:left="287" w:hanging="287"/>
        <w:spacing w:after="0"/>
        <w:tabs>
          <w:tab w:leader="none" w:pos="287"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Approval, on an advisory basis, of our executive compensation.</w:t>
      </w:r>
    </w:p>
    <w:p>
      <w:pPr>
        <w:spacing w:after="0" w:line="120" w:lineRule="exact"/>
        <w:rPr>
          <w:sz w:val="20"/>
          <w:szCs w:val="20"/>
          <w:color w:val="auto"/>
        </w:rPr>
      </w:pPr>
    </w:p>
    <w:p>
      <w:pPr>
        <w:ind w:left="7" w:right="1339"/>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any other business properly brought before the annual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246380</wp:posOffset>
            </wp:positionV>
            <wp:extent cx="60325" cy="875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75030"/>
                    </a:xfrm>
                    <a:prstGeom prst="rect">
                      <a:avLst/>
                    </a:prstGeom>
                    <a:noFill/>
                  </pic:spPr>
                </pic:pic>
              </a:graphicData>
            </a:graphic>
          </wp:anchor>
        </w:drawing>
      </w:r>
    </w:p>
    <w:p>
      <w:pPr>
        <w:sectPr>
          <w:pgSz w:w="11900" w:h="16838" w:orient="portrait"/>
          <w:cols w:equalWidth="0" w:num="1">
            <w:col w:w="9306"/>
          </w:cols>
          <w:pgMar w:left="1153" w:top="298"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183515</wp:posOffset>
            </wp:positionV>
            <wp:extent cx="29146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1564005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1598295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2395855</wp:posOffset>
            </wp:positionV>
            <wp:extent cx="60325" cy="883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325" cy="8832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2"/>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2019-12-05T20:39:52Z</dcterms:created>
  <dcterms:modified xsi:type="dcterms:W3CDTF">2019-12-05T20:39:52Z</dcterms:modified>
</cp:coreProperties>
</file>