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Funk Edric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Group VP, Golf, Grounds &amp; Irr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58"/>
        <w:gridCol w:w="914"/>
        <w:gridCol w:w="785"/>
        <w:gridCol w:w="607"/>
        <w:gridCol w:w="338"/>
        <w:gridCol w:w="1000"/>
        <w:gridCol w:w="416"/>
        <w:gridCol w:w="742"/>
        <w:gridCol w:w="1289"/>
        <w:gridCol w:w="957"/>
        <w:gridCol w:w="119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5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5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5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742.924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842.924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81.03</w:t>
            </w:r>
            <w:r>
              <w:rPr/>
              <w:t xml:space="preserve"> </w:t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614.924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2,905.676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Toro Company Retirement Plan</w:t>
            </w:r>
          </w:p>
        </w:tc>
      </w:tr>
    </w:tbl>
    <w:tbl>
      <w:tblPr>
        <w:tblW w:w="124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4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742.924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742.924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1,486.859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11.425 net shares acquired by the reporting person since the date of his last report under the dividend reinvestment feature of The Toro Company Retirement Plan less non-discretionary quarterly administrative fees.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TTC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and become non-forfeitable in three equal annual installments commencing on the first anniversary of the November 1, 2022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2093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667</Words>
  <Characters>3622</Characters>
  <CharactersWithSpaces>4207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