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682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Gary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06/09/2022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6,842</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21.555</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38,011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6,842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83.238</w:t>
            </w:r>
            <w:r>
              <w:rPr>
                <w:rFonts w:ascii="Times New Roman" w:cs="Times New Roman" w:eastAsia="Times New Roman" w:hAnsi="Times New Roman"/>
                <w:sz w:val="21"/>
                <w:szCs w:val="21"/>
                <w:color w:val="008000"/>
                <w:w w:val="9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31,169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9"/>
              </w:rPr>
              <w:t>Common Stock Units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3,926.966</w:t>
            </w:r>
            <w:r>
              <w:rPr>
                <w:rFonts w:ascii="Times New Roman" w:cs="Times New Roman" w:eastAsia="Times New Roman" w:hAnsi="Times New Roman"/>
                <w:sz w:val="21"/>
                <w:szCs w:val="21"/>
                <w:color w:val="008000"/>
                <w:w w:val="97"/>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21.555</w:t>
            </w: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6,842</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11/01/2022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6,842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$83.210 to $83.265,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25.575 common stock units acquired by the reporting person under the dividend reinvestment feature of The Toro Company Deferred Compensation Plan for Non-Employee Directors since the date of his last report.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1, 2012.</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2022-06-10T14:33:20Z</dcterms:created>
  <dcterms:modified xsi:type="dcterms:W3CDTF">2022-06-10T14:33:20Z</dcterms:modified>
</cp:coreProperties>
</file>