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Dordell Timothy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11/06/2008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VP, Secretary, General Counsel</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11/06/2008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G</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1,831.622</w:t>
            </w:r>
            <w:r>
              <w:rPr>
                <w:rFonts w:ascii="Arial" w:cs="Arial" w:eastAsia="Arial" w:hAnsi="Arial"/>
                <w:sz w:val="22"/>
                <w:szCs w:val="22"/>
                <w:color w:val="008000"/>
                <w:w w:val="85"/>
                <w:vertAlign w:val="superscript"/>
              </w:rPr>
              <w:t>(1)</w:t>
            </w:r>
          </w:p>
        </w:tc>
        <w:tc>
          <w:tcPr>
            <w:tcW w:w="46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tcPr>
          <w:p>
            <w:pPr>
              <w:jc w:val="center"/>
              <w:ind w:left="19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8"/>
                <w:szCs w:val="18"/>
                <w:color w:val="0000FF"/>
                <w:w w:val="86"/>
              </w:rPr>
              <w:t>855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11/06/2008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F</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855</w:t>
            </w:r>
            <w:r>
              <w:rPr>
                <w:rFonts w:ascii="Arial" w:cs="Arial" w:eastAsia="Arial" w:hAnsi="Arial"/>
                <w:sz w:val="22"/>
                <w:szCs w:val="22"/>
                <w:color w:val="008000"/>
                <w:w w:val="83"/>
                <w:vertAlign w:val="superscript"/>
              </w:rPr>
              <w:t>(2)</w:t>
            </w:r>
          </w:p>
        </w:tc>
        <w:tc>
          <w:tcPr>
            <w:tcW w:w="46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jc w:val="center"/>
              <w:ind w:left="3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31.27</w:t>
            </w: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97"/>
              <w:spacing w:after="0"/>
              <w:rPr>
                <w:sz w:val="20"/>
                <w:szCs w:val="20"/>
                <w:color w:val="auto"/>
              </w:rPr>
            </w:pPr>
            <w:r>
              <w:rPr>
                <w:rFonts w:ascii="Arial" w:cs="Arial" w:eastAsia="Arial" w:hAnsi="Arial"/>
                <w:sz w:val="18"/>
                <w:szCs w:val="18"/>
                <w:color w:val="0000FF"/>
                <w:w w:val="99"/>
              </w:rPr>
              <w:t>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11/06/2008</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G</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1,831.622</w:t>
            </w:r>
            <w:r>
              <w:rPr>
                <w:rFonts w:ascii="Arial" w:cs="Arial" w:eastAsia="Arial" w:hAnsi="Arial"/>
                <w:sz w:val="22"/>
                <w:szCs w:val="22"/>
                <w:color w:val="008000"/>
                <w:w w:val="85"/>
                <w:vertAlign w:val="superscript"/>
              </w:rPr>
              <w:t>(1)</w:t>
            </w:r>
          </w:p>
        </w:tc>
        <w:tc>
          <w:tcPr>
            <w:tcW w:w="46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left="19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left="28"/>
              <w:spacing w:after="0"/>
              <w:rPr>
                <w:sz w:val="20"/>
                <w:szCs w:val="20"/>
                <w:color w:val="auto"/>
              </w:rPr>
            </w:pPr>
            <w:r>
              <w:rPr>
                <w:rFonts w:ascii="Arial" w:cs="Arial" w:eastAsia="Arial" w:hAnsi="Arial"/>
                <w:sz w:val="18"/>
                <w:szCs w:val="18"/>
                <w:color w:val="0000FF"/>
                <w:w w:val="87"/>
              </w:rPr>
              <w:t>1,831.622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I</w:t>
            </w: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center"/>
              <w:ind w:left="28"/>
              <w:spacing w:after="0" w:line="217" w:lineRule="exact"/>
              <w:rPr>
                <w:sz w:val="20"/>
                <w:szCs w:val="20"/>
                <w:color w:val="auto"/>
              </w:rPr>
            </w:pPr>
            <w:r>
              <w:rPr>
                <w:rFonts w:ascii="Arial" w:cs="Arial" w:eastAsia="Arial" w:hAnsi="Arial"/>
                <w:sz w:val="18"/>
                <w:szCs w:val="18"/>
                <w:color w:val="0000FF"/>
                <w:w w:val="85"/>
              </w:rPr>
              <w:t>1.023</w:t>
            </w:r>
            <w:r>
              <w:rPr>
                <w:rFonts w:ascii="Arial" w:cs="Arial" w:eastAsia="Arial" w:hAnsi="Arial"/>
                <w:sz w:val="22"/>
                <w:szCs w:val="22"/>
                <w:color w:val="008000"/>
                <w:w w:val="85"/>
                <w:vertAlign w:val="superscript"/>
              </w:rPr>
              <w:t>(3)</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contribution to, and acquisition by, the Timothy P. Dordell Revocable Trust of shares of common stock acquired in connection with the vesting of the Inducement Grant (as defined below) (less the 855 shares of common stock withheld for the payment of taxes in connection with the vesting of the Inducement Grant, as described below, plus an aggregate of 66.622 shares of common stock acquired by the reporting person under The Toro Company Dividend Reinvestment Plan (the "Plan") (which includes the following shares of common stock acquired by the reporting person under the Plan since November 28, 2007, the date of the last Form 4 filed by the reporting person: 8.126 shares of common stock acquired on January 11, 2008, 9.594 shares of common stock acquired on April 11, 2008, 13.088 shares of common stock acquired on July 11, 2008, and 12.503 shares of common stock acquired on October 17, 2008).</w:t>
      </w:r>
    </w:p>
    <w:p>
      <w:pPr>
        <w:spacing w:after="0" w:line="11" w:lineRule="exact"/>
        <w:rPr>
          <w:rFonts w:ascii="Arial" w:cs="Arial" w:eastAsia="Arial" w:hAnsi="Arial"/>
          <w:sz w:val="12"/>
          <w:szCs w:val="12"/>
          <w:color w:val="008000"/>
        </w:rPr>
      </w:pPr>
    </w:p>
    <w:p>
      <w:pPr>
        <w:ind w:left="40" w:right="4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of common stock withheld for the payment of taxes in connection with the vesting on November 6, 2008, of the employment inducement grant of 2,620 restricted shares of common stock (the "Inducement Grant") awarded to the reporting person on November 6, 2006. The award of the Inducement Grant was previously reported on a Form 3 by the reporting person on November 6, 2006, and the terms of the Inducement Grant are described in Exhibit 10(c) to the issuer's Form 10-Q for the quarter ended February 2, 2007 and filed on March 13, 2007.</w:t>
      </w:r>
    </w:p>
    <w:p>
      <w:pPr>
        <w:spacing w:after="0" w:line="2" w:lineRule="exact"/>
        <w:rPr>
          <w:rFonts w:ascii="Arial" w:cs="Arial" w:eastAsia="Arial" w:hAnsi="Arial"/>
          <w:sz w:val="12"/>
          <w:szCs w:val="12"/>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under the dividend reinvestment feature of The Toro Company Investment, Savings &amp; ESOP Plan: .003 shares of common stock acquired on January 11, 2008, .003 shares of common stock acquired on April 11, 2008, .005 shares of common stock acquired on July 11, 2008, and .005 shares of common stock acquired on October 17, 2008. Also includes an account adjustment (rounding) of .0007 shares of common stock.</w:t>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TimothyPDordell</w:t>
      </w:r>
      <w:r>
        <w:rPr>
          <w:sz w:val="20"/>
          <w:szCs w:val="20"/>
          <w:color w:val="auto"/>
        </w:rPr>
        <w:tab/>
      </w:r>
      <w:r>
        <w:rPr>
          <w:rFonts w:ascii="Arial" w:cs="Arial" w:eastAsia="Arial" w:hAnsi="Arial"/>
          <w:sz w:val="18"/>
          <w:szCs w:val="18"/>
          <w:color w:val="0000FF"/>
        </w:rPr>
        <w:t>11/07/2008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78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8232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-13970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2019-12-16T04:19:15Z</dcterms:created>
  <dcterms:modified xsi:type="dcterms:W3CDTF">2019-12-16T04:19:15Z</dcterms:modified>
</cp:coreProperties>
</file>