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51"/>
        <w:spacing w:after="0"/>
        <w:rPr>
          <w:sz w:val="20"/>
          <w:szCs w:val="20"/>
          <w:color w:val="auto"/>
        </w:rPr>
      </w:pPr>
      <w:r>
        <w:rPr>
          <w:rFonts w:ascii="Arial" w:cs="Arial" w:eastAsia="Arial" w:hAnsi="Arial"/>
          <w:sz w:val="30"/>
          <w:szCs w:val="30"/>
          <w:b w:val="1"/>
          <w:bCs w:val="1"/>
          <w:color w:val="auto"/>
        </w:rPr>
        <w:t>UNITED STATES</w:t>
      </w:r>
    </w:p>
    <w:p>
      <w:pPr>
        <w:spacing w:after="0" w:line="249" w:lineRule="exact"/>
        <w:rPr>
          <w:sz w:val="24"/>
          <w:szCs w:val="24"/>
          <w:color w:val="auto"/>
        </w:rPr>
      </w:pPr>
    </w:p>
    <w:p>
      <w:pPr>
        <w:jc w:val="center"/>
        <w:ind w:right="-51"/>
        <w:spacing w:after="0"/>
        <w:rPr>
          <w:sz w:val="20"/>
          <w:szCs w:val="20"/>
          <w:color w:val="auto"/>
        </w:rPr>
      </w:pPr>
      <w:r>
        <w:rPr>
          <w:rFonts w:ascii="Arial" w:cs="Arial" w:eastAsia="Arial" w:hAnsi="Arial"/>
          <w:sz w:val="30"/>
          <w:szCs w:val="30"/>
          <w:b w:val="1"/>
          <w:bCs w:val="1"/>
          <w:color w:val="auto"/>
        </w:rPr>
        <w:t>SECURITIES AND EXCHANGE COMMISSION</w:t>
      </w:r>
    </w:p>
    <w:p>
      <w:pPr>
        <w:spacing w:after="0" w:line="161" w:lineRule="exact"/>
        <w:rPr>
          <w:sz w:val="24"/>
          <w:szCs w:val="24"/>
          <w:color w:val="auto"/>
        </w:rPr>
      </w:pPr>
    </w:p>
    <w:p>
      <w:pPr>
        <w:jc w:val="center"/>
        <w:ind w:right="-51"/>
        <w:spacing w:after="0"/>
        <w:rPr>
          <w:sz w:val="20"/>
          <w:szCs w:val="20"/>
          <w:color w:val="auto"/>
        </w:rPr>
      </w:pPr>
      <w:r>
        <w:rPr>
          <w:rFonts w:ascii="Arial" w:cs="Arial" w:eastAsia="Arial" w:hAnsi="Arial"/>
          <w:sz w:val="20"/>
          <w:szCs w:val="20"/>
          <w:b w:val="1"/>
          <w:bCs w:val="1"/>
          <w:color w:val="auto"/>
        </w:rPr>
        <w:t>Washington, D.C. 20549</w:t>
      </w:r>
    </w:p>
    <w:p>
      <w:pPr>
        <w:spacing w:after="0" w:line="129" w:lineRule="exact"/>
        <w:rPr>
          <w:sz w:val="24"/>
          <w:szCs w:val="24"/>
          <w:color w:val="auto"/>
        </w:rPr>
      </w:pPr>
    </w:p>
    <w:p>
      <w:pPr>
        <w:jc w:val="center"/>
        <w:ind w:right="-51"/>
        <w:spacing w:after="0"/>
        <w:rPr>
          <w:sz w:val="20"/>
          <w:szCs w:val="20"/>
          <w:color w:val="auto"/>
        </w:rPr>
      </w:pPr>
      <w:r>
        <w:rPr>
          <w:rFonts w:ascii="Arial" w:cs="Arial" w:eastAsia="Arial" w:hAnsi="Arial"/>
          <w:sz w:val="30"/>
          <w:szCs w:val="30"/>
          <w:b w:val="1"/>
          <w:bCs w:val="1"/>
          <w:color w:val="auto"/>
        </w:rPr>
        <w:t>FORM 8-K</w:t>
      </w:r>
    </w:p>
    <w:p>
      <w:pPr>
        <w:spacing w:after="0" w:line="156" w:lineRule="exact"/>
        <w:rPr>
          <w:sz w:val="24"/>
          <w:szCs w:val="24"/>
          <w:color w:val="auto"/>
        </w:rPr>
      </w:pPr>
    </w:p>
    <w:p>
      <w:pPr>
        <w:jc w:val="center"/>
        <w:ind w:right="-51"/>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ind w:right="-51"/>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51"/>
        <w:spacing w:after="0"/>
        <w:rPr>
          <w:sz w:val="20"/>
          <w:szCs w:val="20"/>
          <w:color w:val="auto"/>
        </w:rPr>
      </w:pPr>
      <w:r>
        <w:rPr>
          <w:rFonts w:ascii="Arial" w:cs="Arial" w:eastAsia="Arial" w:hAnsi="Arial"/>
          <w:sz w:val="18"/>
          <w:szCs w:val="18"/>
          <w:b w:val="1"/>
          <w:bCs w:val="1"/>
          <w:color w:val="auto"/>
        </w:rPr>
        <w:t>Date of Report (Date of earliest event reported): March 21, 2017</w:t>
      </w:r>
    </w:p>
    <w:p>
      <w:pPr>
        <w:spacing w:after="0" w:line="328" w:lineRule="exact"/>
        <w:rPr>
          <w:sz w:val="24"/>
          <w:szCs w:val="24"/>
          <w:color w:val="auto"/>
        </w:rPr>
      </w:pPr>
    </w:p>
    <w:p>
      <w:pPr>
        <w:jc w:val="center"/>
        <w:ind w:right="-51"/>
        <w:spacing w:after="0"/>
        <w:rPr>
          <w:sz w:val="20"/>
          <w:szCs w:val="20"/>
          <w:color w:val="auto"/>
        </w:rPr>
      </w:pPr>
      <w:r>
        <w:rPr>
          <w:rFonts w:ascii="Arial" w:cs="Arial" w:eastAsia="Arial" w:hAnsi="Arial"/>
          <w:sz w:val="40"/>
          <w:szCs w:val="40"/>
          <w:b w:val="1"/>
          <w:bCs w:val="1"/>
          <w:color w:val="auto"/>
        </w:rPr>
        <w:t>THE TORO COMPANY</w:t>
      </w:r>
    </w:p>
    <w:p>
      <w:pPr>
        <w:jc w:val="center"/>
        <w:ind w:right="-51"/>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05" w:lineRule="exact"/>
        <w:rPr>
          <w:sz w:val="24"/>
          <w:szCs w:val="24"/>
          <w:color w:val="auto"/>
        </w:rPr>
      </w:pPr>
    </w:p>
    <w:tbl>
      <w:tblPr>
        <w:tblLayout w:type="fixed"/>
        <w:tblInd w:w="792" w:type="dxa"/>
        <w:tblCellMar>
          <w:top w:w="0" w:type="dxa"/>
          <w:left w:w="0" w:type="dxa"/>
          <w:bottom w:w="0" w:type="dxa"/>
          <w:right w:w="0" w:type="dxa"/>
        </w:tblCellMar>
      </w:tblPr>
      <w:tr>
        <w:trPr>
          <w:trHeight w:val="256"/>
        </w:trPr>
        <w:tc>
          <w:tcPr>
            <w:tcW w:w="3860" w:type="dxa"/>
            <w:vAlign w:val="bottom"/>
            <w:gridSpan w:val="4"/>
          </w:tcPr>
          <w:p>
            <w:pPr>
              <w:jc w:val="center"/>
              <w:ind w:right="1540"/>
              <w:spacing w:after="0"/>
              <w:rPr>
                <w:sz w:val="20"/>
                <w:szCs w:val="20"/>
                <w:color w:val="auto"/>
              </w:rPr>
            </w:pPr>
            <w:r>
              <w:rPr>
                <w:rFonts w:ascii="Arial" w:cs="Arial" w:eastAsia="Arial" w:hAnsi="Arial"/>
                <w:sz w:val="20"/>
                <w:szCs w:val="20"/>
                <w:b w:val="1"/>
                <w:bCs w:val="1"/>
                <w:color w:val="auto"/>
                <w:w w:val="91"/>
              </w:rPr>
              <w:t>Delaware</w:t>
            </w:r>
          </w:p>
        </w:tc>
        <w:tc>
          <w:tcPr>
            <w:tcW w:w="3220" w:type="dxa"/>
            <w:vAlign w:val="bottom"/>
          </w:tcPr>
          <w:p>
            <w:pPr>
              <w:jc w:val="right"/>
              <w:ind w:right="1727"/>
              <w:spacing w:after="0"/>
              <w:rPr>
                <w:sz w:val="20"/>
                <w:szCs w:val="20"/>
                <w:color w:val="auto"/>
              </w:rPr>
            </w:pPr>
            <w:r>
              <w:rPr>
                <w:rFonts w:ascii="Arial" w:cs="Arial" w:eastAsia="Arial" w:hAnsi="Arial"/>
                <w:sz w:val="20"/>
                <w:szCs w:val="20"/>
                <w:b w:val="1"/>
                <w:bCs w:val="1"/>
                <w:color w:val="auto"/>
              </w:rPr>
              <w:t>1-8649</w:t>
            </w:r>
          </w:p>
        </w:tc>
        <w:tc>
          <w:tcPr>
            <w:tcW w:w="2980" w:type="dxa"/>
            <w:vAlign w:val="bottom"/>
            <w:gridSpan w:val="4"/>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3860" w:type="dxa"/>
            <w:vAlign w:val="bottom"/>
            <w:gridSpan w:val="4"/>
          </w:tcPr>
          <w:p>
            <w:pPr>
              <w:jc w:val="center"/>
              <w:ind w:right="1560"/>
              <w:spacing w:after="0"/>
              <w:rPr>
                <w:sz w:val="20"/>
                <w:szCs w:val="20"/>
                <w:color w:val="auto"/>
              </w:rPr>
            </w:pPr>
            <w:r>
              <w:rPr>
                <w:rFonts w:ascii="Arial" w:cs="Arial" w:eastAsia="Arial" w:hAnsi="Arial"/>
                <w:sz w:val="16"/>
                <w:szCs w:val="16"/>
                <w:color w:val="auto"/>
                <w:w w:val="94"/>
              </w:rPr>
              <w:t>(State of Incorporation)</w:t>
            </w:r>
          </w:p>
        </w:tc>
        <w:tc>
          <w:tcPr>
            <w:tcW w:w="3220" w:type="dxa"/>
            <w:vAlign w:val="bottom"/>
          </w:tcPr>
          <w:p>
            <w:pPr>
              <w:jc w:val="center"/>
              <w:ind w:right="887"/>
              <w:spacing w:after="0"/>
              <w:rPr>
                <w:sz w:val="20"/>
                <w:szCs w:val="20"/>
                <w:color w:val="auto"/>
              </w:rPr>
            </w:pPr>
            <w:r>
              <w:rPr>
                <w:rFonts w:ascii="Arial" w:cs="Arial" w:eastAsia="Arial" w:hAnsi="Arial"/>
                <w:sz w:val="16"/>
                <w:szCs w:val="16"/>
                <w:color w:val="auto"/>
                <w:w w:val="94"/>
              </w:rPr>
              <w:t>(Commission File Number)</w:t>
            </w:r>
          </w:p>
        </w:tc>
        <w:tc>
          <w:tcPr>
            <w:tcW w:w="300" w:type="dxa"/>
            <w:vAlign w:val="bottom"/>
          </w:tcPr>
          <w:p>
            <w:pPr>
              <w:spacing w:after="0"/>
              <w:rPr>
                <w:sz w:val="21"/>
                <w:szCs w:val="21"/>
                <w:color w:val="auto"/>
              </w:rPr>
            </w:pPr>
          </w:p>
        </w:tc>
        <w:tc>
          <w:tcPr>
            <w:tcW w:w="2680" w:type="dxa"/>
            <w:vAlign w:val="bottom"/>
            <w:gridSpan w:val="3"/>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780"/>
        </w:trPr>
        <w:tc>
          <w:tcPr>
            <w:tcW w:w="780" w:type="dxa"/>
            <w:vAlign w:val="bottom"/>
          </w:tcPr>
          <w:p>
            <w:pPr>
              <w:spacing w:after="0"/>
              <w:rPr>
                <w:sz w:val="24"/>
                <w:szCs w:val="24"/>
                <w:color w:val="auto"/>
              </w:rPr>
            </w:pPr>
          </w:p>
        </w:tc>
        <w:tc>
          <w:tcPr>
            <w:tcW w:w="308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7"/>
              </w:rPr>
              <w:t>8111 Lyndale Avenue South</w:t>
            </w: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2"/>
        </w:trPr>
        <w:tc>
          <w:tcPr>
            <w:tcW w:w="78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40"/>
              <w:spacing w:after="0" w:line="212" w:lineRule="exact"/>
              <w:rPr>
                <w:sz w:val="20"/>
                <w:szCs w:val="20"/>
                <w:color w:val="auto"/>
              </w:rPr>
            </w:pPr>
            <w:r>
              <w:rPr>
                <w:rFonts w:ascii="Arial" w:cs="Arial" w:eastAsia="Arial" w:hAnsi="Arial"/>
                <w:sz w:val="20"/>
                <w:szCs w:val="20"/>
                <w:b w:val="1"/>
                <w:bCs w:val="1"/>
                <w:color w:val="auto"/>
              </w:rPr>
              <w:t>55420</w:t>
            </w:r>
          </w:p>
        </w:tc>
        <w:tc>
          <w:tcPr>
            <w:tcW w:w="1900" w:type="dxa"/>
            <w:vAlign w:val="bottom"/>
          </w:tcPr>
          <w:p>
            <w:pPr>
              <w:spacing w:after="0"/>
              <w:rPr>
                <w:sz w:val="18"/>
                <w:szCs w:val="18"/>
                <w:color w:val="auto"/>
              </w:rPr>
            </w:pPr>
          </w:p>
        </w:tc>
      </w:tr>
      <w:tr>
        <w:trPr>
          <w:trHeight w:val="254"/>
        </w:trPr>
        <w:tc>
          <w:tcPr>
            <w:tcW w:w="3860" w:type="dxa"/>
            <w:vAlign w:val="bottom"/>
            <w:gridSpan w:val="4"/>
          </w:tcPr>
          <w:p>
            <w:pPr>
              <w:jc w:val="center"/>
              <w:ind w:left="185"/>
              <w:spacing w:after="0"/>
              <w:rPr>
                <w:sz w:val="20"/>
                <w:szCs w:val="20"/>
                <w:color w:val="auto"/>
              </w:rPr>
            </w:pPr>
            <w:r>
              <w:rPr>
                <w:rFonts w:ascii="Arial" w:cs="Arial" w:eastAsia="Arial" w:hAnsi="Arial"/>
                <w:sz w:val="20"/>
                <w:szCs w:val="20"/>
                <w:color w:val="auto"/>
                <w:w w:val="91"/>
              </w:rPr>
              <w:t>(Address of principal executive offices)</w:t>
            </w:r>
          </w:p>
        </w:tc>
        <w:tc>
          <w:tcPr>
            <w:tcW w:w="3220" w:type="dxa"/>
            <w:vAlign w:val="bottom"/>
          </w:tcPr>
          <w:p>
            <w:pPr>
              <w:spacing w:after="0"/>
              <w:rPr>
                <w:sz w:val="22"/>
                <w:szCs w:val="22"/>
                <w:color w:val="auto"/>
              </w:rPr>
            </w:pPr>
          </w:p>
        </w:tc>
        <w:tc>
          <w:tcPr>
            <w:tcW w:w="2980" w:type="dxa"/>
            <w:vAlign w:val="bottom"/>
            <w:gridSpan w:val="4"/>
          </w:tcPr>
          <w:p>
            <w:pPr>
              <w:ind w:left="260"/>
              <w:spacing w:after="0"/>
              <w:rPr>
                <w:sz w:val="20"/>
                <w:szCs w:val="20"/>
                <w:color w:val="auto"/>
              </w:rPr>
            </w:pPr>
            <w:r>
              <w:rPr>
                <w:rFonts w:ascii="Arial" w:cs="Arial" w:eastAsia="Arial" w:hAnsi="Arial"/>
                <w:sz w:val="20"/>
                <w:szCs w:val="20"/>
                <w:color w:val="auto"/>
              </w:rPr>
              <w:t>(Zip Code)</w:t>
            </w:r>
          </w:p>
        </w:tc>
      </w:tr>
      <w:tr>
        <w:trPr>
          <w:trHeight w:val="581"/>
        </w:trPr>
        <w:tc>
          <w:tcPr>
            <w:tcW w:w="7080" w:type="dxa"/>
            <w:vAlign w:val="bottom"/>
            <w:gridSpan w:val="5"/>
          </w:tcPr>
          <w:p>
            <w:pPr>
              <w:jc w:val="center"/>
              <w:ind w:right="2867"/>
              <w:spacing w:after="0"/>
              <w:rPr>
                <w:sz w:val="20"/>
                <w:szCs w:val="20"/>
                <w:color w:val="auto"/>
              </w:rPr>
            </w:pPr>
            <w:r>
              <w:rPr>
                <w:rFonts w:ascii="Arial" w:cs="Arial" w:eastAsia="Arial" w:hAnsi="Arial"/>
                <w:sz w:val="20"/>
                <w:szCs w:val="20"/>
                <w:color w:val="auto"/>
                <w:w w:val="89"/>
              </w:rPr>
              <w:t>Registrant’s telephone number, including area code:</w:t>
            </w:r>
          </w:p>
        </w:tc>
        <w:tc>
          <w:tcPr>
            <w:tcW w:w="2980" w:type="dxa"/>
            <w:vAlign w:val="bottom"/>
            <w:gridSpan w:val="4"/>
          </w:tcPr>
          <w:p>
            <w:pPr>
              <w:jc w:val="right"/>
              <w:ind w:right="1720"/>
              <w:spacing w:after="0"/>
              <w:rPr>
                <w:sz w:val="20"/>
                <w:szCs w:val="20"/>
                <w:color w:val="auto"/>
              </w:rPr>
            </w:pPr>
            <w:r>
              <w:rPr>
                <w:rFonts w:ascii="Arial" w:cs="Arial" w:eastAsia="Arial" w:hAnsi="Arial"/>
                <w:sz w:val="18"/>
                <w:szCs w:val="18"/>
                <w:b w:val="1"/>
                <w:bCs w:val="1"/>
                <w:color w:val="auto"/>
              </w:rPr>
              <w:t>(952) 888-8801</w:t>
            </w:r>
          </w:p>
        </w:tc>
      </w:tr>
      <w:tr>
        <w:trPr>
          <w:trHeight w:val="608"/>
        </w:trPr>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jc w:val="center"/>
              <w:ind w:right="1007"/>
              <w:spacing w:after="0"/>
              <w:rPr>
                <w:sz w:val="20"/>
                <w:szCs w:val="20"/>
                <w:color w:val="auto"/>
              </w:rPr>
            </w:pPr>
            <w:r>
              <w:rPr>
                <w:rFonts w:ascii="Arial" w:cs="Arial" w:eastAsia="Arial" w:hAnsi="Arial"/>
                <w:sz w:val="20"/>
                <w:szCs w:val="20"/>
                <w:color w:val="auto"/>
                <w:w w:val="93"/>
              </w:rPr>
              <w:t>Not Applicable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
        </w:trPr>
        <w:tc>
          <w:tcPr>
            <w:tcW w:w="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7"/>
        </w:trPr>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80" w:type="dxa"/>
            <w:vAlign w:val="bottom"/>
            <w:gridSpan w:val="3"/>
          </w:tcPr>
          <w:p>
            <w:pPr>
              <w:jc w:val="center"/>
              <w:ind w:left="279"/>
              <w:spacing w:after="0"/>
              <w:rPr>
                <w:sz w:val="20"/>
                <w:szCs w:val="20"/>
                <w:color w:val="auto"/>
              </w:rPr>
            </w:pPr>
            <w:r>
              <w:rPr>
                <w:rFonts w:ascii="Arial" w:cs="Arial" w:eastAsia="Arial" w:hAnsi="Arial"/>
                <w:sz w:val="16"/>
                <w:szCs w:val="16"/>
                <w:color w:val="auto"/>
                <w:w w:val="91"/>
              </w:rPr>
              <w:t>(Former name or former address, if changed since last report.)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381" w:lineRule="exact"/>
        <w:rPr>
          <w:sz w:val="24"/>
          <w:szCs w:val="24"/>
          <w:color w:val="auto"/>
        </w:rPr>
      </w:pPr>
    </w:p>
    <w:p>
      <w:pPr>
        <w:jc w:val="center"/>
        <w:ind w:left="300"/>
        <w:spacing w:after="0" w:line="22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112" w:hanging="112"/>
        <w:spacing w:after="0"/>
        <w:tabs>
          <w:tab w:leader="none" w:pos="112"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121" w:lineRule="exact"/>
        <w:rPr>
          <w:rFonts w:ascii="Arial" w:cs="Arial" w:eastAsia="Arial" w:hAnsi="Arial"/>
          <w:sz w:val="20"/>
          <w:szCs w:val="20"/>
          <w:color w:val="auto"/>
        </w:rPr>
      </w:pPr>
    </w:p>
    <w:p>
      <w:pPr>
        <w:ind w:left="112" w:hanging="112"/>
        <w:spacing w:after="0"/>
        <w:tabs>
          <w:tab w:leader="none" w:pos="112"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121" w:lineRule="exact"/>
        <w:rPr>
          <w:rFonts w:ascii="Arial" w:cs="Arial" w:eastAsia="Arial" w:hAnsi="Arial"/>
          <w:sz w:val="20"/>
          <w:szCs w:val="20"/>
          <w:color w:val="auto"/>
        </w:rPr>
      </w:pPr>
    </w:p>
    <w:p>
      <w:pPr>
        <w:ind w:left="112" w:hanging="112"/>
        <w:spacing w:after="0"/>
        <w:tabs>
          <w:tab w:leader="none" w:pos="112"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121" w:lineRule="exact"/>
        <w:rPr>
          <w:rFonts w:ascii="Arial" w:cs="Arial" w:eastAsia="Arial" w:hAnsi="Arial"/>
          <w:sz w:val="20"/>
          <w:szCs w:val="20"/>
          <w:color w:val="auto"/>
        </w:rPr>
      </w:pPr>
    </w:p>
    <w:p>
      <w:pPr>
        <w:ind w:left="112" w:hanging="112"/>
        <w:spacing w:after="0"/>
        <w:tabs>
          <w:tab w:leader="none" w:pos="112"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1210945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1116965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1440"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5—Corporate Governance and Management</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Toro Company (the “Company”) held its 2017 Annual Meeting of Shareholders on March 21, 2017. The final results of the shareholder vote on the business brought before the meeting were as follows:</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Against/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Broker</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w w:val="96"/>
              </w:rPr>
              <w:t>For</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Withheld</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Abstain</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Non-Votes</w:t>
            </w: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Proposal One—Election of four directors, each to serve for a term</w:t>
            </w: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300"/>
              <w:spacing w:after="0"/>
              <w:rPr>
                <w:sz w:val="20"/>
                <w:szCs w:val="20"/>
                <w:color w:val="auto"/>
              </w:rPr>
            </w:pPr>
            <w:r>
              <w:rPr>
                <w:rFonts w:ascii="Arial" w:cs="Arial" w:eastAsia="Arial" w:hAnsi="Arial"/>
                <w:sz w:val="18"/>
                <w:szCs w:val="18"/>
                <w:b w:val="1"/>
                <w:bCs w:val="1"/>
                <w:color w:val="auto"/>
                <w:w w:val="98"/>
              </w:rPr>
              <w:t>of three years ending at the Company’s 2020 Annual Meeting</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300"/>
              <w:spacing w:after="0"/>
              <w:rPr>
                <w:sz w:val="20"/>
                <w:szCs w:val="20"/>
                <w:color w:val="auto"/>
              </w:rPr>
            </w:pPr>
            <w:r>
              <w:rPr>
                <w:rFonts w:ascii="Arial" w:cs="Arial" w:eastAsia="Arial" w:hAnsi="Arial"/>
                <w:sz w:val="18"/>
                <w:szCs w:val="18"/>
                <w:b w:val="1"/>
                <w:bCs w:val="1"/>
                <w:color w:val="auto"/>
              </w:rPr>
              <w:t>of Shareholders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60" w:type="dxa"/>
            <w:vAlign w:val="bottom"/>
          </w:tcPr>
          <w:p>
            <w:pPr>
              <w:ind w:left="300"/>
              <w:spacing w:after="0"/>
              <w:rPr>
                <w:sz w:val="20"/>
                <w:szCs w:val="20"/>
                <w:color w:val="auto"/>
              </w:rPr>
            </w:pPr>
            <w:r>
              <w:rPr>
                <w:rFonts w:ascii="Arial" w:cs="Arial" w:eastAsia="Arial" w:hAnsi="Arial"/>
                <w:sz w:val="18"/>
                <w:szCs w:val="18"/>
                <w:color w:val="auto"/>
              </w:rPr>
              <w:t>Jeffrey M. Ettinger</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84,816,591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3,539,977</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10,756,421</w:t>
            </w:r>
          </w:p>
        </w:tc>
        <w:tc>
          <w:tcPr>
            <w:tcW w:w="0" w:type="dxa"/>
            <w:vAlign w:val="bottom"/>
          </w:tcPr>
          <w:p>
            <w:pPr>
              <w:spacing w:after="0"/>
              <w:rPr>
                <w:sz w:val="1"/>
                <w:szCs w:val="1"/>
                <w:color w:val="auto"/>
              </w:rPr>
            </w:pPr>
          </w:p>
        </w:tc>
      </w:tr>
      <w:tr>
        <w:trPr>
          <w:trHeight w:val="284"/>
        </w:trPr>
        <w:tc>
          <w:tcPr>
            <w:tcW w:w="3860" w:type="dxa"/>
            <w:vAlign w:val="bottom"/>
          </w:tcPr>
          <w:p>
            <w:pPr>
              <w:ind w:left="300"/>
              <w:spacing w:after="0"/>
              <w:rPr>
                <w:sz w:val="20"/>
                <w:szCs w:val="20"/>
                <w:color w:val="auto"/>
              </w:rPr>
            </w:pPr>
            <w:r>
              <w:rPr>
                <w:rFonts w:ascii="Arial" w:cs="Arial" w:eastAsia="Arial" w:hAnsi="Arial"/>
                <w:sz w:val="18"/>
                <w:szCs w:val="18"/>
                <w:color w:val="auto"/>
              </w:rPr>
              <w:t>Katherine J. Harless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86,354,306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2,002,262</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10,756,421</w:t>
            </w:r>
          </w:p>
        </w:tc>
        <w:tc>
          <w:tcPr>
            <w:tcW w:w="0" w:type="dxa"/>
            <w:vAlign w:val="bottom"/>
          </w:tcPr>
          <w:p>
            <w:pPr>
              <w:spacing w:after="0"/>
              <w:rPr>
                <w:sz w:val="1"/>
                <w:szCs w:val="1"/>
                <w:color w:val="auto"/>
              </w:rPr>
            </w:pPr>
          </w:p>
        </w:tc>
      </w:tr>
      <w:tr>
        <w:trPr>
          <w:trHeight w:val="284"/>
        </w:trPr>
        <w:tc>
          <w:tcPr>
            <w:tcW w:w="3860" w:type="dxa"/>
            <w:vAlign w:val="bottom"/>
          </w:tcPr>
          <w:p>
            <w:pPr>
              <w:ind w:left="300"/>
              <w:spacing w:after="0"/>
              <w:rPr>
                <w:sz w:val="20"/>
                <w:szCs w:val="20"/>
                <w:color w:val="auto"/>
              </w:rPr>
            </w:pPr>
            <w:r>
              <w:rPr>
                <w:rFonts w:ascii="Arial" w:cs="Arial" w:eastAsia="Arial" w:hAnsi="Arial"/>
                <w:sz w:val="18"/>
                <w:szCs w:val="18"/>
                <w:color w:val="auto"/>
              </w:rPr>
              <w:t>Michael J. Hoffman</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84,127,063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4,229,505</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10,756,421</w:t>
            </w:r>
          </w:p>
        </w:tc>
        <w:tc>
          <w:tcPr>
            <w:tcW w:w="0" w:type="dxa"/>
            <w:vAlign w:val="bottom"/>
          </w:tcPr>
          <w:p>
            <w:pPr>
              <w:spacing w:after="0"/>
              <w:rPr>
                <w:sz w:val="1"/>
                <w:szCs w:val="1"/>
                <w:color w:val="auto"/>
              </w:rPr>
            </w:pPr>
          </w:p>
        </w:tc>
      </w:tr>
      <w:tr>
        <w:trPr>
          <w:trHeight w:val="284"/>
        </w:trPr>
        <w:tc>
          <w:tcPr>
            <w:tcW w:w="3860" w:type="dxa"/>
            <w:vAlign w:val="bottom"/>
          </w:tcPr>
          <w:p>
            <w:pPr>
              <w:ind w:left="300"/>
              <w:spacing w:after="0"/>
              <w:rPr>
                <w:sz w:val="20"/>
                <w:szCs w:val="20"/>
                <w:color w:val="auto"/>
              </w:rPr>
            </w:pPr>
            <w:r>
              <w:rPr>
                <w:rFonts w:ascii="Arial" w:cs="Arial" w:eastAsia="Arial" w:hAnsi="Arial"/>
                <w:sz w:val="18"/>
                <w:szCs w:val="18"/>
                <w:color w:val="auto"/>
              </w:rPr>
              <w:t>D. Christian Koch</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87,135,890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1,220,678</w:t>
            </w:r>
          </w:p>
        </w:tc>
        <w:tc>
          <w:tcPr>
            <w:tcW w:w="34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10,756,421</w:t>
            </w:r>
          </w:p>
        </w:tc>
        <w:tc>
          <w:tcPr>
            <w:tcW w:w="0" w:type="dxa"/>
            <w:vAlign w:val="bottom"/>
          </w:tcPr>
          <w:p>
            <w:pPr>
              <w:spacing w:after="0"/>
              <w:rPr>
                <w:sz w:val="1"/>
                <w:szCs w:val="1"/>
                <w:color w:val="auto"/>
              </w:rPr>
            </w:pPr>
          </w:p>
        </w:tc>
      </w:tr>
      <w:tr>
        <w:trPr>
          <w:trHeight w:val="481"/>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w w:val="99"/>
              </w:rPr>
              <w:t>Proposal Two—Ratification of the selection of KPMG LLP as the</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96,575,308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2,363,133</w:t>
            </w: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174,548</w:t>
            </w:r>
          </w:p>
        </w:tc>
        <w:tc>
          <w:tcPr>
            <w:tcW w:w="2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ind w:left="300"/>
              <w:spacing w:after="0"/>
              <w:rPr>
                <w:sz w:val="20"/>
                <w:szCs w:val="20"/>
                <w:color w:val="auto"/>
              </w:rPr>
            </w:pPr>
            <w:r>
              <w:rPr>
                <w:rFonts w:ascii="Arial" w:cs="Arial" w:eastAsia="Arial" w:hAnsi="Arial"/>
                <w:sz w:val="18"/>
                <w:szCs w:val="18"/>
                <w:b w:val="1"/>
                <w:bCs w:val="1"/>
                <w:color w:val="auto"/>
                <w:w w:val="97"/>
              </w:rPr>
              <w:t>Company’s independent registered public accounting firm for</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gridSpan w:val="3"/>
          </w:tcPr>
          <w:p>
            <w:pPr>
              <w:ind w:left="300"/>
              <w:spacing w:after="0"/>
              <w:rPr>
                <w:sz w:val="20"/>
                <w:szCs w:val="20"/>
                <w:color w:val="auto"/>
              </w:rPr>
            </w:pPr>
            <w:r>
              <w:rPr>
                <w:rFonts w:ascii="Arial" w:cs="Arial" w:eastAsia="Arial" w:hAnsi="Arial"/>
                <w:sz w:val="18"/>
                <w:szCs w:val="18"/>
                <w:b w:val="1"/>
                <w:bCs w:val="1"/>
                <w:color w:val="auto"/>
              </w:rPr>
              <w:t>the Company’s fiscal year ending October 31, 2017</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Proposal Three—Advisory approval of executive compensation</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86,772,232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1,214,150</w:t>
            </w:r>
          </w:p>
        </w:tc>
        <w:tc>
          <w:tcPr>
            <w:tcW w:w="3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370,186</w:t>
            </w:r>
          </w:p>
        </w:tc>
        <w:tc>
          <w:tcPr>
            <w:tcW w:w="2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10,756,421</w:t>
            </w:r>
          </w:p>
        </w:tc>
        <w:tc>
          <w:tcPr>
            <w:tcW w:w="0" w:type="dxa"/>
            <w:vAlign w:val="bottom"/>
          </w:tcPr>
          <w:p>
            <w:pPr>
              <w:spacing w:after="0"/>
              <w:rPr>
                <w:sz w:val="1"/>
                <w:szCs w:val="1"/>
                <w:color w:val="auto"/>
              </w:rPr>
            </w:pPr>
          </w:p>
        </w:tc>
      </w:tr>
      <w:tr>
        <w:trPr>
          <w:trHeight w:val="404"/>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Broker</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600" w:type="dxa"/>
            <w:vAlign w:val="bottom"/>
            <w:gridSpan w:val="2"/>
          </w:tcPr>
          <w:p>
            <w:pPr>
              <w:ind w:left="400"/>
              <w:spacing w:after="0"/>
              <w:rPr>
                <w:sz w:val="20"/>
                <w:szCs w:val="20"/>
                <w:color w:val="auto"/>
              </w:rPr>
            </w:pPr>
            <w:r>
              <w:rPr>
                <w:rFonts w:ascii="Arial" w:cs="Arial" w:eastAsia="Arial" w:hAnsi="Arial"/>
                <w:sz w:val="18"/>
                <w:szCs w:val="18"/>
                <w:color w:val="auto"/>
              </w:rPr>
              <w:t>1 Year</w:t>
            </w:r>
          </w:p>
        </w:tc>
        <w:tc>
          <w:tcPr>
            <w:tcW w:w="20" w:type="dxa"/>
            <w:vAlign w:val="bottom"/>
          </w:tcPr>
          <w:p>
            <w:pPr>
              <w:spacing w:after="0"/>
              <w:rPr>
                <w:sz w:val="20"/>
                <w:szCs w:val="20"/>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2 Years</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3 Years</w:t>
            </w: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Abstain</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Non-Votes</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Proposal Four—Advisory approval of the</w:t>
            </w: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60" w:type="dxa"/>
            <w:vAlign w:val="bottom"/>
            <w:vMerge w:val="continue"/>
          </w:tcPr>
          <w:p>
            <w:pPr>
              <w:spacing w:after="0"/>
              <w:rPr>
                <w:sz w:val="17"/>
                <w:szCs w:val="17"/>
                <w:color w:val="auto"/>
              </w:rPr>
            </w:pPr>
          </w:p>
        </w:tc>
        <w:tc>
          <w:tcPr>
            <w:tcW w:w="1260" w:type="dxa"/>
            <w:vAlign w:val="bottom"/>
          </w:tcPr>
          <w:p>
            <w:pPr>
              <w:jc w:val="right"/>
              <w:ind w:right="30"/>
              <w:spacing w:after="0" w:line="205" w:lineRule="exact"/>
              <w:rPr>
                <w:sz w:val="20"/>
                <w:szCs w:val="20"/>
                <w:color w:val="auto"/>
              </w:rPr>
            </w:pPr>
            <w:r>
              <w:rPr>
                <w:rFonts w:ascii="Arial" w:cs="Arial" w:eastAsia="Arial" w:hAnsi="Arial"/>
                <w:sz w:val="18"/>
                <w:szCs w:val="18"/>
                <w:color w:val="auto"/>
              </w:rPr>
              <w:t>77,904,897</w:t>
            </w:r>
          </w:p>
        </w:tc>
        <w:tc>
          <w:tcPr>
            <w:tcW w:w="340" w:type="dxa"/>
            <w:vAlign w:val="bottom"/>
          </w:tcPr>
          <w:p>
            <w:pPr>
              <w:spacing w:after="0"/>
              <w:rPr>
                <w:sz w:val="17"/>
                <w:szCs w:val="17"/>
                <w:color w:val="auto"/>
              </w:rPr>
            </w:pPr>
          </w:p>
        </w:tc>
        <w:tc>
          <w:tcPr>
            <w:tcW w:w="1260" w:type="dxa"/>
            <w:vAlign w:val="bottom"/>
            <w:gridSpan w:val="2"/>
          </w:tcPr>
          <w:p>
            <w:pPr>
              <w:jc w:val="right"/>
              <w:ind w:right="10"/>
              <w:spacing w:after="0" w:line="205" w:lineRule="exact"/>
              <w:rPr>
                <w:sz w:val="20"/>
                <w:szCs w:val="20"/>
                <w:color w:val="auto"/>
              </w:rPr>
            </w:pPr>
            <w:r>
              <w:rPr>
                <w:rFonts w:ascii="Arial" w:cs="Arial" w:eastAsia="Arial" w:hAnsi="Arial"/>
                <w:sz w:val="18"/>
                <w:szCs w:val="18"/>
                <w:color w:val="auto"/>
              </w:rPr>
              <w:t>482,794</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0"/>
              <w:spacing w:after="0" w:line="205" w:lineRule="exact"/>
              <w:rPr>
                <w:sz w:val="20"/>
                <w:szCs w:val="20"/>
                <w:color w:val="auto"/>
              </w:rPr>
            </w:pPr>
            <w:r>
              <w:rPr>
                <w:rFonts w:ascii="Arial" w:cs="Arial" w:eastAsia="Arial" w:hAnsi="Arial"/>
                <w:sz w:val="18"/>
                <w:szCs w:val="18"/>
                <w:color w:val="auto"/>
              </w:rPr>
              <w:t>9,567,140</w:t>
            </w:r>
          </w:p>
        </w:tc>
        <w:tc>
          <w:tcPr>
            <w:tcW w:w="340" w:type="dxa"/>
            <w:vAlign w:val="bottom"/>
          </w:tcPr>
          <w:p>
            <w:pPr>
              <w:spacing w:after="0"/>
              <w:rPr>
                <w:sz w:val="17"/>
                <w:szCs w:val="17"/>
                <w:color w:val="auto"/>
              </w:rPr>
            </w:pPr>
          </w:p>
        </w:tc>
        <w:tc>
          <w:tcPr>
            <w:tcW w:w="1240" w:type="dxa"/>
            <w:vAlign w:val="bottom"/>
          </w:tcPr>
          <w:p>
            <w:pPr>
              <w:jc w:val="right"/>
              <w:ind w:right="30"/>
              <w:spacing w:after="0" w:line="205" w:lineRule="exact"/>
              <w:rPr>
                <w:sz w:val="20"/>
                <w:szCs w:val="20"/>
                <w:color w:val="auto"/>
              </w:rPr>
            </w:pPr>
            <w:r>
              <w:rPr>
                <w:rFonts w:ascii="Arial" w:cs="Arial" w:eastAsia="Arial" w:hAnsi="Arial"/>
                <w:sz w:val="18"/>
                <w:szCs w:val="18"/>
                <w:color w:val="auto"/>
              </w:rPr>
              <w:t>401,737</w:t>
            </w:r>
          </w:p>
        </w:tc>
        <w:tc>
          <w:tcPr>
            <w:tcW w:w="220" w:type="dxa"/>
            <w:vAlign w:val="bottom"/>
          </w:tcPr>
          <w:p>
            <w:pPr>
              <w:spacing w:after="0"/>
              <w:rPr>
                <w:sz w:val="17"/>
                <w:szCs w:val="17"/>
                <w:color w:val="auto"/>
              </w:rPr>
            </w:pPr>
          </w:p>
        </w:tc>
        <w:tc>
          <w:tcPr>
            <w:tcW w:w="1240" w:type="dxa"/>
            <w:vAlign w:val="bottom"/>
          </w:tcPr>
          <w:p>
            <w:pPr>
              <w:jc w:val="right"/>
              <w:ind w:right="30"/>
              <w:spacing w:after="0" w:line="205" w:lineRule="exact"/>
              <w:rPr>
                <w:sz w:val="20"/>
                <w:szCs w:val="20"/>
                <w:color w:val="auto"/>
              </w:rPr>
            </w:pPr>
            <w:r>
              <w:rPr>
                <w:rFonts w:ascii="Arial" w:cs="Arial" w:eastAsia="Arial" w:hAnsi="Arial"/>
                <w:sz w:val="18"/>
                <w:szCs w:val="18"/>
                <w:color w:val="auto"/>
              </w:rPr>
              <w:t>10,756,421</w:t>
            </w:r>
          </w:p>
        </w:tc>
        <w:tc>
          <w:tcPr>
            <w:tcW w:w="0" w:type="dxa"/>
            <w:vAlign w:val="bottom"/>
          </w:tcPr>
          <w:p>
            <w:pPr>
              <w:spacing w:after="0"/>
              <w:rPr>
                <w:sz w:val="1"/>
                <w:szCs w:val="1"/>
                <w:color w:val="auto"/>
              </w:rPr>
            </w:pPr>
          </w:p>
        </w:tc>
      </w:tr>
      <w:tr>
        <w:trPr>
          <w:trHeight w:val="216"/>
        </w:trPr>
        <w:tc>
          <w:tcPr>
            <w:tcW w:w="3860" w:type="dxa"/>
            <w:vAlign w:val="bottom"/>
          </w:tcPr>
          <w:p>
            <w:pPr>
              <w:ind w:left="300"/>
              <w:spacing w:after="0"/>
              <w:rPr>
                <w:sz w:val="20"/>
                <w:szCs w:val="20"/>
                <w:color w:val="auto"/>
              </w:rPr>
            </w:pPr>
            <w:r>
              <w:rPr>
                <w:rFonts w:ascii="Arial" w:cs="Arial" w:eastAsia="Arial" w:hAnsi="Arial"/>
                <w:sz w:val="18"/>
                <w:szCs w:val="18"/>
                <w:b w:val="1"/>
                <w:bCs w:val="1"/>
                <w:color w:val="auto"/>
              </w:rPr>
              <w:t>frequency of the advisory approval of</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300"/>
              <w:spacing w:after="0"/>
              <w:rPr>
                <w:sz w:val="20"/>
                <w:szCs w:val="20"/>
                <w:color w:val="auto"/>
              </w:rPr>
            </w:pPr>
            <w:r>
              <w:rPr>
                <w:rFonts w:ascii="Arial" w:cs="Arial" w:eastAsia="Arial" w:hAnsi="Arial"/>
                <w:sz w:val="18"/>
                <w:szCs w:val="18"/>
                <w:b w:val="1"/>
                <w:bCs w:val="1"/>
                <w:color w:val="auto"/>
              </w:rPr>
              <w:t>executive compensation</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Each of the directors in Proposal One was elected by the Company’s shareholders by the required vote and each of Proposals Two and Three was approved by the Company’s shareholders by the required vote.</w:t>
      </w:r>
    </w:p>
    <w:p>
      <w:pPr>
        <w:spacing w:after="0" w:line="190"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In accordance with the result of the advisory vote on Proposal Four, the Board of Directors has determined that the Company will continue to conduct an executive compensation advisory vote on an annual basis.</w:t>
      </w:r>
    </w:p>
    <w:p>
      <w:pPr>
        <w:spacing w:after="0" w:line="19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Regarding the Company’s other directors, (i) each of Janet K. Cooper, Gary L. Ellis and Gregg W. Steinhafel continue to serve as a director for a term ending at the Company’s 2018 Annual Meeting of Shareholders; and (ii) each of Robert C. Buhrmaster, Richard M. Olson, James C. O’Rourke and Christopher A. Twomey continue to serve as a director for a term ending at the Company’s 2019 Annual Meeting of Shareholders.</w:t>
      </w:r>
    </w:p>
    <w:p>
      <w:pPr>
        <w:sectPr>
          <w:pgSz w:w="11900" w:h="16838" w:orient="portrait"/>
          <w:cols w:equalWidth="0" w:num="1">
            <w:col w:w="11400"/>
          </w:cols>
          <w:pgMar w:left="240" w:top="360"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THE TORO COMPANY</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(Registrant)</w:t>
      </w:r>
    </w:p>
    <w:p>
      <w:pPr>
        <w:spacing w:after="0" w:line="362" w:lineRule="exact"/>
        <w:rPr>
          <w:sz w:val="20"/>
          <w:szCs w:val="20"/>
          <w:color w:val="auto"/>
        </w:rPr>
      </w:pPr>
    </w:p>
    <w:p>
      <w:pPr>
        <w:ind w:left="5740" w:right="3600" w:hanging="5992"/>
        <w:spacing w:after="0" w:line="328" w:lineRule="auto"/>
        <w:tabs>
          <w:tab w:leader="none" w:pos="5720" w:val="left"/>
        </w:tabs>
        <w:rPr>
          <w:sz w:val="20"/>
          <w:szCs w:val="20"/>
          <w:color w:val="auto"/>
        </w:rPr>
      </w:pPr>
      <w:r>
        <w:rPr>
          <w:rFonts w:ascii="Arial" w:cs="Arial" w:eastAsia="Arial" w:hAnsi="Arial"/>
          <w:sz w:val="20"/>
          <w:szCs w:val="20"/>
          <w:color w:val="auto"/>
        </w:rPr>
        <w:t>Date: March 23,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Timothy P. Dordell</w:t>
      </w:r>
      <w:r>
        <w:rPr>
          <w:rFonts w:ascii="Arial" w:cs="Arial" w:eastAsia="Arial" w:hAnsi="Arial"/>
          <w:sz w:val="18"/>
          <w:szCs w:val="18"/>
          <w:color w:val="auto"/>
        </w:rPr>
        <w:t xml:space="preserve"> Timothy P. Dordell</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Vice President, Secretary and General Counsel</w:t>
      </w:r>
    </w:p>
    <w:sectPr>
      <w:pgSz w:w="11900" w:h="16838" w:orient="portrait"/>
      <w:cols w:equalWidth="0" w:num="1">
        <w:col w:w="11380"/>
      </w:cols>
      <w:pgMar w:left="240" w:top="36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2019-12-05T11:16:02Z</dcterms:created>
  <dcterms:modified xsi:type="dcterms:W3CDTF">2019-12-05T11:16:02Z</dcterms:modified>
</cp:coreProperties>
</file>