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872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8724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DAHL AMY E</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tcPr>
          <w:p>
            <w:pPr>
              <w:ind w:left="4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8111 LYNDALE AVENUE SOUTH</w:t>
            </w:r>
          </w:p>
        </w:tc>
      </w:tr>
      <w:tr>
        <w:trPr>
          <w:trHeight w:val="208"/>
        </w:trPr>
        <w:tc>
          <w:tcPr>
            <w:tcW w:w="40" w:type="dxa"/>
            <w:vAlign w:val="bottom"/>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BLOOMINGTON MN</w:t>
            </w:r>
          </w:p>
        </w:tc>
        <w:tc>
          <w:tcPr>
            <w:tcW w:w="1600" w:type="dxa"/>
            <w:vAlign w:val="bottom"/>
          </w:tcPr>
          <w:p>
            <w:pPr>
              <w:jc w:val="right"/>
              <w:ind w:right="627"/>
              <w:spacing w:after="0"/>
              <w:rPr>
                <w:sz w:val="20"/>
                <w:szCs w:val="20"/>
                <w:color w:val="auto"/>
              </w:rPr>
            </w:pPr>
            <w:r>
              <w:rPr>
                <w:rFonts w:ascii="Times New Roman" w:cs="Times New Roman" w:eastAsia="Times New Roman" w:hAnsi="Times New Roman"/>
                <w:sz w:val="17"/>
                <w:szCs w:val="17"/>
                <w:color w:val="0000FF"/>
              </w:rPr>
              <w:t>55420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TORO CO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TTC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800" w:type="dxa"/>
            <w:vAlign w:val="bottom"/>
            <w:tcBorders>
              <w:bottom w:val="single" w:sz="8" w:color="0000EE"/>
            </w:tcBorders>
          </w:tcPr>
          <w:p>
            <w:pPr>
              <w:spacing w:after="0"/>
              <w:rPr>
                <w:sz w:val="3"/>
                <w:szCs w:val="3"/>
                <w:color w:val="auto"/>
              </w:rPr>
            </w:pPr>
          </w:p>
        </w:tc>
        <w:tc>
          <w:tcPr>
            <w:tcW w:w="2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8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0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12/20/2023</w:t>
            </w:r>
          </w:p>
        </w:tc>
        <w:tc>
          <w:tcPr>
            <w:tcW w:w="2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VP, International</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8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12/20/2023</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5,750</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16,068.626</w:t>
            </w:r>
            <w:r>
              <w:rPr>
                <w:rFonts w:ascii="Times New Roman" w:cs="Times New Roman" w:eastAsia="Times New Roman" w:hAnsi="Times New Roman"/>
                <w:sz w:val="22"/>
                <w:szCs w:val="22"/>
                <w:color w:val="008000"/>
                <w:w w:val="96"/>
                <w:vertAlign w:val="superscript"/>
              </w:rPr>
              <w:t>(2)</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18,706.261</w:t>
            </w:r>
          </w:p>
        </w:tc>
        <w:tc>
          <w:tcPr>
            <w:tcW w:w="300" w:type="dxa"/>
            <w:vAlign w:val="bottom"/>
          </w:tcPr>
          <w:p>
            <w:pPr>
              <w:spacing w:after="0"/>
              <w:rPr>
                <w:sz w:val="23"/>
                <w:szCs w:val="23"/>
                <w:color w:val="auto"/>
              </w:rPr>
            </w:pPr>
          </w:p>
        </w:tc>
        <w:tc>
          <w:tcPr>
            <w:tcW w:w="560" w:type="dxa"/>
            <w:vAlign w:val="bottom"/>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3,921.005</w:t>
            </w:r>
            <w:r>
              <w:rPr>
                <w:rFonts w:ascii="Times New Roman" w:cs="Times New Roman" w:eastAsia="Times New Roman" w:hAnsi="Times New Roman"/>
                <w:sz w:val="22"/>
                <w:szCs w:val="22"/>
                <w:color w:val="008000"/>
                <w:w w:val="96"/>
                <w:vertAlign w:val="superscript"/>
              </w:rPr>
              <w:t>(3)</w:t>
            </w:r>
          </w:p>
        </w:tc>
        <w:tc>
          <w:tcPr>
            <w:tcW w:w="300" w:type="dxa"/>
            <w:vAlign w:val="bottom"/>
          </w:tcPr>
          <w:p>
            <w:pPr>
              <w:spacing w:after="0"/>
              <w:rPr>
                <w:sz w:val="18"/>
                <w:szCs w:val="18"/>
                <w:color w:val="auto"/>
              </w:rPr>
            </w:pPr>
          </w:p>
        </w:tc>
        <w:tc>
          <w:tcPr>
            <w:tcW w:w="560" w:type="dxa"/>
            <w:vAlign w:val="bottom"/>
            <w:vMerge w:val="restart"/>
          </w:tcPr>
          <w:p>
            <w:pPr>
              <w:jc w:val="center"/>
              <w:ind w:right="311"/>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payout of a Performance Share Award for the Fiscal 2021 to Fiscal 2023 Performance Period under The Toro Company Amended and Restated 2010 Equity and Incentive Plan, as amended and restated, as approved by the Issuer's Compensation &amp; Human Resources Committee of its Board of Directors on December 12, 2023, and which was conditioned upon and subject to confirmation by the Issuer's Fiscal 2023 financial results that were released on December 20, 2023. The reporting person has deferred the payout of her Performance Share Award under The Toro Company Deferred Compensation Plan for Officers (the "Deferred Plan") and, accordingly, the reporting person's Performance Share Award is paid in performance share units under the Deferred Plan.</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106.602 performance share units acquired by the reporting person since the date of her last report under the dividend reinvestment feature of the Deferred Plan.</w:t>
      </w:r>
    </w:p>
    <w:p>
      <w:pPr>
        <w:spacing w:after="0" w:line="50" w:lineRule="exact"/>
        <w:rPr>
          <w:rFonts w:ascii="Times New Roman" w:cs="Times New Roman" w:eastAsia="Times New Roman" w:hAnsi="Times New Roman"/>
          <w:sz w:val="13"/>
          <w:szCs w:val="13"/>
          <w:color w:val="008000"/>
        </w:rPr>
      </w:pPr>
    </w:p>
    <w:p>
      <w:pPr>
        <w:jc w:val="both"/>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the following shares of common stock acquired by the reporting person since the date of her last report: 32.30 shares acquired through regular individual and issuer matching contributions to The Toro Company Retirement Plan ("Retirement Plan"); 40.335 net shares acquired under the dividend reinvestment feature of the Retirement Plan less quarterly non-discretionary administrative fees; and 12.635 shares acquired through an account true-up adjustment.</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Joanna M. Totsky,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12/21/2023</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00" w:type="dxa"/>
            <w:vAlign w:val="bottom"/>
            <w:tcBorders>
              <w:top w:val="single" w:sz="8" w:color="auto"/>
            </w:tcBorders>
            <w:vMerge w:val="restart"/>
          </w:tcPr>
          <w:p>
            <w:pPr>
              <w:spacing w:after="0"/>
              <w:rPr>
                <w:sz w:val="7"/>
                <w:szCs w:val="7"/>
                <w:color w:val="auto"/>
              </w:rPr>
            </w:pPr>
          </w:p>
        </w:tc>
        <w:tc>
          <w:tcPr>
            <w:tcW w:w="6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00" w:type="dxa"/>
            <w:vAlign w:val="bottom"/>
            <w:tcBorders>
              <w:top w:val="single" w:sz="8" w:color="auto"/>
            </w:tcBorders>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207" w:lineRule="exact"/>
        <w:rPr>
          <w:sz w:val="20"/>
          <w:szCs w:val="20"/>
          <w:color w:val="auto"/>
        </w:rPr>
      </w:pPr>
    </w:p>
    <w:p>
      <w:pPr>
        <w:ind w:right="3019"/>
        <w:spacing w:after="0" w:line="28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Joanna M. Totsky, signing singly, true and lawful attorney-in-fact relative to the filings identified below in connection with the undersigned's derivative and non-derivative securities of The Toro Company (the 'Company') to:</w:t>
      </w:r>
    </w:p>
    <w:p>
      <w:pPr>
        <w:spacing w:after="0" w:line="76" w:lineRule="exact"/>
        <w:rPr>
          <w:sz w:val="20"/>
          <w:szCs w:val="20"/>
          <w:color w:val="auto"/>
        </w:rPr>
      </w:pPr>
    </w:p>
    <w:p>
      <w:pPr>
        <w:ind w:right="2919" w:firstLine="7"/>
        <w:spacing w:after="0" w:line="280"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75" w:lineRule="exact"/>
        <w:rPr>
          <w:rFonts w:ascii="Courier New" w:cs="Courier New" w:eastAsia="Courier New" w:hAnsi="Courier New"/>
          <w:sz w:val="17"/>
          <w:szCs w:val="17"/>
          <w:color w:val="auto"/>
        </w:rPr>
      </w:pPr>
    </w:p>
    <w:p>
      <w:pPr>
        <w:ind w:left="840" w:hanging="833"/>
        <w:spacing w:after="0"/>
        <w:tabs>
          <w:tab w:leader="none" w:pos="8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w:t>
      </w:r>
    </w:p>
    <w:p>
      <w:pPr>
        <w:spacing w:after="0" w:line="39" w:lineRule="exact"/>
        <w:rPr>
          <w:sz w:val="20"/>
          <w:szCs w:val="20"/>
          <w:color w:val="auto"/>
        </w:rPr>
      </w:pPr>
    </w:p>
    <w:p>
      <w:pPr>
        <w:ind w:right="3339"/>
        <w:spacing w:after="0" w:line="277" w:lineRule="auto"/>
        <w:rPr>
          <w:sz w:val="20"/>
          <w:szCs w:val="20"/>
          <w:color w:val="auto"/>
        </w:rPr>
      </w:pPr>
      <w:r>
        <w:rPr>
          <w:rFonts w:ascii="Courier New" w:cs="Courier New" w:eastAsia="Courier New" w:hAnsi="Courier New"/>
          <w:sz w:val="17"/>
          <w:szCs w:val="17"/>
          <w:color w:val="auto"/>
        </w:rPr>
        <w:t>in the undersigned?s capacity as an officer of the Company, any Form 144 in accordance with Rule 144 under the Securities Act of 1933, as amended, and the rules and regulations thereunder (the 'Securities Act');</w:t>
      </w:r>
    </w:p>
    <w:p>
      <w:pPr>
        <w:spacing w:after="0" w:line="78" w:lineRule="exact"/>
        <w:rPr>
          <w:sz w:val="20"/>
          <w:szCs w:val="20"/>
          <w:color w:val="auto"/>
        </w:rPr>
      </w:pPr>
    </w:p>
    <w:p>
      <w:pPr>
        <w:ind w:right="2919" w:firstLine="7"/>
        <w:spacing w:after="0" w:line="280"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75" w:lineRule="exact"/>
        <w:rPr>
          <w:rFonts w:ascii="Courier New" w:cs="Courier New" w:eastAsia="Courier New" w:hAnsi="Courier New"/>
          <w:sz w:val="17"/>
          <w:szCs w:val="17"/>
          <w:color w:val="auto"/>
        </w:rPr>
      </w:pPr>
    </w:p>
    <w:p>
      <w:pPr>
        <w:ind w:right="2919" w:firstLine="7"/>
        <w:spacing w:after="0" w:line="266"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hereby grants to such attorney-in-fact full</w:t>
      </w:r>
    </w:p>
    <w:p>
      <w:pPr>
        <w:spacing w:after="0" w:line="39" w:lineRule="exact"/>
        <w:rPr>
          <w:sz w:val="20"/>
          <w:szCs w:val="20"/>
          <w:color w:val="auto"/>
        </w:rPr>
      </w:pPr>
    </w:p>
    <w:p>
      <w:pPr>
        <w:ind w:right="2819"/>
        <w:spacing w:after="0" w:line="255" w:lineRule="auto"/>
        <w:rPr>
          <w:sz w:val="20"/>
          <w:szCs w:val="20"/>
          <w:color w:val="auto"/>
        </w:rPr>
      </w:pPr>
      <w:r>
        <w:rPr>
          <w:rFonts w:ascii="Courier New" w:cs="Courier New" w:eastAsia="Courier New" w:hAnsi="Courier New"/>
          <w:sz w:val="17"/>
          <w:szCs w:val="17"/>
          <w:color w:val="auto"/>
        </w:rPr>
        <w:t>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the Securities Act and Exchange Act, including Section 16 of the Exchange Act and Rule 144 under the Securities Act.</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has caused this Limited Power</w:t>
      </w:r>
    </w:p>
    <w:p>
      <w:pPr>
        <w:spacing w:after="0" w:line="39" w:lineRule="exact"/>
        <w:rPr>
          <w:sz w:val="20"/>
          <w:szCs w:val="20"/>
          <w:color w:val="auto"/>
        </w:rPr>
      </w:pPr>
    </w:p>
    <w:p>
      <w:pPr>
        <w:ind w:right="2919"/>
        <w:spacing w:after="0" w:line="249" w:lineRule="auto"/>
        <w:rPr>
          <w:sz w:val="20"/>
          <w:szCs w:val="20"/>
          <w:color w:val="auto"/>
        </w:rPr>
      </w:pPr>
      <w:r>
        <w:rPr>
          <w:rFonts w:ascii="Courier New" w:cs="Courier New" w:eastAsia="Courier New" w:hAnsi="Courier New"/>
          <w:sz w:val="17"/>
          <w:szCs w:val="17"/>
          <w:color w:val="auto"/>
        </w:rPr>
        <w:t>of Attorney to be executed effective as of the date indicated below, and said Power of Attorney shall remain in effect until revoked by</w:t>
      </w:r>
    </w:p>
    <w:p>
      <w:pPr>
        <w:ind w:right="3239"/>
        <w:spacing w:after="0" w:line="333" w:lineRule="auto"/>
        <w:rPr>
          <w:sz w:val="20"/>
          <w:szCs w:val="20"/>
          <w:color w:val="auto"/>
        </w:rPr>
      </w:pPr>
      <w:r>
        <w:rPr>
          <w:rFonts w:ascii="Courier New" w:cs="Courier New" w:eastAsia="Courier New" w:hAnsi="Courier New"/>
          <w:sz w:val="17"/>
          <w:szCs w:val="17"/>
          <w:color w:val="auto"/>
        </w:rPr>
        <w:t>the undersigned in writing, or at such time as the undersigned is no longer an officer of the Company, whichever first occurs.</w:t>
      </w:r>
    </w:p>
    <w:p>
      <w:pPr>
        <w:sectPr>
          <w:pgSz w:w="11900" w:h="16838" w:orient="portrait"/>
          <w:cols w:equalWidth="0" w:num="1">
            <w:col w:w="9999"/>
          </w:cols>
          <w:pgMar w:left="460" w:top="110" w:right="1440" w:bottom="1440" w:gutter="0" w:footer="0" w:header="0"/>
        </w:sect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Signed:</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Amy E. Dahl</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Amy E. Dahl</w:t>
      </w:r>
    </w:p>
    <w:p>
      <w:pPr>
        <w:spacing w:after="0" w:line="175" w:lineRule="exact"/>
        <w:rPr>
          <w:sz w:val="20"/>
          <w:szCs w:val="20"/>
          <w:color w:val="auto"/>
        </w:rPr>
      </w:pPr>
    </w:p>
    <w:p>
      <w:pPr>
        <w:sectPr>
          <w:pgSz w:w="11900" w:h="16838" w:orient="portrait"/>
          <w:cols w:equalWidth="0" w:num="2">
            <w:col w:w="940" w:space="720"/>
            <w:col w:w="8339"/>
          </w:cols>
          <w:pgMar w:left="460" w:top="110"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12/19/2023</w:t>
      </w:r>
    </w:p>
    <w:sectPr>
      <w:pgSz w:w="11900" w:h="16838" w:orient="portrait"/>
      <w:cols w:equalWidth="0" w:num="2">
        <w:col w:w="640" w:space="200"/>
        <w:col w:w="9159"/>
      </w:cols>
      <w:pgMar w:left="46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38979"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2023-12-21T13:55:55Z</dcterms:created>
  <dcterms:modified xsi:type="dcterms:W3CDTF">2023-12-21T13:55:55Z</dcterms:modified>
</cp:coreProperties>
</file>