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400"/>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jc w:val="center"/>
        <w:ind w:right="20"/>
        <w:spacing w:after="0"/>
        <w:tabs>
          <w:tab w:leader="none" w:pos="180" w:val="left"/>
        </w:tabs>
        <w:rPr>
          <w:sz w:val="20"/>
          <w:szCs w:val="20"/>
          <w:color w:val="auto"/>
        </w:rPr>
      </w:pPr>
      <w:r>
        <w:rPr>
          <w:rFonts w:ascii="Arial" w:cs="Arial" w:eastAsia="Arial" w:hAnsi="Arial"/>
          <w:sz w:val="22"/>
          <w:szCs w:val="22"/>
          <w:b w:val="1"/>
          <w:bCs w:val="1"/>
          <w:color w:val="auto"/>
        </w:rPr>
        <w:t>o</w:t>
      </w:r>
      <w:r>
        <w:rPr>
          <w:sz w:val="20"/>
          <w:szCs w:val="20"/>
          <w:color w:val="auto"/>
        </w:rPr>
        <w:tab/>
      </w:r>
      <w:r>
        <w:rPr>
          <w:rFonts w:ascii="Arial" w:cs="Arial" w:eastAsia="Arial" w:hAnsi="Arial"/>
          <w:sz w:val="21"/>
          <w:szCs w:val="21"/>
          <w:b w:val="1"/>
          <w:bCs w:val="1"/>
          <w:color w:val="auto"/>
        </w:rPr>
        <w:t>TRANSITION REPORT PURSUANT TO SECTION 15(d) OF THE SECURITIES EXCHANGE ACT OF 1934</w:t>
      </w:r>
    </w:p>
    <w:p>
      <w:pPr>
        <w:spacing w:after="0" w:line="215"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Attn: Director, Total Rewards &amp; HR Services</w:t>
      </w:r>
    </w:p>
    <w:p>
      <w:pPr>
        <w:spacing w:after="0" w:line="211" w:lineRule="exact"/>
        <w:rPr>
          <w:sz w:val="24"/>
          <w:szCs w:val="24"/>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gridSpan w:val="3"/>
          </w:tcPr>
          <w:p>
            <w:pPr>
              <w:jc w:val="center"/>
              <w:ind w:right="4520"/>
              <w:spacing w:after="0"/>
              <w:rPr>
                <w:sz w:val="20"/>
                <w:szCs w:val="20"/>
                <w:color w:val="auto"/>
              </w:rPr>
            </w:pPr>
            <w:r>
              <w:rPr>
                <w:rFonts w:ascii="Arial" w:cs="Arial" w:eastAsia="Arial" w:hAnsi="Arial"/>
                <w:sz w:val="18"/>
                <w:szCs w:val="18"/>
                <w:color w:val="auto"/>
                <w:w w:val="89"/>
              </w:rPr>
              <w:t>Financial Statements</w:t>
            </w:r>
          </w:p>
        </w:tc>
      </w:tr>
      <w:tr>
        <w:trPr>
          <w:trHeight w:val="432"/>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3"/>
          </w:tcPr>
          <w:p>
            <w:pPr>
              <w:jc w:val="center"/>
              <w:ind w:right="4500"/>
              <w:spacing w:after="0"/>
              <w:rPr>
                <w:sz w:val="20"/>
                <w:szCs w:val="20"/>
                <w:color w:val="auto"/>
              </w:rPr>
            </w:pPr>
            <w:r>
              <w:rPr>
                <w:rFonts w:ascii="Arial" w:cs="Arial" w:eastAsia="Arial" w:hAnsi="Arial"/>
                <w:sz w:val="18"/>
                <w:szCs w:val="18"/>
                <w:color w:val="auto"/>
                <w:w w:val="89"/>
              </w:rPr>
              <w:t>December 31, 2012 and 2011</w:t>
            </w:r>
          </w:p>
        </w:tc>
      </w:tr>
      <w:tr>
        <w:trPr>
          <w:trHeight w:val="348"/>
        </w:trPr>
        <w:tc>
          <w:tcPr>
            <w:tcW w:w="70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59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44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3"/>
          </w:tcPr>
          <w:p>
            <w:pPr>
              <w:jc w:val="center"/>
              <w:ind w:right="4500"/>
              <w:spacing w:after="0"/>
              <w:rPr>
                <w:sz w:val="20"/>
                <w:szCs w:val="20"/>
                <w:color w:val="auto"/>
              </w:rPr>
            </w:pPr>
            <w:r>
              <w:rPr>
                <w:rFonts w:ascii="Arial" w:cs="Arial" w:eastAsia="Arial" w:hAnsi="Arial"/>
                <w:sz w:val="18"/>
                <w:szCs w:val="18"/>
                <w:b w:val="1"/>
                <w:bCs w:val="1"/>
                <w:color w:val="auto"/>
                <w:w w:val="89"/>
              </w:rPr>
              <w:t>Table of Contents</w:t>
            </w:r>
          </w:p>
        </w:tc>
      </w:tr>
      <w:tr>
        <w:trPr>
          <w:trHeight w:val="365"/>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44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7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412"/>
        </w:trPr>
        <w:tc>
          <w:tcPr>
            <w:tcW w:w="43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180" w:type="dxa"/>
            <w:vAlign w:val="bottom"/>
          </w:tcPr>
          <w:p>
            <w:pPr>
              <w:spacing w:after="0"/>
              <w:rPr>
                <w:sz w:val="24"/>
                <w:szCs w:val="24"/>
                <w:color w:val="auto"/>
              </w:rPr>
            </w:pPr>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44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Notes to Financial Statements</w:t>
              </w:r>
            </w:hyperlink>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2160" w:type="dxa"/>
            <w:vAlign w:val="bottom"/>
            <w:tcBorders>
              <w:top w:val="single" w:sz="8" w:color="0000EE"/>
            </w:tcBorders>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Signature</w:t>
              </w:r>
            </w:hyperlink>
          </w:p>
        </w:tc>
        <w:tc>
          <w:tcPr>
            <w:tcW w:w="2320" w:type="dxa"/>
            <w:vAlign w:val="bottom"/>
            <w:gridSpan w:val="3"/>
          </w:tcPr>
          <w:p>
            <w:pPr>
              <w:spacing w:after="0"/>
              <w:rPr>
                <w:sz w:val="24"/>
                <w:szCs w:val="24"/>
                <w:color w:val="auto"/>
              </w:rPr>
            </w:pPr>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368"/>
        </w:trPr>
        <w:tc>
          <w:tcPr>
            <w:tcW w:w="700" w:type="dxa"/>
            <w:vAlign w:val="bottom"/>
            <w:tcBorders>
              <w:top w:val="single" w:sz="8" w:color="0000EE"/>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59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-2233295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-2233295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ectPr>
          <w:pgSz w:w="11900" w:h="16838" w:orient="portrait"/>
          <w:cols w:equalWidth="0" w:num="1">
            <w:col w:w="11460"/>
          </w:cols>
          <w:pgMar w:left="240" w:top="233" w:right="19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Investments at fair value: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 the Toro Company Master Trust Fund</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3,231,539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3,094,676</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Employee contribution receivable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1,982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 receivable</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r>
      <w:tr>
        <w:trPr>
          <w:trHeight w:val="210"/>
        </w:trPr>
        <w:tc>
          <w:tcPr>
            <w:tcW w:w="75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receivables</w:t>
            </w:r>
          </w:p>
        </w:tc>
        <w:tc>
          <w:tcPr>
            <w:tcW w:w="7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CEEFF"/>
            </w:tcBorders>
          </w:tcPr>
          <w:p>
            <w:pPr>
              <w:spacing w:after="0"/>
              <w:rPr>
                <w:sz w:val="18"/>
                <w:szCs w:val="18"/>
                <w:color w:val="auto"/>
              </w:rPr>
            </w:pPr>
          </w:p>
        </w:tc>
      </w:tr>
      <w:tr>
        <w:trPr>
          <w:trHeight w:val="21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 before adjustment at fair value</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3,234,290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3,098,052</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(10,079)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(11,085)</w:t>
            </w:r>
          </w:p>
        </w:tc>
      </w:tr>
      <w:tr>
        <w:trPr>
          <w:trHeight w:val="210"/>
        </w:trPr>
        <w:tc>
          <w:tcPr>
            <w:tcW w:w="75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assets available for benefits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3,224,211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Investment income (loss):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 in net investment income (loss) of the Toro Company Master Trust Fund</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710,558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(42,930)</w:t>
            </w:r>
          </w:p>
        </w:tc>
      </w:tr>
      <w:tr>
        <w:trPr>
          <w:trHeight w:val="210"/>
        </w:trPr>
        <w:tc>
          <w:tcPr>
            <w:tcW w:w="74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investment income (loss)</w:t>
            </w:r>
          </w:p>
        </w:tc>
        <w:tc>
          <w:tcPr>
            <w:tcW w:w="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710,558</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tcPr>
          <w:p>
            <w:pPr>
              <w:spacing w:after="0"/>
              <w:rPr>
                <w:sz w:val="18"/>
                <w:szCs w:val="18"/>
                <w:color w:val="auto"/>
              </w:rPr>
            </w:pPr>
          </w:p>
        </w:tc>
      </w:tr>
      <w:tr>
        <w:trPr>
          <w:trHeight w:val="21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Employee contributions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123,400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139,511</w:t>
            </w:r>
          </w:p>
        </w:tc>
      </w:tr>
      <w:tr>
        <w:trPr>
          <w:trHeight w:val="210"/>
        </w:trPr>
        <w:tc>
          <w:tcPr>
            <w:tcW w:w="74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contributions</w:t>
            </w: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20" w:type="dxa"/>
            <w:vAlign w:val="bottom"/>
          </w:tcPr>
          <w:p>
            <w:pPr>
              <w:ind w:left="540"/>
              <w:spacing w:after="0"/>
              <w:rPr>
                <w:sz w:val="20"/>
                <w:szCs w:val="20"/>
                <w:color w:val="auto"/>
              </w:rPr>
            </w:pPr>
            <w:r>
              <w:rPr>
                <w:rFonts w:ascii="Arial" w:cs="Arial" w:eastAsia="Arial" w:hAnsi="Arial"/>
                <w:sz w:val="18"/>
                <w:szCs w:val="18"/>
                <w:color w:val="auto"/>
              </w:rPr>
              <w:t>Total additions to net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881,161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146,335</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Benefit payments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(743,917)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(297,362)</w:t>
            </w:r>
          </w:p>
        </w:tc>
      </w:tr>
      <w:tr>
        <w:trPr>
          <w:trHeight w:val="210"/>
        </w:trPr>
        <w:tc>
          <w:tcPr>
            <w:tcW w:w="74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deductions from net assets</w:t>
            </w: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(743,917)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20" w:type="dxa"/>
            <w:vAlign w:val="bottom"/>
          </w:tcPr>
          <w:p>
            <w:pPr>
              <w:ind w:left="540"/>
              <w:spacing w:after="0"/>
              <w:rPr>
                <w:sz w:val="20"/>
                <w:szCs w:val="20"/>
                <w:color w:val="auto"/>
              </w:rPr>
            </w:pPr>
            <w:r>
              <w:rPr>
                <w:rFonts w:ascii="Arial" w:cs="Arial" w:eastAsia="Arial" w:hAnsi="Arial"/>
                <w:sz w:val="18"/>
                <w:szCs w:val="18"/>
                <w:color w:val="auto"/>
              </w:rPr>
              <w:t>Net increase (decrease) in net assets available for benefits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137,244</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(151,027)</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Beginning of year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3,086,967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3,237,994</w:t>
            </w:r>
          </w:p>
        </w:tc>
      </w:tr>
      <w:tr>
        <w:trPr>
          <w:trHeight w:val="210"/>
        </w:trPr>
        <w:tc>
          <w:tcPr>
            <w:tcW w:w="7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3,224,211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8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following description of The Toro Company Profit-Sharing Plan for Plymouth Union Employees (the Plan) is provided for general information purposes only. Participants should refer to the Plan document amended and restated as of January 1, 2009 for more complete information as it relates to calendar years prior to 2012. The Plan document was amended and restated effective January 1, 2012 as part of the regular five-year cycle of amendments and restatements. The plan is subject to certain provisions of the Employee Retirement Security Act of 1974, as amended (ERISA).</w:t>
      </w:r>
    </w:p>
    <w:p>
      <w:pPr>
        <w:spacing w:after="0" w:line="154" w:lineRule="exact"/>
        <w:rPr>
          <w:rFonts w:ascii="Arial" w:cs="Arial" w:eastAsia="Arial" w:hAnsi="Arial"/>
          <w:sz w:val="18"/>
          <w:szCs w:val="18"/>
          <w:b w:val="1"/>
          <w:bCs w:val="1"/>
          <w:color w:val="auto"/>
        </w:rPr>
      </w:pPr>
    </w:p>
    <w:p>
      <w:pPr>
        <w:ind w:left="580" w:right="1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Employees are eligible to contribute to the Plan after they have completed 180 consecutive days of employment or one year of eligibility service and must be a member of a collective bargaining unit. Employee contributions to the Plan consist of salary reduction elections under a 401(k) feature, voluntary after tax contributions, and rollover funds from other qualified plans. Participants are fully vested in the entire balance of their individual accounts attributable to those contributions. The Toro Company (the Company), at its discretion, may make matching contributions. Participants are eligible for matching contributions the first of the month following completion of one year of qualifying service with the Company. Company contributions, together with the income attributable thereto, vest at a rate of 20% after one year of vesting service, with an additional 20% being</w:t>
      </w:r>
    </w:p>
    <w:p>
      <w:pPr>
        <w:sectPr>
          <w:pgSz w:w="11900" w:h="16838" w:orient="portrait"/>
          <w:cols w:equalWidth="0" w:num="1">
            <w:col w:w="11420"/>
          </w:cols>
          <w:pgMar w:left="240" w:top="121" w:right="239" w:bottom="0" w:gutter="0" w:footer="0" w:header="0"/>
        </w:sectPr>
      </w:pPr>
    </w:p>
    <w:bookmarkStart w:id="2" w:name="page3"/>
    <w:bookmarkEnd w:id="2"/>
    <w:p>
      <w:pPr>
        <w:spacing w:after="0" w:line="13"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accumulated annually thereafter until the participant is 100% vested. All contributions under the Plan are made to a trust that holds all of the assets of the Plan.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investments of employee and employer contributions are selected by the participants.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par value $1.00 per share, of the Company (Common Stock), a withdrawal or distribution can be in the form of Common Stock or cash.</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Forfeited amounts from nonvested accounts totaled $0 and $10 during the Plan years ended December 31, 2012 and 2011, respectively.</w:t>
      </w:r>
    </w:p>
    <w:p>
      <w:pPr>
        <w:spacing w:after="0" w:line="237"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Company (the administrator of the Plan) designs, manufactures, and markets professional turf maintenance equipment and services, turf irrigation systems, agricultural micro-irrigation systems, landscaping equipment and lighting, underground utility equipment, concrete and hardscape equipment, and residential yard and snow removal products. The Company absorbs all administrative costs of the Plan, with the exception of investment management fees, which are netted against investment income.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2012 and 2011</w:t>
      </w:r>
    </w:p>
    <w:p>
      <w:pPr>
        <w:spacing w:after="0" w:line="22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980" w:hanging="365"/>
        <w:spacing w:after="0"/>
        <w:tabs>
          <w:tab w:leader="none" w:pos="980" w:val="left"/>
        </w:tabs>
        <w:numPr>
          <w:ilvl w:val="2"/>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rFonts w:ascii="Arial" w:cs="Arial" w:eastAsia="Arial" w:hAnsi="Arial"/>
          <w:sz w:val="18"/>
          <w:szCs w:val="18"/>
          <w:b w:val="1"/>
          <w:bCs w:val="1"/>
          <w:i w:val="1"/>
          <w:iCs w:val="1"/>
          <w:color w:val="auto"/>
        </w:rPr>
      </w:pPr>
    </w:p>
    <w:p>
      <w:pPr>
        <w:ind w:left="980" w:right="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financial statements of the Plan are presented in accordance with U.S. generally accepted accounting principles (U.S. GAAP). The accounting records of the Plan are maintained on the accrual basis. The accompanying financial statements have not been audited, as an audit is not required under the applicable ERISA rules.</w:t>
      </w:r>
    </w:p>
    <w:p>
      <w:pPr>
        <w:spacing w:after="0" w:line="181"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25" w:lineRule="exact"/>
        <w:rPr>
          <w:rFonts w:ascii="Arial" w:cs="Arial" w:eastAsia="Arial" w:hAnsi="Arial"/>
          <w:sz w:val="18"/>
          <w:szCs w:val="18"/>
          <w:b w:val="1"/>
          <w:bCs w:val="1"/>
          <w:i w:val="1"/>
          <w:iCs w:val="1"/>
          <w:color w:val="auto"/>
        </w:rPr>
      </w:pPr>
    </w:p>
    <w:p>
      <w:pPr>
        <w:ind w:left="980" w:right="8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58" w:lineRule="exact"/>
        <w:rPr>
          <w:rFonts w:ascii="Arial" w:cs="Arial" w:eastAsia="Arial" w:hAnsi="Arial"/>
          <w:sz w:val="18"/>
          <w:szCs w:val="18"/>
          <w:b w:val="1"/>
          <w:bCs w:val="1"/>
          <w:i w:val="1"/>
          <w:iCs w:val="1"/>
          <w:color w:val="auto"/>
        </w:rPr>
      </w:pPr>
    </w:p>
    <w:p>
      <w:pPr>
        <w:ind w:left="980" w:right="8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Company maintains one Master Trust for two profit sharing and retirement plans that are sponsored by the Company. The two plans are the Plan and The Toro Company Investment, Savings, and Employee Stock Ownership Plan.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72" w:lineRule="exact"/>
        <w:rPr>
          <w:rFonts w:ascii="Arial" w:cs="Arial" w:eastAsia="Arial" w:hAnsi="Arial"/>
          <w:sz w:val="18"/>
          <w:szCs w:val="18"/>
          <w:b w:val="1"/>
          <w:bCs w:val="1"/>
          <w:i w:val="1"/>
          <w:iCs w:val="1"/>
          <w:color w:val="auto"/>
        </w:rPr>
      </w:pPr>
    </w:p>
    <w:p>
      <w:pPr>
        <w:jc w:val="both"/>
        <w:ind w:left="980" w:right="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1% as of each of December 31, 2012 and 2011.</w:t>
      </w:r>
    </w:p>
    <w:p>
      <w:pPr>
        <w:spacing w:after="0" w:line="181" w:lineRule="exact"/>
        <w:rPr>
          <w:rFonts w:ascii="Arial" w:cs="Arial" w:eastAsia="Arial" w:hAnsi="Arial"/>
          <w:sz w:val="18"/>
          <w:szCs w:val="18"/>
          <w:b w:val="1"/>
          <w:bCs w:val="1"/>
          <w:i w:val="1"/>
          <w:iCs w:val="1"/>
          <w:color w:val="auto"/>
        </w:rPr>
      </w:pPr>
    </w:p>
    <w:p>
      <w:pPr>
        <w:ind w:left="1000" w:hanging="385"/>
        <w:spacing w:after="0"/>
        <w:tabs>
          <w:tab w:leader="none" w:pos="1000" w:val="left"/>
        </w:tabs>
        <w:numPr>
          <w:ilvl w:val="2"/>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rFonts w:ascii="Arial" w:cs="Arial" w:eastAsia="Arial" w:hAnsi="Arial"/>
          <w:sz w:val="18"/>
          <w:szCs w:val="18"/>
          <w:b w:val="1"/>
          <w:bCs w:val="1"/>
          <w:i w:val="1"/>
          <w:iCs w:val="1"/>
          <w:color w:val="auto"/>
        </w:rPr>
      </w:pPr>
    </w:p>
    <w:p>
      <w:pPr>
        <w:ind w:left="980" w:right="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ind w:left="1000" w:hanging="421"/>
        <w:spacing w:after="0"/>
        <w:tabs>
          <w:tab w:leader="none" w:pos="10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25" w:lineRule="exact"/>
        <w:rPr>
          <w:rFonts w:ascii="Arial" w:cs="Arial" w:eastAsia="Arial" w:hAnsi="Arial"/>
          <w:sz w:val="18"/>
          <w:szCs w:val="18"/>
          <w:b w:val="1"/>
          <w:bCs w:val="1"/>
          <w:i w:val="1"/>
          <w:iCs w:val="1"/>
          <w:color w:val="auto"/>
        </w:rPr>
      </w:pPr>
    </w:p>
    <w:p>
      <w:pPr>
        <w:ind w:left="980" w:right="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 of net assets available for benefits.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3" w:name="page4"/>
    <w:bookmarkEnd w:id="3"/>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2012 and 2011</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assets held by the Master Trust include Common Stock. At December 31, 2012 and 2011, approximately 36% and 33%, respectively, of the investments of the Master Trust were invested in Common Stock. The underlying value of the Common Stock is entirely dependent upon the performance of the Company and the market’s evaluation of such performance and other factors.</w:t>
      </w:r>
    </w:p>
    <w:p>
      <w:pPr>
        <w:spacing w:after="0" w:line="181" w:lineRule="exact"/>
        <w:rPr>
          <w:sz w:val="20"/>
          <w:szCs w:val="20"/>
          <w:color w:val="auto"/>
        </w:rPr>
      </w:pPr>
    </w:p>
    <w:p>
      <w:pPr>
        <w:ind w:left="580"/>
        <w:spacing w:after="0"/>
        <w:tabs>
          <w:tab w:leader="none" w:pos="90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Fully Benefit-Responsive Investment Contracts</w:t>
      </w:r>
    </w:p>
    <w:p>
      <w:pPr>
        <w:spacing w:after="0" w:line="225" w:lineRule="exact"/>
        <w:rPr>
          <w:sz w:val="20"/>
          <w:szCs w:val="20"/>
          <w:color w:val="auto"/>
        </w:rPr>
      </w:pPr>
    </w:p>
    <w:p>
      <w:pPr>
        <w:ind w:left="980" w:right="100"/>
        <w:spacing w:after="0" w:line="297" w:lineRule="auto"/>
        <w:rPr>
          <w:sz w:val="20"/>
          <w:szCs w:val="20"/>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Value Fund E at December 31, 2012 and 2011 was 0.94% and 1.56%, respectively.</w:t>
      </w:r>
    </w:p>
    <w:p>
      <w:pPr>
        <w:spacing w:after="0" w:line="158" w:lineRule="exact"/>
        <w:rPr>
          <w:sz w:val="20"/>
          <w:szCs w:val="20"/>
          <w:color w:val="auto"/>
        </w:rPr>
      </w:pPr>
    </w:p>
    <w:p>
      <w:pPr>
        <w:ind w:left="980" w:right="220"/>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are prepared on a contract value basis.</w:t>
      </w:r>
    </w:p>
    <w:p>
      <w:pPr>
        <w:spacing w:after="0" w:line="189" w:lineRule="exact"/>
        <w:rPr>
          <w:sz w:val="20"/>
          <w:szCs w:val="20"/>
          <w:color w:val="auto"/>
        </w:rPr>
      </w:pPr>
    </w:p>
    <w:p>
      <w:pPr>
        <w:ind w:left="580" w:hanging="500"/>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80" w:right="5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42" w:lineRule="exact"/>
        <w:rPr>
          <w:rFonts w:ascii="Arial" w:cs="Arial" w:eastAsia="Arial" w:hAnsi="Arial"/>
          <w:sz w:val="18"/>
          <w:szCs w:val="18"/>
          <w:b w:val="1"/>
          <w:bCs w:val="1"/>
          <w:color w:val="auto"/>
        </w:rPr>
      </w:pPr>
    </w:p>
    <w:p>
      <w:pPr>
        <w:ind w:left="580" w:hanging="500"/>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58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rFonts w:ascii="Arial" w:cs="Arial" w:eastAsia="Arial" w:hAnsi="Arial"/>
          <w:sz w:val="18"/>
          <w:szCs w:val="18"/>
          <w:b w:val="1"/>
          <w:bCs w:val="1"/>
          <w:color w:val="auto"/>
        </w:rPr>
      </w:pPr>
    </w:p>
    <w:p>
      <w:pPr>
        <w:ind w:left="580" w:hanging="500"/>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2012 and 2011</w:t>
      </w:r>
    </w:p>
    <w:p>
      <w:pPr>
        <w:spacing w:after="0" w:line="225" w:lineRule="exact"/>
        <w:rPr>
          <w:sz w:val="20"/>
          <w:szCs w:val="20"/>
          <w:color w:val="auto"/>
        </w:rPr>
      </w:pPr>
    </w:p>
    <w:p>
      <w:pPr>
        <w:ind w:left="580" w:right="260"/>
        <w:spacing w:after="0" w:line="277" w:lineRule="auto"/>
        <w:rPr>
          <w:sz w:val="20"/>
          <w:szCs w:val="20"/>
          <w:color w:val="auto"/>
        </w:rPr>
      </w:pPr>
      <w:r>
        <w:rPr>
          <w:rFonts w:ascii="Arial" w:cs="Arial" w:eastAsia="Arial" w:hAnsi="Arial"/>
          <w:sz w:val="18"/>
          <w:szCs w:val="18"/>
          <w:color w:val="auto"/>
        </w:rPr>
        <w:t>sponsored by the Company in the Master Trust. Investment income related to the Master Trust is allocated to the individual plans based upon daily balances invested in the Plan.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Fair values of Master Trust investments at December 31, 2012 and 2011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48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U.S. Small Cap Equities</w:t>
            </w:r>
          </w:p>
        </w:tc>
        <w:tc>
          <w:tcPr>
            <w:tcW w:w="21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31,567,294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29,820,362</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Mid Cap Equities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32,420,071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26,506,816</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U.S. Large Cap Equities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122,443,659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108,237,566</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Small Cap Equities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3,653,436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2,675,343</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International Large Cap Equities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26,403,367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25,065,517</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100,747,244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106,043,767</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103,583,178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90,484,097</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22,591,625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17,802,425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Money Market Funds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3,223,982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2,394,853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251,938,375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200,867,070</w:t>
            </w:r>
          </w:p>
        </w:tc>
      </w:tr>
      <w:tr>
        <w:trPr>
          <w:trHeight w:val="250"/>
        </w:trPr>
        <w:tc>
          <w:tcPr>
            <w:tcW w:w="448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698,572,231</w:t>
            </w:r>
          </w:p>
        </w:tc>
        <w:tc>
          <w:tcPr>
            <w:tcW w:w="3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609,897,816</w:t>
            </w:r>
          </w:p>
        </w:tc>
        <w:tc>
          <w:tcPr>
            <w:tcW w:w="100" w:type="dxa"/>
            <w:vAlign w:val="bottom"/>
            <w:tcBorders>
              <w:bottom w:val="single" w:sz="8" w:color="CCEEFF"/>
            </w:tcBorders>
          </w:tcPr>
          <w:p>
            <w:pPr>
              <w:spacing w:after="0"/>
              <w:rPr>
                <w:sz w:val="21"/>
                <w:szCs w:val="21"/>
                <w:color w:val="auto"/>
              </w:rPr>
            </w:pPr>
          </w:p>
        </w:tc>
      </w:tr>
      <w:tr>
        <w:trPr>
          <w:trHeight w:val="64"/>
        </w:trPr>
        <w:tc>
          <w:tcPr>
            <w:tcW w:w="448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400"/>
          </w:cols>
          <w:pgMar w:left="240" w:top="337" w:right="259" w:bottom="0" w:gutter="0" w:footer="0" w:header="0"/>
        </w:sectPr>
      </w:pPr>
    </w:p>
    <w:bookmarkStart w:id="4" w:name="page5"/>
    <w:bookmarkEnd w:id="4"/>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Plan Interest in Master Trust</w:t>
            </w:r>
          </w:p>
        </w:tc>
        <w:tc>
          <w:tcPr>
            <w:tcW w:w="3680" w:type="dxa"/>
            <w:vAlign w:val="bottom"/>
          </w:tcPr>
          <w:p>
            <w:pPr>
              <w:jc w:val="right"/>
              <w:ind w:right="390"/>
              <w:spacing w:after="0"/>
              <w:rPr>
                <w:sz w:val="20"/>
                <w:szCs w:val="20"/>
                <w:color w:val="auto"/>
              </w:rPr>
            </w:pPr>
            <w:r>
              <w:rPr>
                <w:rFonts w:ascii="Arial" w:cs="Arial" w:eastAsia="Arial" w:hAnsi="Arial"/>
                <w:sz w:val="18"/>
                <w:szCs w:val="18"/>
                <w:color w:val="auto"/>
              </w:rPr>
              <w:t>3,231,539</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3,094,676</w:t>
            </w:r>
          </w:p>
        </w:tc>
      </w:tr>
    </w:tbl>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income (loss) for the Master Trust for the years ended December 31, 2012 and 2011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Net realized and unrealized appreciation (depreciation) in fair value of investments: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Small Cap Equities</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1,902,305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(3,740,505)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U.S. Mid Cap Equities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4,178,779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(263,253)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Large Cap Equities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17,735,527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(5,380,635)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International Small Cap Equities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638,757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(430,956)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Large Cap Equities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4,016,531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(4,341,245)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Stable Asset Funds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2,032,319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2,648,514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Allocation Funds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10,452,064</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131,732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360"/>
              <w:spacing w:after="0"/>
              <w:rPr>
                <w:sz w:val="20"/>
                <w:szCs w:val="20"/>
                <w:color w:val="auto"/>
              </w:rPr>
            </w:pPr>
            <w:r>
              <w:rPr>
                <w:rFonts w:ascii="Arial" w:cs="Arial" w:eastAsia="Arial" w:hAnsi="Arial"/>
                <w:sz w:val="18"/>
                <w:szCs w:val="18"/>
                <w:color w:val="auto"/>
              </w:rPr>
              <w:t>Fixed Income Funds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821,569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1,164,554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Toro Company Common Stock</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78,850,074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(3,194,567)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realized and unrealized appreciation (depreciation)</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120,627,925</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(13,406,361)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9,210,911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6,942,980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Net investment income (loss)</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129,838,836</w:t>
            </w:r>
          </w:p>
        </w:tc>
        <w:tc>
          <w:tcPr>
            <w:tcW w:w="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(6,463,381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10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2012 and 2011</w:t>
      </w:r>
    </w:p>
    <w:p>
      <w:pPr>
        <w:spacing w:after="0" w:line="225"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920" w:right="140" w:hanging="751"/>
        <w:spacing w:after="0" w:line="342" w:lineRule="auto"/>
        <w:rPr>
          <w:sz w:val="20"/>
          <w:szCs w:val="20"/>
          <w:color w:val="auto"/>
        </w:rPr>
      </w:pPr>
      <w:r>
        <w:rPr>
          <w:rFonts w:ascii="Arial" w:cs="Arial" w:eastAsia="Arial" w:hAnsi="Arial"/>
          <w:sz w:val="16"/>
          <w:szCs w:val="16"/>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Master Trust’s investments in small, mid, and large-cap equities, in the United States and internationally, as well as investments in Common Stock of the Company and money market funds are classified as Level 1 assets in the fair value hierarchy, while the Master Trust’s investments in stable asset, asset allocation, and fixed income funds are classified as Level 2 assets in the fair value hierarchy. Stable asset, asset allocation, and fixed income funds are valued at Net Asset Value (NAV), which is based on the fair value of the underlying securities owned by the fund and divided by the number of shares outstanding. The NAV unit price is quoted on a private market that is not active.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as of December 31, 2012 and 2011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Fair value</w:t>
            </w:r>
          </w:p>
        </w:tc>
        <w:tc>
          <w:tcPr>
            <w:tcW w:w="188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1</w:t>
            </w:r>
          </w:p>
        </w:tc>
        <w:tc>
          <w:tcPr>
            <w:tcW w:w="188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2</w:t>
            </w:r>
          </w:p>
        </w:tc>
        <w:tc>
          <w:tcPr>
            <w:tcW w:w="170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U.S. Small Cap Equities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31,567,294</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31,567,294</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Mid Cap Equities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32,420,071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32,420,071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U.S. Large Cap Equities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122,443,659</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122,443,659</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Small Cap Equities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3,653,436</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3,653,436</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International Large Cap Equities</w:t>
            </w:r>
          </w:p>
        </w:tc>
        <w:tc>
          <w:tcPr>
            <w:tcW w:w="2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26,403,367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26,403,367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100,747,244</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100,747,244</w:t>
            </w:r>
          </w:p>
        </w:tc>
        <w:tc>
          <w:tcPr>
            <w:tcW w:w="1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Asset Allocation Funds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103,583,178</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103,583,178</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22,591,625</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22,591,625</w:t>
            </w:r>
          </w:p>
        </w:tc>
        <w:tc>
          <w:tcPr>
            <w:tcW w:w="1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3,223,982</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3,223,982</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251,938,375</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251,938,375</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698,572,231</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471,650,184</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226,922,047</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2012 and 2011</w:t>
      </w:r>
    </w:p>
    <w:p>
      <w:pPr>
        <w:sectPr>
          <w:pgSz w:w="11900" w:h="16887" w:orient="portrait"/>
          <w:cols w:equalWidth="0" w:num="1">
            <w:col w:w="11460"/>
          </w:cols>
          <w:pgMar w:left="240" w:top="140"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Fair value</w:t>
            </w:r>
          </w:p>
        </w:tc>
        <w:tc>
          <w:tcPr>
            <w:tcW w:w="188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1</w:t>
            </w:r>
          </w:p>
        </w:tc>
        <w:tc>
          <w:tcPr>
            <w:tcW w:w="188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2</w:t>
            </w:r>
          </w:p>
        </w:tc>
        <w:tc>
          <w:tcPr>
            <w:tcW w:w="1700" w:type="dxa"/>
            <w:vAlign w:val="bottom"/>
            <w:gridSpan w:val="3"/>
          </w:tcPr>
          <w:p>
            <w:pPr>
              <w:ind w:left="5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U.S. Small Cap Equities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29,820,362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29,820,362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Mid Cap Equities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26,506,816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26,506,816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U.S. Large Cap Equities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108,237,566</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108,237,566</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Small Cap Equities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2,675,343</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2,675,343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International Large Cap Equities</w:t>
            </w:r>
          </w:p>
        </w:tc>
        <w:tc>
          <w:tcPr>
            <w:tcW w:w="2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25,065,517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25,065,517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106,043,767</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106,043,767</w:t>
            </w:r>
          </w:p>
        </w:tc>
        <w:tc>
          <w:tcPr>
            <w:tcW w:w="17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Asset Allocation Funds</w:t>
            </w:r>
          </w:p>
        </w:tc>
        <w:tc>
          <w:tcPr>
            <w:tcW w:w="2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90,484,097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90,484,097</w:t>
            </w:r>
          </w:p>
        </w:tc>
        <w:tc>
          <w:tcPr>
            <w:tcW w:w="1700" w:type="dxa"/>
            <w:vAlign w:val="bottom"/>
            <w:gridSpan w:val="3"/>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17,802,425</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17,802,425</w:t>
            </w:r>
          </w:p>
        </w:tc>
        <w:tc>
          <w:tcPr>
            <w:tcW w:w="17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2,394,853</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2,394,853</w:t>
            </w:r>
          </w:p>
        </w:tc>
        <w:tc>
          <w:tcPr>
            <w:tcW w:w="2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142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609,897,816</w:t>
            </w:r>
          </w:p>
        </w:tc>
        <w:tc>
          <w:tcPr>
            <w:tcW w:w="28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395,567,527</w:t>
            </w:r>
          </w:p>
        </w:tc>
        <w:tc>
          <w:tcPr>
            <w:tcW w:w="28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214,330,289</w:t>
            </w:r>
          </w:p>
        </w:tc>
        <w:tc>
          <w:tcPr>
            <w:tcW w:w="280" w:type="dxa"/>
            <w:vAlign w:val="bottom"/>
          </w:tcPr>
          <w:p>
            <w:pPr>
              <w:spacing w:after="0"/>
              <w:rPr>
                <w:sz w:val="18"/>
                <w:szCs w:val="18"/>
                <w:color w:val="auto"/>
              </w:rPr>
            </w:pPr>
          </w:p>
        </w:tc>
        <w:tc>
          <w:tcPr>
            <w:tcW w:w="160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transfers between Level 1 and Level 2 during the years ended December 31, 2012 and 2011.</w:t>
      </w:r>
    </w:p>
    <w:p>
      <w:pPr>
        <w:spacing w:after="0" w:line="225" w:lineRule="exact"/>
        <w:rPr>
          <w:sz w:val="20"/>
          <w:szCs w:val="20"/>
          <w:color w:val="auto"/>
        </w:rPr>
      </w:pPr>
    </w:p>
    <w:p>
      <w:pPr>
        <w:ind w:left="580" w:right="160" w:firstLine="5"/>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2012 and 2011 the represent 5% or more of the Master Trust’s net assets in either year:</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0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Value Fund 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100,747,244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106,043,767</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 Rowe Price Equity Income Fund</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41,183,923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37,529,027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56,255,610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50,201,839</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251,938,375</w:t>
            </w:r>
          </w:p>
        </w:tc>
        <w:tc>
          <w:tcPr>
            <w:tcW w:w="2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200,867,070</w:t>
            </w:r>
          </w:p>
        </w:tc>
      </w:tr>
    </w:tbl>
    <w:p>
      <w:pPr>
        <w:spacing w:after="0" w:line="400"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Internal Revenue Service (IRS) has determined and informed the Company by a letter dated November 7, 2012, that the Plan and related trust are designed in accordance with applicable sections of the Internal Revenue Code (IRC).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86" w:lineRule="exact"/>
        <w:rPr>
          <w:rFonts w:ascii="Arial" w:cs="Arial" w:eastAsia="Arial" w:hAnsi="Arial"/>
          <w:sz w:val="18"/>
          <w:szCs w:val="18"/>
          <w:b w:val="1"/>
          <w:bCs w:val="1"/>
          <w:color w:val="auto"/>
        </w:rPr>
      </w:pPr>
    </w:p>
    <w:p>
      <w:pPr>
        <w:ind w:left="580" w:righ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2009.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2012 and 2011</w:t>
      </w:r>
    </w:p>
    <w:p>
      <w:pPr>
        <w:spacing w:after="0" w:line="221"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9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3,224,211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2012</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10,079</w:t>
            </w:r>
          </w:p>
        </w:tc>
        <w:tc>
          <w:tcPr>
            <w:tcW w:w="80" w:type="dxa"/>
            <w:vAlign w:val="bottom"/>
          </w:tcPr>
          <w:p>
            <w:pPr>
              <w:spacing w:after="0"/>
              <w:rPr>
                <w:sz w:val="18"/>
                <w:szCs w:val="18"/>
                <w:color w:val="auto"/>
              </w:rPr>
            </w:pPr>
          </w:p>
        </w:tc>
      </w:tr>
      <w:tr>
        <w:trPr>
          <w:trHeight w:val="210"/>
        </w:trPr>
        <w:tc>
          <w:tcPr>
            <w:tcW w:w="9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available for benefits as presented on Form 5500</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3,234,290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9"/>
        </w:trPr>
        <w:tc>
          <w:tcPr>
            <w:tcW w:w="9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9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9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in these financial statements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2012</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10,079</w:t>
            </w:r>
          </w:p>
        </w:tc>
        <w:tc>
          <w:tcPr>
            <w:tcW w:w="8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(11,085)</w:t>
            </w:r>
          </w:p>
        </w:tc>
      </w:tr>
      <w:tr>
        <w:trPr>
          <w:trHeight w:val="210"/>
        </w:trPr>
        <w:tc>
          <w:tcPr>
            <w:tcW w:w="9180" w:type="dxa"/>
            <w:vAlign w:val="bottom"/>
          </w:tcPr>
          <w:p>
            <w:pPr>
              <w:ind w:left="180"/>
              <w:spacing w:after="0"/>
              <w:rPr>
                <w:sz w:val="20"/>
                <w:szCs w:val="20"/>
                <w:color w:val="auto"/>
              </w:rPr>
            </w:pPr>
            <w:r>
              <w:rPr>
                <w:rFonts w:ascii="Arial" w:cs="Arial" w:eastAsia="Arial" w:hAnsi="Arial"/>
                <w:sz w:val="18"/>
                <w:szCs w:val="18"/>
                <w:color w:val="auto"/>
              </w:rPr>
              <w:t>Net decrease in net assets available for benefits as presented on Form 5500</w:t>
            </w:r>
          </w:p>
        </w:tc>
        <w:tc>
          <w:tcPr>
            <w:tcW w:w="7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9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9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7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11,085</w:t>
            </w:r>
          </w:p>
        </w:tc>
        <w:tc>
          <w:tcPr>
            <w:tcW w:w="80" w:type="dxa"/>
            <w:vAlign w:val="bottom"/>
          </w:tcPr>
          <w:p>
            <w:pPr>
              <w:spacing w:after="0"/>
              <w:rPr>
                <w:sz w:val="18"/>
                <w:szCs w:val="18"/>
                <w:color w:val="auto"/>
              </w:rPr>
            </w:pPr>
          </w:p>
        </w:tc>
      </w:tr>
      <w:tr>
        <w:trPr>
          <w:trHeight w:val="210"/>
        </w:trPr>
        <w:tc>
          <w:tcPr>
            <w:tcW w:w="9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available for benefits as presented on Form 5500</w:t>
            </w:r>
          </w:p>
        </w:tc>
        <w:tc>
          <w:tcPr>
            <w:tcW w:w="7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3,098,052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9"/>
        </w:trPr>
        <w:tc>
          <w:tcPr>
            <w:tcW w:w="9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9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9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in these financial statements</w:t>
            </w:r>
          </w:p>
        </w:tc>
        <w:tc>
          <w:tcPr>
            <w:tcW w:w="7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11,085</w:t>
            </w:r>
          </w:p>
        </w:tc>
        <w:tc>
          <w:tcPr>
            <w:tcW w:w="8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December 31, 2010</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(5,071)</w:t>
            </w:r>
          </w:p>
        </w:tc>
      </w:tr>
      <w:tr>
        <w:trPr>
          <w:trHeight w:val="223"/>
        </w:trPr>
        <w:tc>
          <w:tcPr>
            <w:tcW w:w="9180" w:type="dxa"/>
            <w:vAlign w:val="bottom"/>
          </w:tcPr>
          <w:p>
            <w:pPr>
              <w:ind w:left="180"/>
              <w:spacing w:after="0"/>
              <w:rPr>
                <w:sz w:val="20"/>
                <w:szCs w:val="20"/>
                <w:color w:val="auto"/>
              </w:rPr>
            </w:pPr>
            <w:r>
              <w:rPr>
                <w:rFonts w:ascii="Arial" w:cs="Arial" w:eastAsia="Arial" w:hAnsi="Arial"/>
                <w:sz w:val="18"/>
                <w:szCs w:val="18"/>
                <w:color w:val="auto"/>
              </w:rPr>
              <w:t>Net decrease in net assets available for benefits as presented on Form 5500</w:t>
            </w:r>
          </w:p>
        </w:tc>
        <w:tc>
          <w:tcPr>
            <w:tcW w:w="7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(145,013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9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333" w:right="239" w:bottom="0" w:gutter="0" w:footer="0" w:header="0"/>
        </w:sectPr>
      </w:pPr>
    </w:p>
    <w:bookmarkStart w:id="6" w:name="page7"/>
    <w:bookmarkEnd w:id="6"/>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6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The Toro Company Profit-Sharing Plan for</w:t>
            </w:r>
          </w:p>
        </w:tc>
        <w:tc>
          <w:tcPr>
            <w:tcW w:w="4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Plymouth Union Employees</w:t>
            </w:r>
          </w:p>
        </w:tc>
        <w:tc>
          <w:tcPr>
            <w:tcW w:w="40" w:type="dxa"/>
            <w:vAlign w:val="bottom"/>
          </w:tcPr>
          <w:p>
            <w:pPr>
              <w:spacing w:after="0"/>
              <w:rPr>
                <w:sz w:val="20"/>
                <w:szCs w:val="20"/>
                <w:color w:val="auto"/>
              </w:rPr>
            </w:pPr>
          </w:p>
        </w:tc>
      </w:tr>
      <w:tr>
        <w:trPr>
          <w:trHeight w:val="648"/>
        </w:trPr>
        <w:tc>
          <w:tcPr>
            <w:tcW w:w="3520" w:type="dxa"/>
            <w:vAlign w:val="bottom"/>
          </w:tcPr>
          <w:p>
            <w:pPr>
              <w:spacing w:after="0"/>
              <w:rPr>
                <w:sz w:val="20"/>
                <w:szCs w:val="20"/>
                <w:color w:val="auto"/>
              </w:rPr>
            </w:pPr>
            <w:r>
              <w:rPr>
                <w:rFonts w:ascii="Arial" w:cs="Arial" w:eastAsia="Arial" w:hAnsi="Arial"/>
                <w:sz w:val="18"/>
                <w:szCs w:val="18"/>
                <w:color w:val="auto"/>
              </w:rPr>
              <w:t>Date: July 10, 2013</w:t>
            </w: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520" w:type="dxa"/>
            <w:vAlign w:val="bottom"/>
          </w:tcPr>
          <w:p>
            <w:pPr>
              <w:spacing w:after="0"/>
              <w:rPr>
                <w:sz w:val="15"/>
                <w:szCs w:val="15"/>
                <w:color w:val="auto"/>
              </w:rPr>
            </w:pPr>
          </w:p>
        </w:tc>
        <w:tc>
          <w:tcPr>
            <w:tcW w:w="2560" w:type="dxa"/>
            <w:vAlign w:val="bottom"/>
          </w:tcPr>
          <w:p>
            <w:pPr>
              <w:ind w:left="2140"/>
              <w:spacing w:after="0" w:line="182" w:lineRule="exact"/>
              <w:rPr>
                <w:sz w:val="20"/>
                <w:szCs w:val="20"/>
                <w:color w:val="auto"/>
              </w:rPr>
            </w:pPr>
            <w:r>
              <w:rPr>
                <w:rFonts w:ascii="Arial" w:cs="Arial" w:eastAsia="Arial" w:hAnsi="Arial"/>
                <w:sz w:val="18"/>
                <w:szCs w:val="18"/>
                <w:color w:val="auto"/>
                <w:w w:val="75"/>
              </w:rPr>
              <w:t>Renee</w:t>
            </w:r>
          </w:p>
        </w:tc>
        <w:tc>
          <w:tcPr>
            <w:tcW w:w="534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520" w:type="dxa"/>
            <w:vAlign w:val="bottom"/>
          </w:tcPr>
          <w:p>
            <w:pPr>
              <w:spacing w:after="0"/>
              <w:rPr>
                <w:sz w:val="18"/>
                <w:szCs w:val="18"/>
                <w:color w:val="auto"/>
              </w:rPr>
            </w:pP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7900" w:type="dxa"/>
            <w:vAlign w:val="bottom"/>
            <w:gridSpan w:val="2"/>
          </w:tcPr>
          <w:p>
            <w:pPr>
              <w:ind w:left="214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560" w:type="dxa"/>
            <w:vAlign w:val="bottom"/>
          </w:tcPr>
          <w:p>
            <w:pPr>
              <w:ind w:left="2100"/>
              <w:spacing w:after="0"/>
              <w:rPr>
                <w:sz w:val="20"/>
                <w:szCs w:val="20"/>
                <w:color w:val="auto"/>
              </w:rPr>
            </w:pPr>
            <w:r>
              <w:rPr>
                <w:rFonts w:ascii="Arial" w:cs="Arial" w:eastAsia="Arial" w:hAnsi="Arial"/>
                <w:sz w:val="18"/>
                <w:szCs w:val="18"/>
                <w:color w:val="auto"/>
              </w:rPr>
              <w:t>11</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53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5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upperLetter"/>
      <w:start w:val="2"/>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2019-12-05T20:54:03Z</dcterms:created>
  <dcterms:modified xsi:type="dcterms:W3CDTF">2019-12-05T20:54:03Z</dcterms:modified>
</cp:coreProperties>
</file>