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7332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33234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WOLFE STEPHEN P</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12/07/2010</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46"/>
        <w:spacing w:after="0"/>
        <w:rPr>
          <w:sz w:val="20"/>
          <w:szCs w:val="20"/>
          <w:color w:val="auto"/>
        </w:rPr>
      </w:pPr>
      <w:r>
        <w:rPr>
          <w:rFonts w:ascii="Times New Roman" w:cs="Times New Roman" w:eastAsia="Times New Roman" w:hAnsi="Times New Roman"/>
          <w:sz w:val="17"/>
          <w:szCs w:val="17"/>
          <w:color w:val="0000FF"/>
        </w:rPr>
        <w:t>VP, Finance &amp; CFO</w:t>
      </w:r>
    </w:p>
    <w:p>
      <w:pPr>
        <w:spacing w:after="0" w:line="325" w:lineRule="exact"/>
        <w:rPr>
          <w:sz w:val="24"/>
          <w:szCs w:val="24"/>
          <w:color w:val="auto"/>
        </w:rPr>
      </w:pPr>
    </w:p>
    <w:p>
      <w:pPr>
        <w:sectPr>
          <w:pgSz w:w="11900" w:h="16838" w:orient="portrait"/>
          <w:cols w:equalWidth="0" w:num="3">
            <w:col w:w="3360" w:space="720"/>
            <w:col w:w="3254" w:space="720"/>
            <w:col w:w="3466"/>
          </w:cols>
          <w:pgMar w:left="240" w:top="219" w:right="139" w:bottom="0"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20" w:space="160"/>
            <w:col w:w="7440"/>
          </w:cols>
          <w:pgMar w:left="240" w:top="219"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66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2"/>
          </w:tcPr>
          <w:p>
            <w:pPr>
              <w:ind w:left="6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12/07/2010</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2,673</w:t>
            </w:r>
            <w:r>
              <w:rPr>
                <w:rFonts w:ascii="Times New Roman" w:cs="Times New Roman" w:eastAsia="Times New Roman" w:hAnsi="Times New Roman"/>
                <w:sz w:val="22"/>
                <w:szCs w:val="22"/>
                <w:color w:val="008000"/>
                <w:w w:val="93"/>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20" w:type="dxa"/>
            <w:vAlign w:val="bottom"/>
            <w:tcBorders>
              <w:bottom w:val="single" w:sz="8" w:color="2C2C2C"/>
            </w:tcBorders>
            <w:gridSpan w:val="2"/>
          </w:tcPr>
          <w:p>
            <w:pPr>
              <w:jc w:val="center"/>
              <w:ind w:left="336"/>
              <w:spacing w:after="0"/>
              <w:rPr>
                <w:sz w:val="20"/>
                <w:szCs w:val="20"/>
                <w:color w:val="auto"/>
              </w:rPr>
            </w:pPr>
            <w:r>
              <w:rPr>
                <w:rFonts w:ascii="Times New Roman" w:cs="Times New Roman" w:eastAsia="Times New Roman" w:hAnsi="Times New Roman"/>
                <w:sz w:val="17"/>
                <w:szCs w:val="17"/>
                <w:color w:val="0000FF"/>
              </w:rPr>
              <w:t>2,673</w:t>
            </w: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23"/>
                <w:szCs w:val="23"/>
                <w:color w:val="auto"/>
              </w:rPr>
            </w:pPr>
          </w:p>
        </w:tc>
        <w:tc>
          <w:tcPr>
            <w:tcW w:w="166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12/07/2010</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3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874</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64.38</w:t>
            </w:r>
          </w:p>
        </w:tc>
        <w:tc>
          <w:tcPr>
            <w:tcW w:w="820" w:type="dxa"/>
            <w:vAlign w:val="bottom"/>
            <w:gridSpan w:val="2"/>
          </w:tcPr>
          <w:p>
            <w:pPr>
              <w:jc w:val="center"/>
              <w:ind w:left="336"/>
              <w:spacing w:after="0"/>
              <w:rPr>
                <w:sz w:val="20"/>
                <w:szCs w:val="20"/>
                <w:color w:val="auto"/>
              </w:rPr>
            </w:pPr>
            <w:r>
              <w:rPr>
                <w:rFonts w:ascii="Times New Roman" w:cs="Times New Roman" w:eastAsia="Times New Roman" w:hAnsi="Times New Roman"/>
                <w:sz w:val="17"/>
                <w:szCs w:val="17"/>
                <w:color w:val="0000FF"/>
              </w:rPr>
              <w:t>1,799</w:t>
            </w:r>
          </w:p>
        </w:tc>
        <w:tc>
          <w:tcPr>
            <w:tcW w:w="780" w:type="dxa"/>
            <w:vAlign w:val="bottom"/>
          </w:tcPr>
          <w:p>
            <w:pPr>
              <w:spacing w:after="0"/>
              <w:rPr>
                <w:sz w:val="23"/>
                <w:szCs w:val="23"/>
                <w:color w:val="auto"/>
              </w:rPr>
            </w:pPr>
          </w:p>
        </w:tc>
        <w:tc>
          <w:tcPr>
            <w:tcW w:w="600" w:type="dxa"/>
            <w:vAlign w:val="bottom"/>
          </w:tcPr>
          <w:p>
            <w:pPr>
              <w:jc w:val="center"/>
              <w:ind w:right="325"/>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23"/>
                <w:szCs w:val="23"/>
                <w:color w:val="auto"/>
              </w:rPr>
            </w:pPr>
          </w:p>
        </w:tc>
        <w:tc>
          <w:tcPr>
            <w:tcW w:w="166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12/07/2010</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3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1,799</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20" w:type="dxa"/>
            <w:vAlign w:val="bottom"/>
            <w:gridSpan w:val="2"/>
          </w:tcPr>
          <w:p>
            <w:pPr>
              <w:jc w:val="center"/>
              <w:ind w:left="336"/>
              <w:spacing w:after="0"/>
              <w:rPr>
                <w:sz w:val="20"/>
                <w:szCs w:val="20"/>
                <w:color w:val="auto"/>
              </w:rPr>
            </w:pPr>
            <w:r>
              <w:rPr>
                <w:rFonts w:ascii="Times New Roman" w:cs="Times New Roman" w:eastAsia="Times New Roman" w:hAnsi="Times New Roman"/>
                <w:sz w:val="17"/>
                <w:szCs w:val="17"/>
                <w:color w:val="0000FF"/>
                <w:w w:val="93"/>
              </w:rPr>
              <w:t>0</w:t>
            </w:r>
          </w:p>
        </w:tc>
        <w:tc>
          <w:tcPr>
            <w:tcW w:w="780" w:type="dxa"/>
            <w:vAlign w:val="bottom"/>
          </w:tcPr>
          <w:p>
            <w:pPr>
              <w:spacing w:after="0"/>
              <w:rPr>
                <w:sz w:val="23"/>
                <w:szCs w:val="23"/>
                <w:color w:val="auto"/>
              </w:rPr>
            </w:pPr>
          </w:p>
        </w:tc>
        <w:tc>
          <w:tcPr>
            <w:tcW w:w="600" w:type="dxa"/>
            <w:vAlign w:val="bottom"/>
          </w:tcPr>
          <w:p>
            <w:pPr>
              <w:jc w:val="center"/>
              <w:ind w:right="325"/>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18"/>
                <w:szCs w:val="18"/>
                <w:color w:val="auto"/>
              </w:rPr>
            </w:pPr>
          </w:p>
        </w:tc>
        <w:tc>
          <w:tcPr>
            <w:tcW w:w="16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7"/>
                <w:szCs w:val="17"/>
                <w:color w:val="0000FF"/>
              </w:rPr>
              <w:t>12/07/2010</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1,799</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600" w:type="dxa"/>
            <w:vAlign w:val="bottom"/>
            <w:gridSpan w:val="3"/>
            <w:vMerge w:val="restart"/>
          </w:tcPr>
          <w:p>
            <w:pPr>
              <w:jc w:val="center"/>
              <w:ind w:right="299"/>
              <w:spacing w:after="0"/>
              <w:rPr>
                <w:sz w:val="20"/>
                <w:szCs w:val="20"/>
                <w:color w:val="auto"/>
              </w:rPr>
            </w:pPr>
            <w:r>
              <w:rPr>
                <w:rFonts w:ascii="Times New Roman" w:cs="Times New Roman" w:eastAsia="Times New Roman" w:hAnsi="Times New Roman"/>
                <w:sz w:val="17"/>
                <w:szCs w:val="17"/>
                <w:color w:val="0000FF"/>
              </w:rPr>
              <w:t>58,825</w:t>
            </w:r>
          </w:p>
        </w:tc>
        <w:tc>
          <w:tcPr>
            <w:tcW w:w="600" w:type="dxa"/>
            <w:vAlign w:val="bottom"/>
            <w:vMerge w:val="restart"/>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For</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Person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gridSpan w:val="3"/>
          </w:tcPr>
          <w:p>
            <w:pPr>
              <w:jc w:val="center"/>
              <w:ind w:right="299"/>
              <w:spacing w:after="0" w:line="214" w:lineRule="exact"/>
              <w:rPr>
                <w:sz w:val="20"/>
                <w:szCs w:val="20"/>
                <w:color w:val="auto"/>
              </w:rPr>
            </w:pPr>
            <w:r>
              <w:rPr>
                <w:rFonts w:ascii="Times New Roman" w:cs="Times New Roman" w:eastAsia="Times New Roman" w:hAnsi="Times New Roman"/>
                <w:sz w:val="17"/>
                <w:szCs w:val="17"/>
                <w:color w:val="0000FF"/>
                <w:w w:val="98"/>
              </w:rPr>
              <w:t>28,633.227</w:t>
            </w:r>
            <w:r>
              <w:rPr>
                <w:rFonts w:ascii="Times New Roman" w:cs="Times New Roman" w:eastAsia="Times New Roman" w:hAnsi="Times New Roman"/>
                <w:sz w:val="22"/>
                <w:szCs w:val="22"/>
                <w:color w:val="008000"/>
                <w:w w:val="98"/>
                <w:vertAlign w:val="superscript"/>
              </w:rPr>
              <w:t>(2)</w:t>
            </w:r>
          </w:p>
        </w:tc>
        <w:tc>
          <w:tcPr>
            <w:tcW w:w="600" w:type="dxa"/>
            <w:vAlign w:val="bottom"/>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Savings &amp;</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 Units</w:t>
            </w:r>
          </w:p>
        </w:tc>
        <w:tc>
          <w:tcPr>
            <w:tcW w:w="10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right="299"/>
              <w:spacing w:after="0"/>
              <w:rPr>
                <w:sz w:val="20"/>
                <w:szCs w:val="20"/>
                <w:color w:val="auto"/>
              </w:rPr>
            </w:pPr>
            <w:r>
              <w:rPr>
                <w:rFonts w:ascii="Times New Roman" w:cs="Times New Roman" w:eastAsia="Times New Roman" w:hAnsi="Times New Roman"/>
                <w:sz w:val="17"/>
                <w:szCs w:val="17"/>
                <w:color w:val="0000FF"/>
                <w:w w:val="98"/>
              </w:rPr>
              <w:t>24,916.022</w:t>
            </w:r>
            <w:r>
              <w:rPr>
                <w:rFonts w:ascii="Times New Roman" w:cs="Times New Roman" w:eastAsia="Times New Roman" w:hAnsi="Times New Roman"/>
                <w:sz w:val="22"/>
                <w:szCs w:val="22"/>
                <w:color w:val="008000"/>
                <w:w w:val="98"/>
                <w:vertAlign w:val="superscript"/>
              </w:rPr>
              <w:t>(3)</w:t>
            </w:r>
          </w:p>
        </w:tc>
        <w:tc>
          <w:tcPr>
            <w:tcW w:w="60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Matching Units</w:t>
            </w:r>
          </w:p>
        </w:tc>
        <w:tc>
          <w:tcPr>
            <w:tcW w:w="10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right="299"/>
              <w:spacing w:after="0"/>
              <w:rPr>
                <w:sz w:val="20"/>
                <w:szCs w:val="20"/>
                <w:color w:val="auto"/>
              </w:rPr>
            </w:pPr>
            <w:r>
              <w:rPr>
                <w:rFonts w:ascii="Times New Roman" w:cs="Times New Roman" w:eastAsia="Times New Roman" w:hAnsi="Times New Roman"/>
                <w:sz w:val="17"/>
                <w:szCs w:val="17"/>
                <w:color w:val="0000FF"/>
                <w:w w:val="98"/>
              </w:rPr>
              <w:t>12,457.985</w:t>
            </w:r>
            <w:r>
              <w:rPr>
                <w:rFonts w:ascii="Times New Roman" w:cs="Times New Roman" w:eastAsia="Times New Roman" w:hAnsi="Times New Roman"/>
                <w:sz w:val="22"/>
                <w:szCs w:val="22"/>
                <w:color w:val="008000"/>
                <w:w w:val="98"/>
                <w:vertAlign w:val="superscript"/>
              </w:rPr>
              <w:t>(4)</w:t>
            </w:r>
          </w:p>
        </w:tc>
        <w:tc>
          <w:tcPr>
            <w:tcW w:w="60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right="299"/>
              <w:spacing w:after="0"/>
              <w:rPr>
                <w:sz w:val="20"/>
                <w:szCs w:val="20"/>
                <w:color w:val="auto"/>
              </w:rPr>
            </w:pPr>
            <w:r>
              <w:rPr>
                <w:rFonts w:ascii="Times New Roman" w:cs="Times New Roman" w:eastAsia="Times New Roman" w:hAnsi="Times New Roman"/>
                <w:sz w:val="17"/>
                <w:szCs w:val="17"/>
                <w:color w:val="0000FF"/>
                <w:w w:val="97"/>
              </w:rPr>
              <w:t>211,147.066</w:t>
            </w:r>
            <w:r>
              <w:rPr>
                <w:rFonts w:ascii="Times New Roman" w:cs="Times New Roman" w:eastAsia="Times New Roman" w:hAnsi="Times New Roman"/>
                <w:sz w:val="22"/>
                <w:szCs w:val="22"/>
                <w:color w:val="008000"/>
                <w:w w:val="97"/>
                <w:vertAlign w:val="superscript"/>
              </w:rPr>
              <w:t>(5)</w:t>
            </w:r>
          </w:p>
        </w:tc>
        <w:tc>
          <w:tcPr>
            <w:tcW w:w="60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63.52</w:t>
            </w:r>
          </w:p>
        </w:tc>
        <w:tc>
          <w:tcPr>
            <w:tcW w:w="102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0000FF"/>
              </w:rPr>
              <w:t>12/08/2010</w:t>
            </w:r>
          </w:p>
        </w:tc>
        <w:tc>
          <w:tcPr>
            <w:tcW w:w="1180" w:type="dxa"/>
            <w:vAlign w:val="bottom"/>
          </w:tcPr>
          <w:p>
            <w:pPr>
              <w:spacing w:after="0"/>
              <w:rPr>
                <w:sz w:val="20"/>
                <w:szCs w:val="20"/>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Pr>
          <w:p>
            <w:pPr>
              <w:spacing w:after="0"/>
              <w:rPr>
                <w:sz w:val="20"/>
                <w:szCs w:val="20"/>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18,000</w:t>
            </w:r>
          </w:p>
        </w:tc>
        <w:tc>
          <w:tcPr>
            <w:tcW w:w="300" w:type="dxa"/>
            <w:vAlign w:val="bottom"/>
          </w:tcPr>
          <w:p>
            <w:pPr>
              <w:spacing w:after="0"/>
              <w:rPr>
                <w:sz w:val="20"/>
                <w:szCs w:val="20"/>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320" w:type="dxa"/>
            <w:vAlign w:val="bottom"/>
          </w:tcPr>
          <w:p>
            <w:pPr>
              <w:spacing w:after="0"/>
              <w:rPr>
                <w:sz w:val="20"/>
                <w:szCs w:val="20"/>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12/08/2020</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18,000</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18,000</w:t>
            </w:r>
          </w:p>
        </w:tc>
        <w:tc>
          <w:tcPr>
            <w:tcW w:w="60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D</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660" w:firstLine="8"/>
        <w:spacing w:after="0" w:line="256"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payout of Performance Share Awards for the Fiscal 2008 to Fiscal 2010 Performance Period under The Toro Company Performance Share Plan (the "PSP"), as approved by the registrant's Compensation &amp; Human Resources Committee of its Board of Directors and conditioned upon and subject to confirmation by the registrant's Fiscal 2010 financial results released on December 7, 2010. Performance Share Awards are paid in Shares of Common Stock under the PSP.</w:t>
      </w:r>
    </w:p>
    <w:p>
      <w:pPr>
        <w:spacing w:after="0" w:line="17"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191.756 shares of common stock acquired by the reporting person under the dividend reinvestment feature of The Toro Company Investment, Savings &amp; ESOP since the date of his last report.</w:t>
      </w:r>
    </w:p>
    <w:p>
      <w:pPr>
        <w:spacing w:after="0" w:line="51" w:lineRule="exact"/>
        <w:rPr>
          <w:rFonts w:ascii="Times New Roman" w:cs="Times New Roman" w:eastAsia="Times New Roman" w:hAnsi="Times New Roman"/>
          <w:sz w:val="13"/>
          <w:szCs w:val="13"/>
          <w:color w:val="008000"/>
        </w:rPr>
      </w:pPr>
    </w:p>
    <w:p>
      <w:pPr>
        <w:ind w:left="40" w:right="48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166.053 Common Stock Units acquired by the reporting person under the dividend reinvestment feature of The Toro Company Deferred Compensation Plan for Officers since the date of his last report.</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83.027 Matching Units acquired by the reporting person under the dividend reinvestment feature of The Toro Company Deferred Compensation Plan for Officers since the date of his last report.</w:t>
      </w:r>
    </w:p>
    <w:p>
      <w:pPr>
        <w:spacing w:after="0" w:line="51" w:lineRule="exact"/>
        <w:rPr>
          <w:rFonts w:ascii="Times New Roman" w:cs="Times New Roman" w:eastAsia="Times New Roman" w:hAnsi="Times New Roman"/>
          <w:sz w:val="13"/>
          <w:szCs w:val="13"/>
          <w:color w:val="008000"/>
        </w:rPr>
      </w:pPr>
    </w:p>
    <w:p>
      <w:pPr>
        <w:ind w:left="40" w:right="18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1,407.186 Performance Share Units acquired by the reporting person under the dividend reinvestment feature of The Toro Company Deferred Compensation Plan for Officers since the date of his last report.</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date of grant.</w:t>
      </w:r>
    </w:p>
    <w:p>
      <w:pPr>
        <w:sectPr>
          <w:pgSz w:w="11900" w:h="16838" w:orient="portrait"/>
          <w:cols w:equalWidth="0" w:num="1">
            <w:col w:w="11520"/>
          </w:cols>
          <w:pgMar w:left="240" w:top="219" w:right="139" w:bottom="0" w:gutter="0" w:footer="0" w:header="0"/>
          <w:type w:val="continuous"/>
        </w:sectPr>
      </w:pPr>
    </w:p>
    <w:p>
      <w:pPr>
        <w:spacing w:after="0" w:line="77"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7"/>
          <w:szCs w:val="17"/>
          <w:color w:val="0000FF"/>
        </w:rPr>
        <w:t>/s/ Amy E. Dahl,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-3810</wp:posOffset>
            </wp:positionV>
            <wp:extent cx="13284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pacing w:after="0" w:line="38"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12/09/2010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5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960" w:space="200"/>
            <w:col w:w="2360"/>
          </w:cols>
          <w:pgMar w:left="240" w:top="219" w:right="139" w:bottom="0" w:gutter="0" w:footer="0" w:header="0"/>
          <w:type w:val="continuous"/>
        </w:sectPr>
      </w:pPr>
    </w:p>
    <w:bookmarkStart w:id="1" w:name="page2"/>
    <w:bookmarkEnd w:id="1"/>
    <w:p>
      <w:pPr>
        <w:jc w:val="both"/>
        <w:ind w:right="2500" w:firstLine="8"/>
        <w:spacing w:after="0" w:line="322"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1"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71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2019-12-16T23:23:08Z</dcterms:created>
  <dcterms:modified xsi:type="dcterms:W3CDTF">2019-12-16T23:23:08Z</dcterms:modified>
</cp:coreProperties>
</file>