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ind w:right="-1179"/>
        <w:spacing w:after="0"/>
        <w:rPr>
          <w:sz w:val="20"/>
          <w:szCs w:val="20"/>
          <w:color w:val="auto"/>
        </w:rPr>
      </w:pPr>
      <w:r>
        <w:rPr>
          <w:rFonts w:ascii="Arial" w:cs="Arial" w:eastAsia="Arial" w:hAnsi="Arial"/>
          <w:sz w:val="24"/>
          <w:szCs w:val="24"/>
          <w:b w:val="1"/>
          <w:bCs w:val="1"/>
          <w:color w:val="auto"/>
        </w:rPr>
        <w:t>UNITED STATES</w:t>
      </w:r>
    </w:p>
    <w:p>
      <w:pPr>
        <w:spacing w:after="0" w:line="224" w:lineRule="exact"/>
        <w:rPr>
          <w:sz w:val="20"/>
          <w:szCs w:val="20"/>
          <w:color w:val="auto"/>
        </w:rPr>
      </w:pPr>
    </w:p>
    <w:p>
      <w:pPr>
        <w:jc w:val="center"/>
        <w:ind w:right="-1179"/>
        <w:spacing w:after="0"/>
        <w:rPr>
          <w:sz w:val="20"/>
          <w:szCs w:val="20"/>
          <w:color w:val="auto"/>
        </w:rPr>
      </w:pPr>
      <w:r>
        <w:rPr>
          <w:rFonts w:ascii="Arial" w:cs="Arial" w:eastAsia="Arial" w:hAnsi="Arial"/>
          <w:sz w:val="24"/>
          <w:szCs w:val="24"/>
          <w:b w:val="1"/>
          <w:bCs w:val="1"/>
          <w:color w:val="auto"/>
        </w:rPr>
        <w:t>SECURITIES AND EXCHANGE COMMISSION</w:t>
      </w:r>
    </w:p>
    <w:p>
      <w:pPr>
        <w:spacing w:after="0" w:line="238"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0"/>
          <w:szCs w:val="20"/>
          <w:color w:val="auto"/>
        </w:rPr>
      </w:pPr>
    </w:p>
    <w:p>
      <w:pPr>
        <w:jc w:val="center"/>
        <w:ind w:right="-117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ind w:right="-1179"/>
        <w:spacing w:after="0"/>
        <w:rPr>
          <w:sz w:val="20"/>
          <w:szCs w:val="20"/>
          <w:color w:val="auto"/>
        </w:rPr>
      </w:pPr>
      <w:r>
        <w:rPr>
          <w:rFonts w:ascii="Arial" w:cs="Arial" w:eastAsia="Arial" w:hAnsi="Arial"/>
          <w:sz w:val="22"/>
          <w:szCs w:val="22"/>
          <w:b w:val="1"/>
          <w:bCs w:val="1"/>
          <w:color w:val="auto"/>
        </w:rPr>
        <w:t>CURRENT REPORT</w:t>
      </w:r>
    </w:p>
    <w:p>
      <w:pPr>
        <w:spacing w:after="0" w:line="219" w:lineRule="exact"/>
        <w:rPr>
          <w:sz w:val="20"/>
          <w:szCs w:val="20"/>
          <w:color w:val="auto"/>
        </w:rPr>
      </w:pPr>
    </w:p>
    <w:p>
      <w:pPr>
        <w:jc w:val="center"/>
        <w:ind w:right="-1179"/>
        <w:spacing w:after="0"/>
        <w:rPr>
          <w:sz w:val="20"/>
          <w:szCs w:val="20"/>
          <w:color w:val="auto"/>
        </w:rPr>
      </w:pPr>
      <w:r>
        <w:rPr>
          <w:rFonts w:ascii="Arial" w:cs="Arial" w:eastAsia="Arial" w:hAnsi="Arial"/>
          <w:sz w:val="15"/>
          <w:szCs w:val="15"/>
          <w:b w:val="1"/>
          <w:bCs w:val="1"/>
          <w:color w:val="auto"/>
        </w:rPr>
        <w:t>Pursuant to Section 13 or 15(d) of the Securities Exchange Act of 1934</w:t>
      </w:r>
    </w:p>
    <w:p>
      <w:pPr>
        <w:spacing w:after="0" w:line="260" w:lineRule="exact"/>
        <w:rPr>
          <w:sz w:val="20"/>
          <w:szCs w:val="20"/>
          <w:color w:val="auto"/>
        </w:rPr>
      </w:pPr>
    </w:p>
    <w:p>
      <w:pPr>
        <w:jc w:val="center"/>
        <w:ind w:right="-1179"/>
        <w:spacing w:after="0"/>
        <w:rPr>
          <w:sz w:val="20"/>
          <w:szCs w:val="20"/>
          <w:color w:val="auto"/>
        </w:rPr>
      </w:pPr>
      <w:r>
        <w:rPr>
          <w:rFonts w:ascii="Arial" w:cs="Arial" w:eastAsia="Arial" w:hAnsi="Arial"/>
          <w:sz w:val="16"/>
          <w:szCs w:val="16"/>
          <w:b w:val="1"/>
          <w:bCs w:val="1"/>
          <w:color w:val="auto"/>
        </w:rPr>
        <w:t>Date of Report (Date of earliest event reported) February 24, 2004</w:t>
      </w:r>
    </w:p>
    <w:p>
      <w:pPr>
        <w:spacing w:after="0" w:line="221" w:lineRule="exact"/>
        <w:rPr>
          <w:sz w:val="20"/>
          <w:szCs w:val="20"/>
          <w:color w:val="auto"/>
        </w:rPr>
      </w:pPr>
    </w:p>
    <w:p>
      <w:pPr>
        <w:ind w:left="3980"/>
        <w:spacing w:after="0"/>
        <w:rPr>
          <w:sz w:val="20"/>
          <w:szCs w:val="20"/>
          <w:color w:val="auto"/>
        </w:rPr>
      </w:pPr>
      <w:r>
        <w:rPr>
          <w:rFonts w:ascii="Arial" w:cs="Arial" w:eastAsia="Arial" w:hAnsi="Arial"/>
          <w:sz w:val="32"/>
          <w:szCs w:val="32"/>
          <w:b w:val="1"/>
          <w:bCs w:val="1"/>
          <w:color w:val="auto"/>
        </w:rPr>
        <w:t>THE TORO COMPANY</w:t>
      </w:r>
    </w:p>
    <w:p>
      <w:pPr>
        <w:spacing w:after="0" w:line="4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260"/>
          </w:cols>
          <w:pgMar w:left="240" w:top="122" w:right="139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ind w:left="84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0"/>
          <w:szCs w:val="20"/>
          <w:color w:val="auto"/>
        </w:rPr>
      </w:pPr>
    </w:p>
    <w:p>
      <w:pPr>
        <w:jc w:val="center"/>
        <w:ind w:left="840"/>
        <w:spacing w:after="0"/>
        <w:rPr>
          <w:sz w:val="20"/>
          <w:szCs w:val="20"/>
          <w:color w:val="auto"/>
        </w:rPr>
      </w:pPr>
      <w:r>
        <w:rPr>
          <w:rFonts w:ascii="Arial" w:cs="Arial" w:eastAsia="Arial" w:hAnsi="Arial"/>
          <w:sz w:val="16"/>
          <w:szCs w:val="16"/>
          <w:color w:val="auto"/>
        </w:rPr>
        <w:t>(State of Incorporation)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1-8649</w:t>
      </w:r>
    </w:p>
    <w:p>
      <w:pPr>
        <w:spacing w:after="0" w:line="21"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(Commission File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41-0580470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(I.R.S. Employer Identification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Number)</w:t>
      </w:r>
    </w:p>
    <w:p>
      <w:pPr>
        <w:spacing w:after="0" w:line="200" w:lineRule="exact"/>
        <w:rPr>
          <w:sz w:val="20"/>
          <w:szCs w:val="20"/>
          <w:color w:val="auto"/>
        </w:rPr>
      </w:pPr>
    </w:p>
    <w:p>
      <w:pPr>
        <w:sectPr>
          <w:pgSz w:w="11900" w:h="16838" w:orient="portrait"/>
          <w:cols w:equalWidth="0" w:num="3">
            <w:col w:w="4380" w:space="720"/>
            <w:col w:w="2240" w:space="720"/>
            <w:col w:w="2200"/>
          </w:cols>
          <w:pgMar w:left="240" w:top="122" w:right="1399" w:bottom="1440" w:gutter="0" w:footer="0" w:header="0"/>
          <w:type w:val="continuous"/>
        </w:sectPr>
      </w:pPr>
    </w:p>
    <w:p>
      <w:pPr>
        <w:spacing w:after="0" w:line="13" w:lineRule="exact"/>
        <w:rPr>
          <w:sz w:val="20"/>
          <w:szCs w:val="20"/>
          <w:color w:val="auto"/>
        </w:rPr>
      </w:pPr>
    </w:p>
    <w:p>
      <w:pPr>
        <w:jc w:val="center"/>
        <w:ind w:right="-1179"/>
        <w:spacing w:after="0"/>
        <w:rPr>
          <w:sz w:val="20"/>
          <w:szCs w:val="20"/>
          <w:color w:val="auto"/>
        </w:rPr>
      </w:pPr>
      <w:r>
        <w:rPr>
          <w:rFonts w:ascii="Arial" w:cs="Arial" w:eastAsia="Arial" w:hAnsi="Arial"/>
          <w:sz w:val="18"/>
          <w:szCs w:val="18"/>
          <w:b w:val="1"/>
          <w:bCs w:val="1"/>
          <w:color w:val="auto"/>
        </w:rPr>
        <w:t>8111 Lyndale Avenue South</w:t>
      </w:r>
    </w:p>
    <w:p>
      <w:pPr>
        <w:spacing w:after="0" w:line="21" w:lineRule="exact"/>
        <w:rPr>
          <w:sz w:val="20"/>
          <w:szCs w:val="20"/>
          <w:color w:val="auto"/>
        </w:rPr>
      </w:pPr>
    </w:p>
    <w:p>
      <w:pPr>
        <w:jc w:val="center"/>
        <w:ind w:right="-1179"/>
        <w:spacing w:after="0"/>
        <w:rPr>
          <w:sz w:val="20"/>
          <w:szCs w:val="20"/>
          <w:color w:val="auto"/>
        </w:rPr>
      </w:pPr>
      <w:r>
        <w:rPr>
          <w:rFonts w:ascii="Arial" w:cs="Arial" w:eastAsia="Arial" w:hAnsi="Arial"/>
          <w:sz w:val="18"/>
          <w:szCs w:val="18"/>
          <w:b w:val="1"/>
          <w:bCs w:val="1"/>
          <w:color w:val="auto"/>
        </w:rPr>
        <w:t>Bloomington, Minnesota 55420</w:t>
      </w:r>
    </w:p>
    <w:p>
      <w:pPr>
        <w:spacing w:after="0" w:line="9" w:lineRule="exact"/>
        <w:rPr>
          <w:sz w:val="20"/>
          <w:szCs w:val="20"/>
          <w:color w:val="auto"/>
        </w:rPr>
      </w:pPr>
    </w:p>
    <w:p>
      <w:pPr>
        <w:jc w:val="center"/>
        <w:ind w:right="-1179"/>
        <w:spacing w:after="0"/>
        <w:rPr>
          <w:sz w:val="20"/>
          <w:szCs w:val="20"/>
          <w:color w:val="auto"/>
        </w:rPr>
      </w:pPr>
      <w:r>
        <w:rPr>
          <w:rFonts w:ascii="Arial" w:cs="Arial" w:eastAsia="Arial" w:hAnsi="Arial"/>
          <w:sz w:val="18"/>
          <w:szCs w:val="18"/>
          <w:b w:val="1"/>
          <w:bCs w:val="1"/>
          <w:color w:val="auto"/>
        </w:rPr>
        <w:t>Telephone number: (952) 888-8801</w:t>
      </w:r>
    </w:p>
    <w:p>
      <w:pPr>
        <w:spacing w:after="0" w:line="9" w:lineRule="exact"/>
        <w:rPr>
          <w:sz w:val="20"/>
          <w:szCs w:val="20"/>
          <w:color w:val="auto"/>
        </w:rPr>
      </w:pPr>
    </w:p>
    <w:p>
      <w:pPr>
        <w:jc w:val="center"/>
        <w:ind w:right="-1179"/>
        <w:spacing w:after="0"/>
        <w:rPr>
          <w:sz w:val="20"/>
          <w:szCs w:val="20"/>
          <w:color w:val="auto"/>
        </w:rPr>
      </w:pPr>
      <w:r>
        <w:rPr>
          <w:rFonts w:ascii="Arial" w:cs="Arial" w:eastAsia="Arial" w:hAnsi="Arial"/>
          <w:sz w:val="15"/>
          <w:szCs w:val="15"/>
          <w:color w:val="auto"/>
        </w:rPr>
        <w:t>(Address, including zip code, and telephone number, including area code, of</w:t>
      </w:r>
    </w:p>
    <w:p>
      <w:pPr>
        <w:spacing w:after="0" w:line="44" w:lineRule="exact"/>
        <w:rPr>
          <w:sz w:val="20"/>
          <w:szCs w:val="20"/>
          <w:color w:val="auto"/>
        </w:rPr>
      </w:pPr>
    </w:p>
    <w:p>
      <w:pPr>
        <w:jc w:val="center"/>
        <w:ind w:right="-1179"/>
        <w:spacing w:after="0"/>
        <w:rPr>
          <w:sz w:val="20"/>
          <w:szCs w:val="20"/>
          <w:color w:val="auto"/>
        </w:rPr>
      </w:pPr>
      <w:r>
        <w:rPr>
          <w:rFonts w:ascii="Arial" w:cs="Arial" w:eastAsia="Arial" w:hAnsi="Arial"/>
          <w:sz w:val="18"/>
          <w:szCs w:val="18"/>
          <w:color w:val="auto"/>
        </w:rPr>
        <w:t>registrant’s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562610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60"/>
          </w:cols>
          <w:pgMar w:left="240" w:top="122" w:right="139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12. Results of Operations and Financial Condition</w:t>
        </w:r>
      </w:hyperlink>
    </w:p>
    <w:p>
      <w:pPr>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Item 12. Results of Operations and Financial Condition</w:t>
      </w:r>
    </w:p>
    <w:p>
      <w:pPr>
        <w:spacing w:after="0" w:line="225" w:lineRule="exact"/>
        <w:rPr>
          <w:sz w:val="20"/>
          <w:szCs w:val="20"/>
          <w:color w:val="auto"/>
        </w:rPr>
      </w:pPr>
    </w:p>
    <w:p>
      <w:pPr>
        <w:ind w:left="700" w:firstLine="219"/>
        <w:spacing w:after="0" w:line="291" w:lineRule="auto"/>
        <w:rPr>
          <w:sz w:val="20"/>
          <w:szCs w:val="20"/>
          <w:color w:val="auto"/>
        </w:rPr>
      </w:pPr>
      <w:r>
        <w:rPr>
          <w:rFonts w:ascii="Arial" w:cs="Arial" w:eastAsia="Arial" w:hAnsi="Arial"/>
          <w:sz w:val="16"/>
          <w:szCs w:val="16"/>
          <w:color w:val="auto"/>
        </w:rPr>
        <w:t>On February 24, 2004, The Toro Company announced its earnings for the three months ended January 30, 2004. Attached to this Current Report on Form 8-K as Exhibit 99 is a copy of The Toro Company’s press release in connection with the announcement. The information in this report is being furnished and shall not be deemed to be filed for purposes of Section 18 of the Securities Exchange Act of 1934, or otherwise subject to the liability of that section, and shall not be deemed to be incorporated by reference by any general statements by The Toro Company incorporating by reference this report or future filings into any filings under the Securities Act of 1933 or the Securities Exchange Act of 1934, except to the extent The Toro Company specifically incorporates the information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387985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TORO COMPANY</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1020" w:val="left"/>
          <w:tab w:leader="none" w:pos="5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24, 2004</w:t>
      </w:r>
      <w:r>
        <w:rPr>
          <w:sz w:val="20"/>
          <w:szCs w:val="20"/>
          <w:color w:val="auto"/>
        </w:rPr>
        <w:tab/>
      </w:r>
      <w:r>
        <w:rPr>
          <w:rFonts w:ascii="Arial" w:cs="Arial" w:eastAsia="Arial" w:hAnsi="Arial"/>
          <w:sz w:val="15"/>
          <w:szCs w:val="15"/>
          <w:color w:val="auto"/>
        </w:rPr>
        <w:t>By /s/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80010</wp:posOffset>
            </wp:positionV>
            <wp:extent cx="36188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P. Wolfe</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Treasurer and 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416560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419" w:right="6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1500"/>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ind w:left="148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74295</wp:posOffset>
            </wp:positionV>
            <wp:extent cx="4375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-1852930</wp:posOffset>
            </wp:positionH>
            <wp:positionV relativeFrom="paragraph">
              <wp:posOffset>83185</wp:posOffset>
            </wp:positionV>
            <wp:extent cx="42964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96410" cy="8890"/>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4760" w:space="720"/>
            <w:col w:w="4739"/>
          </w:cols>
          <w:pgMar w:left="240" w:top="419" w:right="1440" w:bottom="1440" w:gutter="0" w:footer="0" w:header="0"/>
          <w:type w:val="continuous"/>
        </w:sectPr>
      </w:pPr>
    </w:p>
    <w:p>
      <w:pPr>
        <w:spacing w:after="0" w:line="31" w:lineRule="exact"/>
        <w:rPr>
          <w:sz w:val="20"/>
          <w:szCs w:val="20"/>
          <w:color w:val="auto"/>
        </w:rPr>
      </w:pPr>
    </w:p>
    <w:p>
      <w:pPr>
        <w:ind w:left="2560" w:hanging="1120"/>
        <w:spacing w:after="0"/>
        <w:tabs>
          <w:tab w:leader="none" w:pos="2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w:t>
      </w:r>
    </w:p>
    <w:p>
      <w:pPr>
        <w:spacing w:after="0" w:line="252" w:lineRule="exact"/>
        <w:rPr>
          <w:rFonts w:ascii="Arial" w:cs="Arial" w:eastAsia="Arial" w:hAnsi="Arial"/>
          <w:sz w:val="18"/>
          <w:szCs w:val="18"/>
          <w:color w:val="auto"/>
        </w:rPr>
      </w:pPr>
    </w:p>
    <w:p>
      <w:pPr>
        <w:ind w:left="2560"/>
        <w:spacing w:after="0"/>
        <w:rPr>
          <w:rFonts w:ascii="Arial" w:cs="Arial" w:eastAsia="Arial" w:hAnsi="Arial"/>
          <w:sz w:val="18"/>
          <w:szCs w:val="18"/>
          <w:color w:val="auto"/>
        </w:rPr>
      </w:pPr>
      <w:r>
        <w:rPr>
          <w:rFonts w:ascii="Arial" w:cs="Arial" w:eastAsia="Arial" w:hAnsi="Arial"/>
          <w:sz w:val="15"/>
          <w:szCs w:val="15"/>
          <w:color w:val="auto"/>
        </w:rPr>
        <w:t>Registrant’s press release dated February 24, 2004 (</w:t>
      </w:r>
      <w:r>
        <w:rPr>
          <w:rFonts w:ascii="Arial" w:cs="Arial" w:eastAsia="Arial" w:hAnsi="Arial"/>
          <w:sz w:val="15"/>
          <w:szCs w:val="15"/>
          <w:i w:val="1"/>
          <w:iCs w:val="1"/>
          <w:color w:val="auto"/>
        </w:rPr>
        <w:t>furnished herewith</w:t>
      </w:r>
      <w:r>
        <w:rPr>
          <w:rFonts w:ascii="Arial" w:cs="Arial" w:eastAsia="Arial" w:hAnsi="Arial"/>
          <w:sz w:val="15"/>
          <w:szCs w:val="15"/>
          <w:color w:val="auto"/>
        </w:rPr>
        <w:t>).</w:t>
      </w:r>
    </w:p>
    <w:p>
      <w:pPr>
        <w:sectPr>
          <w:pgSz w:w="11900" w:h="16838" w:orient="portrait"/>
          <w:cols w:equalWidth="0" w:num="1">
            <w:col w:w="10219"/>
          </w:cols>
          <w:pgMar w:left="240" w:top="419" w:right="1440"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28"/>
        </w:trPr>
        <w:tc>
          <w:tcPr>
            <w:tcW w:w="240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b w:val="1"/>
                <w:bCs w:val="1"/>
                <w:color w:val="auto"/>
              </w:rPr>
              <w:t>The Toro Company</w:t>
            </w:r>
          </w:p>
        </w:tc>
        <w:tc>
          <w:tcPr>
            <w:tcW w:w="368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97"/>
        </w:trPr>
        <w:tc>
          <w:tcPr>
            <w:tcW w:w="2400" w:type="dxa"/>
            <w:vAlign w:val="bottom"/>
          </w:tcPr>
          <w:p>
            <w:pPr>
              <w:spacing w:after="0"/>
              <w:rPr>
                <w:sz w:val="8"/>
                <w:szCs w:val="8"/>
                <w:color w:val="auto"/>
              </w:rPr>
            </w:pPr>
          </w:p>
        </w:tc>
        <w:tc>
          <w:tcPr>
            <w:tcW w:w="6100" w:type="dxa"/>
            <w:vAlign w:val="bottom"/>
            <w:tcBorders>
              <w:bottom w:val="single" w:sz="8" w:color="808080"/>
            </w:tcBorders>
            <w:gridSpan w:val="2"/>
          </w:tcPr>
          <w:p>
            <w:pPr>
              <w:spacing w:after="0"/>
              <w:rPr>
                <w:sz w:val="8"/>
                <w:szCs w:val="8"/>
                <w:color w:val="auto"/>
              </w:rPr>
            </w:pPr>
          </w:p>
        </w:tc>
        <w:tc>
          <w:tcPr>
            <w:tcW w:w="2920" w:type="dxa"/>
            <w:vAlign w:val="bottom"/>
            <w:tcBorders>
              <w:bottom w:val="single" w:sz="8" w:color="808080"/>
            </w:tcBorders>
          </w:tcPr>
          <w:p>
            <w:pPr>
              <w:spacing w:after="0"/>
              <w:rPr>
                <w:sz w:val="8"/>
                <w:szCs w:val="8"/>
                <w:color w:val="auto"/>
              </w:rPr>
            </w:pPr>
          </w:p>
        </w:tc>
      </w:tr>
      <w:tr>
        <w:trPr>
          <w:trHeight w:val="282"/>
        </w:trPr>
        <w:tc>
          <w:tcPr>
            <w:tcW w:w="2400" w:type="dxa"/>
            <w:vAlign w:val="bottom"/>
          </w:tcPr>
          <w:p>
            <w:pPr>
              <w:spacing w:after="0"/>
              <w:rPr>
                <w:sz w:val="24"/>
                <w:szCs w:val="24"/>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8111 Lyndale Avenue South, Bloomington, Minnesota 55420-1196</w:t>
            </w:r>
          </w:p>
        </w:tc>
        <w:tc>
          <w:tcPr>
            <w:tcW w:w="2920" w:type="dxa"/>
            <w:vAlign w:val="bottom"/>
          </w:tcPr>
          <w:p>
            <w:pPr>
              <w:spacing w:after="0"/>
              <w:rPr>
                <w:sz w:val="24"/>
                <w:szCs w:val="24"/>
                <w:color w:val="auto"/>
              </w:rPr>
            </w:pPr>
          </w:p>
        </w:tc>
      </w:tr>
      <w:tr>
        <w:trPr>
          <w:trHeight w:val="222"/>
        </w:trPr>
        <w:tc>
          <w:tcPr>
            <w:tcW w:w="240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#952/888-8801</w:t>
            </w:r>
          </w:p>
        </w:tc>
        <w:tc>
          <w:tcPr>
            <w:tcW w:w="3680" w:type="dxa"/>
            <w:vAlign w:val="bottom"/>
          </w:tcPr>
          <w:p>
            <w:pPr>
              <w:ind w:left="940"/>
              <w:spacing w:after="0"/>
              <w:rPr>
                <w:sz w:val="20"/>
                <w:szCs w:val="20"/>
                <w:color w:val="auto"/>
              </w:rPr>
            </w:pPr>
            <w:r>
              <w:rPr>
                <w:rFonts w:ascii="Arial" w:cs="Arial" w:eastAsia="Arial" w:hAnsi="Arial"/>
                <w:sz w:val="18"/>
                <w:szCs w:val="18"/>
                <w:color w:val="auto"/>
              </w:rPr>
              <w:t>#FAX 952/887-8258</w:t>
            </w:r>
          </w:p>
        </w:tc>
        <w:tc>
          <w:tcPr>
            <w:tcW w:w="2920" w:type="dxa"/>
            <w:vAlign w:val="bottom"/>
          </w:tcPr>
          <w:p>
            <w:pPr>
              <w:spacing w:after="0"/>
              <w:rPr>
                <w:sz w:val="19"/>
                <w:szCs w:val="19"/>
                <w:color w:val="auto"/>
              </w:rPr>
            </w:pPr>
          </w:p>
        </w:tc>
      </w:tr>
      <w:tr>
        <w:trPr>
          <w:trHeight w:val="858"/>
        </w:trPr>
        <w:tc>
          <w:tcPr>
            <w:tcW w:w="2400" w:type="dxa"/>
            <w:vAlign w:val="bottom"/>
          </w:tcPr>
          <w:p>
            <w:pPr>
              <w:spacing w:after="0"/>
              <w:rPr>
                <w:sz w:val="20"/>
                <w:szCs w:val="20"/>
                <w:color w:val="auto"/>
              </w:rPr>
            </w:pPr>
            <w:r>
              <w:rPr>
                <w:rFonts w:ascii="Arial" w:cs="Arial" w:eastAsia="Arial" w:hAnsi="Arial"/>
                <w:sz w:val="18"/>
                <w:szCs w:val="18"/>
                <w:b w:val="1"/>
                <w:bCs w:val="1"/>
                <w:color w:val="auto"/>
              </w:rPr>
              <w:t>Investor Relations</w:t>
            </w:r>
          </w:p>
        </w:tc>
        <w:tc>
          <w:tcPr>
            <w:tcW w:w="2420" w:type="dxa"/>
            <w:vAlign w:val="bottom"/>
          </w:tcPr>
          <w:p>
            <w:pPr>
              <w:spacing w:after="0"/>
              <w:rPr>
                <w:sz w:val="24"/>
                <w:szCs w:val="24"/>
                <w:color w:val="auto"/>
              </w:rPr>
            </w:pPr>
          </w:p>
        </w:tc>
        <w:tc>
          <w:tcPr>
            <w:tcW w:w="3680" w:type="dxa"/>
            <w:vAlign w:val="bottom"/>
          </w:tcPr>
          <w:p>
            <w:pPr>
              <w:ind w:left="1020"/>
              <w:spacing w:after="0"/>
              <w:rPr>
                <w:sz w:val="20"/>
                <w:szCs w:val="20"/>
                <w:color w:val="auto"/>
              </w:rPr>
            </w:pPr>
            <w:r>
              <w:rPr>
                <w:rFonts w:ascii="Arial" w:cs="Arial" w:eastAsia="Arial" w:hAnsi="Arial"/>
                <w:sz w:val="18"/>
                <w:szCs w:val="18"/>
                <w:b w:val="1"/>
                <w:bCs w:val="1"/>
                <w:color w:val="auto"/>
              </w:rPr>
              <w:t>Media Relations</w:t>
            </w:r>
          </w:p>
        </w:tc>
        <w:tc>
          <w:tcPr>
            <w:tcW w:w="2920" w:type="dxa"/>
            <w:vAlign w:val="bottom"/>
          </w:tcPr>
          <w:p>
            <w:pPr>
              <w:ind w:left="520"/>
              <w:spacing w:after="0"/>
              <w:rPr>
                <w:sz w:val="20"/>
                <w:szCs w:val="20"/>
                <w:color w:val="auto"/>
              </w:rPr>
            </w:pPr>
            <w:r>
              <w:rPr>
                <w:rFonts w:ascii="Arial" w:cs="Arial" w:eastAsia="Arial" w:hAnsi="Arial"/>
                <w:sz w:val="18"/>
                <w:szCs w:val="18"/>
                <w:b w:val="1"/>
                <w:bCs w:val="1"/>
                <w:color w:val="auto"/>
              </w:rPr>
              <w:t>Web Site</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Stephen P. Wolfe</w:t>
            </w:r>
          </w:p>
        </w:tc>
        <w:tc>
          <w:tcPr>
            <w:tcW w:w="2420" w:type="dxa"/>
            <w:vAlign w:val="bottom"/>
          </w:tcPr>
          <w:p>
            <w:pPr>
              <w:ind w:left="140"/>
              <w:spacing w:after="0"/>
              <w:rPr>
                <w:sz w:val="20"/>
                <w:szCs w:val="20"/>
                <w:color w:val="auto"/>
              </w:rPr>
            </w:pPr>
            <w:r>
              <w:rPr>
                <w:rFonts w:ascii="Arial" w:cs="Arial" w:eastAsia="Arial" w:hAnsi="Arial"/>
                <w:sz w:val="18"/>
                <w:szCs w:val="18"/>
                <w:color w:val="auto"/>
              </w:rPr>
              <w:t>Tom Larson</w:t>
            </w:r>
          </w:p>
        </w:tc>
        <w:tc>
          <w:tcPr>
            <w:tcW w:w="3680" w:type="dxa"/>
            <w:vAlign w:val="bottom"/>
          </w:tcPr>
          <w:p>
            <w:pPr>
              <w:ind w:left="1020"/>
              <w:spacing w:after="0"/>
              <w:rPr>
                <w:sz w:val="20"/>
                <w:szCs w:val="20"/>
                <w:color w:val="auto"/>
              </w:rPr>
            </w:pPr>
            <w:r>
              <w:rPr>
                <w:rFonts w:ascii="Arial" w:cs="Arial" w:eastAsia="Arial" w:hAnsi="Arial"/>
                <w:sz w:val="18"/>
                <w:szCs w:val="18"/>
                <w:color w:val="auto"/>
              </w:rPr>
              <w:t>Connie Hawkinson</w:t>
            </w:r>
          </w:p>
        </w:tc>
        <w:tc>
          <w:tcPr>
            <w:tcW w:w="2920" w:type="dxa"/>
            <w:vAlign w:val="bottom"/>
          </w:tcPr>
          <w:p>
            <w:pPr>
              <w:ind w:left="520"/>
              <w:spacing w:after="0"/>
              <w:rPr>
                <w:sz w:val="20"/>
                <w:szCs w:val="20"/>
                <w:color w:val="auto"/>
              </w:rPr>
            </w:pPr>
            <w:r>
              <w:rPr>
                <w:rFonts w:ascii="Arial" w:cs="Arial" w:eastAsia="Arial" w:hAnsi="Arial"/>
                <w:sz w:val="18"/>
                <w:szCs w:val="18"/>
                <w:color w:val="auto"/>
              </w:rPr>
              <w:t>www.thetorocompany.com</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Vice President, CFO</w:t>
            </w:r>
          </w:p>
        </w:tc>
        <w:tc>
          <w:tcPr>
            <w:tcW w:w="2420" w:type="dxa"/>
            <w:vAlign w:val="bottom"/>
          </w:tcPr>
          <w:p>
            <w:pPr>
              <w:ind w:left="140"/>
              <w:spacing w:after="0"/>
              <w:rPr>
                <w:sz w:val="20"/>
                <w:szCs w:val="20"/>
                <w:color w:val="auto"/>
              </w:rPr>
            </w:pPr>
            <w:r>
              <w:rPr>
                <w:rFonts w:ascii="Arial" w:cs="Arial" w:eastAsia="Arial" w:hAnsi="Arial"/>
                <w:sz w:val="18"/>
                <w:szCs w:val="18"/>
                <w:color w:val="auto"/>
              </w:rPr>
              <w:t>Assistant Treasurer</w:t>
            </w:r>
          </w:p>
        </w:tc>
        <w:tc>
          <w:tcPr>
            <w:tcW w:w="3680" w:type="dxa"/>
            <w:vAlign w:val="bottom"/>
          </w:tcPr>
          <w:p>
            <w:pPr>
              <w:ind w:left="1020"/>
              <w:spacing w:after="0"/>
              <w:rPr>
                <w:sz w:val="20"/>
                <w:szCs w:val="20"/>
                <w:color w:val="auto"/>
              </w:rPr>
            </w:pPr>
            <w:r>
              <w:rPr>
                <w:rFonts w:ascii="Arial" w:cs="Arial" w:eastAsia="Arial" w:hAnsi="Arial"/>
                <w:sz w:val="18"/>
                <w:szCs w:val="18"/>
                <w:color w:val="auto"/>
              </w:rPr>
              <w:t>Toro Media Relations</w:t>
            </w:r>
          </w:p>
        </w:tc>
        <w:tc>
          <w:tcPr>
            <w:tcW w:w="2920" w:type="dxa"/>
            <w:vAlign w:val="bottom"/>
          </w:tcPr>
          <w:p>
            <w:pPr>
              <w:spacing w:after="0"/>
              <w:rPr>
                <w:sz w:val="18"/>
                <w:szCs w:val="18"/>
                <w:color w:val="auto"/>
              </w:rPr>
            </w:pPr>
          </w:p>
        </w:tc>
      </w:tr>
      <w:tr>
        <w:trPr>
          <w:trHeight w:val="222"/>
        </w:trPr>
        <w:tc>
          <w:tcPr>
            <w:tcW w:w="2400" w:type="dxa"/>
            <w:vAlign w:val="bottom"/>
          </w:tcPr>
          <w:p>
            <w:pPr>
              <w:spacing w:after="0"/>
              <w:rPr>
                <w:sz w:val="20"/>
                <w:szCs w:val="20"/>
                <w:color w:val="auto"/>
              </w:rPr>
            </w:pPr>
            <w:r>
              <w:rPr>
                <w:rFonts w:ascii="Arial" w:cs="Arial" w:eastAsia="Arial" w:hAnsi="Arial"/>
                <w:sz w:val="18"/>
                <w:szCs w:val="18"/>
                <w:color w:val="auto"/>
              </w:rPr>
              <w:t>(952) 887-8076</w:t>
            </w:r>
          </w:p>
        </w:tc>
        <w:tc>
          <w:tcPr>
            <w:tcW w:w="2420" w:type="dxa"/>
            <w:vAlign w:val="bottom"/>
          </w:tcPr>
          <w:p>
            <w:pPr>
              <w:ind w:left="140"/>
              <w:spacing w:after="0"/>
              <w:rPr>
                <w:sz w:val="20"/>
                <w:szCs w:val="20"/>
                <w:color w:val="auto"/>
              </w:rPr>
            </w:pPr>
            <w:r>
              <w:rPr>
                <w:rFonts w:ascii="Arial" w:cs="Arial" w:eastAsia="Arial" w:hAnsi="Arial"/>
                <w:sz w:val="18"/>
                <w:szCs w:val="18"/>
                <w:color w:val="auto"/>
              </w:rPr>
              <w:t>(952) 887-8449</w:t>
            </w:r>
          </w:p>
        </w:tc>
        <w:tc>
          <w:tcPr>
            <w:tcW w:w="3680" w:type="dxa"/>
            <w:vAlign w:val="bottom"/>
          </w:tcPr>
          <w:p>
            <w:pPr>
              <w:ind w:left="1020"/>
              <w:spacing w:after="0"/>
              <w:rPr>
                <w:sz w:val="20"/>
                <w:szCs w:val="20"/>
                <w:color w:val="auto"/>
              </w:rPr>
            </w:pPr>
            <w:r>
              <w:rPr>
                <w:rFonts w:ascii="Arial" w:cs="Arial" w:eastAsia="Arial" w:hAnsi="Arial"/>
                <w:sz w:val="18"/>
                <w:szCs w:val="18"/>
                <w:color w:val="auto"/>
              </w:rPr>
              <w:t>(952) 887-8984, pr@toro.com</w:t>
            </w:r>
          </w:p>
        </w:tc>
        <w:tc>
          <w:tcPr>
            <w:tcW w:w="29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-1490345</wp:posOffset>
            </wp:positionV>
            <wp:extent cx="1191895" cy="7886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91895" cy="788670"/>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TORO REPORTS RECORD FIRST QUARTER NET EARNINGS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34% TO $0.36 PER DILUTED SHARE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Sales Growth and Improved Operating Performance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Benefit First Quarter Performance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Now Expects Fiscal 2004 Net Earnings Growth of 14% to 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LIVE CONFERENCE CALL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24, 10:00 a.m. 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www.thetorocompany.com/invest</w:t>
      </w:r>
    </w:p>
    <w:p>
      <w:pPr>
        <w:spacing w:after="0" w:line="21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BLOOMINGTON, Minn. (Feb. 24, 2004) — The Toro Company (NYSE: TTC) today reported net earnings of $9.3 million, or $0.36 per diluted share, on net sales of $313.6 million for its fiscal 2004 first quarter ended January 30, 2004.</w:t>
      </w:r>
    </w:p>
    <w:p>
      <w:pPr>
        <w:spacing w:after="0" w:line="186" w:lineRule="exact"/>
        <w:rPr>
          <w:sz w:val="20"/>
          <w:szCs w:val="20"/>
          <w:color w:val="auto"/>
        </w:rPr>
      </w:pPr>
    </w:p>
    <w:p>
      <w:pPr>
        <w:ind w:right="580" w:firstLine="220"/>
        <w:spacing w:after="0" w:line="332" w:lineRule="auto"/>
        <w:rPr>
          <w:sz w:val="20"/>
          <w:szCs w:val="20"/>
          <w:color w:val="auto"/>
        </w:rPr>
      </w:pPr>
      <w:r>
        <w:rPr>
          <w:rFonts w:ascii="Arial" w:cs="Arial" w:eastAsia="Arial" w:hAnsi="Arial"/>
          <w:sz w:val="16"/>
          <w:szCs w:val="16"/>
          <w:color w:val="auto"/>
        </w:rPr>
        <w:t>In the comparable fiscal 2003 period, the company reported net earnings of $7.0 million, or $0.27 per diluted share, on net sales of $296.0 million. The company’s fiscal 2003 first quarter results included a one-time gain of $0.08 per diluted share resulting from a legal settlement.</w:t>
      </w:r>
    </w:p>
    <w:p>
      <w:pPr>
        <w:spacing w:after="0" w:line="139" w:lineRule="exact"/>
        <w:rPr>
          <w:sz w:val="20"/>
          <w:szCs w:val="20"/>
          <w:color w:val="auto"/>
        </w:rPr>
      </w:pPr>
    </w:p>
    <w:p>
      <w:pPr>
        <w:ind w:right="120" w:firstLine="220"/>
        <w:spacing w:after="0" w:line="294" w:lineRule="auto"/>
        <w:rPr>
          <w:sz w:val="20"/>
          <w:szCs w:val="20"/>
          <w:color w:val="auto"/>
        </w:rPr>
      </w:pPr>
      <w:r>
        <w:rPr>
          <w:rFonts w:ascii="Arial" w:cs="Arial" w:eastAsia="Arial" w:hAnsi="Arial"/>
          <w:sz w:val="16"/>
          <w:szCs w:val="16"/>
          <w:color w:val="auto"/>
        </w:rPr>
        <w:t>“We are off to a strong start in the new fiscal year,” said Kendrick B. Melrose, The Toro Company Chairman and Chief Executive Officer. “Our first quarter net sales were up due to strong early orders for new landscape contractor products, snowthrower shipments and favorable foreign currency exchange effects. For what is typically a seasonally slower period, we saw healthy demand across many categories, with an additional boost from the snowy weather in the eastern United States,” said Melrose. “Overall, dealers and distributors are feeling optimistic about 2004 and have been placing orders reflecting their expectations of an upturn in the economy and response to Toro’s enhanced product and services portfolio.”</w:t>
      </w:r>
    </w:p>
    <w:p>
      <w:pPr>
        <w:spacing w:after="0" w:line="170" w:lineRule="exact"/>
        <w:rPr>
          <w:sz w:val="20"/>
          <w:szCs w:val="20"/>
          <w:color w:val="auto"/>
        </w:rPr>
      </w:pPr>
    </w:p>
    <w:p>
      <w:pPr>
        <w:ind w:right="160" w:firstLine="210"/>
        <w:spacing w:after="0" w:line="268" w:lineRule="auto"/>
        <w:rPr>
          <w:sz w:val="20"/>
          <w:szCs w:val="20"/>
          <w:color w:val="auto"/>
        </w:rPr>
      </w:pPr>
      <w:r>
        <w:rPr>
          <w:rFonts w:ascii="Arial" w:cs="Arial" w:eastAsia="Arial" w:hAnsi="Arial"/>
          <w:sz w:val="18"/>
          <w:szCs w:val="18"/>
          <w:color w:val="auto"/>
        </w:rPr>
        <w:t>Also contributing to the company’s better than expected first quarter net earnings were the ongoing benefits of past and continuing profitability improvement initiatives, as well as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2—Toro Reports First Quarter Results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positive impact of unexpected items, including a debt recovery. In addition, planned investments in engineering occurred at a slower pace than initially budgeted for the fiscal first quarter and will instead be incurred later in this fiscal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Segment data is provided in the table following the “Condensed Consolidated Statements of Earnings.”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31" w:lineRule="exact"/>
        <w:rPr>
          <w:sz w:val="20"/>
          <w:szCs w:val="20"/>
          <w:color w:val="auto"/>
        </w:rPr>
      </w:pPr>
    </w:p>
    <w:p>
      <w:pPr>
        <w:ind w:right="100" w:firstLine="220"/>
        <w:spacing w:after="0" w:line="255" w:lineRule="auto"/>
        <w:rPr>
          <w:sz w:val="20"/>
          <w:szCs w:val="20"/>
          <w:color w:val="auto"/>
        </w:rPr>
      </w:pPr>
      <w:r>
        <w:rPr>
          <w:rFonts w:ascii="Arial" w:cs="Arial" w:eastAsia="Arial" w:hAnsi="Arial"/>
          <w:sz w:val="18"/>
          <w:szCs w:val="18"/>
          <w:color w:val="auto"/>
        </w:rPr>
        <w:t>Compared with the fiscal 2003 first quarter, fiscal 2004 first quarter professional segment sales increased 7.4% to $207.7 million. The top-line growth in the quarter resulted primarily from increases in landscape contractor equipment and irrigation sales. The growth in both Toro® and Exmark® branded landscape contractor equipment is primarily the result of the success of new products and strong early stocking orders in anticipation of increased retail demand. “We are also very encouraged by our customers’ optimistic outlook for a strong 2004 expressed at this month’s Golf Course Superintendents Association of America Show and Conference, held in San Diego,” Melrose said.</w:t>
      </w:r>
    </w:p>
    <w:p>
      <w:pPr>
        <w:spacing w:after="0" w:line="197" w:lineRule="exact"/>
        <w:rPr>
          <w:sz w:val="20"/>
          <w:szCs w:val="20"/>
          <w:color w:val="auto"/>
        </w:rPr>
      </w:pPr>
    </w:p>
    <w:p>
      <w:pPr>
        <w:ind w:right="40" w:firstLine="220"/>
        <w:spacing w:after="0" w:line="268" w:lineRule="auto"/>
        <w:rPr>
          <w:sz w:val="20"/>
          <w:szCs w:val="20"/>
          <w:color w:val="auto"/>
        </w:rPr>
      </w:pPr>
      <w:r>
        <w:rPr>
          <w:rFonts w:ascii="Arial" w:cs="Arial" w:eastAsia="Arial" w:hAnsi="Arial"/>
          <w:sz w:val="18"/>
          <w:szCs w:val="18"/>
          <w:color w:val="auto"/>
        </w:rPr>
        <w:t>International shipments for the first quarter benefited from favorable foreign currency exchange rates, as well as strong shipments of golf mowing equipment and irrigation products.</w:t>
      </w:r>
    </w:p>
    <w:p>
      <w:pPr>
        <w:spacing w:after="0" w:line="186" w:lineRule="exact"/>
        <w:rPr>
          <w:sz w:val="20"/>
          <w:szCs w:val="20"/>
          <w:color w:val="auto"/>
        </w:rPr>
      </w:pPr>
    </w:p>
    <w:p>
      <w:pPr>
        <w:jc w:val="both"/>
        <w:ind w:right="120" w:firstLine="220"/>
        <w:spacing w:after="0" w:line="259" w:lineRule="auto"/>
        <w:rPr>
          <w:sz w:val="20"/>
          <w:szCs w:val="20"/>
          <w:color w:val="auto"/>
        </w:rPr>
      </w:pPr>
      <w:r>
        <w:rPr>
          <w:rFonts w:ascii="Arial" w:cs="Arial" w:eastAsia="Arial" w:hAnsi="Arial"/>
          <w:sz w:val="18"/>
          <w:szCs w:val="18"/>
          <w:color w:val="auto"/>
        </w:rPr>
        <w:t>Professional segment earnings for the fiscal 2004 first quarter totaled $28.4 million, up 2.5% from the fiscal 2003 first quarter. Excluding the impact of the previously mentioned legal settlement on the professional segment results, earnings improvement for the current quarter would have exceeded the sales growth 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31" w:lineRule="exact"/>
        <w:rPr>
          <w:sz w:val="20"/>
          <w:szCs w:val="20"/>
          <w:color w:val="auto"/>
        </w:rPr>
      </w:pPr>
    </w:p>
    <w:p>
      <w:pPr>
        <w:jc w:val="both"/>
        <w:ind w:right="180" w:firstLine="220"/>
        <w:spacing w:after="0" w:line="259" w:lineRule="auto"/>
        <w:rPr>
          <w:sz w:val="20"/>
          <w:szCs w:val="20"/>
          <w:color w:val="auto"/>
        </w:rPr>
      </w:pPr>
      <w:r>
        <w:rPr>
          <w:rFonts w:ascii="Arial" w:cs="Arial" w:eastAsia="Arial" w:hAnsi="Arial"/>
          <w:sz w:val="18"/>
          <w:szCs w:val="18"/>
          <w:color w:val="auto"/>
        </w:rPr>
        <w:t>Residential segment sales for the fiscal 2004 first quarter totaled $97.9 million, up 3.4% compared with fiscal 2003 first quarter. The major contributors to sales growth in the quarter were snowthrowers, Lawn-Boy® walk power mowers and a new line of riding products somewhat offset by a decline in Toro walk power mower shipments.</w:t>
      </w:r>
    </w:p>
    <w:p>
      <w:pPr>
        <w:spacing w:after="0" w:line="194" w:lineRule="exact"/>
        <w:rPr>
          <w:sz w:val="20"/>
          <w:szCs w:val="20"/>
          <w:color w:val="auto"/>
        </w:rPr>
      </w:pPr>
    </w:p>
    <w:p>
      <w:pPr>
        <w:ind w:right="400" w:firstLine="220"/>
        <w:spacing w:after="0" w:line="259" w:lineRule="auto"/>
        <w:rPr>
          <w:sz w:val="20"/>
          <w:szCs w:val="20"/>
          <w:color w:val="auto"/>
        </w:rPr>
      </w:pPr>
      <w:r>
        <w:rPr>
          <w:rFonts w:ascii="Arial" w:cs="Arial" w:eastAsia="Arial" w:hAnsi="Arial"/>
          <w:sz w:val="18"/>
          <w:szCs w:val="18"/>
          <w:color w:val="auto"/>
        </w:rPr>
        <w:t>Snowthrower sales benefited from strong reorders in January resulting from heavy snowfalls, particularly on the East coast. This will result in lower snowthrower field inventories entering the fiscal 2004 fourth quarter. Lawn-Boy walk power mower shipments increased primarily on strong demand from distributors and dealers for new products. Toro walk power</w:t>
      </w:r>
    </w:p>
    <w:p>
      <w:pPr>
        <w:spacing w:after="0" w:line="1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41"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3—Toro Reports First Quarter Results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mower shipments were lower compared with the 2003 first quarter, which benefited from an earlier than usual promotion program in the mass merchant channel.</w:t>
      </w:r>
    </w:p>
    <w:p>
      <w:pPr>
        <w:spacing w:after="0" w:line="248" w:lineRule="exact"/>
        <w:rPr>
          <w:sz w:val="20"/>
          <w:szCs w:val="20"/>
          <w:color w:val="auto"/>
        </w:rPr>
      </w:pPr>
    </w:p>
    <w:p>
      <w:pPr>
        <w:ind w:right="200" w:firstLine="220"/>
        <w:spacing w:after="0" w:line="268" w:lineRule="auto"/>
        <w:rPr>
          <w:sz w:val="20"/>
          <w:szCs w:val="20"/>
          <w:color w:val="auto"/>
        </w:rPr>
      </w:pPr>
      <w:r>
        <w:rPr>
          <w:rFonts w:ascii="Arial" w:cs="Arial" w:eastAsia="Arial" w:hAnsi="Arial"/>
          <w:sz w:val="18"/>
          <w:szCs w:val="18"/>
          <w:color w:val="auto"/>
        </w:rPr>
        <w:t>International residential segment sales were up sharply compared with fiscal 2003 first quarter, primarily as a result of favorable foreign currency exchange effects and the successful introduction of new products.</w:t>
      </w:r>
    </w:p>
    <w:p>
      <w:pPr>
        <w:spacing w:after="0" w:line="186" w:lineRule="exact"/>
        <w:rPr>
          <w:sz w:val="20"/>
          <w:szCs w:val="20"/>
          <w:color w:val="auto"/>
        </w:rPr>
      </w:pPr>
    </w:p>
    <w:p>
      <w:pPr>
        <w:ind w:right="40" w:firstLine="220"/>
        <w:spacing w:after="0" w:line="268" w:lineRule="auto"/>
        <w:rPr>
          <w:sz w:val="20"/>
          <w:szCs w:val="20"/>
          <w:color w:val="auto"/>
        </w:rPr>
      </w:pPr>
      <w:r>
        <w:rPr>
          <w:rFonts w:ascii="Arial" w:cs="Arial" w:eastAsia="Arial" w:hAnsi="Arial"/>
          <w:sz w:val="18"/>
          <w:szCs w:val="18"/>
          <w:color w:val="auto"/>
        </w:rPr>
        <w:t>Residential segment earnings for the fiscal 2004 first quarter totaled $8.3 million, down 3.7% compared with the fiscal 2003 first quarter. The decline resulted primarily from the impact of higher tooling expenses and one-time costs for a field modification on a new product.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231" w:lineRule="exact"/>
        <w:rPr>
          <w:sz w:val="20"/>
          <w:szCs w:val="20"/>
          <w:color w:val="auto"/>
        </w:rPr>
      </w:pPr>
    </w:p>
    <w:p>
      <w:pPr>
        <w:ind w:right="200" w:firstLine="220"/>
        <w:spacing w:after="0" w:line="259" w:lineRule="auto"/>
        <w:rPr>
          <w:sz w:val="20"/>
          <w:szCs w:val="20"/>
          <w:color w:val="auto"/>
        </w:rPr>
      </w:pPr>
      <w:r>
        <w:rPr>
          <w:rFonts w:ascii="Arial" w:cs="Arial" w:eastAsia="Arial" w:hAnsi="Arial"/>
          <w:sz w:val="18"/>
          <w:szCs w:val="18"/>
          <w:color w:val="auto"/>
        </w:rPr>
        <w:t>Distribution segment sales for the fiscal 2004 first quarter totaled $19.7 million up 5.7% compared with fiscal 2003 first quarter. The loss in the distribution segment was reduced to $2.2 million from $3.4 million in the fiscal 2003 first quarter, in part due to profit improvement initiatives at its company-owned distributorships.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REVIEW OF OPERATIONS</w:t>
      </w:r>
    </w:p>
    <w:p>
      <w:pPr>
        <w:spacing w:after="0" w:line="231" w:lineRule="exact"/>
        <w:rPr>
          <w:sz w:val="20"/>
          <w:szCs w:val="20"/>
          <w:color w:val="auto"/>
        </w:rPr>
      </w:pPr>
    </w:p>
    <w:p>
      <w:pPr>
        <w:ind w:firstLine="220"/>
        <w:spacing w:after="0" w:line="268" w:lineRule="auto"/>
        <w:rPr>
          <w:sz w:val="20"/>
          <w:szCs w:val="20"/>
          <w:color w:val="auto"/>
        </w:rPr>
      </w:pPr>
      <w:r>
        <w:rPr>
          <w:rFonts w:ascii="Arial" w:cs="Arial" w:eastAsia="Arial" w:hAnsi="Arial"/>
          <w:sz w:val="18"/>
          <w:szCs w:val="18"/>
          <w:color w:val="auto"/>
        </w:rPr>
        <w:t>Gross margin for the fiscal 2004 first quarter was 35.9% compared with 35.7% in the first quarter of fiscal 2003. The company continued to benefit from prior profit improvement initiatives and the transfer of certain production to lower cost facilities.</w:t>
      </w:r>
    </w:p>
    <w:p>
      <w:pPr>
        <w:spacing w:after="0" w:line="186" w:lineRule="exact"/>
        <w:rPr>
          <w:sz w:val="20"/>
          <w:szCs w:val="20"/>
          <w:color w:val="auto"/>
        </w:rPr>
      </w:pPr>
    </w:p>
    <w:p>
      <w:pPr>
        <w:ind w:right="80" w:firstLine="220"/>
        <w:spacing w:after="0" w:line="332" w:lineRule="auto"/>
        <w:rPr>
          <w:sz w:val="20"/>
          <w:szCs w:val="20"/>
          <w:color w:val="auto"/>
        </w:rPr>
      </w:pPr>
      <w:r>
        <w:rPr>
          <w:rFonts w:ascii="Arial" w:cs="Arial" w:eastAsia="Arial" w:hAnsi="Arial"/>
          <w:sz w:val="16"/>
          <w:szCs w:val="16"/>
          <w:color w:val="auto"/>
        </w:rPr>
        <w:t>Selling, general and administrative expenses for the fiscal 2004 first quarter were 30.6% as a percentage of net sales, compared with 32.6% in the fiscal 2003 first quarter. This decrease as a percentage of net sales was due to improved leveraging of expenses and the previously mentioned debt recovery.</w:t>
      </w:r>
    </w:p>
    <w:p>
      <w:pPr>
        <w:spacing w:after="0" w:line="139" w:lineRule="exact"/>
        <w:rPr>
          <w:sz w:val="20"/>
          <w:szCs w:val="20"/>
          <w:color w:val="auto"/>
        </w:rPr>
      </w:pPr>
    </w:p>
    <w:p>
      <w:pPr>
        <w:ind w:right="260" w:firstLine="220"/>
        <w:spacing w:after="0" w:line="268" w:lineRule="auto"/>
        <w:rPr>
          <w:sz w:val="20"/>
          <w:szCs w:val="20"/>
          <w:color w:val="auto"/>
        </w:rPr>
      </w:pPr>
      <w:r>
        <w:rPr>
          <w:rFonts w:ascii="Arial" w:cs="Arial" w:eastAsia="Arial" w:hAnsi="Arial"/>
          <w:sz w:val="18"/>
          <w:szCs w:val="18"/>
          <w:color w:val="auto"/>
        </w:rPr>
        <w:t>Interest expense for the fiscal 2004 first quarter totaled $3.9 million, down 5.1% compared with the fiscal 2003 first quarter. The decline resulted primarily from a lower average debt level during the quarter as the company used earnings to retire debt.</w:t>
      </w:r>
    </w:p>
    <w:p>
      <w:pPr>
        <w:spacing w:after="0" w:line="186" w:lineRule="exact"/>
        <w:rPr>
          <w:sz w:val="20"/>
          <w:szCs w:val="20"/>
          <w:color w:val="auto"/>
        </w:rPr>
      </w:pPr>
    </w:p>
    <w:p>
      <w:pPr>
        <w:ind w:right="80" w:firstLine="220"/>
        <w:spacing w:after="0" w:line="268" w:lineRule="auto"/>
        <w:rPr>
          <w:sz w:val="20"/>
          <w:szCs w:val="20"/>
          <w:color w:val="auto"/>
        </w:rPr>
      </w:pPr>
      <w:r>
        <w:rPr>
          <w:rFonts w:ascii="Arial" w:cs="Arial" w:eastAsia="Arial" w:hAnsi="Arial"/>
          <w:sz w:val="18"/>
          <w:szCs w:val="18"/>
          <w:color w:val="auto"/>
        </w:rPr>
        <w:t>Net inventories at the end of the fiscal 2004 first quarter totaled $271.1 million, up only 1.4% compared with $267.4 million at the end of the fiscal 2003 first quarter. The fiscal 2004 first quarter increase was due to higher currency rates.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1" w:right="29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4—Toro Reports First Quarter Results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OUTLOOK</w:t>
      </w:r>
    </w:p>
    <w:p>
      <w:pPr>
        <w:spacing w:after="0" w:line="231" w:lineRule="exact"/>
        <w:rPr>
          <w:sz w:val="20"/>
          <w:szCs w:val="20"/>
          <w:color w:val="auto"/>
        </w:rPr>
      </w:pPr>
    </w:p>
    <w:p>
      <w:pPr>
        <w:ind w:right="160" w:firstLine="220"/>
        <w:spacing w:after="0" w:line="298" w:lineRule="auto"/>
        <w:rPr>
          <w:sz w:val="20"/>
          <w:szCs w:val="20"/>
          <w:color w:val="auto"/>
        </w:rPr>
      </w:pPr>
      <w:r>
        <w:rPr>
          <w:rFonts w:ascii="Arial" w:cs="Arial" w:eastAsia="Arial" w:hAnsi="Arial"/>
          <w:sz w:val="16"/>
          <w:szCs w:val="16"/>
          <w:color w:val="auto"/>
        </w:rPr>
        <w:t>“Our first quarter results exceeded our expectations, and we are encouraged by the optimism we see in our distribution channels and the balanced growth across nearly all product categories,” said Melrose. “As a result, we are raising our earnings guidance and now expect to report a 14% to 18% increase in fiscal 2004 earnings per diluted share compared with fiscal 2003’s $3.12 per diluted share. Moreover, we anticipate revenues in fiscal 2004 to improve by 7% to 9%.” For its fiscal second quarter, the company said it currently expects to report earnings of $1.80 to $1.90 per diluted share.</w:t>
      </w:r>
    </w:p>
    <w:p>
      <w:pPr>
        <w:spacing w:after="0" w:line="167" w:lineRule="exact"/>
        <w:rPr>
          <w:sz w:val="20"/>
          <w:szCs w:val="20"/>
          <w:color w:val="auto"/>
        </w:rPr>
      </w:pPr>
    </w:p>
    <w:p>
      <w:pPr>
        <w:ind w:right="420" w:firstLine="220"/>
        <w:spacing w:after="0" w:line="306" w:lineRule="auto"/>
        <w:rPr>
          <w:sz w:val="20"/>
          <w:szCs w:val="20"/>
          <w:color w:val="auto"/>
        </w:rPr>
      </w:pPr>
      <w:r>
        <w:rPr>
          <w:rFonts w:ascii="Arial" w:cs="Arial" w:eastAsia="Arial" w:hAnsi="Arial"/>
          <w:sz w:val="16"/>
          <w:szCs w:val="16"/>
          <w:color w:val="auto"/>
        </w:rPr>
        <w:t>Melrose said the revised outlook for 2004 absorbs expected increases in steel and aluminum costs that were unplanned at the beginning of the year, and assumes that no widespread extremes in weather conditions will adversely impact the company’s key selling seasons, which are still ahead. It also takes into account Toro’s plans for increased investment in innovation, technology, new products and brand development.</w:t>
      </w:r>
    </w:p>
    <w:p>
      <w:pPr>
        <w:spacing w:after="0" w:line="161" w:lineRule="exact"/>
        <w:rPr>
          <w:sz w:val="20"/>
          <w:szCs w:val="20"/>
          <w:color w:val="auto"/>
        </w:rPr>
      </w:pPr>
    </w:p>
    <w:p>
      <w:pPr>
        <w:ind w:firstLine="220"/>
        <w:spacing w:after="0" w:line="306" w:lineRule="auto"/>
        <w:rPr>
          <w:sz w:val="20"/>
          <w:szCs w:val="20"/>
          <w:color w:val="auto"/>
        </w:rPr>
      </w:pPr>
      <w:r>
        <w:rPr>
          <w:rFonts w:ascii="Arial" w:cs="Arial" w:eastAsia="Arial" w:hAnsi="Arial"/>
          <w:sz w:val="16"/>
          <w:szCs w:val="16"/>
          <w:color w:val="auto"/>
        </w:rPr>
        <w:t>“Following the successful completion of our ‘5 by Five’ profit improvement program, we set new long-term goals and are embarking on a new initiative called ‘6+8’ that will focus on after-tax profitability and sustainable revenue growth at Toro,” said Melrose. “Our people are becoming fully engaged in the ‘6+8’ initiative which, coupled with strategic investments in key areas, will drive us toward achievement of these new goals.”</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Toro Company is a leading worldwide provider of outdoor maintenance and beautification products for home, recreation and commercial landscapes.</w:t>
      </w:r>
    </w:p>
    <w:p>
      <w:pPr>
        <w:spacing w:after="0" w:line="248" w:lineRule="exact"/>
        <w:rPr>
          <w:sz w:val="20"/>
          <w:szCs w:val="20"/>
          <w:color w:val="auto"/>
        </w:rPr>
      </w:pPr>
    </w:p>
    <w:p>
      <w:pPr>
        <w:jc w:val="both"/>
        <w:ind w:right="60" w:firstLine="220"/>
        <w:spacing w:after="0" w:line="306" w:lineRule="auto"/>
        <w:rPr>
          <w:sz w:val="20"/>
          <w:szCs w:val="20"/>
          <w:color w:val="auto"/>
        </w:rPr>
      </w:pPr>
      <w:r>
        <w:rPr>
          <w:rFonts w:ascii="Arial" w:cs="Arial" w:eastAsia="Arial" w:hAnsi="Arial"/>
          <w:sz w:val="16"/>
          <w:szCs w:val="16"/>
          <w:i w:val="1"/>
          <w:iCs w:val="1"/>
          <w:color w:val="auto"/>
        </w:rPr>
        <w:t>The Toro Company will conduct a conference call and webcast for investors beginning at 10:00 a.m. Central Time (CST) on February 24, 2004. The webcast will be available at www.streetevents.com or at www.thetorocompany.com/invest. Webcast participants will need to complete a brief registration form and should allocate extra time before the webcast begins to register and, if necessary, download and install audio software.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5—Toro Reports First Quarter Results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w:t>
      </w:r>
    </w:p>
    <w:p>
      <w:pPr>
        <w:spacing w:after="0" w:line="231"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Statements made in this news release, which are forward-looking, are made pursuant to the safe harbor provisions of the Private Securities Litigation Reform Act of 1995. Forward-looking statements involve risks and uncertainties. These uncertainties include factors that affect all businesses operating in a global market as well as matters specific to Toro. Particular risks and uncertainties facing the company’s overall financial position at the present include the threat of further terrorist acts and war, which may result in contraction of the U.S. and worldwide economies; slow growth rate in global and domestic economies, resulting in rising unemployment and weakened consumer confidence; our ability to achieve the goals for the “6+8” growth and profit improvement program which is intended to improve our revenue growth and after-tax return on sales; the company’s ability to achieve sales growth and low double-digit diluted earnings per share growth in fiscal 2004; unforeseen product quality problems in the development and production of new and existing products; potential issues with moving production between facilities; continued slow growth in the rate of new golf course construction or existing golf course renovations; increased dependence on The Home Depot as a customer for the residential segment; reduced government spending for grounds maintenance equipment due to reduced tax revenue and tighter government budgets; elimination of shelf space for our products at retailers; changes in raw material costs, including higher oil, steel and aluminum prices; financial viability of distributors and dealers; governmental restriction on water usage and water availability; market acceptance of existing and new products; and increased and adverse changes in currency exchange rates or raw material commodity prices and the costs we incur in providing price support to international customers and suppliers. In addition to the factors set forth in this paragraph, market, economic, financial, competitive,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statement.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tables follow)</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6—Toro Reports First Quarter Results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and shares in thousands, except per-share data)</w:t>
      </w:r>
    </w:p>
    <w:p>
      <w:pPr>
        <w:spacing w:after="0" w:line="200" w:lineRule="exact"/>
        <w:rPr>
          <w:sz w:val="20"/>
          <w:szCs w:val="20"/>
          <w:color w:val="auto"/>
        </w:rPr>
      </w:pPr>
    </w:p>
    <w:p>
      <w:pPr>
        <w:spacing w:after="0" w:line="258"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8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3"/>
              </w:rPr>
              <w:t>January 30,</w:t>
            </w:r>
          </w:p>
        </w:tc>
        <w:tc>
          <w:tcPr>
            <w:tcW w:w="16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January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336"/>
              <w:spacing w:after="0"/>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335"/>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313,573</w:t>
            </w:r>
          </w:p>
        </w:tc>
        <w:tc>
          <w:tcPr>
            <w:tcW w:w="540" w:type="dxa"/>
            <w:vAlign w:val="bottom"/>
            <w:shd w:val="clear" w:color="auto" w:fill="EEEEEE"/>
          </w:tcPr>
          <w:p>
            <w:pPr>
              <w:spacing w:after="0"/>
              <w:rPr>
                <w:sz w:val="18"/>
                <w:szCs w:val="18"/>
                <w:color w:val="auto"/>
              </w:rPr>
            </w:pP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295,962</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112,610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105,581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Gross profit percent</w:t>
            </w:r>
          </w:p>
        </w:tc>
        <w:tc>
          <w:tcPr>
            <w:tcW w:w="1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35.9%</w:t>
            </w: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96,037</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96,351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EEEEEE"/>
          </w:tcPr>
          <w:p>
            <w:pPr>
              <w:spacing w:after="0"/>
              <w:rPr>
                <w:sz w:val="20"/>
                <w:szCs w:val="20"/>
                <w:color w:val="auto"/>
              </w:rPr>
            </w:pPr>
            <w:r>
              <w:rPr>
                <w:rFonts w:ascii="Arial" w:cs="Arial" w:eastAsia="Arial" w:hAnsi="Arial"/>
                <w:sz w:val="18"/>
                <w:szCs w:val="18"/>
                <w:color w:val="auto"/>
              </w:rPr>
              <w:t>Restructuring and other income</w:t>
            </w:r>
          </w:p>
        </w:tc>
        <w:tc>
          <w:tcPr>
            <w:tcW w:w="1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360" w:type="dxa"/>
            <w:vAlign w:val="bottom"/>
          </w:tcPr>
          <w:p>
            <w:pPr>
              <w:ind w:left="260"/>
              <w:spacing w:after="0"/>
              <w:rPr>
                <w:sz w:val="20"/>
                <w:szCs w:val="20"/>
                <w:color w:val="auto"/>
              </w:rPr>
            </w:pPr>
            <w:r>
              <w:rPr>
                <w:rFonts w:ascii="Arial" w:cs="Arial" w:eastAsia="Arial" w:hAnsi="Arial"/>
                <w:sz w:val="18"/>
                <w:szCs w:val="18"/>
                <w:color w:val="auto"/>
              </w:rPr>
              <w:t>Earnings from operations</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16,595</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9,230</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6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(3,882)</w:t>
            </w: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(4,092)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Other income, net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1,309</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5,282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Earnings before income taxes</w:t>
            </w: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14,022</w:t>
            </w:r>
          </w:p>
        </w:tc>
        <w:tc>
          <w:tcPr>
            <w:tcW w:w="5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10,420</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4,697</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3,439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Net earnings</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9,325</w:t>
            </w:r>
          </w:p>
        </w:tc>
        <w:tc>
          <w:tcPr>
            <w:tcW w:w="540" w:type="dxa"/>
            <w:vAlign w:val="bottom"/>
            <w:shd w:val="clear" w:color="auto" w:fill="EEEEEE"/>
          </w:tcPr>
          <w:p>
            <w:pPr>
              <w:spacing w:after="0"/>
              <w:rPr>
                <w:sz w:val="18"/>
                <w:szCs w:val="18"/>
                <w:color w:val="auto"/>
              </w:rPr>
            </w:pP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6,981</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38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380" w:type="dxa"/>
            <w:vAlign w:val="bottom"/>
            <w:gridSpan w:val="2"/>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380" w:type="dxa"/>
            <w:vAlign w:val="bottom"/>
            <w:gridSpan w:val="2"/>
          </w:tcPr>
          <w:p>
            <w:pPr>
              <w:spacing w:after="0"/>
              <w:rPr>
                <w:sz w:val="20"/>
                <w:szCs w:val="20"/>
                <w:color w:val="auto"/>
              </w:rPr>
            </w:pPr>
            <w:r>
              <w:rPr>
                <w:rFonts w:ascii="Arial" w:cs="Arial" w:eastAsia="Arial" w:hAnsi="Arial"/>
                <w:sz w:val="18"/>
                <w:szCs w:val="18"/>
                <w:color w:val="auto"/>
              </w:rPr>
              <w:t>Basic net earnings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0.37</w:t>
            </w:r>
          </w:p>
        </w:tc>
        <w:tc>
          <w:tcPr>
            <w:tcW w:w="5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0.28</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EEEEEE"/>
          </w:tcPr>
          <w:p>
            <w:pPr>
              <w:spacing w:after="0"/>
              <w:rPr>
                <w:sz w:val="20"/>
                <w:szCs w:val="20"/>
                <w:color w:val="auto"/>
              </w:rPr>
            </w:pPr>
            <w:r>
              <w:rPr>
                <w:rFonts w:ascii="Arial" w:cs="Arial" w:eastAsia="Arial" w:hAnsi="Arial"/>
                <w:sz w:val="18"/>
                <w:szCs w:val="18"/>
                <w:color w:val="auto"/>
              </w:rPr>
              <w:t>Diluted net earnings per share</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0.36</w:t>
            </w:r>
          </w:p>
        </w:tc>
        <w:tc>
          <w:tcPr>
            <w:tcW w:w="540" w:type="dxa"/>
            <w:vAlign w:val="bottom"/>
            <w:shd w:val="clear" w:color="auto" w:fill="EEEEEE"/>
          </w:tcPr>
          <w:p>
            <w:pPr>
              <w:spacing w:after="0"/>
              <w:rPr>
                <w:sz w:val="18"/>
                <w:szCs w:val="18"/>
                <w:color w:val="auto"/>
              </w:rPr>
            </w:pP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0.27</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38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380" w:type="dxa"/>
            <w:vAlign w:val="bottom"/>
            <w:gridSpan w:val="2"/>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4380" w:type="dxa"/>
            <w:vAlign w:val="bottom"/>
            <w:gridSpan w:val="2"/>
          </w:tcPr>
          <w:p>
            <w:pPr>
              <w:spacing w:after="0"/>
              <w:rPr>
                <w:sz w:val="20"/>
                <w:szCs w:val="20"/>
                <w:color w:val="auto"/>
              </w:rPr>
            </w:pPr>
            <w:r>
              <w:rPr>
                <w:rFonts w:ascii="Arial" w:cs="Arial" w:eastAsia="Arial" w:hAnsi="Arial"/>
                <w:sz w:val="18"/>
                <w:szCs w:val="18"/>
                <w:color w:val="auto"/>
              </w:rPr>
              <w:t>Weighted average number of shares of common stock</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ind w:left="120"/>
              <w:spacing w:after="0"/>
              <w:rPr>
                <w:sz w:val="20"/>
                <w:szCs w:val="20"/>
                <w:color w:val="auto"/>
              </w:rPr>
            </w:pPr>
            <w:r>
              <w:rPr>
                <w:rFonts w:ascii="Arial" w:cs="Arial" w:eastAsia="Arial" w:hAnsi="Arial"/>
                <w:sz w:val="18"/>
                <w:szCs w:val="18"/>
                <w:color w:val="auto"/>
              </w:rPr>
              <w:t>outstanding — Basic</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24,926</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24,921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number of shares of common stock</w:t>
            </w: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outstanding — Dilutive</w:t>
            </w:r>
          </w:p>
        </w:tc>
        <w:tc>
          <w:tcPr>
            <w:tcW w:w="160" w:type="dxa"/>
            <w:vAlign w:val="bottom"/>
            <w:shd w:val="clear" w:color="auto" w:fill="EEEEEE"/>
          </w:tcPr>
          <w:p>
            <w:pPr>
              <w:spacing w:after="0"/>
              <w:rPr>
                <w:sz w:val="19"/>
                <w:szCs w:val="19"/>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26,129</w:t>
            </w:r>
          </w:p>
        </w:tc>
        <w:tc>
          <w:tcPr>
            <w:tcW w:w="5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25,843</w:t>
            </w:r>
          </w:p>
        </w:tc>
        <w:tc>
          <w:tcPr>
            <w:tcW w:w="2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Shares and per share data have been adjusted for all periods presented to reflect a two-for-one stock split effective April 1, 2003.</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Sales by Segment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0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60" w:type="dxa"/>
            <w:vAlign w:val="bottom"/>
            <w:gridSpan w:val="5"/>
          </w:tcPr>
          <w:p>
            <w:pPr>
              <w:jc w:val="right"/>
              <w:ind w:right="1220"/>
              <w:spacing w:after="0"/>
              <w:rPr>
                <w:sz w:val="20"/>
                <w:szCs w:val="20"/>
                <w:color w:val="auto"/>
              </w:rPr>
            </w:pPr>
            <w:r>
              <w:rPr>
                <w:rFonts w:ascii="Arial" w:cs="Arial" w:eastAsia="Arial" w:hAnsi="Arial"/>
                <w:sz w:val="14"/>
                <w:szCs w:val="14"/>
                <w:b w:val="1"/>
                <w:bCs w:val="1"/>
                <w:color w:val="auto"/>
              </w:rPr>
              <w:t>Three Months Ended</w:t>
            </w: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0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0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5"/>
              </w:rPr>
              <w:t>January 30,</w:t>
            </w:r>
          </w:p>
        </w:tc>
        <w:tc>
          <w:tcPr>
            <w:tcW w:w="180" w:type="dxa"/>
            <w:vAlign w:val="bottom"/>
          </w:tcPr>
          <w:p>
            <w:pPr>
              <w:spacing w:after="0"/>
              <w:rPr>
                <w:sz w:val="20"/>
                <w:szCs w:val="20"/>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5"/>
              </w:rPr>
              <w:t>January 31,</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0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ind w:right="359"/>
              <w:spacing w:after="0"/>
              <w:rPr>
                <w:sz w:val="20"/>
                <w:szCs w:val="20"/>
                <w:color w:val="auto"/>
              </w:rPr>
            </w:pPr>
            <w:r>
              <w:rPr>
                <w:rFonts w:ascii="Arial" w:cs="Arial" w:eastAsia="Arial" w:hAnsi="Arial"/>
                <w:sz w:val="14"/>
                <w:szCs w:val="14"/>
                <w:b w:val="1"/>
                <w:bCs w:val="1"/>
                <w:color w:val="auto"/>
              </w:rPr>
              <w:t>2004</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377"/>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0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0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rPr>
              <w:t>Professional</w:t>
            </w:r>
          </w:p>
        </w:tc>
        <w:tc>
          <w:tcPr>
            <w:tcW w:w="160" w:type="dxa"/>
            <w:vAlign w:val="bottom"/>
            <w:shd w:val="clear" w:color="auto" w:fill="EEEEEE"/>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207,678</w:t>
            </w:r>
          </w:p>
        </w:tc>
        <w:tc>
          <w:tcPr>
            <w:tcW w:w="64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193,444</w:t>
            </w:r>
          </w:p>
        </w:tc>
        <w:tc>
          <w:tcPr>
            <w:tcW w:w="34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Residential</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97,887</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94,665</w:t>
            </w:r>
          </w:p>
        </w:tc>
        <w:tc>
          <w:tcPr>
            <w:tcW w:w="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rPr>
              <w:t>Distribution</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19,653</w:t>
            </w:r>
          </w:p>
        </w:tc>
        <w:tc>
          <w:tcPr>
            <w:tcW w:w="6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18,600</w:t>
            </w:r>
          </w:p>
        </w:tc>
        <w:tc>
          <w:tcPr>
            <w:tcW w:w="34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0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(11,645)</w:t>
            </w:r>
          </w:p>
        </w:tc>
        <w:tc>
          <w:tcPr>
            <w:tcW w:w="18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(10,747)</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0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0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41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Total *</w:t>
            </w:r>
          </w:p>
        </w:tc>
        <w:tc>
          <w:tcPr>
            <w:tcW w:w="160" w:type="dxa"/>
            <w:vAlign w:val="bottom"/>
            <w:shd w:val="clear" w:color="auto" w:fill="EEEEEE"/>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313,573</w:t>
            </w:r>
          </w:p>
        </w:tc>
        <w:tc>
          <w:tcPr>
            <w:tcW w:w="64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295,962</w:t>
            </w:r>
          </w:p>
        </w:tc>
        <w:tc>
          <w:tcPr>
            <w:tcW w:w="34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10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100" w:type="dxa"/>
            <w:vAlign w:val="bottom"/>
            <w:gridSpan w:val="2"/>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100" w:type="dxa"/>
            <w:vAlign w:val="bottom"/>
            <w:gridSpan w:val="2"/>
          </w:tcPr>
          <w:p>
            <w:pPr>
              <w:ind w:left="2000"/>
              <w:spacing w:after="0"/>
              <w:rPr>
                <w:sz w:val="20"/>
                <w:szCs w:val="20"/>
                <w:color w:val="auto"/>
              </w:rPr>
            </w:pPr>
            <w:r>
              <w:rPr>
                <w:rFonts w:ascii="Arial" w:cs="Arial" w:eastAsia="Arial" w:hAnsi="Arial"/>
                <w:sz w:val="18"/>
                <w:szCs w:val="18"/>
                <w:color w:val="auto"/>
              </w:rPr>
              <w:t>* Includes international sales of</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75,378</w:t>
            </w:r>
          </w:p>
        </w:tc>
        <w:tc>
          <w:tcPr>
            <w:tcW w:w="6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67,456</w:t>
            </w:r>
          </w:p>
        </w:tc>
        <w:tc>
          <w:tcPr>
            <w:tcW w:w="3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1"/>
        </w:trPr>
        <w:tc>
          <w:tcPr>
            <w:tcW w:w="2000" w:type="dxa"/>
            <w:vAlign w:val="bottom"/>
            <w:tcBorders>
              <w:bottom w:val="single" w:sz="8" w:color="808080"/>
            </w:tcBorders>
          </w:tcPr>
          <w:p>
            <w:pPr>
              <w:spacing w:after="0"/>
              <w:rPr>
                <w:sz w:val="24"/>
                <w:szCs w:val="24"/>
                <w:color w:val="auto"/>
              </w:rPr>
            </w:pPr>
          </w:p>
        </w:tc>
        <w:tc>
          <w:tcPr>
            <w:tcW w:w="41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7—Toro Reports First Quarter Results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(Loss) Before Income Taxes by Segment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58" w:lineRule="exact"/>
        <w:rPr>
          <w:sz w:val="20"/>
          <w:szCs w:val="20"/>
          <w:color w:val="auto"/>
        </w:rPr>
      </w:pPr>
    </w:p>
    <w:tbl>
      <w:tblPr>
        <w:tblLayout w:type="fixed"/>
        <w:tblInd w:w="2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2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8"/>
              </w:rPr>
              <w:t>January 30,</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0"/>
              </w:rPr>
              <w:t>January 31,</w:t>
            </w:r>
          </w:p>
        </w:tc>
        <w:tc>
          <w:tcPr>
            <w:tcW w:w="0" w:type="dxa"/>
            <w:vAlign w:val="bottom"/>
          </w:tcPr>
          <w:p>
            <w:pPr>
              <w:spacing w:after="0"/>
              <w:rPr>
                <w:sz w:val="1"/>
                <w:szCs w:val="1"/>
                <w:color w:val="auto"/>
              </w:rPr>
            </w:pPr>
          </w:p>
        </w:tc>
      </w:tr>
      <w:tr>
        <w:trPr>
          <w:trHeight w:val="174"/>
        </w:trPr>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Segment Earnings (Loss)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440"/>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418"/>
              <w:spacing w:after="0"/>
              <w:rPr>
                <w:sz w:val="20"/>
                <w:szCs w:val="20"/>
                <w:color w:val="auto"/>
              </w:rPr>
            </w:pPr>
            <w:r>
              <w:rPr>
                <w:rFonts w:ascii="Arial" w:cs="Arial" w:eastAsia="Arial" w:hAnsi="Arial"/>
                <w:sz w:val="14"/>
                <w:szCs w:val="14"/>
                <w:b w:val="1"/>
                <w:bCs w:val="1"/>
                <w:color w:val="auto"/>
              </w:rPr>
              <w:t>2003</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shd w:val="clear" w:color="auto" w:fill="EEEEEE"/>
          </w:tcPr>
          <w:p>
            <w:pPr>
              <w:spacing w:after="0"/>
              <w:rPr>
                <w:sz w:val="20"/>
                <w:szCs w:val="20"/>
                <w:color w:val="auto"/>
              </w:rPr>
            </w:pPr>
            <w:r>
              <w:rPr>
                <w:rFonts w:ascii="Arial" w:cs="Arial" w:eastAsia="Arial" w:hAnsi="Arial"/>
                <w:sz w:val="18"/>
                <w:szCs w:val="18"/>
                <w:color w:val="auto"/>
              </w:rPr>
              <w:t>Professional</w:t>
            </w:r>
          </w:p>
        </w:tc>
        <w:tc>
          <w:tcPr>
            <w:tcW w:w="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28,449</w:t>
            </w:r>
          </w:p>
        </w:tc>
        <w:tc>
          <w:tcPr>
            <w:tcW w:w="40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27,756</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40" w:type="dxa"/>
            <w:vAlign w:val="bottom"/>
          </w:tcPr>
          <w:p>
            <w:pPr>
              <w:spacing w:after="0" w:line="256" w:lineRule="exact"/>
              <w:rPr>
                <w:sz w:val="20"/>
                <w:szCs w:val="20"/>
                <w:color w:val="auto"/>
              </w:rPr>
            </w:pPr>
            <w:r>
              <w:rPr>
                <w:rFonts w:ascii="Arial" w:cs="Arial" w:eastAsia="Arial" w:hAnsi="Arial"/>
                <w:sz w:val="18"/>
                <w:szCs w:val="18"/>
                <w:color w:val="auto"/>
              </w:rPr>
              <w:t>Residential</w:t>
            </w:r>
            <w:r>
              <w:rPr>
                <w:rFonts w:ascii="Arial" w:cs="Arial" w:eastAsia="Arial" w:hAnsi="Arial"/>
                <w:sz w:val="29"/>
                <w:szCs w:val="29"/>
                <w:color w:val="auto"/>
                <w:vertAlign w:val="superscript"/>
              </w:rPr>
              <w:t>1</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8,337</w:t>
            </w: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8,661</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EEEEEE"/>
          </w:tcPr>
          <w:p>
            <w:pPr>
              <w:spacing w:after="0"/>
              <w:rPr>
                <w:sz w:val="20"/>
                <w:szCs w:val="20"/>
                <w:color w:val="auto"/>
              </w:rPr>
            </w:pPr>
            <w:r>
              <w:rPr>
                <w:rFonts w:ascii="Arial" w:cs="Arial" w:eastAsia="Arial" w:hAnsi="Arial"/>
                <w:sz w:val="18"/>
                <w:szCs w:val="18"/>
                <w:color w:val="auto"/>
              </w:rPr>
              <w:t>Distribution</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(2,173)</w:t>
            </w:r>
          </w:p>
        </w:tc>
        <w:tc>
          <w:tcPr>
            <w:tcW w:w="38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(3,358)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(20,591)</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8"/>
                <w:szCs w:val="18"/>
                <w:color w:val="auto"/>
              </w:rPr>
              <w:t>(22,639)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Total</w:t>
            </w:r>
          </w:p>
        </w:tc>
        <w:tc>
          <w:tcPr>
            <w:tcW w:w="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14,022</w:t>
            </w:r>
          </w:p>
        </w:tc>
        <w:tc>
          <w:tcPr>
            <w:tcW w:w="40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10,420</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0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2720" w:right="2660" w:hanging="139"/>
        <w:spacing w:after="0" w:line="194" w:lineRule="auto"/>
        <w:tabs>
          <w:tab w:leader="none" w:pos="2702" w:val="left"/>
        </w:tabs>
        <w:numPr>
          <w:ilvl w:val="0"/>
          <w:numId w:val="2"/>
        </w:numPr>
        <w:rPr>
          <w:rFonts w:ascii="Arial" w:cs="Arial" w:eastAsia="Arial" w:hAnsi="Arial"/>
          <w:sz w:val="29"/>
          <w:szCs w:val="29"/>
          <w:color w:val="auto"/>
          <w:vertAlign w:val="superscript"/>
        </w:rPr>
      </w:pPr>
      <w:r>
        <w:rPr>
          <w:rFonts w:ascii="Arial" w:cs="Arial" w:eastAsia="Arial" w:hAnsi="Arial"/>
          <w:sz w:val="18"/>
          <w:szCs w:val="18"/>
          <w:color w:val="auto"/>
        </w:rPr>
        <w:t>Includes restructuring and other income of $22 thousand for the three-month period in fiscal 2004.</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114"/>
              <w:spacing w:after="0"/>
              <w:rPr>
                <w:sz w:val="20"/>
                <w:szCs w:val="20"/>
                <w:color w:val="auto"/>
              </w:rPr>
            </w:pPr>
            <w:r>
              <w:rPr>
                <w:rFonts w:ascii="Arial" w:cs="Arial" w:eastAsia="Arial" w:hAnsi="Arial"/>
                <w:sz w:val="14"/>
                <w:szCs w:val="14"/>
                <w:b w:val="1"/>
                <w:bCs w:val="1"/>
                <w:color w:val="auto"/>
                <w:w w:val="95"/>
              </w:rPr>
              <w:t>January 30,</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January 31,</w:t>
            </w:r>
          </w:p>
        </w:tc>
        <w:tc>
          <w:tcPr>
            <w:tcW w:w="1440" w:type="dxa"/>
            <w:vAlign w:val="bottom"/>
          </w:tcPr>
          <w:p>
            <w:pPr>
              <w:spacing w:after="0"/>
              <w:rPr>
                <w:sz w:val="14"/>
                <w:szCs w:val="14"/>
                <w:color w:val="auto"/>
              </w:rPr>
            </w:pPr>
          </w:p>
        </w:tc>
      </w:tr>
      <w:tr>
        <w:trPr>
          <w:trHeight w:val="174"/>
        </w:trPr>
        <w:tc>
          <w:tcPr>
            <w:tcW w:w="1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334"/>
              <w:spacing w:after="0"/>
              <w:rPr>
                <w:sz w:val="20"/>
                <w:szCs w:val="20"/>
                <w:color w:val="auto"/>
              </w:rPr>
            </w:pPr>
            <w:r>
              <w:rPr>
                <w:rFonts w:ascii="Arial" w:cs="Arial" w:eastAsia="Arial" w:hAnsi="Arial"/>
                <w:sz w:val="14"/>
                <w:szCs w:val="14"/>
                <w:b w:val="1"/>
                <w:bCs w:val="1"/>
                <w:color w:val="auto"/>
              </w:rPr>
              <w:t>2004</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334"/>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95"/>
        </w:trPr>
        <w:tc>
          <w:tcPr>
            <w:tcW w:w="1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9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102"/>
        </w:trPr>
        <w:tc>
          <w:tcPr>
            <w:tcW w:w="1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9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196"/>
        </w:trPr>
        <w:tc>
          <w:tcPr>
            <w:tcW w:w="1440" w:type="dxa"/>
            <w:vAlign w:val="bottom"/>
          </w:tcPr>
          <w:p>
            <w:pPr>
              <w:spacing w:after="0"/>
              <w:rPr>
                <w:sz w:val="17"/>
                <w:szCs w:val="17"/>
                <w:color w:val="auto"/>
              </w:rPr>
            </w:pPr>
          </w:p>
        </w:tc>
        <w:tc>
          <w:tcPr>
            <w:tcW w:w="640" w:type="dxa"/>
            <w:vAlign w:val="bottom"/>
            <w:tcBorders>
              <w:bottom w:val="single" w:sz="8" w:color="auto"/>
            </w:tcBorders>
            <w:shd w:val="clear" w:color="auto" w:fill="EEEEEE"/>
          </w:tcPr>
          <w:p>
            <w:pPr>
              <w:spacing w:after="0" w:line="176" w:lineRule="exact"/>
              <w:rPr>
                <w:sz w:val="20"/>
                <w:szCs w:val="20"/>
                <w:color w:val="auto"/>
              </w:rPr>
            </w:pPr>
            <w:r>
              <w:rPr>
                <w:rFonts w:ascii="Arial" w:cs="Arial" w:eastAsia="Arial" w:hAnsi="Arial"/>
                <w:sz w:val="18"/>
                <w:szCs w:val="18"/>
                <w:color w:val="auto"/>
                <w:w w:val="87"/>
              </w:rPr>
              <w:t>ASSETS</w:t>
            </w:r>
          </w:p>
        </w:tc>
        <w:tc>
          <w:tcPr>
            <w:tcW w:w="4860" w:type="dxa"/>
            <w:vAlign w:val="bottom"/>
            <w:tcBorders>
              <w:bottom w:val="single" w:sz="8" w:color="EEEEEE"/>
              <w:right w:val="single" w:sz="8" w:color="EEEEEE"/>
            </w:tcBorders>
            <w:gridSpan w:val="2"/>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960" w:type="dxa"/>
            <w:vAlign w:val="bottom"/>
            <w:tcBorders>
              <w:bottom w:val="single" w:sz="8" w:color="EEEEEE"/>
            </w:tcBorders>
            <w:shd w:val="clear" w:color="auto" w:fill="EEEEEE"/>
          </w:tcPr>
          <w:p>
            <w:pPr>
              <w:spacing w:after="0"/>
              <w:rPr>
                <w:sz w:val="17"/>
                <w:szCs w:val="17"/>
                <w:color w:val="auto"/>
              </w:rPr>
            </w:pPr>
          </w:p>
        </w:tc>
        <w:tc>
          <w:tcPr>
            <w:tcW w:w="600" w:type="dxa"/>
            <w:vAlign w:val="bottom"/>
            <w:tcBorders>
              <w:bottom w:val="single" w:sz="8" w:color="EEEEEE"/>
            </w:tcBorders>
            <w:shd w:val="clear" w:color="auto" w:fill="EEEEEE"/>
          </w:tcPr>
          <w:p>
            <w:pPr>
              <w:spacing w:after="0"/>
              <w:rPr>
                <w:sz w:val="17"/>
                <w:szCs w:val="17"/>
                <w:color w:val="auto"/>
              </w:rPr>
            </w:pPr>
          </w:p>
        </w:tc>
        <w:tc>
          <w:tcPr>
            <w:tcW w:w="160" w:type="dxa"/>
            <w:vAlign w:val="bottom"/>
            <w:tcBorders>
              <w:bottom w:val="single" w:sz="8" w:color="EEEEEE"/>
            </w:tcBorders>
            <w:shd w:val="clear" w:color="auto" w:fill="EEEEEE"/>
          </w:tcPr>
          <w:p>
            <w:pPr>
              <w:spacing w:after="0"/>
              <w:rPr>
                <w:sz w:val="17"/>
                <w:szCs w:val="17"/>
                <w:color w:val="auto"/>
              </w:rPr>
            </w:pPr>
          </w:p>
        </w:tc>
        <w:tc>
          <w:tcPr>
            <w:tcW w:w="94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tcBorders>
            <w:shd w:val="clear" w:color="auto" w:fill="EEEEEE"/>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144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17,925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500" w:type="dxa"/>
            <w:vAlign w:val="bottom"/>
            <w:tcBorders>
              <w:right w:val="single" w:sz="8" w:color="EEEEEE"/>
            </w:tcBorders>
            <w:gridSpan w:val="3"/>
            <w:shd w:val="clear" w:color="auto" w:fill="EEEEEE"/>
          </w:tcPr>
          <w:p>
            <w:pPr>
              <w:spacing w:after="0"/>
              <w:rPr>
                <w:sz w:val="20"/>
                <w:szCs w:val="20"/>
                <w:color w:val="auto"/>
              </w:rPr>
            </w:pPr>
            <w:r>
              <w:rPr>
                <w:rFonts w:ascii="Arial" w:cs="Arial" w:eastAsia="Arial" w:hAnsi="Arial"/>
                <w:sz w:val="18"/>
                <w:szCs w:val="18"/>
                <w:color w:val="auto"/>
              </w:rPr>
              <w:t>Receivables, net</w:t>
            </w:r>
          </w:p>
        </w:tc>
        <w:tc>
          <w:tcPr>
            <w:tcW w:w="12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311,451</w:t>
            </w:r>
          </w:p>
        </w:tc>
        <w:tc>
          <w:tcPr>
            <w:tcW w:w="6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311,892</w:t>
            </w:r>
          </w:p>
        </w:tc>
        <w:tc>
          <w:tcPr>
            <w:tcW w:w="26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Inventories, net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271,071</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267,376</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500" w:type="dxa"/>
            <w:vAlign w:val="bottom"/>
            <w:tcBorders>
              <w:right w:val="single" w:sz="8" w:color="EEEEEE"/>
            </w:tcBorders>
            <w:gridSpan w:val="3"/>
            <w:shd w:val="clear" w:color="auto" w:fill="EEEEEE"/>
          </w:tcPr>
          <w:p>
            <w:pPr>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13,710</w:t>
            </w:r>
          </w:p>
        </w:tc>
        <w:tc>
          <w:tcPr>
            <w:tcW w:w="6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11,689</w:t>
            </w:r>
          </w:p>
        </w:tc>
        <w:tc>
          <w:tcPr>
            <w:tcW w:w="26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r>
      <w:tr>
        <w:trPr>
          <w:trHeight w:val="222"/>
        </w:trPr>
        <w:tc>
          <w:tcPr>
            <w:tcW w:w="1440" w:type="dxa"/>
            <w:vAlign w:val="bottom"/>
          </w:tcPr>
          <w:p>
            <w:pPr>
              <w:spacing w:after="0"/>
              <w:rPr>
                <w:sz w:val="19"/>
                <w:szCs w:val="19"/>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43,253</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39,474</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102"/>
        </w:trPr>
        <w:tc>
          <w:tcPr>
            <w:tcW w:w="1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9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102"/>
        </w:trPr>
        <w:tc>
          <w:tcPr>
            <w:tcW w:w="1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9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216"/>
        </w:trPr>
        <w:tc>
          <w:tcPr>
            <w:tcW w:w="1440" w:type="dxa"/>
            <w:vAlign w:val="bottom"/>
          </w:tcPr>
          <w:p>
            <w:pPr>
              <w:spacing w:after="0"/>
              <w:rPr>
                <w:sz w:val="18"/>
                <w:szCs w:val="18"/>
                <w:color w:val="auto"/>
              </w:rPr>
            </w:pPr>
          </w:p>
        </w:tc>
        <w:tc>
          <w:tcPr>
            <w:tcW w:w="5500" w:type="dxa"/>
            <w:vAlign w:val="bottom"/>
            <w:tcBorders>
              <w:right w:val="single" w:sz="8" w:color="EEEEEE"/>
            </w:tcBorders>
            <w:gridSpan w:val="3"/>
            <w:shd w:val="clear" w:color="auto" w:fill="EEEEEE"/>
          </w:tcPr>
          <w:p>
            <w:pPr>
              <w:ind w:left="34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657,410</w:t>
            </w:r>
          </w:p>
        </w:tc>
        <w:tc>
          <w:tcPr>
            <w:tcW w:w="6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630,518</w:t>
            </w:r>
          </w:p>
        </w:tc>
        <w:tc>
          <w:tcPr>
            <w:tcW w:w="26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r>
      <w:tr>
        <w:trPr>
          <w:trHeight w:val="108"/>
        </w:trPr>
        <w:tc>
          <w:tcPr>
            <w:tcW w:w="1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317"/>
        </w:trPr>
        <w:tc>
          <w:tcPr>
            <w:tcW w:w="1440" w:type="dxa"/>
            <w:vAlign w:val="bottom"/>
          </w:tcPr>
          <w:p>
            <w:pPr>
              <w:spacing w:after="0"/>
              <w:rPr>
                <w:sz w:val="24"/>
                <w:szCs w:val="24"/>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160,729</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159,474</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7"/>
        </w:trPr>
        <w:tc>
          <w:tcPr>
            <w:tcW w:w="1440" w:type="dxa"/>
            <w:vAlign w:val="bottom"/>
          </w:tcPr>
          <w:p>
            <w:pPr>
              <w:spacing w:after="0"/>
              <w:rPr>
                <w:sz w:val="18"/>
                <w:szCs w:val="18"/>
                <w:color w:val="auto"/>
              </w:rPr>
            </w:pPr>
          </w:p>
        </w:tc>
        <w:tc>
          <w:tcPr>
            <w:tcW w:w="5500" w:type="dxa"/>
            <w:vAlign w:val="bottom"/>
            <w:tcBorders>
              <w:right w:val="single" w:sz="8" w:color="EEEEEE"/>
            </w:tcBorders>
            <w:gridSpan w:val="3"/>
            <w:shd w:val="clear" w:color="auto" w:fill="EEEEEE"/>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1,181</w:t>
            </w:r>
          </w:p>
        </w:tc>
        <w:tc>
          <w:tcPr>
            <w:tcW w:w="6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4,196</w:t>
            </w:r>
          </w:p>
        </w:tc>
        <w:tc>
          <w:tcPr>
            <w:tcW w:w="26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r>
      <w:tr>
        <w:trPr>
          <w:trHeight w:val="222"/>
        </w:trPr>
        <w:tc>
          <w:tcPr>
            <w:tcW w:w="1440" w:type="dxa"/>
            <w:vAlign w:val="bottom"/>
          </w:tcPr>
          <w:p>
            <w:pPr>
              <w:spacing w:after="0"/>
              <w:rPr>
                <w:sz w:val="19"/>
                <w:szCs w:val="19"/>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Goodwill and other assets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100,841</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93,913</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102"/>
        </w:trPr>
        <w:tc>
          <w:tcPr>
            <w:tcW w:w="1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9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102"/>
        </w:trPr>
        <w:tc>
          <w:tcPr>
            <w:tcW w:w="1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9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216"/>
        </w:trPr>
        <w:tc>
          <w:tcPr>
            <w:tcW w:w="1440" w:type="dxa"/>
            <w:vAlign w:val="bottom"/>
          </w:tcPr>
          <w:p>
            <w:pPr>
              <w:spacing w:after="0"/>
              <w:rPr>
                <w:sz w:val="18"/>
                <w:szCs w:val="18"/>
                <w:color w:val="auto"/>
              </w:rPr>
            </w:pPr>
          </w:p>
        </w:tc>
        <w:tc>
          <w:tcPr>
            <w:tcW w:w="5500" w:type="dxa"/>
            <w:vAlign w:val="bottom"/>
            <w:tcBorders>
              <w:right w:val="single" w:sz="8" w:color="EEEEEE"/>
            </w:tcBorders>
            <w:gridSpan w:val="3"/>
            <w:shd w:val="clear" w:color="auto" w:fill="EEEEEE"/>
          </w:tcPr>
          <w:p>
            <w:pPr>
              <w:ind w:left="34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920,161</w:t>
            </w:r>
          </w:p>
        </w:tc>
        <w:tc>
          <w:tcPr>
            <w:tcW w:w="7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888,101</w:t>
            </w:r>
          </w:p>
        </w:tc>
        <w:tc>
          <w:tcPr>
            <w:tcW w:w="26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r>
      <w:tr>
        <w:trPr>
          <w:trHeight w:val="105"/>
        </w:trPr>
        <w:tc>
          <w:tcPr>
            <w:tcW w:w="1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61"/>
        </w:trPr>
        <w:tc>
          <w:tcPr>
            <w:tcW w:w="1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90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440" w:type="dxa"/>
            <w:vAlign w:val="bottom"/>
          </w:tcPr>
          <w:p>
            <w:pPr>
              <w:spacing w:after="0"/>
              <w:rPr>
                <w:sz w:val="5"/>
                <w:szCs w:val="5"/>
                <w:color w:val="auto"/>
              </w:rPr>
            </w:pPr>
          </w:p>
        </w:tc>
      </w:tr>
      <w:tr>
        <w:trPr>
          <w:trHeight w:val="280"/>
        </w:trPr>
        <w:tc>
          <w:tcPr>
            <w:tcW w:w="1440" w:type="dxa"/>
            <w:vAlign w:val="bottom"/>
          </w:tcPr>
          <w:p>
            <w:pPr>
              <w:spacing w:after="0"/>
              <w:rPr>
                <w:sz w:val="24"/>
                <w:szCs w:val="24"/>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LIABILITIES AND STOCKHOLDERS’ EQUITY</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
        </w:trPr>
        <w:tc>
          <w:tcPr>
            <w:tcW w:w="144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96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16"/>
        </w:trPr>
        <w:tc>
          <w:tcPr>
            <w:tcW w:w="1440" w:type="dxa"/>
            <w:vAlign w:val="bottom"/>
          </w:tcPr>
          <w:p>
            <w:pPr>
              <w:spacing w:after="0"/>
              <w:rPr>
                <w:sz w:val="18"/>
                <w:szCs w:val="18"/>
                <w:color w:val="auto"/>
              </w:rPr>
            </w:pPr>
          </w:p>
        </w:tc>
        <w:tc>
          <w:tcPr>
            <w:tcW w:w="5500" w:type="dxa"/>
            <w:vAlign w:val="bottom"/>
            <w:tcBorders>
              <w:right w:val="single" w:sz="8" w:color="EEEEEE"/>
            </w:tcBorders>
            <w:gridSpan w:val="3"/>
            <w:shd w:val="clear" w:color="auto" w:fill="EEEEEE"/>
          </w:tcPr>
          <w:p>
            <w:pPr>
              <w:spacing w:after="0"/>
              <w:rPr>
                <w:sz w:val="20"/>
                <w:szCs w:val="20"/>
                <w:color w:val="auto"/>
              </w:rPr>
            </w:pPr>
            <w:r>
              <w:rPr>
                <w:rFonts w:ascii="Arial" w:cs="Arial" w:eastAsia="Arial" w:hAnsi="Arial"/>
                <w:sz w:val="18"/>
                <w:szCs w:val="18"/>
                <w:color w:val="auto"/>
              </w:rPr>
              <w:t>Current portion of long-term debt</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225</w:t>
            </w:r>
          </w:p>
        </w:tc>
        <w:tc>
          <w:tcPr>
            <w:tcW w:w="7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15,846</w:t>
            </w:r>
          </w:p>
        </w:tc>
        <w:tc>
          <w:tcPr>
            <w:tcW w:w="26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Short-term debt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2,308</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25,024</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500" w:type="dxa"/>
            <w:vAlign w:val="bottom"/>
            <w:tcBorders>
              <w:right w:val="single" w:sz="8" w:color="EEEEEE"/>
            </w:tcBorders>
            <w:gridSpan w:val="3"/>
            <w:shd w:val="clear" w:color="auto" w:fill="EEEEEE"/>
          </w:tcPr>
          <w:p>
            <w:pPr>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84,766</w:t>
            </w:r>
          </w:p>
        </w:tc>
        <w:tc>
          <w:tcPr>
            <w:tcW w:w="6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90,397</w:t>
            </w:r>
          </w:p>
        </w:tc>
        <w:tc>
          <w:tcPr>
            <w:tcW w:w="26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r>
      <w:tr>
        <w:trPr>
          <w:trHeight w:val="222"/>
        </w:trPr>
        <w:tc>
          <w:tcPr>
            <w:tcW w:w="1440" w:type="dxa"/>
            <w:vAlign w:val="bottom"/>
          </w:tcPr>
          <w:p>
            <w:pPr>
              <w:spacing w:after="0"/>
              <w:rPr>
                <w:sz w:val="19"/>
                <w:szCs w:val="19"/>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212,790</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194,917</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102"/>
        </w:trPr>
        <w:tc>
          <w:tcPr>
            <w:tcW w:w="1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9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102"/>
        </w:trPr>
        <w:tc>
          <w:tcPr>
            <w:tcW w:w="1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9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216"/>
        </w:trPr>
        <w:tc>
          <w:tcPr>
            <w:tcW w:w="1440" w:type="dxa"/>
            <w:vAlign w:val="bottom"/>
          </w:tcPr>
          <w:p>
            <w:pPr>
              <w:spacing w:after="0"/>
              <w:rPr>
                <w:sz w:val="18"/>
                <w:szCs w:val="18"/>
                <w:color w:val="auto"/>
              </w:rPr>
            </w:pPr>
          </w:p>
        </w:tc>
        <w:tc>
          <w:tcPr>
            <w:tcW w:w="5500" w:type="dxa"/>
            <w:vAlign w:val="bottom"/>
            <w:tcBorders>
              <w:right w:val="single" w:sz="8" w:color="EEEEEE"/>
            </w:tcBorders>
            <w:gridSpan w:val="3"/>
            <w:shd w:val="clear" w:color="auto" w:fill="EEEEEE"/>
          </w:tcPr>
          <w:p>
            <w:pPr>
              <w:ind w:left="34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300,089</w:t>
            </w:r>
          </w:p>
        </w:tc>
        <w:tc>
          <w:tcPr>
            <w:tcW w:w="6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326,184</w:t>
            </w:r>
          </w:p>
        </w:tc>
        <w:tc>
          <w:tcPr>
            <w:tcW w:w="26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r>
      <w:tr>
        <w:trPr>
          <w:trHeight w:val="108"/>
        </w:trPr>
        <w:tc>
          <w:tcPr>
            <w:tcW w:w="1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317"/>
        </w:trPr>
        <w:tc>
          <w:tcPr>
            <w:tcW w:w="1440" w:type="dxa"/>
            <w:vAlign w:val="bottom"/>
          </w:tcPr>
          <w:p>
            <w:pPr>
              <w:spacing w:after="0"/>
              <w:rPr>
                <w:sz w:val="24"/>
                <w:szCs w:val="24"/>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Long-term debt, less current portion</w:t>
            </w: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175,080</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178,724</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7"/>
        </w:trPr>
        <w:tc>
          <w:tcPr>
            <w:tcW w:w="1440" w:type="dxa"/>
            <w:vAlign w:val="bottom"/>
          </w:tcPr>
          <w:p>
            <w:pPr>
              <w:spacing w:after="0"/>
              <w:rPr>
                <w:sz w:val="18"/>
                <w:szCs w:val="18"/>
                <w:color w:val="auto"/>
              </w:rPr>
            </w:pPr>
          </w:p>
        </w:tc>
        <w:tc>
          <w:tcPr>
            <w:tcW w:w="5500" w:type="dxa"/>
            <w:vAlign w:val="bottom"/>
            <w:tcBorders>
              <w:right w:val="single" w:sz="8" w:color="EEEEEE"/>
            </w:tcBorders>
            <w:gridSpan w:val="3"/>
            <w:shd w:val="clear" w:color="auto" w:fill="EEEEEE"/>
          </w:tcPr>
          <w:p>
            <w:pPr>
              <w:spacing w:after="0"/>
              <w:rPr>
                <w:sz w:val="20"/>
                <w:szCs w:val="20"/>
                <w:color w:val="auto"/>
              </w:rPr>
            </w:pPr>
            <w:r>
              <w:rPr>
                <w:rFonts w:ascii="Arial" w:cs="Arial" w:eastAsia="Arial" w:hAnsi="Arial"/>
                <w:sz w:val="18"/>
                <w:szCs w:val="18"/>
                <w:color w:val="auto"/>
              </w:rPr>
              <w:t>Deferred revenue and other long-term liabilities</w:t>
            </w:r>
          </w:p>
        </w:tc>
        <w:tc>
          <w:tcPr>
            <w:tcW w:w="12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11,775</w:t>
            </w:r>
          </w:p>
        </w:tc>
        <w:tc>
          <w:tcPr>
            <w:tcW w:w="6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8,259</w:t>
            </w:r>
          </w:p>
        </w:tc>
        <w:tc>
          <w:tcPr>
            <w:tcW w:w="26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r>
      <w:tr>
        <w:trPr>
          <w:trHeight w:val="222"/>
        </w:trPr>
        <w:tc>
          <w:tcPr>
            <w:tcW w:w="1440" w:type="dxa"/>
            <w:vAlign w:val="bottom"/>
          </w:tcPr>
          <w:p>
            <w:pPr>
              <w:spacing w:after="0"/>
              <w:rPr>
                <w:sz w:val="19"/>
                <w:szCs w:val="19"/>
                <w:color w:val="auto"/>
              </w:rPr>
            </w:pPr>
          </w:p>
        </w:tc>
        <w:tc>
          <w:tcPr>
            <w:tcW w:w="550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433,217</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374,934</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102"/>
        </w:trPr>
        <w:tc>
          <w:tcPr>
            <w:tcW w:w="1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9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102"/>
        </w:trPr>
        <w:tc>
          <w:tcPr>
            <w:tcW w:w="1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9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216"/>
        </w:trPr>
        <w:tc>
          <w:tcPr>
            <w:tcW w:w="1440" w:type="dxa"/>
            <w:vAlign w:val="bottom"/>
          </w:tcPr>
          <w:p>
            <w:pPr>
              <w:spacing w:after="0"/>
              <w:rPr>
                <w:sz w:val="18"/>
                <w:szCs w:val="18"/>
                <w:color w:val="auto"/>
              </w:rPr>
            </w:pPr>
          </w:p>
        </w:tc>
        <w:tc>
          <w:tcPr>
            <w:tcW w:w="5500" w:type="dxa"/>
            <w:vAlign w:val="bottom"/>
            <w:tcBorders>
              <w:right w:val="single" w:sz="8" w:color="EEEEEE"/>
            </w:tcBorders>
            <w:gridSpan w:val="3"/>
            <w:shd w:val="clear" w:color="auto" w:fill="EEEEEE"/>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920,161</w:t>
            </w:r>
          </w:p>
        </w:tc>
        <w:tc>
          <w:tcPr>
            <w:tcW w:w="7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888,101</w:t>
            </w:r>
          </w:p>
        </w:tc>
        <w:tc>
          <w:tcPr>
            <w:tcW w:w="26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r>
      <w:tr>
        <w:trPr>
          <w:trHeight w:val="105"/>
        </w:trPr>
        <w:tc>
          <w:tcPr>
            <w:tcW w:w="1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61"/>
        </w:trPr>
        <w:tc>
          <w:tcPr>
            <w:tcW w:w="1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90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440" w:type="dxa"/>
            <w:vAlign w:val="bottom"/>
          </w:tcPr>
          <w:p>
            <w:pPr>
              <w:spacing w:after="0"/>
              <w:rPr>
                <w:sz w:val="5"/>
                <w:szCs w:val="5"/>
                <w:color w:val="auto"/>
              </w:rPr>
            </w:pPr>
          </w:p>
        </w:tc>
      </w:tr>
      <w:tr>
        <w:trPr>
          <w:trHeight w:val="763"/>
        </w:trPr>
        <w:tc>
          <w:tcPr>
            <w:tcW w:w="14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296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8—Toro Reports First Quarter Results</w:t>
      </w:r>
    </w:p>
    <w:p>
      <w:pPr>
        <w:spacing w:after="0" w:line="219"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THE TORO COMPANY AND SUBSIDIARIES</w:t>
      </w:r>
    </w:p>
    <w:p>
      <w:pPr>
        <w:spacing w:after="0" w:line="225"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1"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58"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40" w:type="dxa"/>
            <w:vAlign w:val="bottom"/>
            <w:gridSpan w:val="6"/>
          </w:tcPr>
          <w:p>
            <w:pPr>
              <w:jc w:val="right"/>
              <w:ind w:right="12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3"/>
              </w:rPr>
              <w:t>January 30,</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3"/>
              </w:rPr>
              <w:t>January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334"/>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334"/>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Net earnings</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9,325</w:t>
            </w:r>
          </w:p>
        </w:tc>
        <w:tc>
          <w:tcPr>
            <w:tcW w:w="36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6,981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220"/>
              <w:spacing w:after="0"/>
              <w:rPr>
                <w:sz w:val="20"/>
                <w:szCs w:val="20"/>
                <w:color w:val="auto"/>
              </w:rPr>
            </w:pPr>
            <w:r>
              <w:rPr>
                <w:rFonts w:ascii="Arial" w:cs="Arial" w:eastAsia="Arial" w:hAnsi="Arial"/>
                <w:sz w:val="18"/>
                <w:szCs w:val="18"/>
                <w:color w:val="auto"/>
                <w:w w:val="93"/>
              </w:rPr>
              <w:t>Adjustments to reconcile net earnings to net cash used in operating activities:</w:t>
            </w: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20"/>
              <w:spacing w:after="0"/>
              <w:rPr>
                <w:sz w:val="20"/>
                <w:szCs w:val="20"/>
                <w:color w:val="auto"/>
              </w:rPr>
            </w:pPr>
            <w:r>
              <w:rPr>
                <w:rFonts w:ascii="Arial" w:cs="Arial" w:eastAsia="Arial" w:hAnsi="Arial"/>
                <w:sz w:val="18"/>
                <w:szCs w:val="18"/>
                <w:color w:val="auto"/>
              </w:rPr>
              <w:t>Non-cash asset impairment (recovery)</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Provision for depreciation and amortization</w:t>
            </w: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8,560</w:t>
            </w:r>
          </w:p>
        </w:tc>
        <w:tc>
          <w:tcPr>
            <w:tcW w:w="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7,925</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20"/>
              <w:spacing w:after="0"/>
              <w:rPr>
                <w:sz w:val="20"/>
                <w:szCs w:val="20"/>
                <w:color w:val="auto"/>
              </w:rPr>
            </w:pPr>
            <w:r>
              <w:rPr>
                <w:rFonts w:ascii="Arial" w:cs="Arial" w:eastAsia="Arial" w:hAnsi="Arial"/>
                <w:sz w:val="18"/>
                <w:szCs w:val="18"/>
                <w:color w:val="auto"/>
              </w:rPr>
              <w:t>Gain on disposal of property, plant, and equipment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(113)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Increase in deferred income tax asset</w:t>
            </w: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(921)</w:t>
            </w: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20"/>
              <w:spacing w:after="0"/>
              <w:rPr>
                <w:sz w:val="20"/>
                <w:szCs w:val="20"/>
                <w:color w:val="auto"/>
              </w:rPr>
            </w:pPr>
            <w:r>
              <w:rPr>
                <w:rFonts w:ascii="Arial" w:cs="Arial" w:eastAsia="Arial" w:hAnsi="Arial"/>
                <w:sz w:val="18"/>
                <w:szCs w:val="18"/>
                <w:color w:val="auto"/>
              </w:rPr>
              <w:t>Tax benefits related to employee stock option transactions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80"/>
              <w:spacing w:after="0"/>
              <w:rPr>
                <w:sz w:val="20"/>
                <w:szCs w:val="20"/>
                <w:color w:val="auto"/>
              </w:rPr>
            </w:pPr>
            <w:r>
              <w:rPr>
                <w:rFonts w:ascii="Arial" w:cs="Arial" w:eastAsia="Arial" w:hAnsi="Arial"/>
                <w:sz w:val="18"/>
                <w:szCs w:val="18"/>
                <w:color w:val="auto"/>
              </w:rPr>
              <w:t>Receivables, net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(40,286)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(54,800)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Inventories, net</w:t>
            </w: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(39,289)</w:t>
            </w: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(46,134)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80"/>
              <w:spacing w:after="0"/>
              <w:rPr>
                <w:sz w:val="20"/>
                <w:szCs w:val="20"/>
                <w:color w:val="auto"/>
              </w:rPr>
            </w:pPr>
            <w:r>
              <w:rPr>
                <w:rFonts w:ascii="Arial" w:cs="Arial" w:eastAsia="Arial" w:hAnsi="Arial"/>
                <w:sz w:val="18"/>
                <w:szCs w:val="18"/>
                <w:color w:val="auto"/>
              </w:rPr>
              <w:t>Prepaid expenses and other assets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3,173</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Accounts payable, accrued expenses, and deferred revenue</w:t>
            </w: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(449)</w:t>
            </w: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12,915</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020" w:type="dxa"/>
            <w:vAlign w:val="bottom"/>
          </w:tcPr>
          <w:p>
            <w:pPr>
              <w:ind w:left="96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(59,530)</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(74,974)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20"/>
              <w:spacing w:after="0"/>
              <w:rPr>
                <w:sz w:val="20"/>
                <w:szCs w:val="20"/>
                <w:color w:val="auto"/>
              </w:rPr>
            </w:pPr>
            <w:r>
              <w:rPr>
                <w:rFonts w:ascii="Arial" w:cs="Arial" w:eastAsia="Arial" w:hAnsi="Arial"/>
                <w:sz w:val="18"/>
                <w:szCs w:val="18"/>
                <w:color w:val="auto"/>
              </w:rPr>
              <w:t>Purchases of property, plant, and equipment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(10,015)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(11,182)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Proceeds from disposal of property, plant, and equipment</w:t>
            </w: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1,285</w:t>
            </w:r>
          </w:p>
        </w:tc>
        <w:tc>
          <w:tcPr>
            <w:tcW w:w="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20"/>
              <w:spacing w:after="0"/>
              <w:rPr>
                <w:sz w:val="20"/>
                <w:szCs w:val="20"/>
                <w:color w:val="auto"/>
              </w:rPr>
            </w:pPr>
            <w:r>
              <w:rPr>
                <w:rFonts w:ascii="Arial" w:cs="Arial" w:eastAsia="Arial" w:hAnsi="Arial"/>
                <w:sz w:val="18"/>
                <w:szCs w:val="18"/>
                <w:color w:val="auto"/>
              </w:rPr>
              <w:t>(Increase) decrease in investment in affiliates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(1,065)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Decrease (increase) in other assets</w:t>
            </w: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w:t>
            </w:r>
          </w:p>
        </w:tc>
        <w:tc>
          <w:tcPr>
            <w:tcW w:w="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tcPr>
          <w:p>
            <w:pPr>
              <w:ind w:left="220"/>
              <w:spacing w:after="0"/>
              <w:rPr>
                <w:sz w:val="20"/>
                <w:szCs w:val="20"/>
                <w:color w:val="auto"/>
              </w:rPr>
            </w:pPr>
            <w:r>
              <w:rPr>
                <w:rFonts w:ascii="Arial" w:cs="Arial" w:eastAsia="Arial" w:hAnsi="Arial"/>
                <w:sz w:val="18"/>
                <w:szCs w:val="18"/>
                <w:color w:val="auto"/>
              </w:rPr>
              <w:t>Proceeds from sale of business</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96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(9,717)</w:t>
            </w: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(11,207)</w:t>
            </w:r>
          </w:p>
        </w:tc>
        <w:tc>
          <w:tcPr>
            <w:tcW w:w="0" w:type="dxa"/>
            <w:vAlign w:val="bottom"/>
          </w:tcPr>
          <w:p>
            <w:pPr>
              <w:spacing w:after="0"/>
              <w:rPr>
                <w:sz w:val="1"/>
                <w:szCs w:val="1"/>
                <w:color w:val="auto"/>
              </w:rPr>
            </w:pPr>
          </w:p>
        </w:tc>
      </w:tr>
      <w:tr>
        <w:trPr>
          <w:trHeight w:val="108"/>
        </w:trPr>
        <w:tc>
          <w:tcPr>
            <w:tcW w:w="6040" w:type="dxa"/>
            <w:vAlign w:val="bottom"/>
            <w:gridSpan w:val="2"/>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04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Increase in short-term debt</w:t>
            </w: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w:t>
            </w:r>
          </w:p>
        </w:tc>
        <w:tc>
          <w:tcPr>
            <w:tcW w:w="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23,806</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20"/>
              <w:spacing w:after="0"/>
              <w:rPr>
                <w:sz w:val="20"/>
                <w:szCs w:val="20"/>
                <w:color w:val="auto"/>
              </w:rPr>
            </w:pPr>
            <w:r>
              <w:rPr>
                <w:rFonts w:ascii="Arial" w:cs="Arial" w:eastAsia="Arial" w:hAnsi="Arial"/>
                <w:sz w:val="18"/>
                <w:szCs w:val="18"/>
                <w:color w:val="auto"/>
              </w:rPr>
              <w:t>Repayments of long-term debt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(3,616)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Increase in other long-term liabilities</w:t>
            </w: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w:t>
            </w:r>
          </w:p>
        </w:tc>
        <w:tc>
          <w:tcPr>
            <w:tcW w:w="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20"/>
              <w:spacing w:after="0"/>
              <w:rPr>
                <w:sz w:val="20"/>
                <w:szCs w:val="20"/>
                <w:color w:val="auto"/>
              </w:rPr>
            </w:pPr>
            <w:r>
              <w:rPr>
                <w:rFonts w:ascii="Arial" w:cs="Arial" w:eastAsia="Arial" w:hAnsi="Arial"/>
                <w:sz w:val="18"/>
                <w:szCs w:val="18"/>
                <w:color w:val="auto"/>
              </w:rPr>
              <w:t>Proceeds from exercise of stock options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1,565</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Purchases of common stock</w:t>
            </w: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(19,786)</w:t>
            </w: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tcPr>
          <w:p>
            <w:pPr>
              <w:ind w:left="220"/>
              <w:spacing w:after="0"/>
              <w:rPr>
                <w:sz w:val="20"/>
                <w:szCs w:val="20"/>
                <w:color w:val="auto"/>
              </w:rPr>
            </w:pPr>
            <w:r>
              <w:rPr>
                <w:rFonts w:ascii="Arial" w:cs="Arial" w:eastAsia="Arial" w:hAnsi="Arial"/>
                <w:sz w:val="18"/>
                <w:szCs w:val="18"/>
                <w:color w:val="auto"/>
              </w:rPr>
              <w:t>Dividends on common stock</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(1,501)</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720"/>
              <w:spacing w:after="0"/>
              <w:rPr>
                <w:sz w:val="20"/>
                <w:szCs w:val="20"/>
                <w:color w:val="auto"/>
              </w:rPr>
            </w:pPr>
            <w:r>
              <w:rPr>
                <w:rFonts w:ascii="Arial" w:cs="Arial" w:eastAsia="Arial" w:hAnsi="Arial"/>
                <w:sz w:val="18"/>
                <w:szCs w:val="18"/>
                <w:color w:val="auto"/>
              </w:rPr>
              <w:t>Net cash (used in) provided by financing activities</w:t>
            </w: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(23,182)</w:t>
            </w: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23,421</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04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040" w:type="dxa"/>
            <w:vAlign w:val="bottom"/>
            <w:gridSpan w:val="2"/>
          </w:tcPr>
          <w:p>
            <w:pPr>
              <w:spacing w:after="0"/>
              <w:rPr>
                <w:sz w:val="20"/>
                <w:szCs w:val="20"/>
                <w:color w:val="auto"/>
              </w:rPr>
            </w:pPr>
            <w:r>
              <w:rPr>
                <w:rFonts w:ascii="Arial" w:cs="Arial" w:eastAsia="Arial" w:hAnsi="Arial"/>
                <w:sz w:val="18"/>
                <w:szCs w:val="18"/>
                <w:color w:val="auto"/>
              </w:rPr>
              <w:t>Effect of exchange rates on cash</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Net decrease in cash and cash equivalents</w:t>
            </w: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(92,362)</w:t>
            </w: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(62,729)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Cash and cash equivalents as of the beginning of the period</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110,287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62,816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as of the end of the period</w:t>
            </w:r>
          </w:p>
        </w:tc>
        <w:tc>
          <w:tcPr>
            <w:tcW w:w="5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17,925</w:t>
            </w:r>
          </w:p>
        </w:tc>
        <w:tc>
          <w:tcPr>
            <w:tcW w:w="36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560"/>
      </w:cols>
      <w:pgMar w:left="240" w:top="941"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9"/>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2019-12-13T13:56:53Z</dcterms:created>
  <dcterms:modified xsi:type="dcterms:W3CDTF">2019-12-13T13:56:53Z</dcterms:modified>
</cp:coreProperties>
</file>