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December 8, 2004</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December 8, 2004, The Toro Company announced its earnings for the three and twelve months ended October 31, 2004. Attached to this Current Report on Form 8-K as Exhibit 99 is a copy of The Toro Company’s press release in connection with the announcement. The information in this report is being furnished and shall not be deemed to be filed for purposes of Section 18 of the Securities Exchange Act of 1934, or otherwise subject to the liability of that section, and shall not be deemed to be incorporated by reference by any general statements by The Toro Company incorporating by reference this report or future filings into any filings under the Securities Act of 1933 or the Securities Exchange Act of 1934, except to the extent The Toro Company specifically incorporates the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883920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December 8, 2004</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4"/>
          <w:szCs w:val="14"/>
          <w:i w:val="1"/>
          <w:iCs w:val="1"/>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Stephen P. Wolfe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Title: Vice President Finance, Treasurer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2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w:t>
            </w:r>
          </w:p>
        </w:tc>
        <w:tc>
          <w:tcPr>
            <w:tcW w:w="100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86"/>
              </w:rPr>
              <w:t>Other - Registrant's press release dated December 8, 2004 (furnished</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herewith).</w:t>
            </w:r>
          </w:p>
        </w:tc>
      </w:tr>
    </w:tbl>
    <w:p>
      <w:pPr>
        <w:sectPr>
          <w:pgSz w:w="11900" w:h="16838" w:orient="portrait"/>
          <w:cols w:equalWidth="0" w:num="1">
            <w:col w:w="10219"/>
          </w:cols>
          <w:pgMar w:left="240" w:top="125" w:right="1440" w:bottom="1440" w:gutter="0" w:footer="0" w:header="0"/>
        </w:sectPr>
      </w:pPr>
    </w:p>
    <w:bookmarkStart w:id="4" w:name="page5"/>
    <w:bookmarkEnd w:id="4"/>
    <w:p>
      <w:pPr>
        <w:ind w:left="300"/>
        <w:spacing w:after="0"/>
        <w:rPr>
          <w:sz w:val="20"/>
          <w:szCs w:val="20"/>
          <w:color w:val="auto"/>
        </w:rPr>
      </w:pPr>
      <w:r>
        <w:rPr>
          <w:rFonts w:ascii="Arial" w:cs="Arial" w:eastAsia="Arial" w:hAnsi="Arial"/>
          <w:sz w:val="26"/>
          <w:szCs w:val="26"/>
          <w:b w:val="1"/>
          <w:bCs w:val="1"/>
          <w:color w:val="auto"/>
        </w:rPr>
        <w:t>The Toro Company</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Exhibit 99</w:t>
      </w:r>
    </w:p>
    <w:p>
      <w:pPr>
        <w:spacing w:after="0" w:line="65" w:lineRule="exact"/>
        <w:rPr>
          <w:sz w:val="20"/>
          <w:szCs w:val="20"/>
          <w:color w:val="auto"/>
        </w:rPr>
      </w:pPr>
    </w:p>
    <w:p>
      <w:pPr>
        <w:sectPr>
          <w:pgSz w:w="11900" w:h="16838" w:orient="portrait"/>
          <w:cols w:equalWidth="0" w:num="2">
            <w:col w:w="6120" w:space="720"/>
            <w:col w:w="4560"/>
          </w:cols>
          <w:pgMar w:left="240" w:top="324" w:right="259" w:bottom="96" w:gutter="0" w:footer="0" w:header="0"/>
        </w:sectPr>
      </w:pPr>
    </w:p>
    <w:tbl>
      <w:tblPr>
        <w:tblLayout w:type="fixed"/>
        <w:tblInd w:w="30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8111 Lyndale Ave So</w:t>
            </w:r>
          </w:p>
        </w:tc>
        <w:tc>
          <w:tcPr>
            <w:tcW w:w="2820" w:type="dxa"/>
            <w:vAlign w:val="bottom"/>
          </w:tcPr>
          <w:p>
            <w:pPr>
              <w:jc w:val="center"/>
              <w:ind w:left="350"/>
              <w:spacing w:after="0"/>
              <w:rPr>
                <w:sz w:val="20"/>
                <w:szCs w:val="20"/>
                <w:color w:val="auto"/>
              </w:rPr>
            </w:pPr>
            <w:r>
              <w:rPr>
                <w:rFonts w:ascii="Arial" w:cs="Arial" w:eastAsia="Arial" w:hAnsi="Arial"/>
                <w:sz w:val="18"/>
                <w:szCs w:val="18"/>
                <w:color w:val="auto"/>
                <w:w w:val="90"/>
              </w:rPr>
              <w:t>Phone: 952-888-8801</w:t>
            </w:r>
          </w:p>
        </w:tc>
        <w:tc>
          <w:tcPr>
            <w:tcW w:w="29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2"/>
        </w:trPr>
        <w:tc>
          <w:tcPr>
            <w:tcW w:w="2580" w:type="dxa"/>
            <w:vAlign w:val="bottom"/>
          </w:tcPr>
          <w:p>
            <w:pPr>
              <w:spacing w:after="0"/>
              <w:rPr>
                <w:sz w:val="20"/>
                <w:szCs w:val="20"/>
                <w:color w:val="auto"/>
              </w:rPr>
            </w:pPr>
            <w:r>
              <w:rPr>
                <w:rFonts w:ascii="Arial" w:cs="Arial" w:eastAsia="Arial" w:hAnsi="Arial"/>
                <w:sz w:val="18"/>
                <w:szCs w:val="18"/>
                <w:color w:val="auto"/>
              </w:rPr>
              <w:t>Bloomington, MN 55420-1196</w:t>
            </w:r>
          </w:p>
        </w:tc>
        <w:tc>
          <w:tcPr>
            <w:tcW w:w="2820" w:type="dxa"/>
            <w:vAlign w:val="bottom"/>
          </w:tcPr>
          <w:p>
            <w:pPr>
              <w:jc w:val="center"/>
              <w:ind w:left="350"/>
              <w:spacing w:after="0"/>
              <w:rPr>
                <w:sz w:val="20"/>
                <w:szCs w:val="20"/>
                <w:color w:val="auto"/>
              </w:rPr>
            </w:pPr>
            <w:r>
              <w:rPr>
                <w:rFonts w:ascii="Arial" w:cs="Arial" w:eastAsia="Arial" w:hAnsi="Arial"/>
                <w:sz w:val="18"/>
                <w:szCs w:val="18"/>
                <w:color w:val="auto"/>
                <w:w w:val="90"/>
              </w:rPr>
              <w:t>Fax: 952-887-8258</w:t>
            </w:r>
          </w:p>
        </w:tc>
        <w:tc>
          <w:tcPr>
            <w:tcW w:w="29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20"/>
        </w:trPr>
        <w:tc>
          <w:tcPr>
            <w:tcW w:w="2580" w:type="dxa"/>
            <w:vAlign w:val="bottom"/>
          </w:tcPr>
          <w:p>
            <w:pPr>
              <w:spacing w:after="0"/>
              <w:rPr>
                <w:sz w:val="20"/>
                <w:szCs w:val="20"/>
                <w:color w:val="auto"/>
              </w:rPr>
            </w:pPr>
            <w:r>
              <w:rPr>
                <w:rFonts w:ascii="Arial" w:cs="Arial" w:eastAsia="Arial" w:hAnsi="Arial"/>
                <w:sz w:val="18"/>
                <w:szCs w:val="18"/>
                <w:b w:val="1"/>
                <w:bCs w:val="1"/>
                <w:color w:val="auto"/>
              </w:rPr>
              <w:t>Investor Relations</w:t>
            </w:r>
          </w:p>
        </w:tc>
        <w:tc>
          <w:tcPr>
            <w:tcW w:w="2820" w:type="dxa"/>
            <w:vAlign w:val="bottom"/>
          </w:tcPr>
          <w:p>
            <w:pPr>
              <w:spacing w:after="0"/>
              <w:rPr>
                <w:sz w:val="19"/>
                <w:szCs w:val="19"/>
                <w:color w:val="auto"/>
              </w:rPr>
            </w:pPr>
          </w:p>
        </w:tc>
        <w:tc>
          <w:tcPr>
            <w:tcW w:w="290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Media Relations</w:t>
            </w:r>
          </w:p>
        </w:tc>
        <w:tc>
          <w:tcPr>
            <w:tcW w:w="2140" w:type="dxa"/>
            <w:vAlign w:val="bottom"/>
          </w:tcPr>
          <w:p>
            <w:pPr>
              <w:ind w:left="1020"/>
              <w:spacing w:after="0"/>
              <w:rPr>
                <w:sz w:val="20"/>
                <w:szCs w:val="20"/>
                <w:color w:val="auto"/>
              </w:rPr>
            </w:pPr>
            <w:r>
              <w:rPr>
                <w:rFonts w:ascii="Arial" w:cs="Arial" w:eastAsia="Arial" w:hAnsi="Arial"/>
                <w:sz w:val="18"/>
                <w:szCs w:val="18"/>
                <w:b w:val="1"/>
                <w:bCs w:val="1"/>
                <w:color w:val="auto"/>
              </w:rPr>
              <w:t>Web Site</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Stephen P. Wolfe</w:t>
            </w:r>
          </w:p>
        </w:tc>
        <w:tc>
          <w:tcPr>
            <w:tcW w:w="2820" w:type="dxa"/>
            <w:vAlign w:val="bottom"/>
          </w:tcPr>
          <w:p>
            <w:pPr>
              <w:ind w:left="340"/>
              <w:spacing w:after="0"/>
              <w:rPr>
                <w:sz w:val="20"/>
                <w:szCs w:val="20"/>
                <w:color w:val="auto"/>
              </w:rPr>
            </w:pPr>
            <w:r>
              <w:rPr>
                <w:rFonts w:ascii="Arial" w:cs="Arial" w:eastAsia="Arial" w:hAnsi="Arial"/>
                <w:sz w:val="18"/>
                <w:szCs w:val="18"/>
                <w:color w:val="auto"/>
              </w:rPr>
              <w:t>Tom Larson</w:t>
            </w:r>
          </w:p>
        </w:tc>
        <w:tc>
          <w:tcPr>
            <w:tcW w:w="2900" w:type="dxa"/>
            <w:vAlign w:val="bottom"/>
          </w:tcPr>
          <w:p>
            <w:pPr>
              <w:ind w:left="400"/>
              <w:spacing w:after="0"/>
              <w:rPr>
                <w:sz w:val="20"/>
                <w:szCs w:val="20"/>
                <w:color w:val="auto"/>
              </w:rPr>
            </w:pPr>
            <w:r>
              <w:rPr>
                <w:rFonts w:ascii="Arial" w:cs="Arial" w:eastAsia="Arial" w:hAnsi="Arial"/>
                <w:sz w:val="18"/>
                <w:szCs w:val="18"/>
                <w:color w:val="auto"/>
              </w:rPr>
              <w:t>Connie Kotke</w:t>
            </w:r>
          </w:p>
        </w:tc>
        <w:tc>
          <w:tcPr>
            <w:tcW w:w="2140" w:type="dxa"/>
            <w:vAlign w:val="bottom"/>
          </w:tcPr>
          <w:p>
            <w:pPr>
              <w:ind w:left="200"/>
              <w:spacing w:after="0"/>
              <w:rPr>
                <w:sz w:val="20"/>
                <w:szCs w:val="20"/>
                <w:color w:val="auto"/>
              </w:rPr>
            </w:pPr>
            <w:r>
              <w:rPr>
                <w:rFonts w:ascii="Arial" w:cs="Arial" w:eastAsia="Arial" w:hAnsi="Arial"/>
                <w:sz w:val="18"/>
                <w:szCs w:val="18"/>
                <w:color w:val="auto"/>
                <w:w w:val="90"/>
              </w:rPr>
              <w:t>www.thetorocompany.com</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Vice President, CFO</w:t>
            </w:r>
          </w:p>
        </w:tc>
        <w:tc>
          <w:tcPr>
            <w:tcW w:w="2820" w:type="dxa"/>
            <w:vAlign w:val="bottom"/>
          </w:tcPr>
          <w:p>
            <w:pPr>
              <w:ind w:left="340"/>
              <w:spacing w:after="0"/>
              <w:rPr>
                <w:sz w:val="20"/>
                <w:szCs w:val="20"/>
                <w:color w:val="auto"/>
              </w:rPr>
            </w:pPr>
            <w:r>
              <w:rPr>
                <w:rFonts w:ascii="Arial" w:cs="Arial" w:eastAsia="Arial" w:hAnsi="Arial"/>
                <w:sz w:val="18"/>
                <w:szCs w:val="18"/>
                <w:color w:val="auto"/>
              </w:rPr>
              <w:t>Assistant Treasurer</w:t>
            </w:r>
          </w:p>
        </w:tc>
        <w:tc>
          <w:tcPr>
            <w:tcW w:w="2900" w:type="dxa"/>
            <w:vAlign w:val="bottom"/>
          </w:tcPr>
          <w:p>
            <w:pPr>
              <w:ind w:left="400"/>
              <w:spacing w:after="0"/>
              <w:rPr>
                <w:sz w:val="20"/>
                <w:szCs w:val="20"/>
                <w:color w:val="auto"/>
              </w:rPr>
            </w:pPr>
            <w:r>
              <w:rPr>
                <w:rFonts w:ascii="Arial" w:cs="Arial" w:eastAsia="Arial" w:hAnsi="Arial"/>
                <w:sz w:val="18"/>
                <w:szCs w:val="18"/>
                <w:color w:val="auto"/>
              </w:rPr>
              <w:t>Toro Media Relations</w:t>
            </w:r>
          </w:p>
        </w:tc>
        <w:tc>
          <w:tcPr>
            <w:tcW w:w="214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(952) 887-8076</w:t>
            </w:r>
          </w:p>
        </w:tc>
        <w:tc>
          <w:tcPr>
            <w:tcW w:w="2820" w:type="dxa"/>
            <w:vAlign w:val="bottom"/>
          </w:tcPr>
          <w:p>
            <w:pPr>
              <w:jc w:val="center"/>
              <w:ind w:left="370"/>
              <w:spacing w:after="0"/>
              <w:rPr>
                <w:sz w:val="20"/>
                <w:szCs w:val="20"/>
                <w:color w:val="auto"/>
              </w:rPr>
            </w:pPr>
            <w:r>
              <w:rPr>
                <w:rFonts w:ascii="Arial" w:cs="Arial" w:eastAsia="Arial" w:hAnsi="Arial"/>
                <w:sz w:val="18"/>
                <w:szCs w:val="18"/>
                <w:color w:val="auto"/>
                <w:w w:val="90"/>
              </w:rPr>
              <w:t>(952) 887-8449</w:t>
            </w:r>
          </w:p>
        </w:tc>
        <w:tc>
          <w:tcPr>
            <w:tcW w:w="2900" w:type="dxa"/>
            <w:vAlign w:val="bottom"/>
          </w:tcPr>
          <w:p>
            <w:pPr>
              <w:jc w:val="center"/>
              <w:ind w:left="230"/>
              <w:spacing w:after="0"/>
              <w:rPr>
                <w:sz w:val="20"/>
                <w:szCs w:val="20"/>
                <w:color w:val="auto"/>
              </w:rPr>
            </w:pPr>
            <w:r>
              <w:rPr>
                <w:rFonts w:ascii="Arial" w:cs="Arial" w:eastAsia="Arial" w:hAnsi="Arial"/>
                <w:sz w:val="18"/>
                <w:szCs w:val="18"/>
                <w:color w:val="auto"/>
                <w:w w:val="91"/>
              </w:rPr>
              <w:t>(952) 887-8984, pr@toro.com</w:t>
            </w:r>
          </w:p>
        </w:tc>
        <w:tc>
          <w:tcPr>
            <w:tcW w:w="2140" w:type="dxa"/>
            <w:vAlign w:val="bottom"/>
          </w:tcPr>
          <w:p>
            <w:pPr>
              <w:spacing w:after="0"/>
              <w:rPr>
                <w:sz w:val="20"/>
                <w:szCs w:val="20"/>
                <w:color w:val="auto"/>
              </w:rPr>
            </w:pPr>
          </w:p>
        </w:tc>
      </w:tr>
    </w:tbl>
    <w:p>
      <w:pPr>
        <w:spacing w:after="0" w:line="148" w:lineRule="exact"/>
        <w:rPr>
          <w:sz w:val="20"/>
          <w:szCs w:val="20"/>
          <w:color w:val="auto"/>
        </w:rPr>
      </w:pPr>
    </w:p>
    <w:p>
      <w:pPr>
        <w:ind w:left="1820"/>
        <w:spacing w:after="0"/>
        <w:rPr>
          <w:sz w:val="20"/>
          <w:szCs w:val="20"/>
          <w:color w:val="auto"/>
        </w:rPr>
      </w:pPr>
      <w:r>
        <w:rPr>
          <w:rFonts w:ascii="Arial" w:cs="Arial" w:eastAsia="Arial" w:hAnsi="Arial"/>
          <w:sz w:val="22"/>
          <w:szCs w:val="22"/>
          <w:b w:val="1"/>
          <w:bCs w:val="1"/>
          <w:color w:val="auto"/>
        </w:rPr>
        <w:t>STRONG FOURTH QUARTER BOOSTS TORO TO ANOTHER RECORD YEAR</w:t>
      </w:r>
    </w:p>
    <w:p>
      <w:pPr>
        <w:spacing w:after="0" w:line="206"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2004 Net Earnings Per Diluted Share Total $4.04</w:t>
      </w:r>
    </w:p>
    <w:p>
      <w:pPr>
        <w:spacing w:after="0" w:line="206"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Board Doubles Quarterly Dividend to $0.12 Per Common Share</w:t>
      </w:r>
    </w:p>
    <w:p>
      <w:pPr>
        <w:spacing w:after="0" w:line="206"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LIVE CONFERENCE CALL</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December 8, 10:00 a.m. CT</w:t>
      </w:r>
    </w:p>
    <w:p>
      <w:pPr>
        <w:jc w:val="center"/>
        <w:ind w:right="-19"/>
        <w:spacing w:after="0"/>
        <w:rPr>
          <w:sz w:val="20"/>
          <w:szCs w:val="20"/>
          <w:color w:val="auto"/>
        </w:rPr>
      </w:pPr>
      <w:r>
        <w:rPr>
          <w:rFonts w:ascii="Arial" w:cs="Arial" w:eastAsia="Arial" w:hAnsi="Arial"/>
          <w:sz w:val="22"/>
          <w:szCs w:val="22"/>
          <w:u w:val="single" w:color="auto"/>
          <w:color w:val="auto"/>
        </w:rPr>
        <w:t>www.thetorocompany.com/invest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21"/>
          <w:szCs w:val="21"/>
          <w:color w:val="auto"/>
        </w:rPr>
        <w:t>BLOOMINGTON, Minn. (Dec. 8, 2004) – The Toro Company (NYSE: TTC) today reported record net earnings of</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$102.7 million, or $4.04 per diluted share, on record net sales of $1,652.5 million for the fiscal year ended October 31, 2004. In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fiscal 2003, also a record year, the company reported net earnings of $81.6 million, or $3.12 per diluted share, on net sales of</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$1,496.6 million.</w:t>
      </w:r>
    </w:p>
    <w:p>
      <w:pPr>
        <w:spacing w:after="0" w:line="188" w:lineRule="exact"/>
        <w:rPr>
          <w:sz w:val="20"/>
          <w:szCs w:val="20"/>
          <w:color w:val="auto"/>
        </w:rPr>
      </w:pPr>
    </w:p>
    <w:p>
      <w:pPr>
        <w:ind w:right="220" w:firstLine="456"/>
        <w:spacing w:after="0"/>
        <w:rPr>
          <w:sz w:val="20"/>
          <w:szCs w:val="20"/>
          <w:color w:val="auto"/>
        </w:rPr>
      </w:pPr>
      <w:r>
        <w:rPr>
          <w:rFonts w:ascii="Arial" w:cs="Arial" w:eastAsia="Arial" w:hAnsi="Arial"/>
          <w:sz w:val="22"/>
          <w:szCs w:val="22"/>
          <w:color w:val="auto"/>
        </w:rPr>
        <w:t>For its fiscal 2004 fourth quarter ended October 31, 2004, Toro reported net earnings of $6.9 million, or $0.28 per diluted share, on net sales of $336.9 million. In the comparable 2003 period, the company reported net earnings of $5.6 million, or $0.21 per diluted share, on net sales of $310.3 million.</w:t>
      </w:r>
    </w:p>
    <w:p>
      <w:pPr>
        <w:spacing w:after="0" w:line="186" w:lineRule="exact"/>
        <w:rPr>
          <w:sz w:val="20"/>
          <w:szCs w:val="20"/>
          <w:color w:val="auto"/>
        </w:rPr>
      </w:pPr>
    </w:p>
    <w:p>
      <w:pPr>
        <w:ind w:firstLine="456"/>
        <w:spacing w:after="0" w:line="273" w:lineRule="auto"/>
        <w:rPr>
          <w:sz w:val="20"/>
          <w:szCs w:val="20"/>
          <w:color w:val="auto"/>
        </w:rPr>
      </w:pPr>
      <w:r>
        <w:rPr>
          <w:rFonts w:ascii="Arial" w:cs="Arial" w:eastAsia="Arial" w:hAnsi="Arial"/>
          <w:sz w:val="19"/>
          <w:szCs w:val="19"/>
          <w:color w:val="auto"/>
        </w:rPr>
        <w:t>Kendrick B. Melrose, The Toro Company Chairman and Chief Executive Officer, said that the company’s fourth quarter and full year performance benefited from generally favorable market conditions that contributed to continued sales growth in most product categories, as well as the earnings leverage from the company’s ongoing profitability improvement and growth initiatives. “Our record sales and profit performance reflects solid growth in each of our business segments. We are extremely pleased to report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another strong quarter and record results in a milestone year for our company, marking our 90</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year in business,” said Melrose.</w:t>
      </w:r>
    </w:p>
    <w:p>
      <w:pPr>
        <w:spacing w:after="0" w:line="111" w:lineRule="exact"/>
        <w:rPr>
          <w:sz w:val="20"/>
          <w:szCs w:val="20"/>
          <w:color w:val="auto"/>
        </w:rPr>
      </w:pPr>
    </w:p>
    <w:p>
      <w:pPr>
        <w:jc w:val="both"/>
        <w:ind w:right="380"/>
        <w:spacing w:after="0" w:line="297" w:lineRule="auto"/>
        <w:rPr>
          <w:sz w:val="20"/>
          <w:szCs w:val="20"/>
          <w:color w:val="auto"/>
        </w:rPr>
      </w:pPr>
      <w:r>
        <w:rPr>
          <w:rFonts w:ascii="Arial" w:cs="Arial" w:eastAsia="Arial" w:hAnsi="Arial"/>
          <w:sz w:val="19"/>
          <w:szCs w:val="19"/>
          <w:color w:val="auto"/>
        </w:rPr>
        <w:t>Melrose noted that in the first year of a planned three-year initiative to accelerate revenue growth and further improve after-tax profit, Toro exceeded both goals. “Our after-tax profit margin increased to 6.2% in fiscal 2004 on a 10.4% increase in net sales, exceeding the targets of our ‘6+8’ continuous improvement program,” said Melrose. “While the company benefited from</w:t>
      </w:r>
    </w:p>
    <w:p>
      <w:pPr>
        <w:spacing w:after="0" w:line="134" w:lineRule="exact"/>
        <w:rPr>
          <w:sz w:val="20"/>
          <w:szCs w:val="20"/>
          <w:color w:val="auto"/>
        </w:rPr>
      </w:pPr>
    </w:p>
    <w:p>
      <w:pPr>
        <w:ind w:right="60" w:firstLine="456"/>
        <w:spacing w:after="0" w:line="238" w:lineRule="auto"/>
        <w:rPr>
          <w:sz w:val="20"/>
          <w:szCs w:val="20"/>
          <w:color w:val="auto"/>
        </w:rPr>
      </w:pPr>
      <w:r>
        <w:rPr>
          <w:rFonts w:ascii="Arial" w:cs="Arial" w:eastAsia="Arial" w:hAnsi="Arial"/>
          <w:sz w:val="22"/>
          <w:szCs w:val="22"/>
          <w:color w:val="auto"/>
        </w:rPr>
        <w:t>A significant contributor to the revenue growth for the year was an 18.1% increase in the international business. This increase gives support to the long-term strategy to build this part of Toro’s business to better balance our portfolio. The company also generated record cash flow from operating activities in fiscal 2004, further strengthening its balance sheet and improving overall asset utilization.</w:t>
      </w:r>
    </w:p>
    <w:p>
      <w:pPr>
        <w:spacing w:after="0" w:line="185" w:lineRule="exact"/>
        <w:rPr>
          <w:sz w:val="20"/>
          <w:szCs w:val="20"/>
          <w:color w:val="auto"/>
        </w:rPr>
      </w:pPr>
    </w:p>
    <w:p>
      <w:pPr>
        <w:ind w:right="360" w:firstLine="456"/>
        <w:spacing w:after="0" w:line="287" w:lineRule="auto"/>
        <w:rPr>
          <w:sz w:val="20"/>
          <w:szCs w:val="20"/>
          <w:color w:val="auto"/>
        </w:rPr>
      </w:pPr>
      <w:r>
        <w:rPr>
          <w:rFonts w:ascii="Arial" w:cs="Arial" w:eastAsia="Arial" w:hAnsi="Arial"/>
          <w:sz w:val="19"/>
          <w:szCs w:val="19"/>
          <w:color w:val="auto"/>
        </w:rPr>
        <w:t>“While we remain mindful of the uncertainties in our markets, we are also increasingly confident in our ability to deliver strong results in spite the unplanned challenges we may encounter,” said Melrose. “Recognizing that the company is well-positioned to sustain continued improvement in our financial performance, the Board of Directors voted to double our quarterly dividend to $0.12 per common share, payable Jan. 10, 2005 to shareholders of record on Dec. 20, 2004.”</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SEGMENT RESULTS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Segment data is provided in the table following the “Condensed Consolidated Statements of Earnings.”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Professional</w:t>
      </w:r>
    </w:p>
    <w:p>
      <w:pPr>
        <w:spacing w:after="0" w:line="212" w:lineRule="exact"/>
        <w:rPr>
          <w:sz w:val="20"/>
          <w:szCs w:val="20"/>
          <w:color w:val="auto"/>
        </w:rPr>
      </w:pPr>
    </w:p>
    <w:p>
      <w:pPr>
        <w:jc w:val="both"/>
        <w:ind w:right="40" w:firstLine="456"/>
        <w:spacing w:after="0"/>
        <w:rPr>
          <w:sz w:val="20"/>
          <w:szCs w:val="20"/>
          <w:color w:val="auto"/>
        </w:rPr>
      </w:pPr>
      <w:r>
        <w:rPr>
          <w:rFonts w:ascii="Arial" w:cs="Arial" w:eastAsia="Arial" w:hAnsi="Arial"/>
          <w:sz w:val="22"/>
          <w:szCs w:val="22"/>
          <w:color w:val="auto"/>
        </w:rPr>
        <w:t>Full year net sales for the professional segment totaled $1,028.9 million, up 10.7% compared with fiscal 2003. Segment sales increased in nearly all product categories, although irrigation product sales in the U.S. were lower than expected. Segment earnings for the year were $173.1 million, up 18.0% compared with fiscal 2003.</w:t>
      </w:r>
    </w:p>
    <w:p>
      <w:pPr>
        <w:spacing w:after="0" w:line="186" w:lineRule="exact"/>
        <w:rPr>
          <w:sz w:val="20"/>
          <w:szCs w:val="20"/>
          <w:color w:val="auto"/>
        </w:rPr>
      </w:pPr>
    </w:p>
    <w:p>
      <w:pPr>
        <w:ind w:right="200" w:firstLine="456"/>
        <w:spacing w:after="0" w:line="297" w:lineRule="auto"/>
        <w:rPr>
          <w:sz w:val="20"/>
          <w:szCs w:val="20"/>
          <w:color w:val="auto"/>
        </w:rPr>
      </w:pPr>
      <w:r>
        <w:rPr>
          <w:rFonts w:ascii="Arial" w:cs="Arial" w:eastAsia="Arial" w:hAnsi="Arial"/>
          <w:sz w:val="19"/>
          <w:szCs w:val="19"/>
          <w:color w:val="auto"/>
        </w:rPr>
        <w:t>Compared with the prior year fourth quarter, fiscal 2004 fourth quarter segment sales increased 9.6% to $194.8 million. Earnings for the fourth quarter totaled $18.6 million, up 39.7% from the same period last year. Earnings for the 2003 period included an impairment charge for certain manufacturing equipment that was phased out in the transition to an improved process.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Residential</w:t>
      </w:r>
    </w:p>
    <w:p>
      <w:pPr>
        <w:spacing w:after="0" w:line="212" w:lineRule="exact"/>
        <w:rPr>
          <w:sz w:val="20"/>
          <w:szCs w:val="20"/>
          <w:color w:val="auto"/>
        </w:rPr>
      </w:pPr>
    </w:p>
    <w:p>
      <w:pPr>
        <w:ind w:right="20" w:firstLine="456"/>
        <w:spacing w:after="0" w:line="252" w:lineRule="auto"/>
        <w:rPr>
          <w:sz w:val="20"/>
          <w:szCs w:val="20"/>
          <w:color w:val="auto"/>
        </w:rPr>
      </w:pPr>
      <w:r>
        <w:rPr>
          <w:rFonts w:ascii="Arial" w:cs="Arial" w:eastAsia="Arial" w:hAnsi="Arial"/>
          <w:sz w:val="21"/>
          <w:szCs w:val="21"/>
          <w:color w:val="auto"/>
        </w:rPr>
        <w:t>For the full year, residential segment sales were $554.3 million, up 9.5% compared with fiscal 2003. Most of the increase was attributable to an increase in walk-power mower sales, robust snow thrower demand and expanded retailer placement of electric products. Segment earnings totaled $61.8 million, up 11.4% from fiscal 2003. Full year improvement in this segment was primarily due to expense leveraging and a prior year restructuring charge of $2.2 million.</w:t>
      </w:r>
    </w:p>
    <w:p>
      <w:pPr>
        <w:sectPr>
          <w:pgSz w:w="11900" w:h="16838" w:orient="portrait"/>
          <w:cols w:equalWidth="0" w:num="1">
            <w:col w:w="11400"/>
          </w:cols>
          <w:pgMar w:left="240" w:top="324" w:right="259" w:bottom="96" w:gutter="0" w:footer="0" w:header="0"/>
          <w:type w:val="continuous"/>
        </w:sectPr>
      </w:pPr>
    </w:p>
    <w:bookmarkStart w:id="5" w:name="page6"/>
    <w:bookmarkEnd w:id="5"/>
    <w:p>
      <w:pPr>
        <w:spacing w:after="0" w:line="92" w:lineRule="exact"/>
        <w:rPr>
          <w:sz w:val="20"/>
          <w:szCs w:val="20"/>
          <w:color w:val="auto"/>
        </w:rPr>
      </w:pPr>
    </w:p>
    <w:p>
      <w:pPr>
        <w:ind w:right="120" w:firstLine="456"/>
        <w:spacing w:after="0" w:line="241" w:lineRule="auto"/>
        <w:rPr>
          <w:sz w:val="20"/>
          <w:szCs w:val="20"/>
          <w:color w:val="auto"/>
        </w:rPr>
      </w:pPr>
      <w:r>
        <w:rPr>
          <w:rFonts w:ascii="Arial" w:cs="Arial" w:eastAsia="Arial" w:hAnsi="Arial"/>
          <w:sz w:val="22"/>
          <w:szCs w:val="22"/>
          <w:color w:val="auto"/>
        </w:rPr>
        <w:t>For the fourth quarter, sales totaled $117.4 million, up 6.4% from the same period last year. Earnings for the fourth quarter totaled $9.1 million, down 1.7% from the 2003 fourth quarter. The decline was primarily due to increased raw material and special consumer product modification costs.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w:t>
      </w:r>
    </w:p>
    <w:p>
      <w:pPr>
        <w:spacing w:after="0" w:line="212" w:lineRule="exact"/>
        <w:rPr>
          <w:sz w:val="20"/>
          <w:szCs w:val="20"/>
          <w:color w:val="auto"/>
        </w:rPr>
      </w:pPr>
    </w:p>
    <w:p>
      <w:pPr>
        <w:ind w:right="740" w:firstLine="456"/>
        <w:spacing w:after="0" w:line="328" w:lineRule="auto"/>
        <w:rPr>
          <w:sz w:val="20"/>
          <w:szCs w:val="20"/>
          <w:color w:val="auto"/>
        </w:rPr>
      </w:pPr>
      <w:r>
        <w:rPr>
          <w:rFonts w:ascii="Arial" w:cs="Arial" w:eastAsia="Arial" w:hAnsi="Arial"/>
          <w:sz w:val="19"/>
          <w:szCs w:val="19"/>
          <w:color w:val="auto"/>
        </w:rPr>
        <w:t>For fiscal 2004, distribution segment sales of $152.2 million increased 13.6% compared with fiscal 2003. Distribution segment sales for the fiscal 2004 fourth quarter totaled $40.6 million, up 9.9% compared with the fiscal 2003 period.</w:t>
      </w:r>
    </w:p>
    <w:p>
      <w:pPr>
        <w:spacing w:after="0" w:line="105" w:lineRule="exact"/>
        <w:rPr>
          <w:sz w:val="20"/>
          <w:szCs w:val="20"/>
          <w:color w:val="auto"/>
        </w:rPr>
      </w:pPr>
    </w:p>
    <w:p>
      <w:pPr>
        <w:ind w:right="20" w:firstLine="456"/>
        <w:spacing w:after="0" w:line="251" w:lineRule="auto"/>
        <w:rPr>
          <w:sz w:val="20"/>
          <w:szCs w:val="20"/>
          <w:color w:val="auto"/>
        </w:rPr>
      </w:pPr>
      <w:r>
        <w:rPr>
          <w:rFonts w:ascii="Arial" w:cs="Arial" w:eastAsia="Arial" w:hAnsi="Arial"/>
          <w:sz w:val="22"/>
          <w:szCs w:val="22"/>
          <w:color w:val="auto"/>
        </w:rPr>
        <w:t>Distribution segment earnings totaled $2.2 million for fiscal 2004 and $0.5 million for the fiscal 2004 fourth quarter compared to losses in the corresponding 2003 periods.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REVIEW OF OPERATIONS</w:t>
      </w:r>
    </w:p>
    <w:p>
      <w:pPr>
        <w:spacing w:after="0" w:line="212" w:lineRule="exact"/>
        <w:rPr>
          <w:sz w:val="20"/>
          <w:szCs w:val="20"/>
          <w:color w:val="auto"/>
        </w:rPr>
      </w:pPr>
    </w:p>
    <w:p>
      <w:pPr>
        <w:ind w:right="300" w:firstLine="456"/>
        <w:spacing w:after="0" w:line="238" w:lineRule="auto"/>
        <w:rPr>
          <w:sz w:val="20"/>
          <w:szCs w:val="20"/>
          <w:color w:val="auto"/>
        </w:rPr>
      </w:pPr>
      <w:r>
        <w:rPr>
          <w:rFonts w:ascii="Arial" w:cs="Arial" w:eastAsia="Arial" w:hAnsi="Arial"/>
          <w:sz w:val="22"/>
          <w:szCs w:val="22"/>
          <w:color w:val="auto"/>
        </w:rPr>
        <w:t>For the full year, gross margin improved to 35.9% from 35.8% in fiscal 2003 despite significant increases in steel and other commodity costs. Higher material costs were partially offset by production growth in most categories and the company’s continuing lean manufacturing initiatives. For the fiscal 2004 fourth quarter, gross margin was 34.8% compared to 34.6% in the same period last year.</w:t>
      </w:r>
    </w:p>
    <w:p>
      <w:pPr>
        <w:spacing w:after="0" w:line="185" w:lineRule="exact"/>
        <w:rPr>
          <w:sz w:val="20"/>
          <w:szCs w:val="20"/>
          <w:color w:val="auto"/>
        </w:rPr>
      </w:pPr>
    </w:p>
    <w:p>
      <w:pPr>
        <w:jc w:val="both"/>
        <w:ind w:right="260" w:firstLine="456"/>
        <w:spacing w:after="0" w:line="238" w:lineRule="auto"/>
        <w:rPr>
          <w:sz w:val="20"/>
          <w:szCs w:val="20"/>
          <w:color w:val="auto"/>
        </w:rPr>
      </w:pPr>
      <w:r>
        <w:rPr>
          <w:rFonts w:ascii="Arial" w:cs="Arial" w:eastAsia="Arial" w:hAnsi="Arial"/>
          <w:sz w:val="22"/>
          <w:szCs w:val="22"/>
          <w:color w:val="auto"/>
        </w:rPr>
        <w:t>For fiscal 2004, selling, general and administrative (SG&amp;A) expenses were 25.9% of net sales, compared to 27.2% in 2003. The decrease was primarily from better management of SG&amp;A, over higher sales volumes, and lower warranty and warehousing expenses. SG&amp;A expenses for the fourth quarter were 30.7% of net sales compared to 31.4% of net sales in the same period last year.</w:t>
      </w:r>
    </w:p>
    <w:p>
      <w:pPr>
        <w:spacing w:after="0" w:line="185" w:lineRule="exact"/>
        <w:rPr>
          <w:sz w:val="20"/>
          <w:szCs w:val="20"/>
          <w:color w:val="auto"/>
        </w:rPr>
      </w:pPr>
    </w:p>
    <w:p>
      <w:pPr>
        <w:ind w:right="700" w:firstLine="456"/>
        <w:spacing w:after="0" w:line="251" w:lineRule="auto"/>
        <w:rPr>
          <w:sz w:val="20"/>
          <w:szCs w:val="20"/>
          <w:color w:val="auto"/>
        </w:rPr>
      </w:pPr>
      <w:r>
        <w:rPr>
          <w:rFonts w:ascii="Arial" w:cs="Arial" w:eastAsia="Arial" w:hAnsi="Arial"/>
          <w:sz w:val="22"/>
          <w:szCs w:val="22"/>
          <w:color w:val="auto"/>
        </w:rPr>
        <w:t>Interest expense for the full year declined approximately $0.8 million compared with 2003 as a result of lower average borrowing levels over the course of the year and the use of earnings to retire debt.</w:t>
      </w:r>
    </w:p>
    <w:p>
      <w:pPr>
        <w:spacing w:after="0" w:line="173" w:lineRule="exact"/>
        <w:rPr>
          <w:sz w:val="20"/>
          <w:szCs w:val="20"/>
          <w:color w:val="auto"/>
        </w:rPr>
      </w:pPr>
    </w:p>
    <w:p>
      <w:pPr>
        <w:ind w:firstLine="456"/>
        <w:spacing w:after="0"/>
        <w:rPr>
          <w:sz w:val="20"/>
          <w:szCs w:val="20"/>
          <w:color w:val="auto"/>
        </w:rPr>
      </w:pPr>
      <w:r>
        <w:rPr>
          <w:rFonts w:ascii="Arial" w:cs="Arial" w:eastAsia="Arial" w:hAnsi="Arial"/>
          <w:sz w:val="22"/>
          <w:szCs w:val="22"/>
          <w:color w:val="auto"/>
        </w:rPr>
        <w:t>Net inventories as of the end of this fiscal year were $227.2 million, down $1.7 million from $228.9 million as of the end of fiscal 2003. Net receivables as of the end of fiscal 2004 totaled $285.7 million, up only 2% from $280.1 million as of the end of last year despite the 8.6% increase in fourth quarter net sales.</w:t>
      </w:r>
    </w:p>
    <w:p>
      <w:pPr>
        <w:spacing w:after="0" w:line="186" w:lineRule="exact"/>
        <w:rPr>
          <w:sz w:val="20"/>
          <w:szCs w:val="20"/>
          <w:color w:val="auto"/>
        </w:rPr>
      </w:pPr>
    </w:p>
    <w:p>
      <w:pPr>
        <w:ind w:firstLine="456"/>
        <w:spacing w:after="0" w:line="297" w:lineRule="auto"/>
        <w:rPr>
          <w:sz w:val="20"/>
          <w:szCs w:val="20"/>
          <w:color w:val="auto"/>
        </w:rPr>
      </w:pPr>
      <w:r>
        <w:rPr>
          <w:rFonts w:ascii="Arial" w:cs="Arial" w:eastAsia="Arial" w:hAnsi="Arial"/>
          <w:sz w:val="19"/>
          <w:szCs w:val="19"/>
          <w:color w:val="auto"/>
        </w:rPr>
        <w:t>The company generated $185.1 million in cash from operating activities during fiscal 2004, up 56.1% from $118.6 million last year. During fiscal 2004, the company spent $169.8 million to repurchase 2.6 million of its common shares. Cash and cash equivalents as of the end of fiscal 2004 totaled $90.8 million compared with $110.3 million as of the end of fiscal 2003.</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OUTLOOK</w:t>
      </w:r>
    </w:p>
    <w:p>
      <w:pPr>
        <w:spacing w:after="0" w:line="212" w:lineRule="exact"/>
        <w:rPr>
          <w:sz w:val="20"/>
          <w:szCs w:val="20"/>
          <w:color w:val="auto"/>
        </w:rPr>
      </w:pPr>
    </w:p>
    <w:p>
      <w:pPr>
        <w:ind w:right="240" w:firstLine="456"/>
        <w:spacing w:after="0" w:line="287" w:lineRule="auto"/>
        <w:rPr>
          <w:sz w:val="20"/>
          <w:szCs w:val="20"/>
          <w:color w:val="auto"/>
        </w:rPr>
      </w:pPr>
      <w:r>
        <w:rPr>
          <w:rFonts w:ascii="Arial" w:cs="Arial" w:eastAsia="Arial" w:hAnsi="Arial"/>
          <w:sz w:val="19"/>
          <w:szCs w:val="19"/>
          <w:color w:val="auto"/>
        </w:rPr>
        <w:t>“Our employees have enthusiastically embraced our ‘6+8’ profitability improvement initiative,” said Melrose. “Once again, their commitment and performance delivered outstanding results, as was evident in the solid fourth quarter performance. Our industry’s outlook continues to be favorable, and we expect the continuing economic recovery will once again boost demand, providing Toro another opportunity to build market share and continue strong revenue growth.”</w:t>
      </w:r>
    </w:p>
    <w:p>
      <w:pPr>
        <w:spacing w:after="0" w:line="143" w:lineRule="exact"/>
        <w:rPr>
          <w:sz w:val="20"/>
          <w:szCs w:val="20"/>
          <w:color w:val="auto"/>
        </w:rPr>
      </w:pPr>
    </w:p>
    <w:p>
      <w:pPr>
        <w:ind w:right="20" w:firstLine="456"/>
        <w:spacing w:after="0" w:line="248" w:lineRule="auto"/>
        <w:rPr>
          <w:sz w:val="20"/>
          <w:szCs w:val="20"/>
          <w:color w:val="auto"/>
        </w:rPr>
      </w:pPr>
      <w:r>
        <w:rPr>
          <w:rFonts w:ascii="Arial" w:cs="Arial" w:eastAsia="Arial" w:hAnsi="Arial"/>
          <w:sz w:val="21"/>
          <w:szCs w:val="21"/>
          <w:color w:val="auto"/>
        </w:rPr>
        <w:t>Commenting on the outlook for fiscal 2005, Melrose said the company expects to encounter additional commodity cost pressures and a continued slow pace for new golf course construction. In addition, the company plans to invest more aggressively in innovation and technology, product development, process improvement and overall business and brand development. “There are clearly some uncertainties ahead, but we are now more effective at anticipating and managing through them while delivering steadily improving financial performance for our shareholders,” said Melrose. “Our ongoing profitability improvement and revenue growth initiatives position us well for another excellent year in sales and earnings.”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9"/>
          <w:szCs w:val="19"/>
          <w:color w:val="auto"/>
        </w:rPr>
        <w:t>For fiscal 2005, Toro currently expects to deliver earnings per diluted share growth of 12 to 15% on sales growth of 7 to 9%.</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For its fiscal first quarter, typically the smallest revenue period, Toro expects to report diluted earnings per share of $0.38 to $0.43.</w:t>
      </w:r>
    </w:p>
    <w:p>
      <w:pPr>
        <w:spacing w:after="0" w:line="223" w:lineRule="exact"/>
        <w:rPr>
          <w:sz w:val="20"/>
          <w:szCs w:val="20"/>
          <w:color w:val="auto"/>
        </w:rPr>
      </w:pPr>
    </w:p>
    <w:p>
      <w:pPr>
        <w:ind w:right="140" w:firstLine="456"/>
        <w:spacing w:after="0" w:line="251" w:lineRule="auto"/>
        <w:rPr>
          <w:sz w:val="20"/>
          <w:szCs w:val="20"/>
          <w:color w:val="auto"/>
        </w:rPr>
      </w:pPr>
      <w:r>
        <w:rPr>
          <w:rFonts w:ascii="Arial" w:cs="Arial" w:eastAsia="Arial" w:hAnsi="Arial"/>
          <w:sz w:val="22"/>
          <w:szCs w:val="22"/>
          <w:color w:val="auto"/>
        </w:rPr>
        <w:t>The Toro Company is a leading worldwide provider of outdoor maintenance and beautification products for home, recreation and commercial landscapes.</w:t>
      </w:r>
    </w:p>
    <w:p>
      <w:pPr>
        <w:spacing w:after="0" w:line="173" w:lineRule="exact"/>
        <w:rPr>
          <w:sz w:val="20"/>
          <w:szCs w:val="20"/>
          <w:color w:val="auto"/>
        </w:rPr>
      </w:pPr>
    </w:p>
    <w:p>
      <w:pPr>
        <w:ind w:right="220" w:firstLine="456"/>
        <w:spacing w:after="0" w:line="238" w:lineRule="auto"/>
        <w:rPr>
          <w:sz w:val="20"/>
          <w:szCs w:val="20"/>
          <w:color w:val="auto"/>
        </w:rPr>
      </w:pPr>
      <w:r>
        <w:rPr>
          <w:rFonts w:ascii="Arial" w:cs="Arial" w:eastAsia="Arial" w:hAnsi="Arial"/>
          <w:sz w:val="22"/>
          <w:szCs w:val="22"/>
          <w:i w:val="1"/>
          <w:iCs w:val="1"/>
          <w:color w:val="auto"/>
        </w:rPr>
        <w:t xml:space="preserve">The Toro Company will conduct a conference call and webcast for investors beginning at 10:00 a.m. Central Time (CST) on December 8, 2004. The webcast will be available at </w:t>
      </w:r>
      <w:r>
        <w:rPr>
          <w:rFonts w:ascii="Arial" w:cs="Arial" w:eastAsia="Arial" w:hAnsi="Arial"/>
          <w:sz w:val="22"/>
          <w:szCs w:val="22"/>
          <w:i w:val="1"/>
          <w:iCs w:val="1"/>
          <w:u w:val="single" w:color="auto"/>
          <w:color w:val="auto"/>
        </w:rPr>
        <w:t>www.streetevents.com</w:t>
      </w:r>
      <w:r>
        <w:rPr>
          <w:rFonts w:ascii="Arial" w:cs="Arial" w:eastAsia="Arial" w:hAnsi="Arial"/>
          <w:sz w:val="22"/>
          <w:szCs w:val="22"/>
          <w:i w:val="1"/>
          <w:iCs w:val="1"/>
          <w:color w:val="auto"/>
        </w:rPr>
        <w:t xml:space="preserve"> or at </w:t>
      </w:r>
      <w:r>
        <w:rPr>
          <w:rFonts w:ascii="Arial" w:cs="Arial" w:eastAsia="Arial" w:hAnsi="Arial"/>
          <w:sz w:val="22"/>
          <w:szCs w:val="22"/>
          <w:i w:val="1"/>
          <w:iCs w:val="1"/>
          <w:u w:val="single" w:color="auto"/>
          <w:color w:val="auto"/>
        </w:rPr>
        <w:t>www.thetorocompany.com/invest</w:t>
      </w:r>
      <w:r>
        <w:rPr>
          <w:rFonts w:ascii="Arial" w:cs="Arial" w:eastAsia="Arial" w:hAnsi="Arial"/>
          <w:sz w:val="22"/>
          <w:szCs w:val="22"/>
          <w:i w:val="1"/>
          <w:iCs w:val="1"/>
          <w:color w:val="auto"/>
        </w:rPr>
        <w:t>. Webcast participants will need to complete a brief registration form and should allocate extra time before the webcast begins to register and, if necessary, download and install audio software.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Safe Harbor</w:t>
      </w:r>
    </w:p>
    <w:p>
      <w:pPr>
        <w:spacing w:after="0" w:line="1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threat of further terrorist acts and war, which may result in contraction of the U.S. and worldwide economies; slow growth rate in global and domestic economies, resulting in rising unemployment and weakened consumer confidence; our ability to achieve the goals for the “6+8” growth and profit improvement initiative which is intended to improve our revenue growth and after-tax return on sales; the company’s ability to achieve sales and earnings per share growth in fiscal 2005; ability of management to manage around unplanned events; unforeseen product quality problems in the development and production of new and existing products; potential issues with moving production between facilities; fluctuations in the cost and availability of raw materials, including steel; rising cost of transportation; level of growth in the golf market; increased dependence on The Home Depot as a customer for the residential segment; reduced government spending for grounds maintenance equipment due to reduced tax revenue and tighter government budgets; increased competition; elimination of</w:t>
      </w:r>
    </w:p>
    <w:p>
      <w:pPr>
        <w:sectPr>
          <w:pgSz w:w="11900" w:h="16931" w:orient="portrait"/>
          <w:cols w:equalWidth="0" w:num="1">
            <w:col w:w="11420"/>
          </w:cols>
          <w:pgMar w:left="240" w:top="118" w:right="239" w:bottom="0" w:gutter="0" w:footer="0" w:header="0"/>
        </w:sectPr>
      </w:pPr>
    </w:p>
    <w:bookmarkStart w:id="6" w:name="page7"/>
    <w:bookmarkEnd w:id="6"/>
    <w:p>
      <w:pPr>
        <w:ind w:right="20"/>
        <w:spacing w:after="0" w:line="272" w:lineRule="auto"/>
        <w:rPr>
          <w:sz w:val="20"/>
          <w:szCs w:val="20"/>
          <w:color w:val="auto"/>
        </w:rPr>
      </w:pPr>
      <w:r>
        <w:rPr>
          <w:rFonts w:ascii="Arial" w:cs="Arial" w:eastAsia="Arial" w:hAnsi="Arial"/>
          <w:sz w:val="17"/>
          <w:szCs w:val="17"/>
          <w:color w:val="auto"/>
        </w:rPr>
        <w:t>shelf space for our products at retailers; financial viability of distributors and dealers; market acceptance of existing and new products; unforeseen inventory adjustments or changes in purchasing patterns by our customers; the impact of abnormal weather patterns; and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165"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(Financial tables follow)</w:t>
      </w:r>
    </w:p>
    <w:p>
      <w:pPr>
        <w:spacing w:after="0" w:line="206"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THE TORO COMPANY AND SUBSIDIARIES</w:t>
      </w:r>
    </w:p>
    <w:p>
      <w:pPr>
        <w:spacing w:after="0" w:line="14" w:lineRule="exact"/>
        <w:rPr>
          <w:sz w:val="20"/>
          <w:szCs w:val="20"/>
          <w:color w:val="auto"/>
        </w:rPr>
      </w:pPr>
    </w:p>
    <w:p>
      <w:pPr>
        <w:ind w:left="2880"/>
        <w:spacing w:after="0"/>
        <w:rPr>
          <w:sz w:val="20"/>
          <w:szCs w:val="20"/>
          <w:color w:val="auto"/>
        </w:rPr>
      </w:pPr>
      <w:r>
        <w:rPr>
          <w:rFonts w:ascii="Arial" w:cs="Arial" w:eastAsia="Arial" w:hAnsi="Arial"/>
          <w:sz w:val="22"/>
          <w:szCs w:val="22"/>
          <w:b w:val="1"/>
          <w:bCs w:val="1"/>
          <w:color w:val="auto"/>
        </w:rPr>
        <w:t>Condensed Consolidated Statements of Earnings (Unaudited)</w:t>
      </w:r>
    </w:p>
    <w:p>
      <w:pPr>
        <w:spacing w:after="0" w:line="182"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auto"/>
        </w:rPr>
        <w:t>(Dollars and shares in thousands, except per-share data)</w:t>
      </w:r>
    </w:p>
    <w:p>
      <w:pPr>
        <w:spacing w:after="0" w:line="200" w:lineRule="exact"/>
        <w:rPr>
          <w:sz w:val="20"/>
          <w:szCs w:val="20"/>
          <w:color w:val="auto"/>
        </w:rPr>
      </w:pP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14"/>
          </w:tcPr>
          <w:p>
            <w:pPr>
              <w:jc w:val="right"/>
              <w:ind w:right="580"/>
              <w:spacing w:after="0"/>
              <w:rPr>
                <w:sz w:val="20"/>
                <w:szCs w:val="20"/>
                <w:color w:val="auto"/>
              </w:rPr>
            </w:pPr>
            <w:r>
              <w:rPr>
                <w:rFonts w:ascii="Arial" w:cs="Arial" w:eastAsia="Arial" w:hAnsi="Arial"/>
                <w:sz w:val="18"/>
                <w:szCs w:val="18"/>
                <w:color w:val="auto"/>
                <w:w w:val="90"/>
              </w:rPr>
              <w:t>Three Months Ended</w:t>
            </w: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10"/>
          </w:tcPr>
          <w:p>
            <w:pPr>
              <w:jc w:val="right"/>
              <w:ind w:right="900"/>
              <w:spacing w:after="0"/>
              <w:rPr>
                <w:sz w:val="20"/>
                <w:szCs w:val="20"/>
                <w:color w:val="auto"/>
              </w:rPr>
            </w:pPr>
            <w:r>
              <w:rPr>
                <w:rFonts w:ascii="Arial" w:cs="Arial" w:eastAsia="Arial" w:hAnsi="Arial"/>
                <w:sz w:val="18"/>
                <w:szCs w:val="18"/>
                <w:color w:val="auto"/>
              </w:rPr>
              <w:t>Fiscal Years Ended</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8"/>
          </w:tcPr>
          <w:p>
            <w:pPr>
              <w:jc w:val="right"/>
              <w:ind w:right="20"/>
              <w:spacing w:after="0" w:line="191" w:lineRule="exact"/>
              <w:rPr>
                <w:sz w:val="20"/>
                <w:szCs w:val="20"/>
                <w:color w:val="auto"/>
              </w:rPr>
            </w:pPr>
            <w:r>
              <w:rPr>
                <w:rFonts w:ascii="Arial" w:cs="Arial" w:eastAsia="Arial" w:hAnsi="Arial"/>
                <w:sz w:val="18"/>
                <w:szCs w:val="18"/>
                <w:b w:val="1"/>
                <w:bCs w:val="1"/>
                <w:color w:val="auto"/>
                <w:w w:val="92"/>
              </w:rPr>
              <w:t>October 31,</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8"/>
          </w:tcPr>
          <w:p>
            <w:pPr>
              <w:jc w:val="center"/>
              <w:spacing w:after="0" w:line="191" w:lineRule="exact"/>
              <w:rPr>
                <w:sz w:val="20"/>
                <w:szCs w:val="20"/>
                <w:color w:val="auto"/>
              </w:rPr>
            </w:pPr>
            <w:r>
              <w:rPr>
                <w:rFonts w:ascii="Arial" w:cs="Arial" w:eastAsia="Arial" w:hAnsi="Arial"/>
                <w:sz w:val="18"/>
                <w:szCs w:val="18"/>
                <w:b w:val="1"/>
                <w:bCs w:val="1"/>
                <w:color w:val="auto"/>
                <w:w w:val="90"/>
              </w:rPr>
              <w:t>October 31,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7"/>
          </w:tcPr>
          <w:p>
            <w:pPr>
              <w:jc w:val="right"/>
              <w:ind w:right="220"/>
              <w:spacing w:after="0" w:line="191" w:lineRule="exact"/>
              <w:rPr>
                <w:sz w:val="20"/>
                <w:szCs w:val="20"/>
                <w:color w:val="auto"/>
              </w:rPr>
            </w:pPr>
            <w:r>
              <w:rPr>
                <w:rFonts w:ascii="Arial" w:cs="Arial" w:eastAsia="Arial" w:hAnsi="Arial"/>
                <w:sz w:val="18"/>
                <w:szCs w:val="18"/>
                <w:b w:val="1"/>
                <w:bCs w:val="1"/>
                <w:color w:val="auto"/>
              </w:rPr>
              <w:t>October 31,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5"/>
          </w:tcPr>
          <w:p>
            <w:pPr>
              <w:jc w:val="right"/>
              <w:ind w:right="300"/>
              <w:spacing w:after="0" w:line="191" w:lineRule="exact"/>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20"/>
        </w:trPr>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2280" w:type="dxa"/>
            <w:vAlign w:val="bottom"/>
            <w:gridSpan w:val="13"/>
          </w:tcPr>
          <w:p>
            <w:pPr>
              <w:jc w:val="right"/>
              <w:spacing w:after="0"/>
              <w:rPr>
                <w:sz w:val="20"/>
                <w:szCs w:val="20"/>
                <w:color w:val="auto"/>
              </w:rPr>
            </w:pPr>
            <w:r>
              <w:rPr>
                <w:rFonts w:ascii="Arial" w:cs="Arial" w:eastAsia="Arial" w:hAnsi="Arial"/>
                <w:sz w:val="18"/>
                <w:szCs w:val="18"/>
                <w:color w:val="auto"/>
              </w:rPr>
              <w:t>$336,864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8"/>
          </w:tcPr>
          <w:p>
            <w:pPr>
              <w:jc w:val="right"/>
              <w:ind w:right="20"/>
              <w:spacing w:after="0"/>
              <w:rPr>
                <w:sz w:val="20"/>
                <w:szCs w:val="20"/>
                <w:color w:val="auto"/>
              </w:rPr>
            </w:pPr>
            <w:r>
              <w:rPr>
                <w:rFonts w:ascii="Arial" w:cs="Arial" w:eastAsia="Arial" w:hAnsi="Arial"/>
                <w:sz w:val="18"/>
                <w:szCs w:val="18"/>
                <w:color w:val="auto"/>
              </w:rPr>
              <w:t>$310,262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9"/>
          </w:tcPr>
          <w:p>
            <w:pPr>
              <w:jc w:val="right"/>
              <w:spacing w:after="0"/>
              <w:rPr>
                <w:sz w:val="20"/>
                <w:szCs w:val="20"/>
                <w:color w:val="auto"/>
              </w:rPr>
            </w:pPr>
            <w:r>
              <w:rPr>
                <w:rFonts w:ascii="Arial" w:cs="Arial" w:eastAsia="Arial" w:hAnsi="Arial"/>
                <w:sz w:val="18"/>
                <w:szCs w:val="18"/>
                <w:color w:val="auto"/>
              </w:rPr>
              <w:t>$1,652,508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w w:val="97"/>
              </w:rPr>
              <w:t>$1,496,588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6"/>
              </w:rPr>
              <w:t>117,379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w w:val="86"/>
              </w:rPr>
              <w:t>107,296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593,070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535,459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140"/>
              <w:spacing w:after="0"/>
              <w:rPr>
                <w:sz w:val="20"/>
                <w:szCs w:val="20"/>
                <w:color w:val="auto"/>
              </w:rPr>
            </w:pPr>
            <w:r>
              <w:rPr>
                <w:rFonts w:ascii="Arial" w:cs="Arial" w:eastAsia="Arial" w:hAnsi="Arial"/>
                <w:sz w:val="18"/>
                <w:szCs w:val="18"/>
                <w:color w:val="auto"/>
              </w:rPr>
              <w:t>Gross profit percent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6"/>
          </w:tcPr>
          <w:p>
            <w:pPr>
              <w:jc w:val="right"/>
              <w:ind w:right="20"/>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6"/>
          </w:tcPr>
          <w:p>
            <w:pPr>
              <w:jc w:val="right"/>
              <w:ind w:right="100"/>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5"/>
          </w:tcPr>
          <w:p>
            <w:pPr>
              <w:jc w:val="right"/>
              <w:ind w:right="20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w w:val="90"/>
              </w:rPr>
              <w:t>Selling, general, and administrative expense</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6"/>
              </w:rPr>
              <w:t>103,583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97,295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428,527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406,639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gridSpan w:val="3"/>
          </w:tcPr>
          <w:p>
            <w:pPr>
              <w:spacing w:after="0"/>
              <w:rPr>
                <w:sz w:val="20"/>
                <w:szCs w:val="20"/>
                <w:color w:val="auto"/>
              </w:rPr>
            </w:pPr>
            <w:r>
              <w:rPr>
                <w:rFonts w:ascii="Arial" w:cs="Arial" w:eastAsia="Arial" w:hAnsi="Arial"/>
                <w:sz w:val="18"/>
                <w:szCs w:val="18"/>
                <w:color w:val="auto"/>
                <w:w w:val="94"/>
              </w:rPr>
              <w:t>Restructuring and other (income) expense</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5"/>
          </w:tcPr>
          <w:p>
            <w:pPr>
              <w:jc w:val="right"/>
              <w:ind w:right="60"/>
              <w:spacing w:after="0"/>
              <w:rPr>
                <w:sz w:val="20"/>
                <w:szCs w:val="20"/>
                <w:color w:val="auto"/>
              </w:rPr>
            </w:pPr>
            <w:r>
              <w:rPr>
                <w:rFonts w:ascii="Arial" w:cs="Arial" w:eastAsia="Arial" w:hAnsi="Arial"/>
                <w:sz w:val="18"/>
                <w:szCs w:val="18"/>
                <w:color w:val="auto"/>
              </w:rPr>
              <w:t>(368)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(682)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1,826</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gridSpan w:val="3"/>
          </w:tcPr>
          <w:p>
            <w:pPr>
              <w:ind w:left="140"/>
              <w:spacing w:after="0"/>
              <w:rPr>
                <w:sz w:val="20"/>
                <w:szCs w:val="20"/>
                <w:color w:val="auto"/>
              </w:rPr>
            </w:pPr>
            <w:r>
              <w:rPr>
                <w:rFonts w:ascii="Arial" w:cs="Arial" w:eastAsia="Arial" w:hAnsi="Arial"/>
                <w:sz w:val="18"/>
                <w:szCs w:val="18"/>
                <w:color w:val="auto"/>
              </w:rPr>
              <w:t>Earnings from operations</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14,164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9,651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6"/>
              </w:rPr>
              <w:t>165,225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126,994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5"/>
          </w:tcPr>
          <w:p>
            <w:pPr>
              <w:jc w:val="right"/>
              <w:ind w:right="60"/>
              <w:spacing w:after="0"/>
              <w:rPr>
                <w:sz w:val="20"/>
                <w:szCs w:val="20"/>
                <w:color w:val="auto"/>
              </w:rPr>
            </w:pPr>
            <w:r>
              <w:rPr>
                <w:rFonts w:ascii="Arial" w:cs="Arial" w:eastAsia="Arial" w:hAnsi="Arial"/>
                <w:sz w:val="18"/>
                <w:szCs w:val="18"/>
                <w:color w:val="auto"/>
              </w:rPr>
              <w:t>(4,046)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5"/>
          </w:tcPr>
          <w:p>
            <w:pPr>
              <w:jc w:val="right"/>
              <w:ind w:right="60"/>
              <w:spacing w:after="0"/>
              <w:rPr>
                <w:sz w:val="20"/>
                <w:szCs w:val="20"/>
                <w:color w:val="auto"/>
              </w:rPr>
            </w:pPr>
            <w:r>
              <w:rPr>
                <w:rFonts w:ascii="Arial" w:cs="Arial" w:eastAsia="Arial" w:hAnsi="Arial"/>
                <w:sz w:val="18"/>
                <w:szCs w:val="18"/>
                <w:color w:val="auto"/>
              </w:rPr>
              <w:t>(3,721)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w w:val="92"/>
              </w:rPr>
              <w:t>(15,523)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(16,285)</w:t>
            </w:r>
          </w:p>
        </w:tc>
        <w:tc>
          <w:tcPr>
            <w:tcW w:w="0" w:type="dxa"/>
            <w:vAlign w:val="bottom"/>
          </w:tcPr>
          <w:p>
            <w:pPr>
              <w:spacing w:after="0"/>
              <w:rPr>
                <w:sz w:val="1"/>
                <w:szCs w:val="1"/>
                <w:color w:val="auto"/>
              </w:rPr>
            </w:pPr>
          </w:p>
        </w:tc>
      </w:tr>
      <w:tr>
        <w:trPr>
          <w:trHeight w:val="230"/>
        </w:trPr>
        <w:tc>
          <w:tcPr>
            <w:tcW w:w="3200" w:type="dxa"/>
            <w:vAlign w:val="bottom"/>
            <w:gridSpan w:val="3"/>
          </w:tcPr>
          <w:p>
            <w:pPr>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10,209</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gridSpan w:val="3"/>
          </w:tcPr>
          <w:p>
            <w:pPr>
              <w:ind w:left="140"/>
              <w:spacing w:after="0"/>
              <w:rPr>
                <w:sz w:val="20"/>
                <w:szCs w:val="20"/>
                <w:color w:val="auto"/>
              </w:rPr>
            </w:pPr>
            <w:r>
              <w:rPr>
                <w:rFonts w:ascii="Arial" w:cs="Arial" w:eastAsia="Arial" w:hAnsi="Arial"/>
                <w:sz w:val="18"/>
                <w:szCs w:val="18"/>
                <w:color w:val="auto"/>
              </w:rPr>
              <w:t>Earnings before income taxes</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10,342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153,233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120,918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3,413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50,567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39,298</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gridSpan w:val="3"/>
          </w:tcPr>
          <w:p>
            <w:pPr>
              <w:ind w:left="140"/>
              <w:spacing w:after="0"/>
              <w:rPr>
                <w:sz w:val="20"/>
                <w:szCs w:val="20"/>
                <w:color w:val="auto"/>
              </w:rPr>
            </w:pPr>
            <w:r>
              <w:rPr>
                <w:rFonts w:ascii="Arial" w:cs="Arial" w:eastAsia="Arial" w:hAnsi="Arial"/>
                <w:sz w:val="18"/>
                <w:szCs w:val="18"/>
                <w:color w:val="auto"/>
              </w:rPr>
              <w:t>Net earnings</w:t>
            </w:r>
          </w:p>
        </w:tc>
        <w:tc>
          <w:tcPr>
            <w:tcW w:w="1680" w:type="dxa"/>
            <w:vAlign w:val="bottom"/>
            <w:gridSpan w:val="9"/>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6,929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5,624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5"/>
          </w:tcPr>
          <w:p>
            <w:pPr>
              <w:jc w:val="center"/>
              <w:ind w:left="51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102,666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81,620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gridSpan w:val="3"/>
            <w:vMerge w:val="restart"/>
          </w:tcPr>
          <w:p>
            <w:pPr>
              <w:spacing w:after="0"/>
              <w:rPr>
                <w:sz w:val="20"/>
                <w:szCs w:val="20"/>
                <w:color w:val="auto"/>
              </w:rPr>
            </w:pPr>
            <w:r>
              <w:rPr>
                <w:rFonts w:ascii="Arial" w:cs="Arial" w:eastAsia="Arial" w:hAnsi="Arial"/>
                <w:sz w:val="18"/>
                <w:szCs w:val="18"/>
                <w:color w:val="auto"/>
              </w:rPr>
              <w:t>Basic net earnings per share</w:t>
            </w:r>
          </w:p>
        </w:tc>
        <w:tc>
          <w:tcPr>
            <w:tcW w:w="1680" w:type="dxa"/>
            <w:vAlign w:val="bottom"/>
            <w:gridSpan w:val="9"/>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5"/>
            <w:vMerge w:val="restart"/>
          </w:tcPr>
          <w:p>
            <w:pPr>
              <w:jc w:val="center"/>
              <w:ind w:left="51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3"/>
            <w:vMerge w:val="continue"/>
          </w:tcPr>
          <w:p>
            <w:pPr>
              <w:spacing w:after="0"/>
              <w:rPr>
                <w:sz w:val="18"/>
                <w:szCs w:val="18"/>
                <w:color w:val="auto"/>
              </w:rPr>
            </w:pPr>
          </w:p>
        </w:tc>
        <w:tc>
          <w:tcPr>
            <w:tcW w:w="1680" w:type="dxa"/>
            <w:vAlign w:val="bottom"/>
            <w:gridSpan w:val="9"/>
            <w:vMerge w:val="continue"/>
          </w:tcPr>
          <w:p>
            <w:pPr>
              <w:spacing w:after="0"/>
              <w:rPr>
                <w:sz w:val="18"/>
                <w:szCs w:val="18"/>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6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5"/>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3"/>
            <w:vMerge w:val="restart"/>
          </w:tcPr>
          <w:p>
            <w:pPr>
              <w:spacing w:after="0"/>
              <w:rPr>
                <w:sz w:val="20"/>
                <w:szCs w:val="20"/>
                <w:color w:val="auto"/>
              </w:rPr>
            </w:pPr>
            <w:r>
              <w:rPr>
                <w:rFonts w:ascii="Arial" w:cs="Arial" w:eastAsia="Arial" w:hAnsi="Arial"/>
                <w:sz w:val="18"/>
                <w:szCs w:val="18"/>
                <w:color w:val="auto"/>
              </w:rPr>
              <w:t>Diluted net earnings per share</w:t>
            </w:r>
          </w:p>
        </w:tc>
        <w:tc>
          <w:tcPr>
            <w:tcW w:w="1680" w:type="dxa"/>
            <w:vAlign w:val="bottom"/>
            <w:gridSpan w:val="9"/>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5"/>
            <w:vMerge w:val="restart"/>
          </w:tcPr>
          <w:p>
            <w:pPr>
              <w:jc w:val="center"/>
              <w:ind w:left="51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3"/>
            <w:vMerge w:val="continue"/>
          </w:tcPr>
          <w:p>
            <w:pPr>
              <w:spacing w:after="0"/>
              <w:rPr>
                <w:sz w:val="18"/>
                <w:szCs w:val="18"/>
                <w:color w:val="auto"/>
              </w:rPr>
            </w:pPr>
          </w:p>
        </w:tc>
        <w:tc>
          <w:tcPr>
            <w:tcW w:w="1680" w:type="dxa"/>
            <w:vAlign w:val="bottom"/>
            <w:gridSpan w:val="9"/>
            <w:vMerge w:val="continue"/>
          </w:tcPr>
          <w:p>
            <w:pPr>
              <w:spacing w:after="0"/>
              <w:rPr>
                <w:sz w:val="18"/>
                <w:szCs w:val="18"/>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6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5"/>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12"/>
            <w:vMerge w:val="restart"/>
          </w:tcPr>
          <w:p>
            <w:pPr>
              <w:spacing w:after="0"/>
              <w:rPr>
                <w:sz w:val="20"/>
                <w:szCs w:val="20"/>
                <w:color w:val="auto"/>
              </w:rPr>
            </w:pPr>
            <w:r>
              <w:rPr>
                <w:rFonts w:ascii="Arial" w:cs="Arial" w:eastAsia="Arial" w:hAnsi="Arial"/>
                <w:sz w:val="18"/>
                <w:szCs w:val="18"/>
                <w:color w:val="auto"/>
              </w:rPr>
              <w:t>Weighted average number of shares of common</w:t>
            </w: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12"/>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140"/>
              <w:spacing w:after="0"/>
              <w:rPr>
                <w:sz w:val="20"/>
                <w:szCs w:val="20"/>
                <w:color w:val="auto"/>
              </w:rPr>
            </w:pPr>
            <w:r>
              <w:rPr>
                <w:rFonts w:ascii="Arial" w:cs="Arial" w:eastAsia="Arial" w:hAnsi="Arial"/>
                <w:sz w:val="18"/>
                <w:szCs w:val="18"/>
                <w:color w:val="auto"/>
              </w:rPr>
              <w:t>stock outstanding – Basic</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23,383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24,997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24,364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24,998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12"/>
          </w:tcPr>
          <w:p>
            <w:pPr>
              <w:spacing w:after="0"/>
              <w:rPr>
                <w:sz w:val="20"/>
                <w:szCs w:val="20"/>
                <w:color w:val="auto"/>
              </w:rPr>
            </w:pPr>
            <w:r>
              <w:rPr>
                <w:rFonts w:ascii="Arial" w:cs="Arial" w:eastAsia="Arial" w:hAnsi="Arial"/>
                <w:sz w:val="18"/>
                <w:szCs w:val="18"/>
                <w:color w:val="auto"/>
              </w:rPr>
              <w:t>Weighted average number of shares of common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gridSpan w:val="3"/>
          </w:tcPr>
          <w:p>
            <w:pPr>
              <w:ind w:left="140"/>
              <w:spacing w:after="0"/>
              <w:rPr>
                <w:sz w:val="20"/>
                <w:szCs w:val="20"/>
                <w:color w:val="auto"/>
              </w:rPr>
            </w:pPr>
            <w:r>
              <w:rPr>
                <w:rFonts w:ascii="Arial" w:cs="Arial" w:eastAsia="Arial" w:hAnsi="Arial"/>
                <w:sz w:val="18"/>
                <w:szCs w:val="18"/>
                <w:color w:val="auto"/>
              </w:rPr>
              <w:t>stock outstanding – Dilutive</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24,421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26,345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25,383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26,149</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20" w:type="dxa"/>
            <w:vAlign w:val="bottom"/>
            <w:gridSpan w:val="31"/>
          </w:tcPr>
          <w:p>
            <w:pPr>
              <w:jc w:val="center"/>
              <w:ind w:right="500"/>
              <w:spacing w:after="0"/>
              <w:rPr>
                <w:sz w:val="20"/>
                <w:szCs w:val="20"/>
                <w:color w:val="auto"/>
              </w:rPr>
            </w:pPr>
            <w:r>
              <w:rPr>
                <w:rFonts w:ascii="Arial" w:cs="Arial" w:eastAsia="Arial" w:hAnsi="Arial"/>
                <w:sz w:val="22"/>
                <w:szCs w:val="22"/>
                <w:b w:val="1"/>
                <w:bCs w:val="1"/>
                <w:color w:val="auto"/>
                <w:w w:val="98"/>
              </w:rPr>
              <w:t>THE TORO COMPANY AND SUBSIDIARIES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20"/>
          </w:tcPr>
          <w:p>
            <w:pPr>
              <w:jc w:val="center"/>
              <w:ind w:right="640"/>
              <w:spacing w:after="0"/>
              <w:rPr>
                <w:sz w:val="20"/>
                <w:szCs w:val="20"/>
                <w:color w:val="auto"/>
              </w:rPr>
            </w:pPr>
            <w:r>
              <w:rPr>
                <w:rFonts w:ascii="Arial" w:cs="Arial" w:eastAsia="Arial" w:hAnsi="Arial"/>
                <w:sz w:val="22"/>
                <w:szCs w:val="22"/>
                <w:b w:val="1"/>
                <w:bCs w:val="1"/>
                <w:color w:val="auto"/>
                <w:w w:val="89"/>
              </w:rPr>
              <w:t>Segment Data (Unaudited)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14"/>
          </w:tcPr>
          <w:p>
            <w:pPr>
              <w:jc w:val="center"/>
              <w:ind w:left="116"/>
              <w:spacing w:after="0"/>
              <w:rPr>
                <w:sz w:val="20"/>
                <w:szCs w:val="20"/>
                <w:color w:val="auto"/>
              </w:rPr>
            </w:pPr>
            <w:r>
              <w:rPr>
                <w:rFonts w:ascii="Arial" w:cs="Arial" w:eastAsia="Arial" w:hAnsi="Arial"/>
                <w:sz w:val="22"/>
                <w:szCs w:val="22"/>
                <w:b w:val="1"/>
                <w:bCs w:val="1"/>
                <w:color w:val="auto"/>
                <w:w w:val="87"/>
              </w:rPr>
              <w:t>(Dollars in thousands)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8"/>
        </w:trPr>
        <w:tc>
          <w:tcPr>
            <w:tcW w:w="2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3"/>
          </w:tcPr>
          <w:p>
            <w:pPr>
              <w:jc w:val="right"/>
              <w:ind w:right="420"/>
              <w:spacing w:after="0"/>
              <w:rPr>
                <w:sz w:val="20"/>
                <w:szCs w:val="20"/>
                <w:color w:val="auto"/>
              </w:rPr>
            </w:pPr>
            <w:r>
              <w:rPr>
                <w:rFonts w:ascii="Arial" w:cs="Arial" w:eastAsia="Arial" w:hAnsi="Arial"/>
                <w:sz w:val="18"/>
                <w:szCs w:val="18"/>
                <w:color w:val="auto"/>
                <w:w w:val="90"/>
              </w:rPr>
              <w:t>Three Months Ended</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w w:val="88"/>
              </w:rPr>
              <w:t>Fiscal Years Ended</w:t>
            </w: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12"/>
          </w:tcPr>
          <w:p>
            <w:pPr>
              <w:jc w:val="center"/>
              <w:ind w:right="480"/>
              <w:spacing w:after="0" w:line="191" w:lineRule="exact"/>
              <w:rPr>
                <w:sz w:val="20"/>
                <w:szCs w:val="20"/>
                <w:color w:val="auto"/>
              </w:rPr>
            </w:pPr>
            <w:r>
              <w:rPr>
                <w:rFonts w:ascii="Arial" w:cs="Arial" w:eastAsia="Arial" w:hAnsi="Arial"/>
                <w:sz w:val="18"/>
                <w:szCs w:val="18"/>
                <w:b w:val="1"/>
                <w:bCs w:val="1"/>
                <w:color w:val="auto"/>
                <w:w w:val="90"/>
              </w:rPr>
              <w:t>October 31,</w:t>
            </w:r>
          </w:p>
        </w:tc>
        <w:tc>
          <w:tcPr>
            <w:tcW w:w="1180" w:type="dxa"/>
            <w:vAlign w:val="bottom"/>
            <w:gridSpan w:val="6"/>
          </w:tcPr>
          <w:p>
            <w:pPr>
              <w:ind w:left="20"/>
              <w:spacing w:after="0" w:line="191" w:lineRule="exact"/>
              <w:rPr>
                <w:sz w:val="20"/>
                <w:szCs w:val="20"/>
                <w:color w:val="auto"/>
              </w:rPr>
            </w:pPr>
            <w:r>
              <w:rPr>
                <w:rFonts w:ascii="Arial" w:cs="Arial" w:eastAsia="Arial" w:hAnsi="Arial"/>
                <w:sz w:val="18"/>
                <w:szCs w:val="18"/>
                <w:b w:val="1"/>
                <w:bCs w:val="1"/>
                <w:color w:val="auto"/>
              </w:rPr>
              <w:t>October 31,</w:t>
            </w:r>
          </w:p>
        </w:tc>
        <w:tc>
          <w:tcPr>
            <w:tcW w:w="22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10"/>
          </w:tcPr>
          <w:p>
            <w:pPr>
              <w:jc w:val="center"/>
              <w:ind w:right="640"/>
              <w:spacing w:after="0" w:line="191" w:lineRule="exact"/>
              <w:rPr>
                <w:sz w:val="20"/>
                <w:szCs w:val="20"/>
                <w:color w:val="auto"/>
              </w:rPr>
            </w:pPr>
            <w:r>
              <w:rPr>
                <w:rFonts w:ascii="Arial" w:cs="Arial" w:eastAsia="Arial" w:hAnsi="Arial"/>
                <w:sz w:val="18"/>
                <w:szCs w:val="18"/>
                <w:b w:val="1"/>
                <w:bCs w:val="1"/>
                <w:color w:val="auto"/>
                <w:w w:val="90"/>
              </w:rPr>
              <w:t>October 31,</w:t>
            </w:r>
          </w:p>
        </w:tc>
        <w:tc>
          <w:tcPr>
            <w:tcW w:w="120" w:type="dxa"/>
            <w:vAlign w:val="bottom"/>
          </w:tcPr>
          <w:p>
            <w:pPr>
              <w:spacing w:after="0"/>
              <w:rPr>
                <w:sz w:val="16"/>
                <w:szCs w:val="16"/>
                <w:color w:val="auto"/>
              </w:rPr>
            </w:pPr>
          </w:p>
        </w:tc>
        <w:tc>
          <w:tcPr>
            <w:tcW w:w="1660" w:type="dxa"/>
            <w:vAlign w:val="bottom"/>
            <w:gridSpan w:val="6"/>
          </w:tcPr>
          <w:p>
            <w:pPr>
              <w:jc w:val="right"/>
              <w:ind w:right="460"/>
              <w:spacing w:after="0" w:line="191" w:lineRule="exact"/>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34"/>
        </w:trPr>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Segment Net Sales</w:t>
            </w:r>
          </w:p>
        </w:tc>
        <w:tc>
          <w:tcPr>
            <w:tcW w:w="1480" w:type="dxa"/>
            <w:vAlign w:val="bottom"/>
            <w:gridSpan w:val="7"/>
          </w:tcPr>
          <w:p>
            <w:pPr>
              <w:jc w:val="right"/>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2003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6"/>
          </w:tcPr>
          <w:p>
            <w:pPr>
              <w:jc w:val="center"/>
              <w:ind w:left="330"/>
              <w:spacing w:after="0"/>
              <w:rPr>
                <w:sz w:val="20"/>
                <w:szCs w:val="20"/>
                <w:color w:val="auto"/>
              </w:rPr>
            </w:pPr>
            <w:r>
              <w:rPr>
                <w:rFonts w:ascii="Arial" w:cs="Arial" w:eastAsia="Arial" w:hAnsi="Arial"/>
                <w:sz w:val="18"/>
                <w:szCs w:val="18"/>
                <w:b w:val="1"/>
                <w:bCs w:val="1"/>
                <w:color w:val="auto"/>
                <w:w w:val="89"/>
              </w:rPr>
              <w:t>2004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rPr>
              <w:t>2003</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Professional</w:t>
            </w:r>
          </w:p>
        </w:tc>
        <w:tc>
          <w:tcPr>
            <w:tcW w:w="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top w:val="single" w:sz="8" w:color="auto"/>
            </w:tcBorders>
            <w:gridSpan w:val="5"/>
          </w:tcPr>
          <w:p>
            <w:pPr>
              <w:jc w:val="right"/>
              <w:spacing w:after="0" w:line="195" w:lineRule="exact"/>
              <w:rPr>
                <w:sz w:val="20"/>
                <w:szCs w:val="20"/>
                <w:color w:val="auto"/>
              </w:rPr>
            </w:pPr>
            <w:r>
              <w:rPr>
                <w:rFonts w:ascii="Arial" w:cs="Arial" w:eastAsia="Arial" w:hAnsi="Arial"/>
                <w:sz w:val="18"/>
                <w:szCs w:val="18"/>
                <w:color w:val="auto"/>
              </w:rPr>
              <w:t>$194,811</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3"/>
          </w:tcPr>
          <w:p>
            <w:pPr>
              <w:jc w:val="right"/>
              <w:spacing w:after="0" w:line="195" w:lineRule="exact"/>
              <w:rPr>
                <w:sz w:val="20"/>
                <w:szCs w:val="20"/>
                <w:color w:val="auto"/>
              </w:rPr>
            </w:pPr>
            <w:r>
              <w:rPr>
                <w:rFonts w:ascii="Arial" w:cs="Arial" w:eastAsia="Arial" w:hAnsi="Arial"/>
                <w:sz w:val="18"/>
                <w:szCs w:val="18"/>
                <w:color w:val="auto"/>
                <w:w w:val="98"/>
              </w:rPr>
              <w:t>$177,763</w:t>
            </w:r>
          </w:p>
        </w:tc>
        <w:tc>
          <w:tcPr>
            <w:tcW w:w="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8"/>
          </w:tcPr>
          <w:p>
            <w:pPr>
              <w:jc w:val="right"/>
              <w:spacing w:after="0" w:line="195" w:lineRule="exact"/>
              <w:rPr>
                <w:sz w:val="20"/>
                <w:szCs w:val="20"/>
                <w:color w:val="auto"/>
              </w:rPr>
            </w:pPr>
            <w:r>
              <w:rPr>
                <w:rFonts w:ascii="Arial" w:cs="Arial" w:eastAsia="Arial" w:hAnsi="Arial"/>
                <w:sz w:val="18"/>
                <w:szCs w:val="18"/>
                <w:color w:val="auto"/>
              </w:rPr>
              <w:t>$1,028,941</w:t>
            </w: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3"/>
          </w:tcPr>
          <w:p>
            <w:pPr>
              <w:jc w:val="right"/>
              <w:spacing w:after="0" w:line="195" w:lineRule="exact"/>
              <w:rPr>
                <w:sz w:val="20"/>
                <w:szCs w:val="20"/>
                <w:color w:val="auto"/>
              </w:rPr>
            </w:pPr>
            <w:r>
              <w:rPr>
                <w:rFonts w:ascii="Arial" w:cs="Arial" w:eastAsia="Arial" w:hAnsi="Arial"/>
                <w:sz w:val="18"/>
                <w:szCs w:val="18"/>
                <w:color w:val="auto"/>
              </w:rPr>
              <w:t>929,434</w:t>
            </w:r>
          </w:p>
        </w:tc>
        <w:tc>
          <w:tcPr>
            <w:tcW w:w="1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1560" w:type="dxa"/>
            <w:vAlign w:val="bottom"/>
            <w:gridSpan w:val="8"/>
          </w:tcPr>
          <w:p>
            <w:pPr>
              <w:jc w:val="right"/>
              <w:spacing w:after="0"/>
              <w:rPr>
                <w:sz w:val="20"/>
                <w:szCs w:val="20"/>
                <w:color w:val="auto"/>
              </w:rPr>
            </w:pPr>
            <w:r>
              <w:rPr>
                <w:rFonts w:ascii="Arial" w:cs="Arial" w:eastAsia="Arial" w:hAnsi="Arial"/>
                <w:sz w:val="18"/>
                <w:szCs w:val="18"/>
                <w:color w:val="auto"/>
              </w:rPr>
              <w:t>117,382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110,289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8"/>
          </w:tcPr>
          <w:p>
            <w:pPr>
              <w:jc w:val="right"/>
              <w:spacing w:after="0"/>
              <w:rPr>
                <w:sz w:val="20"/>
                <w:szCs w:val="20"/>
                <w:color w:val="auto"/>
              </w:rPr>
            </w:pPr>
            <w:r>
              <w:rPr>
                <w:rFonts w:ascii="Arial" w:cs="Arial" w:eastAsia="Arial" w:hAnsi="Arial"/>
                <w:sz w:val="18"/>
                <w:szCs w:val="18"/>
                <w:color w:val="auto"/>
              </w:rPr>
              <w:t>554,334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506,466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Distribution</w:t>
            </w:r>
          </w:p>
        </w:tc>
        <w:tc>
          <w:tcPr>
            <w:tcW w:w="1560" w:type="dxa"/>
            <w:vAlign w:val="bottom"/>
            <w:gridSpan w:val="8"/>
          </w:tcPr>
          <w:p>
            <w:pPr>
              <w:jc w:val="right"/>
              <w:spacing w:after="0"/>
              <w:rPr>
                <w:sz w:val="20"/>
                <w:szCs w:val="20"/>
                <w:color w:val="auto"/>
              </w:rPr>
            </w:pPr>
            <w:r>
              <w:rPr>
                <w:rFonts w:ascii="Arial" w:cs="Arial" w:eastAsia="Arial" w:hAnsi="Arial"/>
                <w:sz w:val="18"/>
                <w:szCs w:val="18"/>
                <w:color w:val="auto"/>
              </w:rPr>
              <w:t>40,627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36,970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8"/>
          </w:tcPr>
          <w:p>
            <w:pPr>
              <w:jc w:val="right"/>
              <w:spacing w:after="0"/>
              <w:rPr>
                <w:sz w:val="20"/>
                <w:szCs w:val="20"/>
                <w:color w:val="auto"/>
              </w:rPr>
            </w:pPr>
            <w:r>
              <w:rPr>
                <w:rFonts w:ascii="Arial" w:cs="Arial" w:eastAsia="Arial" w:hAnsi="Arial"/>
                <w:sz w:val="18"/>
                <w:szCs w:val="18"/>
                <w:color w:val="auto"/>
              </w:rPr>
              <w:t>152,234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133,957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gridSpan w:val="3"/>
          </w:tcPr>
          <w:p>
            <w:pPr>
              <w:spacing w:after="0"/>
              <w:rPr>
                <w:sz w:val="20"/>
                <w:szCs w:val="20"/>
                <w:color w:val="auto"/>
              </w:rPr>
            </w:pPr>
            <w:r>
              <w:rPr>
                <w:rFonts w:ascii="Arial" w:cs="Arial" w:eastAsia="Arial" w:hAnsi="Arial"/>
                <w:sz w:val="18"/>
                <w:szCs w:val="18"/>
                <w:color w:val="auto"/>
              </w:rPr>
              <w:t>Other</w:t>
            </w:r>
          </w:p>
        </w:tc>
        <w:tc>
          <w:tcPr>
            <w:tcW w:w="1680" w:type="dxa"/>
            <w:vAlign w:val="bottom"/>
            <w:gridSpan w:val="9"/>
          </w:tcPr>
          <w:p>
            <w:pPr>
              <w:jc w:val="right"/>
              <w:ind w:right="60"/>
              <w:spacing w:after="0"/>
              <w:rPr>
                <w:sz w:val="20"/>
                <w:szCs w:val="20"/>
                <w:color w:val="auto"/>
              </w:rPr>
            </w:pPr>
            <w:r>
              <w:rPr>
                <w:rFonts w:ascii="Arial" w:cs="Arial" w:eastAsia="Arial" w:hAnsi="Arial"/>
                <w:sz w:val="18"/>
                <w:szCs w:val="18"/>
                <w:color w:val="auto"/>
              </w:rPr>
              <w:t>(15,956)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(14,760)</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9"/>
          </w:tcPr>
          <w:p>
            <w:pPr>
              <w:jc w:val="right"/>
              <w:ind w:right="330"/>
              <w:spacing w:after="0"/>
              <w:rPr>
                <w:sz w:val="20"/>
                <w:szCs w:val="20"/>
                <w:color w:val="auto"/>
              </w:rPr>
            </w:pPr>
            <w:r>
              <w:rPr>
                <w:rFonts w:ascii="Arial" w:cs="Arial" w:eastAsia="Arial" w:hAnsi="Arial"/>
                <w:sz w:val="18"/>
                <w:szCs w:val="18"/>
                <w:color w:val="auto"/>
              </w:rPr>
              <w:t>(83,001)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(73,269)</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gridSpan w:val="3"/>
          </w:tcPr>
          <w:p>
            <w:pPr>
              <w:ind w:left="140"/>
              <w:spacing w:after="0"/>
              <w:rPr>
                <w:sz w:val="20"/>
                <w:szCs w:val="20"/>
                <w:color w:val="auto"/>
              </w:rPr>
            </w:pPr>
            <w:r>
              <w:rPr>
                <w:rFonts w:ascii="Arial" w:cs="Arial" w:eastAsia="Arial" w:hAnsi="Arial"/>
                <w:sz w:val="18"/>
                <w:szCs w:val="18"/>
                <w:color w:val="auto"/>
              </w:rPr>
              <w:t>Total *</w:t>
            </w:r>
          </w:p>
        </w:tc>
        <w:tc>
          <w:tcPr>
            <w:tcW w:w="1560" w:type="dxa"/>
            <w:vAlign w:val="bottom"/>
            <w:gridSpan w:val="8"/>
          </w:tcPr>
          <w:p>
            <w:pPr>
              <w:jc w:val="right"/>
              <w:spacing w:after="0"/>
              <w:rPr>
                <w:sz w:val="20"/>
                <w:szCs w:val="20"/>
                <w:color w:val="auto"/>
              </w:rPr>
            </w:pPr>
            <w:r>
              <w:rPr>
                <w:rFonts w:ascii="Arial" w:cs="Arial" w:eastAsia="Arial" w:hAnsi="Arial"/>
                <w:sz w:val="18"/>
                <w:szCs w:val="18"/>
                <w:color w:val="auto"/>
              </w:rPr>
              <w:t>$336,864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8"/>
              </w:rPr>
              <w:t>$310,262</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6"/>
          </w:tcPr>
          <w:p>
            <w:pPr>
              <w:jc w:val="right"/>
              <w:spacing w:after="0"/>
              <w:rPr>
                <w:sz w:val="20"/>
                <w:szCs w:val="20"/>
                <w:color w:val="auto"/>
              </w:rPr>
            </w:pPr>
            <w:r>
              <w:rPr>
                <w:rFonts w:ascii="Arial" w:cs="Arial" w:eastAsia="Arial" w:hAnsi="Arial"/>
                <w:sz w:val="18"/>
                <w:szCs w:val="18"/>
                <w:color w:val="auto"/>
                <w:w w:val="87"/>
              </w:rPr>
              <w:t>1,652,508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7"/>
              </w:rPr>
              <w:t>1,496,588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00" w:type="dxa"/>
            <w:vAlign w:val="bottom"/>
            <w:gridSpan w:val="3"/>
          </w:tcPr>
          <w:p>
            <w:pPr>
              <w:spacing w:after="0"/>
              <w:rPr>
                <w:sz w:val="20"/>
                <w:szCs w:val="20"/>
                <w:color w:val="auto"/>
              </w:rPr>
            </w:pPr>
            <w:r>
              <w:rPr>
                <w:rFonts w:ascii="Arial" w:cs="Arial" w:eastAsia="Arial" w:hAnsi="Arial"/>
                <w:sz w:val="18"/>
                <w:szCs w:val="18"/>
                <w:color w:val="auto"/>
              </w:rPr>
              <w:t>* Includes international sales of</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73,074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58,847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6"/>
          </w:tcPr>
          <w:p>
            <w:pPr>
              <w:jc w:val="right"/>
              <w:spacing w:after="0"/>
              <w:rPr>
                <w:sz w:val="20"/>
                <w:szCs w:val="20"/>
                <w:color w:val="auto"/>
              </w:rPr>
            </w:pPr>
            <w:r>
              <w:rPr>
                <w:rFonts w:ascii="Arial" w:cs="Arial" w:eastAsia="Arial" w:hAnsi="Arial"/>
                <w:sz w:val="18"/>
                <w:szCs w:val="18"/>
                <w:color w:val="auto"/>
              </w:rPr>
              <w:t>341,360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288,998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9060" w:type="dxa"/>
            <w:vAlign w:val="bottom"/>
            <w:gridSpan w:val="39"/>
          </w:tcPr>
          <w:p>
            <w:pPr>
              <w:jc w:val="center"/>
              <w:ind w:left="1670"/>
              <w:spacing w:after="0"/>
              <w:rPr>
                <w:sz w:val="20"/>
                <w:szCs w:val="20"/>
                <w:color w:val="auto"/>
              </w:rPr>
            </w:pPr>
            <w:r>
              <w:rPr>
                <w:rFonts w:ascii="Arial" w:cs="Arial" w:eastAsia="Arial" w:hAnsi="Arial"/>
                <w:sz w:val="22"/>
                <w:szCs w:val="22"/>
                <w:b w:val="1"/>
                <w:bCs w:val="1"/>
                <w:color w:val="auto"/>
                <w:w w:val="87"/>
              </w:rPr>
              <w:t>Earnings (Loss) Before Income Taxes by Segment (Unaudited)</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14"/>
          </w:tcPr>
          <w:p>
            <w:pPr>
              <w:jc w:val="center"/>
              <w:ind w:left="116"/>
              <w:spacing w:after="0"/>
              <w:rPr>
                <w:sz w:val="20"/>
                <w:szCs w:val="20"/>
                <w:color w:val="auto"/>
              </w:rPr>
            </w:pPr>
            <w:r>
              <w:rPr>
                <w:rFonts w:ascii="Arial" w:cs="Arial" w:eastAsia="Arial" w:hAnsi="Arial"/>
                <w:sz w:val="22"/>
                <w:szCs w:val="22"/>
                <w:b w:val="1"/>
                <w:bCs w:val="1"/>
                <w:color w:val="auto"/>
                <w:w w:val="87"/>
              </w:rPr>
              <w:t>(Dollars in thousands)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2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11"/>
          </w:tcPr>
          <w:p>
            <w:pPr>
              <w:jc w:val="right"/>
              <w:ind w:right="20"/>
              <w:spacing w:after="0"/>
              <w:rPr>
                <w:sz w:val="20"/>
                <w:szCs w:val="20"/>
                <w:color w:val="auto"/>
              </w:rPr>
            </w:pPr>
            <w:r>
              <w:rPr>
                <w:rFonts w:ascii="Arial" w:cs="Arial" w:eastAsia="Arial" w:hAnsi="Arial"/>
                <w:sz w:val="18"/>
                <w:szCs w:val="18"/>
                <w:color w:val="auto"/>
                <w:w w:val="92"/>
              </w:rPr>
              <w:t>Three Months Ended</w:t>
            </w: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w w:val="90"/>
              </w:rPr>
              <w:t>Fiscal Years Ended</w:t>
            </w: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9"/>
          </w:tcPr>
          <w:p>
            <w:pPr>
              <w:jc w:val="right"/>
              <w:ind w:right="620"/>
              <w:spacing w:after="0" w:line="191" w:lineRule="exact"/>
              <w:rPr>
                <w:sz w:val="20"/>
                <w:szCs w:val="20"/>
                <w:color w:val="auto"/>
              </w:rPr>
            </w:pPr>
            <w:r>
              <w:rPr>
                <w:rFonts w:ascii="Arial" w:cs="Arial" w:eastAsia="Arial" w:hAnsi="Arial"/>
                <w:sz w:val="18"/>
                <w:szCs w:val="18"/>
                <w:b w:val="1"/>
                <w:bCs w:val="1"/>
                <w:color w:val="auto"/>
              </w:rPr>
              <w:t>October 31,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7"/>
          </w:tcPr>
          <w:p>
            <w:pPr>
              <w:jc w:val="right"/>
              <w:ind w:right="100"/>
              <w:spacing w:after="0" w:line="191" w:lineRule="exact"/>
              <w:rPr>
                <w:sz w:val="20"/>
                <w:szCs w:val="20"/>
                <w:color w:val="auto"/>
              </w:rPr>
            </w:pPr>
            <w:r>
              <w:rPr>
                <w:rFonts w:ascii="Arial" w:cs="Arial" w:eastAsia="Arial" w:hAnsi="Arial"/>
                <w:sz w:val="18"/>
                <w:szCs w:val="18"/>
                <w:b w:val="1"/>
                <w:bCs w:val="1"/>
                <w:color w:val="auto"/>
                <w:w w:val="94"/>
              </w:rPr>
              <w:t>October 31,</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9"/>
          </w:tcPr>
          <w:p>
            <w:pPr>
              <w:ind w:left="20"/>
              <w:spacing w:after="0" w:line="191" w:lineRule="exact"/>
              <w:rPr>
                <w:sz w:val="20"/>
                <w:szCs w:val="20"/>
                <w:color w:val="auto"/>
              </w:rPr>
            </w:pPr>
            <w:r>
              <w:rPr>
                <w:rFonts w:ascii="Arial" w:cs="Arial" w:eastAsia="Arial" w:hAnsi="Arial"/>
                <w:sz w:val="18"/>
                <w:szCs w:val="18"/>
                <w:b w:val="1"/>
                <w:bCs w:val="1"/>
                <w:color w:val="auto"/>
              </w:rPr>
              <w:t>October 31,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5"/>
          </w:tcPr>
          <w:p>
            <w:pPr>
              <w:jc w:val="right"/>
              <w:ind w:right="400"/>
              <w:spacing w:after="0" w:line="191" w:lineRule="exact"/>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34"/>
        </w:trPr>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Segment Earnings (Loss)</w:t>
            </w:r>
          </w:p>
        </w:tc>
        <w:tc>
          <w:tcPr>
            <w:tcW w:w="840" w:type="dxa"/>
            <w:vAlign w:val="bottom"/>
            <w:gridSpan w:val="4"/>
          </w:tcPr>
          <w:p>
            <w:pPr>
              <w:jc w:val="right"/>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2003</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7"/>
          </w:tcPr>
          <w:p>
            <w:pPr>
              <w:jc w:val="right"/>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2003</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580" w:type="dxa"/>
            <w:vAlign w:val="bottom"/>
            <w:tcBorders>
              <w:top w:val="single" w:sz="8" w:color="auto"/>
            </w:tcBorders>
          </w:tcPr>
          <w:p>
            <w:pPr>
              <w:spacing w:after="0" w:line="194" w:lineRule="exact"/>
              <w:rPr>
                <w:sz w:val="20"/>
                <w:szCs w:val="20"/>
                <w:color w:val="auto"/>
              </w:rPr>
            </w:pPr>
            <w:r>
              <w:rPr>
                <w:rFonts w:ascii="Arial" w:cs="Arial" w:eastAsia="Arial" w:hAnsi="Arial"/>
                <w:sz w:val="16"/>
                <w:szCs w:val="16"/>
                <w:color w:val="auto"/>
              </w:rPr>
              <w:t>Professional</w:t>
            </w:r>
            <w:r>
              <w:rPr>
                <w:rFonts w:ascii="Arial" w:cs="Arial" w:eastAsia="Arial" w:hAnsi="Arial"/>
                <w:sz w:val="22"/>
                <w:szCs w:val="22"/>
                <w:color w:val="auto"/>
                <w:vertAlign w:val="superscript"/>
              </w:rPr>
              <w:t>1</w:t>
            </w:r>
          </w:p>
        </w:tc>
        <w:tc>
          <w:tcPr>
            <w:tcW w:w="3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18"/>
                <w:szCs w:val="18"/>
                <w:color w:val="auto"/>
              </w:rPr>
              <w:t>$ 18,632</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top w:val="single" w:sz="8" w:color="auto"/>
            </w:tcBorders>
            <w:gridSpan w:val="7"/>
          </w:tcPr>
          <w:p>
            <w:pPr>
              <w:jc w:val="right"/>
              <w:spacing w:after="0" w:line="195" w:lineRule="exact"/>
              <w:rPr>
                <w:sz w:val="20"/>
                <w:szCs w:val="20"/>
                <w:color w:val="auto"/>
              </w:rPr>
            </w:pPr>
            <w:r>
              <w:rPr>
                <w:rFonts w:ascii="Arial" w:cs="Arial" w:eastAsia="Arial" w:hAnsi="Arial"/>
                <w:sz w:val="18"/>
                <w:szCs w:val="18"/>
                <w:color w:val="auto"/>
              </w:rPr>
              <w:t>$ 13,341</w:t>
            </w:r>
          </w:p>
        </w:tc>
        <w:tc>
          <w:tcPr>
            <w:tcW w:w="2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7"/>
          </w:tcPr>
          <w:p>
            <w:pPr>
              <w:jc w:val="right"/>
              <w:spacing w:after="0" w:line="195" w:lineRule="exact"/>
              <w:rPr>
                <w:sz w:val="20"/>
                <w:szCs w:val="20"/>
                <w:color w:val="auto"/>
              </w:rPr>
            </w:pPr>
            <w:r>
              <w:rPr>
                <w:rFonts w:ascii="Arial" w:cs="Arial" w:eastAsia="Arial" w:hAnsi="Arial"/>
                <w:sz w:val="18"/>
                <w:szCs w:val="18"/>
                <w:color w:val="auto"/>
              </w:rPr>
              <w:t>$ 173,111</w:t>
            </w:r>
          </w:p>
        </w:tc>
        <w:tc>
          <w:tcPr>
            <w:tcW w:w="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3"/>
          </w:tcPr>
          <w:p>
            <w:pPr>
              <w:jc w:val="right"/>
              <w:spacing w:after="0" w:line="195" w:lineRule="exact"/>
              <w:rPr>
                <w:sz w:val="20"/>
                <w:szCs w:val="20"/>
                <w:color w:val="auto"/>
              </w:rPr>
            </w:pPr>
            <w:r>
              <w:rPr>
                <w:rFonts w:ascii="Arial" w:cs="Arial" w:eastAsia="Arial" w:hAnsi="Arial"/>
                <w:sz w:val="18"/>
                <w:szCs w:val="18"/>
                <w:color w:val="auto"/>
                <w:w w:val="93"/>
              </w:rPr>
              <w:t>$146,756</w:t>
            </w:r>
          </w:p>
        </w:tc>
        <w:tc>
          <w:tcPr>
            <w:tcW w:w="1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00" w:type="dxa"/>
            <w:vAlign w:val="bottom"/>
            <w:gridSpan w:val="3"/>
          </w:tcPr>
          <w:p>
            <w:pPr>
              <w:spacing w:after="0" w:line="217" w:lineRule="exact"/>
              <w:rPr>
                <w:sz w:val="20"/>
                <w:szCs w:val="20"/>
                <w:color w:val="auto"/>
              </w:rPr>
            </w:pPr>
            <w:r>
              <w:rPr>
                <w:rFonts w:ascii="Arial" w:cs="Arial" w:eastAsia="Arial" w:hAnsi="Arial"/>
                <w:sz w:val="18"/>
                <w:szCs w:val="18"/>
                <w:color w:val="auto"/>
              </w:rPr>
              <w:t>Residential</w:t>
            </w:r>
            <w:r>
              <w:rPr>
                <w:rFonts w:ascii="Arial" w:cs="Arial" w:eastAsia="Arial" w:hAnsi="Arial"/>
                <w:sz w:val="25"/>
                <w:szCs w:val="25"/>
                <w:color w:val="auto"/>
                <w:vertAlign w:val="superscript"/>
              </w:rPr>
              <w:t>2</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9,086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9,245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7"/>
          </w:tcPr>
          <w:p>
            <w:pPr>
              <w:jc w:val="right"/>
              <w:spacing w:after="0"/>
              <w:rPr>
                <w:sz w:val="20"/>
                <w:szCs w:val="20"/>
                <w:color w:val="auto"/>
              </w:rPr>
            </w:pPr>
            <w:r>
              <w:rPr>
                <w:rFonts w:ascii="Arial" w:cs="Arial" w:eastAsia="Arial" w:hAnsi="Arial"/>
                <w:sz w:val="18"/>
                <w:szCs w:val="18"/>
                <w:color w:val="auto"/>
              </w:rPr>
              <w:t>61,777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55,460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Distribution</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10"/>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7"/>
          </w:tcPr>
          <w:p>
            <w:pPr>
              <w:jc w:val="right"/>
              <w:spacing w:after="0"/>
              <w:rPr>
                <w:sz w:val="20"/>
                <w:szCs w:val="20"/>
                <w:color w:val="auto"/>
              </w:rPr>
            </w:pPr>
            <w:r>
              <w:rPr>
                <w:rFonts w:ascii="Arial" w:cs="Arial" w:eastAsia="Arial" w:hAnsi="Arial"/>
                <w:sz w:val="18"/>
                <w:szCs w:val="18"/>
                <w:color w:val="auto"/>
              </w:rPr>
              <w:t>2,203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(505)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gridSpan w:val="3"/>
          </w:tcPr>
          <w:p>
            <w:pPr>
              <w:spacing w:after="0"/>
              <w:rPr>
                <w:sz w:val="20"/>
                <w:szCs w:val="20"/>
                <w:color w:val="auto"/>
              </w:rPr>
            </w:pPr>
            <w:r>
              <w:rPr>
                <w:rFonts w:ascii="Arial" w:cs="Arial" w:eastAsia="Arial" w:hAnsi="Arial"/>
                <w:sz w:val="18"/>
                <w:szCs w:val="18"/>
                <w:color w:val="auto"/>
              </w:rPr>
              <w:t>Other</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(17,894)</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9"/>
          </w:tcPr>
          <w:p>
            <w:pPr>
              <w:jc w:val="right"/>
              <w:ind w:right="110"/>
              <w:spacing w:after="0"/>
              <w:rPr>
                <w:sz w:val="20"/>
                <w:szCs w:val="20"/>
                <w:color w:val="auto"/>
              </w:rPr>
            </w:pPr>
            <w:r>
              <w:rPr>
                <w:rFonts w:ascii="Arial" w:cs="Arial" w:eastAsia="Arial" w:hAnsi="Arial"/>
                <w:sz w:val="18"/>
                <w:szCs w:val="18"/>
                <w:color w:val="auto"/>
              </w:rPr>
              <w:t>(15,012)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9"/>
          </w:tcPr>
          <w:p>
            <w:pPr>
              <w:jc w:val="right"/>
              <w:ind w:right="350"/>
              <w:spacing w:after="0"/>
              <w:rPr>
                <w:sz w:val="20"/>
                <w:szCs w:val="20"/>
                <w:color w:val="auto"/>
              </w:rPr>
            </w:pPr>
            <w:r>
              <w:rPr>
                <w:rFonts w:ascii="Arial" w:cs="Arial" w:eastAsia="Arial" w:hAnsi="Arial"/>
                <w:sz w:val="18"/>
                <w:szCs w:val="18"/>
                <w:color w:val="auto"/>
              </w:rPr>
              <w:t>(83,858)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(80,793)</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$ 10,342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7,492</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86"/>
              </w:rPr>
              <w:t>153,233</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120,918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firstLine="8"/>
        <w:spacing w:after="0" w:line="185" w:lineRule="auto"/>
        <w:tabs>
          <w:tab w:leader="none" w:pos="102" w:val="left"/>
        </w:tabs>
        <w:numPr>
          <w:ilvl w:val="0"/>
          <w:numId w:val="2"/>
        </w:numPr>
        <w:rPr>
          <w:rFonts w:ascii="Arial" w:cs="Arial" w:eastAsia="Arial" w:hAnsi="Arial"/>
          <w:sz w:val="25"/>
          <w:szCs w:val="25"/>
          <w:color w:val="auto"/>
          <w:vertAlign w:val="superscript"/>
        </w:rPr>
      </w:pPr>
      <w:r>
        <w:rPr>
          <w:rFonts w:ascii="Arial" w:cs="Arial" w:eastAsia="Arial" w:hAnsi="Arial"/>
          <w:sz w:val="15"/>
          <w:szCs w:val="15"/>
          <w:color w:val="auto"/>
        </w:rPr>
        <w:t>Includes restructuring and other income of $499 thousand and $551 thousand for the three-month period and fiscal year ended October 31, 2004, respectively. Includes restructuring and other income of $273 thousand and $358 thousand for the three-month period and fiscal year ended October 31, 2003, respectively.</w:t>
      </w:r>
    </w:p>
    <w:p>
      <w:pPr>
        <w:spacing w:after="0" w:line="1" w:lineRule="exact"/>
        <w:rPr>
          <w:rFonts w:ascii="Arial" w:cs="Arial" w:eastAsia="Arial" w:hAnsi="Arial"/>
          <w:sz w:val="25"/>
          <w:szCs w:val="25"/>
          <w:color w:val="auto"/>
          <w:vertAlign w:val="superscript"/>
        </w:rPr>
      </w:pPr>
    </w:p>
    <w:p>
      <w:pPr>
        <w:ind w:right="360"/>
        <w:spacing w:after="0" w:line="198" w:lineRule="auto"/>
        <w:rPr>
          <w:rFonts w:ascii="Arial" w:cs="Arial" w:eastAsia="Arial" w:hAnsi="Arial"/>
          <w:sz w:val="25"/>
          <w:szCs w:val="25"/>
          <w:color w:val="auto"/>
          <w:vertAlign w:val="superscript"/>
        </w:rPr>
      </w:pPr>
      <w:r>
        <w:rPr>
          <w:rFonts w:ascii="Arial" w:cs="Arial" w:eastAsia="Arial" w:hAnsi="Arial"/>
          <w:sz w:val="23"/>
          <w:szCs w:val="23"/>
          <w:color w:val="auto"/>
          <w:vertAlign w:val="superscript"/>
        </w:rPr>
        <w:t>2</w:t>
      </w:r>
      <w:r>
        <w:rPr>
          <w:rFonts w:ascii="Arial" w:cs="Arial" w:eastAsia="Arial" w:hAnsi="Arial"/>
          <w:sz w:val="14"/>
          <w:szCs w:val="14"/>
          <w:color w:val="auto"/>
        </w:rPr>
        <w:t xml:space="preserve"> Includes restructuring and other expense (income) of $131 thousand and $(131) thousand for the three-month period and fiscal year ended October 31, 2004, respectively. Includes restructuring and other expense of $623 thousand and $2,184 thousand for the three-month period and fiscal year ended October 31, 2003, respectively.</w:t>
      </w:r>
    </w:p>
    <w:p>
      <w:pPr>
        <w:sectPr>
          <w:pgSz w:w="11900" w:h="16838" w:orient="portrait"/>
          <w:cols w:equalWidth="0" w:num="1">
            <w:col w:w="11420"/>
          </w:cols>
          <w:pgMar w:left="240" w:top="125" w:right="239" w:bottom="20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THE TORO COMPANY AND SUBSIDIARIES</w:t>
      </w:r>
    </w:p>
    <w:p>
      <w:pPr>
        <w:sectPr>
          <w:pgSz w:w="11900" w:h="16838" w:orient="portrait"/>
          <w:cols w:equalWidth="0" w:num="1">
            <w:col w:w="11420"/>
          </w:cols>
          <w:pgMar w:left="240" w:top="125" w:right="239" w:bottom="200" w:gutter="0" w:footer="0" w:header="0"/>
          <w:type w:val="continuous"/>
        </w:sectPr>
      </w:pPr>
    </w:p>
    <w:bookmarkStart w:id="7" w:name="page8"/>
    <w:bookmarkEnd w:id="7"/>
    <w:p>
      <w:pPr>
        <w:jc w:val="center"/>
        <w:ind w:right="20"/>
        <w:spacing w:after="0"/>
        <w:rPr>
          <w:sz w:val="20"/>
          <w:szCs w:val="20"/>
          <w:color w:val="auto"/>
        </w:rPr>
      </w:pPr>
      <w:r>
        <w:rPr>
          <w:rFonts w:ascii="Arial" w:cs="Arial" w:eastAsia="Arial" w:hAnsi="Arial"/>
          <w:sz w:val="22"/>
          <w:szCs w:val="22"/>
          <w:b w:val="1"/>
          <w:bCs w:val="1"/>
          <w:color w:val="auto"/>
        </w:rPr>
        <w:t>Condensed Consolidated Balance Sheets (Unaudited)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(Dollars in thousands)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3"/>
          </w:tcPr>
          <w:p>
            <w:pPr>
              <w:ind w:left="220"/>
              <w:spacing w:after="0"/>
              <w:rPr>
                <w:sz w:val="20"/>
                <w:szCs w:val="20"/>
                <w:color w:val="auto"/>
              </w:rPr>
            </w:pPr>
            <w:r>
              <w:rPr>
                <w:rFonts w:ascii="Arial" w:cs="Arial" w:eastAsia="Arial" w:hAnsi="Arial"/>
                <w:sz w:val="18"/>
                <w:szCs w:val="18"/>
                <w:b w:val="1"/>
                <w:bCs w:val="1"/>
                <w:color w:val="auto"/>
              </w:rPr>
              <w:t>October 31,</w:t>
            </w:r>
          </w:p>
        </w:tc>
        <w:tc>
          <w:tcPr>
            <w:tcW w:w="480" w:type="dxa"/>
            <w:vAlign w:val="bottom"/>
          </w:tcPr>
          <w:p>
            <w:pPr>
              <w:spacing w:after="0"/>
              <w:rPr>
                <w:sz w:val="18"/>
                <w:szCs w:val="18"/>
                <w:color w:val="auto"/>
              </w:rPr>
            </w:pPr>
          </w:p>
        </w:tc>
        <w:tc>
          <w:tcPr>
            <w:tcW w:w="1380" w:type="dxa"/>
            <w:vAlign w:val="bottom"/>
            <w:gridSpan w:val="3"/>
          </w:tcPr>
          <w:p>
            <w:pPr>
              <w:ind w:left="240"/>
              <w:spacing w:after="0"/>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34"/>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46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2003</w:t>
            </w: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00" w:type="dxa"/>
            <w:vAlign w:val="bottom"/>
            <w:gridSpan w:val="3"/>
            <w:vMerge w:val="continue"/>
          </w:tcPr>
          <w:p>
            <w:pPr>
              <w:spacing w:after="0"/>
              <w:rPr>
                <w:sz w:val="18"/>
                <w:szCs w:val="18"/>
                <w:color w:val="auto"/>
              </w:rPr>
            </w:pPr>
          </w:p>
        </w:tc>
        <w:tc>
          <w:tcPr>
            <w:tcW w:w="340" w:type="dxa"/>
            <w:vAlign w:val="bottom"/>
            <w:vMerge w:val="restart"/>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90,756</w:t>
            </w:r>
          </w:p>
        </w:tc>
        <w:tc>
          <w:tcPr>
            <w:tcW w:w="460" w:type="dxa"/>
            <w:vAlign w:val="bottom"/>
          </w:tcPr>
          <w:p>
            <w:pPr>
              <w:spacing w:after="0"/>
              <w:rPr>
                <w:sz w:val="18"/>
                <w:szCs w:val="18"/>
                <w:color w:val="auto"/>
              </w:rPr>
            </w:pPr>
          </w:p>
        </w:tc>
        <w:tc>
          <w:tcPr>
            <w:tcW w:w="820" w:type="dxa"/>
            <w:vAlign w:val="bottom"/>
            <w:gridSpan w:val="2"/>
            <w:vMerge w:val="restart"/>
          </w:tcPr>
          <w:p>
            <w:pPr>
              <w:ind w:left="72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86"/>
              </w:rPr>
              <w:t>110,287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Cash and cash equivalents</w:t>
            </w:r>
          </w:p>
        </w:tc>
        <w:tc>
          <w:tcPr>
            <w:tcW w:w="48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285,736</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280,124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227,200</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228,909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16,931</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12,484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44,552</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42,111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gridSpan w:val="2"/>
          </w:tcPr>
          <w:p>
            <w:pPr>
              <w:ind w:left="12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665,175</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673,915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0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164,665</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159,116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Goodwill and other assets, net</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98,907</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93,220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gridSpan w:val="2"/>
          </w:tcPr>
          <w:p>
            <w:pPr>
              <w:ind w:left="120"/>
              <w:spacing w:after="0"/>
              <w:rPr>
                <w:sz w:val="20"/>
                <w:szCs w:val="20"/>
                <w:color w:val="auto"/>
              </w:rPr>
            </w:pPr>
            <w:r>
              <w:rPr>
                <w:rFonts w:ascii="Arial" w:cs="Arial" w:eastAsia="Arial" w:hAnsi="Arial"/>
                <w:sz w:val="18"/>
                <w:szCs w:val="18"/>
                <w:color w:val="auto"/>
              </w:rPr>
              <w:t>Total assets</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928,747</w:t>
            </w:r>
          </w:p>
        </w:tc>
        <w:tc>
          <w:tcPr>
            <w:tcW w:w="460" w:type="dxa"/>
            <w:vAlign w:val="bottom"/>
          </w:tcPr>
          <w:p>
            <w:pPr>
              <w:spacing w:after="0"/>
              <w:rPr>
                <w:sz w:val="20"/>
                <w:szCs w:val="20"/>
                <w:color w:val="auto"/>
              </w:rPr>
            </w:pP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927,432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gridSpan w:val="3"/>
            <w:vMerge w:val="continue"/>
          </w:tcPr>
          <w:p>
            <w:pPr>
              <w:spacing w:after="0"/>
              <w:rPr>
                <w:sz w:val="18"/>
                <w:szCs w:val="18"/>
                <w:color w:val="auto"/>
              </w:rPr>
            </w:pPr>
          </w:p>
        </w:tc>
        <w:tc>
          <w:tcPr>
            <w:tcW w:w="340" w:type="dxa"/>
            <w:vAlign w:val="bottom"/>
            <w:vMerge w:val="restart"/>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8"/>
                <w:szCs w:val="18"/>
                <w:color w:val="auto"/>
              </w:rPr>
            </w:pPr>
          </w:p>
        </w:tc>
        <w:tc>
          <w:tcPr>
            <w:tcW w:w="820" w:type="dxa"/>
            <w:vAlign w:val="bottom"/>
            <w:gridSpan w:val="2"/>
            <w:vMerge w:val="restart"/>
          </w:tcPr>
          <w:p>
            <w:pPr>
              <w:ind w:left="72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3,830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 portion of long-term debt</w:t>
            </w:r>
          </w:p>
        </w:tc>
        <w:tc>
          <w:tcPr>
            <w:tcW w:w="4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1,099</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87,147</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73,976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252,484</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223,192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ind w:left="12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340,775</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303,136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00" w:type="dxa"/>
            <w:vAlign w:val="bottom"/>
            <w:gridSpan w:val="3"/>
          </w:tcPr>
          <w:p>
            <w:pPr>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175,046</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175,091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Long-term deferred income taxes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3,837</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Deferred revenue and other long-term liabilities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13,475</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12,003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395,614</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437,202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928,747</w:t>
            </w:r>
          </w:p>
        </w:tc>
        <w:tc>
          <w:tcPr>
            <w:tcW w:w="460" w:type="dxa"/>
            <w:vAlign w:val="bottom"/>
          </w:tcPr>
          <w:p>
            <w:pPr>
              <w:spacing w:after="0"/>
              <w:rPr>
                <w:sz w:val="19"/>
                <w:szCs w:val="19"/>
                <w:color w:val="auto"/>
              </w:rPr>
            </w:pP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927,432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THE TORO COMPANY AND SUBSIDIARIES</w:t>
      </w:r>
    </w:p>
    <w:p>
      <w:pPr>
        <w:spacing w:after="0" w:line="206"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Condensed Consolidated Statements of Cash Flows (Unaudited)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(Dollars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Fiscal Years Ended</w:t>
            </w:r>
          </w:p>
        </w:tc>
        <w:tc>
          <w:tcPr>
            <w:tcW w:w="5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400" w:type="dxa"/>
            <w:vAlign w:val="bottom"/>
          </w:tcPr>
          <w:p>
            <w:pPr>
              <w:spacing w:after="0"/>
              <w:rPr>
                <w:sz w:val="16"/>
                <w:szCs w:val="16"/>
                <w:color w:val="auto"/>
              </w:rPr>
            </w:pPr>
          </w:p>
        </w:tc>
        <w:tc>
          <w:tcPr>
            <w:tcW w:w="1780" w:type="dxa"/>
            <w:vAlign w:val="bottom"/>
            <w:gridSpan w:val="4"/>
          </w:tcPr>
          <w:p>
            <w:pPr>
              <w:jc w:val="right"/>
              <w:ind w:right="500"/>
              <w:spacing w:after="0" w:line="191" w:lineRule="exact"/>
              <w:rPr>
                <w:sz w:val="20"/>
                <w:szCs w:val="20"/>
                <w:color w:val="auto"/>
              </w:rPr>
            </w:pPr>
            <w:r>
              <w:rPr>
                <w:rFonts w:ascii="Arial" w:cs="Arial" w:eastAsia="Arial" w:hAnsi="Arial"/>
                <w:sz w:val="18"/>
                <w:szCs w:val="18"/>
                <w:b w:val="1"/>
                <w:bCs w:val="1"/>
                <w:color w:val="auto"/>
              </w:rPr>
              <w:t>October 31,</w:t>
            </w:r>
          </w:p>
        </w:tc>
        <w:tc>
          <w:tcPr>
            <w:tcW w:w="1660" w:type="dxa"/>
            <w:vAlign w:val="bottom"/>
            <w:gridSpan w:val="3"/>
          </w:tcPr>
          <w:p>
            <w:pPr>
              <w:jc w:val="right"/>
              <w:ind w:right="280"/>
              <w:spacing w:after="0" w:line="191" w:lineRule="exact"/>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34"/>
        </w:trPr>
        <w:tc>
          <w:tcPr>
            <w:tcW w:w="740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52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2003</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0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102,666</w:t>
            </w:r>
          </w:p>
        </w:tc>
        <w:tc>
          <w:tcPr>
            <w:tcW w:w="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81,620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Adjustments to reconcile net earnings to net cash</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8"/>
                <w:szCs w:val="18"/>
                <w:color w:val="auto"/>
              </w:rPr>
              <w:t>provided by operating activities:</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Non-cash asset impairment (recovery) write-off</w:t>
            </w:r>
          </w:p>
        </w:tc>
        <w:tc>
          <w:tcPr>
            <w:tcW w:w="52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(726)</w:t>
            </w: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6,814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Equity losses from an investment</w:t>
            </w: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781</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Provision for depreciation and amortization</w:t>
            </w: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36,093</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34,136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(Gain) loss on disposal of property, plant, and equipment</w:t>
            </w:r>
          </w:p>
        </w:tc>
        <w:tc>
          <w:tcPr>
            <w:tcW w:w="52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(216)</w:t>
            </w: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Decrease in deferred income taxes</w:t>
            </w: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2,758</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Tax benefits related to employee stock option transactions</w:t>
            </w: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9,857</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8"/>
                <w:szCs w:val="18"/>
                <w:color w:val="auto"/>
              </w:rPr>
              <w:t>Receivables, net</w:t>
            </w:r>
          </w:p>
        </w:tc>
        <w:tc>
          <w:tcPr>
            <w:tcW w:w="52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(10,717)</w:t>
            </w:r>
          </w:p>
        </w:tc>
        <w:tc>
          <w:tcPr>
            <w:tcW w:w="6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(27,953)</w:t>
            </w: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8"/>
                <w:szCs w:val="18"/>
                <w:color w:val="auto"/>
              </w:rPr>
              <w:t>Inventories, net</w:t>
            </w:r>
          </w:p>
        </w:tc>
        <w:tc>
          <w:tcPr>
            <w:tcW w:w="52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(310)</w:t>
            </w: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3,746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8"/>
                <w:szCs w:val="18"/>
                <w:color w:val="auto"/>
              </w:rPr>
              <w:t>Prepaid expenses and other assets</w:t>
            </w:r>
          </w:p>
        </w:tc>
        <w:tc>
          <w:tcPr>
            <w:tcW w:w="52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(4,392)</w:t>
            </w:r>
          </w:p>
        </w:tc>
        <w:tc>
          <w:tcPr>
            <w:tcW w:w="6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Accounts payable, accrued expenses, and deferred revenue</w:t>
            </w:r>
          </w:p>
        </w:tc>
        <w:tc>
          <w:tcPr>
            <w:tcW w:w="520" w:type="dxa"/>
            <w:vAlign w:val="bottom"/>
          </w:tcPr>
          <w:p>
            <w:pPr>
              <w:spacing w:after="0"/>
              <w:rPr>
                <w:sz w:val="20"/>
                <w:szCs w:val="2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49,354</w:t>
            </w: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185,148</w:t>
            </w: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118,626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52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(40,812)</w:t>
            </w:r>
          </w:p>
        </w:tc>
        <w:tc>
          <w:tcPr>
            <w:tcW w:w="6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(43,265)</w:t>
            </w: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Proceeds from disposals of property, plant, and equipment</w:t>
            </w: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2,098</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(Increase) decrease in investment in affiliates</w:t>
            </w:r>
          </w:p>
        </w:tc>
        <w:tc>
          <w:tcPr>
            <w:tcW w:w="52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(1,278)</w:t>
            </w: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Decrease in other assets</w:t>
            </w: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1,118</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Proceeds from sale of business</w:t>
            </w: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578</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Acquisition, net of cash acquired</w:t>
            </w:r>
          </w:p>
        </w:tc>
        <w:tc>
          <w:tcPr>
            <w:tcW w:w="520" w:type="dxa"/>
            <w:vAlign w:val="bottom"/>
          </w:tcPr>
          <w:p>
            <w:pPr>
              <w:spacing w:after="0"/>
              <w:rPr>
                <w:sz w:val="18"/>
                <w:szCs w:val="18"/>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30"/>
        </w:trPr>
        <w:tc>
          <w:tcPr>
            <w:tcW w:w="740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Pr>
          <w:p>
            <w:pPr>
              <w:spacing w:after="0"/>
              <w:rPr>
                <w:sz w:val="20"/>
                <w:szCs w:val="20"/>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(38,296)</w:t>
            </w:r>
          </w:p>
        </w:tc>
        <w:tc>
          <w:tcPr>
            <w:tcW w:w="6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(40,483)</w:t>
            </w:r>
          </w:p>
        </w:tc>
        <w:tc>
          <w:tcPr>
            <w:tcW w:w="0" w:type="dxa"/>
            <w:vAlign w:val="bottom"/>
          </w:tcPr>
          <w:p>
            <w:pPr>
              <w:spacing w:after="0"/>
              <w:rPr>
                <w:sz w:val="1"/>
                <w:szCs w:val="1"/>
                <w:color w:val="auto"/>
              </w:rPr>
            </w:pPr>
          </w:p>
        </w:tc>
      </w:tr>
      <w:tr>
        <w:trPr>
          <w:trHeight w:val="209"/>
        </w:trPr>
        <w:tc>
          <w:tcPr>
            <w:tcW w:w="74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5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(Decrease) increase in short-term debt</w:t>
            </w:r>
          </w:p>
        </w:tc>
        <w:tc>
          <w:tcPr>
            <w:tcW w:w="52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(1,039)</w:t>
            </w: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Repayments of long-term debt</w:t>
            </w:r>
          </w:p>
        </w:tc>
        <w:tc>
          <w:tcPr>
            <w:tcW w:w="52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(3,830)</w:t>
            </w:r>
          </w:p>
        </w:tc>
        <w:tc>
          <w:tcPr>
            <w:tcW w:w="6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(15,846)</w:t>
            </w: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14,307</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8,923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Purchases of common stock</w:t>
            </w:r>
          </w:p>
        </w:tc>
        <w:tc>
          <w:tcPr>
            <w:tcW w:w="52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w w:val="88"/>
              </w:rPr>
              <w:t>(169,821)</w:t>
            </w:r>
          </w:p>
        </w:tc>
        <w:tc>
          <w:tcPr>
            <w:tcW w:w="6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(18,726)</w:t>
            </w: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Dividends on common stock</w:t>
            </w:r>
          </w:p>
        </w:tc>
        <w:tc>
          <w:tcPr>
            <w:tcW w:w="52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(5,839)</w:t>
            </w:r>
          </w:p>
        </w:tc>
        <w:tc>
          <w:tcPr>
            <w:tcW w:w="6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30"/>
        </w:trPr>
        <w:tc>
          <w:tcPr>
            <w:tcW w:w="7400" w:type="dxa"/>
            <w:vAlign w:val="bottom"/>
          </w:tcPr>
          <w:p>
            <w:pPr>
              <w:ind w:left="400"/>
              <w:spacing w:after="0"/>
              <w:rPr>
                <w:sz w:val="20"/>
                <w:szCs w:val="20"/>
                <w:color w:val="auto"/>
              </w:rPr>
            </w:pPr>
            <w:r>
              <w:rPr>
                <w:rFonts w:ascii="Arial" w:cs="Arial" w:eastAsia="Arial" w:hAnsi="Arial"/>
                <w:sz w:val="18"/>
                <w:szCs w:val="18"/>
                <w:color w:val="auto"/>
              </w:rPr>
              <w:t>Net cash used in financing activities</w:t>
            </w:r>
          </w:p>
        </w:tc>
        <w:tc>
          <w:tcPr>
            <w:tcW w:w="520" w:type="dxa"/>
            <w:vAlign w:val="bottom"/>
          </w:tcPr>
          <w:p>
            <w:pPr>
              <w:spacing w:after="0"/>
              <w:rPr>
                <w:sz w:val="20"/>
                <w:szCs w:val="20"/>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w w:val="88"/>
              </w:rPr>
              <w:t>(166,222)</w:t>
            </w:r>
          </w:p>
        </w:tc>
        <w:tc>
          <w:tcPr>
            <w:tcW w:w="6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(30,771)</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5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62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520" w:type="dxa"/>
            <w:vAlign w:val="bottom"/>
          </w:tcPr>
          <w:p>
            <w:pPr>
              <w:spacing w:after="0"/>
              <w:rPr>
                <w:sz w:val="18"/>
                <w:szCs w:val="18"/>
                <w:color w:val="auto"/>
              </w:rPr>
            </w:pPr>
          </w:p>
        </w:tc>
        <w:tc>
          <w:tcPr>
            <w:tcW w:w="6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2"/>
              </w:rPr>
              <w:t>(19,531)</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47,471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fiscal year</w:t>
            </w:r>
          </w:p>
        </w:tc>
        <w:tc>
          <w:tcPr>
            <w:tcW w:w="520" w:type="dxa"/>
            <w:vAlign w:val="bottom"/>
          </w:tcPr>
          <w:p>
            <w:pPr>
              <w:spacing w:after="0"/>
              <w:rPr>
                <w:sz w:val="20"/>
                <w:szCs w:val="2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110,287</w:t>
            </w: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62,816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Cash and cash equivalents as of the end of the fiscal year</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90,756</w:t>
            </w: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110,287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840"/>
      </w:cols>
      <w:pgMar w:left="540" w:top="111" w:right="51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2019-12-11T20:15:20Z</dcterms:created>
  <dcterms:modified xsi:type="dcterms:W3CDTF">2019-12-11T20:15:20Z</dcterms:modified>
</cp:coreProperties>
</file>