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3, 2012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February 29, 2012 was 29,930,914.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10"/>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Condensed Consolidated Statements of Earnings (Unaudited) - Three Months Ended February 3, 2012 and January 28, 2011</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60" w:type="dxa"/>
            <w:vAlign w:val="bottom"/>
            <w:tcBorders>
              <w:top w:val="single" w:sz="8" w:color="0000EE"/>
            </w:tcBorders>
            <w:gridSpan w:val="8"/>
          </w:tcPr>
          <w:p>
            <w:pPr>
              <w:spacing w:after="0"/>
              <w:rPr>
                <w:rFonts w:ascii="Arial" w:cs="Arial" w:eastAsia="Arial" w:hAnsi="Arial"/>
                <w:sz w:val="18"/>
                <w:szCs w:val="18"/>
                <w:color w:val="0000EE"/>
                <w:w w:val="96"/>
              </w:rPr>
            </w:pPr>
            <w:hyperlink w:anchor="page2">
              <w:r>
                <w:rPr>
                  <w:rFonts w:ascii="Arial" w:cs="Arial" w:eastAsia="Arial" w:hAnsi="Arial"/>
                  <w:sz w:val="18"/>
                  <w:szCs w:val="18"/>
                  <w:color w:val="0000EE"/>
                  <w:w w:val="96"/>
                </w:rPr>
                <w:t>Condensed Consolidated Balance Sheets (Unaudited) — February 3, 2012, January 28, 2011, and October 31, 2011</w:t>
              </w:r>
            </w:hyperlink>
          </w:p>
        </w:tc>
        <w:tc>
          <w:tcPr>
            <w:tcW w:w="3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(Unaudited) - Three Months Ended February 3, 2012 and January 28, 2011</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4240" w:type="dxa"/>
            <w:vAlign w:val="bottom"/>
            <w:tcBorders>
              <w:top w:val="single" w:sz="8" w:color="0000EE"/>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Item 2.</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3.</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4.</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2200" w:type="dxa"/>
            <w:vAlign w:val="bottom"/>
            <w:gridSpan w:val="9"/>
          </w:tcPr>
          <w:p>
            <w:pPr>
              <w:ind w:left="20"/>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2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6"/>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8">
              <w:r>
                <w:rPr>
                  <w:rFonts w:ascii="Arial" w:cs="Arial" w:eastAsia="Arial" w:hAnsi="Arial"/>
                  <w:sz w:val="18"/>
                  <w:szCs w:val="18"/>
                  <w:b w:val="1"/>
                  <w:bCs w:val="1"/>
                  <w:color w:val="0000EE"/>
                  <w:w w:val="94"/>
                </w:rPr>
                <w:t>Item 1A.</w:t>
              </w:r>
            </w:hyperlink>
          </w:p>
        </w:tc>
        <w:tc>
          <w:tcPr>
            <w:tcW w:w="4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1080" w:type="dxa"/>
            <w:vAlign w:val="bottom"/>
            <w:gridSpan w:val="3"/>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14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0"/>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1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Item 1. FINANCIAL STATEMENTS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(Dollars and shares in thousands, except per share data)</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2"/>
              <w:spacing w:after="0" w:line="119" w:lineRule="exact"/>
              <w:rPr>
                <w:sz w:val="20"/>
                <w:szCs w:val="20"/>
                <w:color w:val="auto"/>
              </w:rPr>
            </w:pPr>
            <w:r>
              <w:rPr>
                <w:rFonts w:ascii="Arial" w:cs="Arial" w:eastAsia="Arial" w:hAnsi="Arial"/>
                <w:sz w:val="13"/>
                <w:szCs w:val="13"/>
                <w:b w:val="1"/>
                <w:bCs w:val="1"/>
                <w:color w:val="auto"/>
              </w:rPr>
              <w:t>January 28,</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277,184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w w:val="93"/>
              </w:rPr>
              <w:t>Selling, general, and administrative expense</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112,630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14"/>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2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14"/>
          </w:tcPr>
          <w:p>
            <w:pPr>
              <w:ind w:left="160"/>
              <w:spacing w:after="0"/>
              <w:rPr>
                <w:sz w:val="20"/>
                <w:szCs w:val="20"/>
                <w:color w:val="auto"/>
              </w:rPr>
            </w:pPr>
            <w:r>
              <w:rPr>
                <w:rFonts w:ascii="Arial" w:cs="Arial" w:eastAsia="Arial" w:hAnsi="Arial"/>
                <w:sz w:val="18"/>
                <w:szCs w:val="18"/>
                <w:color w:val="auto"/>
              </w:rPr>
              <w:t>Earnings before income taxes</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w w:val="92"/>
              </w:rPr>
              <w:t>Net earnings</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w w:val="89"/>
              </w:rPr>
              <w:t>Basic net earnings per share of common stock</w:t>
            </w:r>
          </w:p>
        </w:tc>
        <w:tc>
          <w:tcPr>
            <w:tcW w:w="2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Diluted net earnings per share of common stock</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29,993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2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30,473</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40" w:type="dxa"/>
            <w:vAlign w:val="bottom"/>
            <w:gridSpan w:val="18"/>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2"/>
          </w:tcPr>
          <w:p>
            <w:pPr>
              <w:jc w:val="center"/>
              <w:ind w:left="135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1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9"/>
              </w:rPr>
              <w:t>(Dollars in thousands)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8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71,804</w:t>
            </w: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94,418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175,498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w w:val="89"/>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272,474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239,734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6"/>
              </w:rPr>
              <w:t>Prepaid expenses and other current assets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18,796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Deferred income taxes</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61,900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59,019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14"/>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662,029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602,951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ind w:left="160"/>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473,758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430,303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21,305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15,961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91,875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14"/>
          </w:tcPr>
          <w:p>
            <w:pPr>
              <w:spacing w:after="0"/>
              <w:rPr>
                <w:sz w:val="20"/>
                <w:szCs w:val="20"/>
                <w:color w:val="auto"/>
              </w:rPr>
            </w:pPr>
            <w:r>
              <w:rPr>
                <w:rFonts w:ascii="Arial" w:cs="Arial" w:eastAsia="Arial" w:hAnsi="Arial"/>
                <w:sz w:val="18"/>
                <w:szCs w:val="18"/>
                <w:color w:val="auto"/>
              </w:rPr>
              <w:t>Other intangible assets, net</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34,820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35,617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w w:val="96"/>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-8664575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-8664575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-3819525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-3819525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2,078</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2,478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1,978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25,024</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151,836</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149,702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226,370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235,076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405,308</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387,449</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223,685</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225,101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225,178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1,368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100,000,000 shares, issued and</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outstanding 29,898,362 shares as of February 3, 2012, 31,106,669 shares as of</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January 28, 2011, and 29,603,095 shares as of October 31, 2011</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29,898</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31,107</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265,022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243,540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(6,191)</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(8,550)</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288,729</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937,007</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896,711</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19,923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(27,888)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29,723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short-term debt,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(4,865)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(9,082)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177,366</w:t>
            </w:r>
          </w:p>
        </w:tc>
        <w:tc>
          <w:tcPr>
            <w:tcW w:w="0" w:type="dxa"/>
            <w:vAlign w:val="bottom"/>
          </w:tcPr>
          <w:p>
            <w:pPr>
              <w:spacing w:after="0"/>
              <w:rPr>
                <w:sz w:val="1"/>
                <w:szCs w:val="1"/>
                <w:color w:val="auto"/>
              </w:rPr>
            </w:pPr>
          </w:p>
        </w:tc>
      </w:tr>
      <w:tr>
        <w:trPr>
          <w:trHeight w:val="250"/>
        </w:trPr>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71,804</w:t>
            </w:r>
          </w:p>
        </w:tc>
        <w:tc>
          <w:tcPr>
            <w:tcW w:w="2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0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75" w:orient="portrait"/>
          <w:cols w:equalWidth="0" w:num="1">
            <w:col w:w="11420"/>
          </w:cols>
          <w:pgMar w:left="240" w:top="108" w:right="239" w:bottom="0" w:gutter="0" w:footer="0" w:header="0"/>
        </w:sectPr>
      </w:pPr>
    </w:p>
    <w:bookmarkStart w:id="3" w:name="page4"/>
    <w:bookmarkEnd w:id="3"/>
    <w:p>
      <w:pPr>
        <w:ind w:left="180"/>
        <w:spacing w:after="0"/>
        <w:tabs>
          <w:tab w:leader="none" w:pos="8280" w:val="left"/>
          <w:tab w:leader="none" w:pos="9380" w:val="left"/>
          <w:tab w:leader="none" w:pos="9940" w:val="left"/>
          <w:tab w:leader="none" w:pos="10880" w:val="left"/>
        </w:tabs>
        <w:rPr>
          <w:sz w:val="20"/>
          <w:szCs w:val="20"/>
          <w:color w:val="auto"/>
        </w:rPr>
      </w:pPr>
      <w:r>
        <w:rPr>
          <w:rFonts w:ascii="Arial" w:cs="Arial" w:eastAsia="Arial" w:hAnsi="Arial"/>
          <w:sz w:val="18"/>
          <w:szCs w:val="18"/>
          <w:color w:val="auto"/>
        </w:rPr>
        <w:t>Long-term debt issued in connection with an acquisition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w:t>
        <w:tab/>
        <w:t>$</w:t>
      </w:r>
      <w:r>
        <w:rPr>
          <w:sz w:val="20"/>
          <w:szCs w:val="20"/>
          <w:color w:val="auto"/>
        </w:rPr>
        <w:tab/>
      </w:r>
      <w:r>
        <w:rPr>
          <w:rFonts w:ascii="Arial" w:cs="Arial" w:eastAsia="Arial" w:hAnsi="Arial"/>
          <w:sz w:val="16"/>
          <w:szCs w:val="16"/>
          <w:color w:val="auto"/>
        </w:rPr>
        <w:t>3,015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3,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three months ended February 3, 2012 cannot be annualized to determine the expected results for the fiscal year ending October 31, 2012.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34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2011.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2011, which may increase the uncertainty inherent in such estimates and assumptions.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December 9, 2011, during the first quarter of fiscal 2012, the company completed the acquisition, in the amount of $0.7 million, of certain assets and assumed certain liabilities for a professional product line.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acquisition was immaterial based on the company’s consolidated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Unrealized gain on derivative instruments, net of tax</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Awards</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company’s equity and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key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167" w:lineRule="exact"/>
        <w:rPr>
          <w:sz w:val="20"/>
          <w:szCs w:val="20"/>
          <w:color w:val="auto"/>
        </w:rPr>
      </w:pPr>
    </w:p>
    <w:p>
      <w:pPr>
        <w:ind w:right="12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that officers, other key employees, and non-employee directors are expected to exercise their stock options, which is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40" w:type="dxa"/>
            <w:vAlign w:val="bottom"/>
            <w:gridSpan w:val="2"/>
          </w:tcPr>
          <w:p>
            <w:pPr>
              <w:ind w:left="580"/>
              <w:spacing w:after="0"/>
              <w:rPr>
                <w:sz w:val="20"/>
                <w:szCs w:val="20"/>
                <w:color w:val="auto"/>
              </w:rPr>
            </w:pPr>
            <w:r>
              <w:rPr>
                <w:rFonts w:ascii="Arial" w:cs="Arial" w:eastAsia="Arial" w:hAnsi="Arial"/>
                <w:sz w:val="14"/>
                <w:szCs w:val="14"/>
                <w:b w:val="1"/>
                <w:bCs w:val="1"/>
                <w:color w:val="auto"/>
              </w:rPr>
              <w:t>Fiscal 2012</w:t>
            </w:r>
          </w:p>
        </w:tc>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2011</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34.87% - 35.02%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33.34%</w:t>
            </w:r>
          </w:p>
        </w:tc>
        <w:tc>
          <w:tcPr>
            <w:tcW w:w="980" w:type="dxa"/>
            <w:vAlign w:val="bottom"/>
          </w:tcPr>
          <w:p>
            <w:pPr>
              <w:ind w:left="40"/>
              <w:spacing w:after="0"/>
              <w:rPr>
                <w:sz w:val="20"/>
                <w:szCs w:val="20"/>
                <w:color w:val="auto"/>
              </w:rPr>
            </w:pPr>
            <w:r>
              <w:rPr>
                <w:rFonts w:ascii="Arial" w:cs="Arial" w:eastAsia="Arial" w:hAnsi="Arial"/>
                <w:sz w:val="18"/>
                <w:szCs w:val="18"/>
                <w:color w:val="auto"/>
              </w:rPr>
              <w:t>- 33.43%</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35.01%</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33.42%</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980" w:type="dxa"/>
            <w:vAlign w:val="bottom"/>
          </w:tcPr>
          <w:p>
            <w:pPr>
              <w:ind w:left="40"/>
              <w:spacing w:after="0"/>
              <w:rPr>
                <w:sz w:val="20"/>
                <w:szCs w:val="20"/>
                <w:color w:val="auto"/>
              </w:rPr>
            </w:pPr>
            <w:r>
              <w:rPr>
                <w:rFonts w:ascii="Arial" w:cs="Arial" w:eastAsia="Arial" w:hAnsi="Arial"/>
                <w:sz w:val="18"/>
                <w:szCs w:val="18"/>
                <w:color w:val="auto"/>
              </w:rPr>
              <w:t>- 2.36%</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- 1.16%</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2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$17.09</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$20.30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over a three-year period. Performance share awards are granted on an annual basis in the first quarter of the company’s fiscal year. Compensation expense is recognized for these awards on a straight-line basis over the vesting period based on the per share fair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value as of the date of grant and the probability of achieving performance goals. The fair value of performance share awards granted during the first quarter of each of fiscal 2012 and 2011 was $56.47 and $60.98,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company’s equity and incentive plan, restricted stock awards are generally granted to certain non-officer employees. Restricted stock awards generally vest one-third each year over a three-year period or vest in full on the three-year anniversary of the date of grant. Compensation expense equal to the grant date fair value, which is equal to the closing price of the company’s common stock on the date of grant, is recognized for these awards over the vesting period. The per share weighted average fair value of restricted stock awards granted during the first quarter of fiscal 2012 and 2011 was $56.59 and $63.42,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February 3,</w:t>
            </w:r>
          </w:p>
        </w:tc>
        <w:tc>
          <w:tcPr>
            <w:tcW w:w="136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January 28,</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20" w:type="dxa"/>
            <w:vAlign w:val="bottom"/>
            <w:gridSpan w:val="5"/>
            <w:vMerge w:val="continue"/>
          </w:tcPr>
          <w:p>
            <w:pPr>
              <w:spacing w:after="0"/>
              <w:rPr>
                <w:sz w:val="14"/>
                <w:szCs w:val="14"/>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29,981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3"/>
              </w:rPr>
              <w:t>Weighted-average number of shares of common stock and assumed issuance of</w:t>
            </w: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4"/>
            <w:vMerge w:val="continue"/>
          </w:tcPr>
          <w:p>
            <w:pPr>
              <w:spacing w:after="0"/>
              <w:rPr>
                <w:sz w:val="15"/>
                <w:szCs w:val="15"/>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29,993</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4"/>
          </w:tcPr>
          <w:p>
            <w:pPr>
              <w:ind w:left="160"/>
              <w:spacing w:after="0"/>
              <w:rPr>
                <w:sz w:val="20"/>
                <w:szCs w:val="20"/>
                <w:color w:val="auto"/>
              </w:rPr>
            </w:pPr>
            <w:r>
              <w:rPr>
                <w:rFonts w:ascii="Arial" w:cs="Arial" w:eastAsia="Arial" w:hAnsi="Arial"/>
                <w:sz w:val="18"/>
                <w:szCs w:val="18"/>
                <w:color w:val="auto"/>
              </w:rPr>
              <w:t>contingent shares</w:t>
            </w:r>
          </w:p>
        </w:tc>
        <w:tc>
          <w:tcPr>
            <w:tcW w:w="16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4"/>
          </w:tcPr>
          <w:p>
            <w:pPr>
              <w:spacing w:after="0" w:line="201" w:lineRule="exact"/>
              <w:rPr>
                <w:sz w:val="20"/>
                <w:szCs w:val="20"/>
                <w:color w:val="auto"/>
              </w:rPr>
            </w:pPr>
            <w:r>
              <w:rPr>
                <w:rFonts w:ascii="Arial" w:cs="Arial" w:eastAsia="Arial" w:hAnsi="Arial"/>
                <w:sz w:val="18"/>
                <w:szCs w:val="18"/>
                <w:color w:val="auto"/>
                <w:w w:val="93"/>
              </w:rPr>
              <w:t>Weighted-average number of shares of common stock and assumed issuance of</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4"/>
          </w:tcPr>
          <w:p>
            <w:pPr>
              <w:ind w:left="160"/>
              <w:spacing w:after="0"/>
              <w:rPr>
                <w:sz w:val="20"/>
                <w:szCs w:val="20"/>
                <w:color w:val="auto"/>
              </w:rPr>
            </w:pPr>
            <w:r>
              <w:rPr>
                <w:rFonts w:ascii="Arial" w:cs="Arial" w:eastAsia="Arial" w:hAnsi="Arial"/>
                <w:sz w:val="18"/>
                <w:szCs w:val="18"/>
                <w:color w:val="auto"/>
              </w:rPr>
              <w:t>contingent shares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29,993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assumed issuance of</w:t>
            </w: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4"/>
            <w:vMerge w:val="continue"/>
          </w:tcPr>
          <w:p>
            <w:pPr>
              <w:spacing w:after="0"/>
              <w:rPr>
                <w:sz w:val="15"/>
                <w:szCs w:val="15"/>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30,473</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gridSpan w:val="4"/>
          </w:tcPr>
          <w:p>
            <w:pPr>
              <w:ind w:left="160"/>
              <w:spacing w:after="0"/>
              <w:rPr>
                <w:sz w:val="20"/>
                <w:szCs w:val="20"/>
                <w:color w:val="auto"/>
              </w:rPr>
            </w:pPr>
            <w:r>
              <w:rPr>
                <w:rFonts w:ascii="Arial" w:cs="Arial" w:eastAsia="Arial" w:hAnsi="Arial"/>
                <w:sz w:val="18"/>
                <w:szCs w:val="18"/>
                <w:color w:val="auto"/>
              </w:rPr>
              <w:t>contingent shares, and effect of dilutive securities</w:t>
            </w:r>
          </w:p>
        </w:tc>
        <w:tc>
          <w:tcPr>
            <w:tcW w:w="164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285"/>
        <w:spacing w:after="0" w:line="264" w:lineRule="auto"/>
        <w:rPr>
          <w:sz w:val="20"/>
          <w:szCs w:val="20"/>
          <w:color w:val="auto"/>
        </w:rPr>
      </w:pPr>
      <w:r>
        <w:rPr>
          <w:rFonts w:ascii="Arial" w:cs="Arial" w:eastAsia="Arial" w:hAnsi="Arial"/>
          <w:sz w:val="18"/>
          <w:szCs w:val="18"/>
          <w:color w:val="auto"/>
        </w:rPr>
        <w:t>Options to purchase an aggregate of 341,366 and 213,915 shares of common stock outstanding as of February 3, 2012 and January 28, 2011, respectively, were excluded from the diluted net earnings per share calculations because their exercise prices were greater than the average market price of the company’s common stock during the same respective periods.</w:t>
      </w:r>
    </w:p>
    <w:p>
      <w:pPr>
        <w:sectPr>
          <w:pgSz w:w="11900" w:h="16864" w:orient="portrait"/>
          <w:cols w:equalWidth="0" w:num="1">
            <w:col w:w="11420"/>
          </w:cols>
          <w:pgMar w:left="240" w:top="34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94,176</w:t>
            </w: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231,879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216,502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189,855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333,475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284,031</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61,001</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55,742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61,001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034"/>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2012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Professional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Residential</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Segment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Segment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October 31, 2011</w:t>
            </w: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February 3, 2012</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3"/>
          </w:tcPr>
          <w:p>
            <w:pPr>
              <w:spacing w:after="0"/>
              <w:rPr>
                <w:sz w:val="20"/>
                <w:szCs w:val="20"/>
                <w:color w:val="auto"/>
              </w:rPr>
            </w:pPr>
            <w:r>
              <w:rPr>
                <w:rFonts w:ascii="Arial" w:cs="Arial" w:eastAsia="Arial" w:hAnsi="Arial"/>
                <w:sz w:val="18"/>
                <w:szCs w:val="18"/>
                <w:color w:val="auto"/>
                <w:w w:val="97"/>
              </w:rPr>
              <w:t>The components of other amortizable intangible assets were as follows: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February 3, 2012</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6,295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(2,920)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25,831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(7,751)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52,020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5,281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57,301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October 31, 2011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6,250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(2,685)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(2,857)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25,236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(7,016)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18,220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51,378</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5,281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2012 was $1.4 million. Estimated amortization expense for the remainder of fiscal 2012 and succeeding fiscal years is as follows: fiscal 2012 (remainder), $4.2 million; fiscal 2013, $5.4 million; fiscal 2014, $5.1 million; fiscal 2015, $4.9 million; fiscal 2016, $4.3 million; fiscal 2017, $3.4 million; and after fiscal 2017, $2.2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2014,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337" w:right="199" w:bottom="0" w:gutter="0" w:footer="0" w:header="0"/>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February 3, 2012 was $12.6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$0.2 million as of February 3, 2012.</w:t>
      </w:r>
    </w:p>
    <w:p>
      <w:pPr>
        <w:spacing w:after="0" w:line="17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February 3, 2012 and January 31, 2011 was $215.8 million and $216.1 million,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31, 2012, Red Iron’s total assets were $259.8 million and total liabilities were $231.7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Warranty provisions, claims, changes in estimates, and additions from acquisitions for the first quarter of each of fiscal 2012 and 2011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January 28,</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8,196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(7,011)</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Professional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Three months ended February 3, 2012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30,086</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522,726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223,583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190,698</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937,007</w:t>
            </w:r>
          </w:p>
        </w:tc>
        <w:tc>
          <w:tcPr>
            <w:tcW w:w="0" w:type="dxa"/>
            <w:vAlign w:val="bottom"/>
          </w:tcPr>
          <w:p>
            <w:pPr>
              <w:spacing w:after="0"/>
              <w:rPr>
                <w:sz w:val="1"/>
                <w:szCs w:val="1"/>
                <w:color w:val="auto"/>
              </w:rPr>
            </w:pPr>
          </w:p>
        </w:tc>
      </w:tr>
      <w:tr>
        <w:trPr>
          <w:trHeight w:val="350"/>
        </w:trPr>
        <w:tc>
          <w:tcPr>
            <w:tcW w:w="4300" w:type="dxa"/>
            <w:vAlign w:val="bottom"/>
          </w:tcPr>
          <w:p>
            <w:pPr>
              <w:spacing w:after="0"/>
              <w:rPr>
                <w:sz w:val="20"/>
                <w:szCs w:val="20"/>
                <w:color w:val="auto"/>
              </w:rPr>
            </w:pPr>
            <w:r>
              <w:rPr>
                <w:rFonts w:ascii="Arial" w:cs="Arial" w:eastAsia="Arial" w:hAnsi="Arial"/>
                <w:sz w:val="14"/>
                <w:szCs w:val="14"/>
                <w:b w:val="1"/>
                <w:bCs w:val="1"/>
                <w:color w:val="auto"/>
              </w:rPr>
              <w:t>Three months ended January 28, 2011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Professional</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514,274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202,931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179,506</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896,711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jc w:val="center"/>
              <w:ind w:right="70"/>
              <w:spacing w:after="0" w:line="119" w:lineRule="exact"/>
              <w:rPr>
                <w:sz w:val="20"/>
                <w:szCs w:val="20"/>
                <w:color w:val="auto"/>
              </w:rPr>
            </w:pPr>
            <w:r>
              <w:rPr>
                <w:rFonts w:ascii="Arial" w:cs="Arial" w:eastAsia="Arial" w:hAnsi="Arial"/>
                <w:sz w:val="13"/>
                <w:szCs w:val="13"/>
                <w:b w:val="1"/>
                <w:bCs w:val="1"/>
                <w:color w:val="auto"/>
              </w:rPr>
              <w:t>February 3,</w:t>
            </w:r>
          </w:p>
        </w:tc>
        <w:tc>
          <w:tcPr>
            <w:tcW w:w="1500" w:type="dxa"/>
            <w:vAlign w:val="bottom"/>
          </w:tcPr>
          <w:p>
            <w:pPr>
              <w:jc w:val="center"/>
              <w:ind w:left="91"/>
              <w:spacing w:after="0" w:line="119" w:lineRule="exact"/>
              <w:rPr>
                <w:sz w:val="20"/>
                <w:szCs w:val="20"/>
                <w:color w:val="auto"/>
              </w:rPr>
            </w:pPr>
            <w:r>
              <w:rPr>
                <w:rFonts w:ascii="Arial" w:cs="Arial" w:eastAsia="Arial" w:hAnsi="Arial"/>
                <w:sz w:val="13"/>
                <w:szCs w:val="13"/>
                <w:b w:val="1"/>
                <w:bCs w:val="1"/>
                <w:color w:val="auto"/>
              </w:rPr>
              <w:t>January 28,</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1500" w:type="dxa"/>
            <w:vAlign w:val="bottom"/>
          </w:tcPr>
          <w:p>
            <w:pPr>
              <w:jc w:val="right"/>
              <w:ind w:right="610"/>
              <w:spacing w:after="0"/>
              <w:rPr>
                <w:sz w:val="20"/>
                <w:szCs w:val="20"/>
                <w:color w:val="auto"/>
              </w:rPr>
            </w:pPr>
            <w:r>
              <w:rPr>
                <w:rFonts w:ascii="Arial" w:cs="Arial" w:eastAsia="Arial" w:hAnsi="Arial"/>
                <w:sz w:val="14"/>
                <w:szCs w:val="14"/>
                <w:b w:val="1"/>
                <w:bCs w:val="1"/>
                <w:color w:val="auto"/>
              </w:rPr>
              <w:t>2012</w:t>
            </w:r>
          </w:p>
        </w:tc>
        <w:tc>
          <w:tcPr>
            <w:tcW w:w="15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82790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27905" cy="14605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p>
      <w:pPr>
        <w:spacing w:after="0"/>
        <w:tabs>
          <w:tab w:leader="none" w:pos="4480" w:val="left"/>
          <w:tab w:leader="none" w:pos="5300" w:val="left"/>
          <w:tab w:leader="none" w:pos="6140" w:val="left"/>
          <w:tab w:leader="none" w:pos="6920" w:val="left"/>
        </w:tabs>
        <w:rPr>
          <w:sz w:val="20"/>
          <w:szCs w:val="20"/>
          <w:color w:val="auto"/>
        </w:rPr>
      </w:pPr>
      <w:r>
        <w:rPr>
          <w:rFonts w:ascii="Arial" w:cs="Arial" w:eastAsia="Arial" w:hAnsi="Arial"/>
          <w:sz w:val="18"/>
          <w:szCs w:val="18"/>
          <w:color w:val="auto"/>
        </w:rPr>
        <w:t>Corporate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(19,470)</w:t>
        <w:tab/>
        <w:t>$</w:t>
      </w:r>
      <w:r>
        <w:rPr>
          <w:sz w:val="20"/>
          <w:szCs w:val="20"/>
          <w:color w:val="auto"/>
        </w:rPr>
        <w:tab/>
      </w:r>
      <w:r>
        <w:rPr>
          <w:rFonts w:ascii="Arial" w:cs="Arial" w:eastAsia="Arial" w:hAnsi="Arial"/>
          <w:sz w:val="16"/>
          <w:szCs w:val="16"/>
          <w:color w:val="auto"/>
        </w:rPr>
        <w:t>(19,395)</w:t>
      </w:r>
    </w:p>
    <w:p>
      <w:pPr>
        <w:sectPr>
          <w:pgSz w:w="11900" w:h="16838" w:orient="portrait"/>
          <w:cols w:equalWidth="0" w:num="1">
            <w:col w:w="11420"/>
          </w:cols>
          <w:pgMar w:left="240" w:top="517" w:right="239" w:bottom="0" w:gutter="0" w:footer="0" w:header="0"/>
          <w:type w:val="continuous"/>
        </w:sectPr>
      </w:pPr>
    </w:p>
    <w:bookmarkStart w:id="7" w:name="page8"/>
    <w:bookmarkEnd w:id="7"/>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(4,428)</w:t>
            </w:r>
          </w:p>
        </w:tc>
        <w:tc>
          <w:tcPr>
            <w:tcW w:w="4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(4,116)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 Retirement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2011, the company’s Board of Directors authorized the retirement of 15 million treasury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and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is not to allow the use of derivatives for trading or speculative purposes. The company’s primary foreign currency exchange rate exposures are with the Euro, the Australian dollar, the Canadian dollar, the British pound, the Mexican peso, the Japanese yen, and the Chinese Yuan against the U.S. dollar. The company also has exposure with the Romanian New Lei against the Euro and U.S. dollar because of its new manufacturing facility in Romania.</w:t>
      </w:r>
    </w:p>
    <w:p>
      <w:pPr>
        <w:spacing w:after="0" w:line="1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balance sheet, recognizing future changes in the fair value in other income (expense), net. For the first quarter of fiscal 2012, there were no gains or losses on contracts reclassified into earnings as a result of the discontinuance of cash flow hedges. As of February 3, 2012, the notional amount outstanding of forward contracts designated as cash flow hedges was $101.1 million.</w:t>
      </w:r>
    </w:p>
    <w:p>
      <w:pPr>
        <w:spacing w:after="0" w:line="18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(expense),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3, 2012</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28, 2011</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4"/>
              </w:rPr>
              <w:t>February 3, 2012</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0"/>
              </w:rPr>
              <w:t>January 28, 2011</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0"/>
                <w:szCs w:val="10"/>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0"/>
                <w:szCs w:val="10"/>
                <w:color w:val="auto"/>
              </w:rPr>
            </w:pPr>
          </w:p>
        </w:tc>
        <w:tc>
          <w:tcPr>
            <w:tcW w:w="4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Sheet</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Sheet</w:t>
            </w: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4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Designated as Hedging</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Instruments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6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1,471</w:t>
            </w:r>
          </w:p>
        </w:tc>
        <w:tc>
          <w:tcPr>
            <w:tcW w:w="15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1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Accrued liabilities</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Derivatives Not Designated as Hedging</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Instruments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6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15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1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Derivatives</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12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months ended February 3, 2012 and January 28, 2011, respectively.</w:t>
      </w:r>
    </w:p>
    <w:p>
      <w:pPr>
        <w:spacing w:after="0" w:line="152" w:lineRule="exact"/>
        <w:rPr>
          <w:sz w:val="20"/>
          <w:szCs w:val="20"/>
          <w:color w:val="auto"/>
        </w:rPr>
      </w:pPr>
    </w:p>
    <w:tbl>
      <w:tblPr>
        <w:tblLayout w:type="fixed"/>
        <w:tblInd w:w="2400" w:type="dxa"/>
        <w:tblCellMar>
          <w:top w:w="0" w:type="dxa"/>
          <w:left w:w="0" w:type="dxa"/>
          <w:bottom w:w="0" w:type="dxa"/>
          <w:right w:w="0" w:type="dxa"/>
        </w:tblCellMar>
      </w:tblPr>
      <w:tr>
        <w:trPr>
          <w:trHeight w:val="149"/>
        </w:trPr>
        <w:tc>
          <w:tcPr>
            <w:tcW w:w="154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Gain (Loss)</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7"/>
              </w:rPr>
              <w:t>Location of Gain</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9"/>
              </w:rPr>
              <w:t>Gain (Loss)</w:t>
            </w:r>
          </w:p>
        </w:tc>
        <w:tc>
          <w:tcPr>
            <w:tcW w:w="204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Location of Gain (Loss)</w:t>
            </w:r>
          </w:p>
        </w:tc>
        <w:tc>
          <w:tcPr>
            <w:tcW w:w="1520" w:type="dxa"/>
            <w:vAlign w:val="bottom"/>
          </w:tcPr>
          <w:p>
            <w:pPr>
              <w:jc w:val="center"/>
              <w:ind w:left="257"/>
              <w:spacing w:after="0"/>
              <w:rPr>
                <w:sz w:val="20"/>
                <w:szCs w:val="20"/>
                <w:color w:val="auto"/>
              </w:rPr>
            </w:pPr>
            <w:r>
              <w:rPr>
                <w:rFonts w:ascii="Arial" w:cs="Arial" w:eastAsia="Arial" w:hAnsi="Arial"/>
                <w:sz w:val="13"/>
                <w:szCs w:val="13"/>
                <w:b w:val="1"/>
                <w:bCs w:val="1"/>
                <w:color w:val="auto"/>
                <w:w w:val="89"/>
              </w:rPr>
              <w:t>Gain (Loss)</w:t>
            </w:r>
          </w:p>
        </w:tc>
      </w:tr>
      <w:tr>
        <w:trPr>
          <w:trHeight w:val="135"/>
        </w:trPr>
        <w:tc>
          <w:tcPr>
            <w:tcW w:w="154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(Loss) Reclassified</w:t>
            </w: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2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5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Recognized in Income</w:t>
            </w:r>
          </w:p>
        </w:tc>
      </w:tr>
      <w:tr>
        <w:trPr>
          <w:trHeight w:val="164"/>
        </w:trPr>
        <w:tc>
          <w:tcPr>
            <w:tcW w:w="15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5"/>
              </w:rPr>
              <w:t>from AOCL</w:t>
            </w:r>
          </w:p>
        </w:tc>
        <w:tc>
          <w:tcPr>
            <w:tcW w:w="17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87"/>
              </w:rPr>
              <w:t>on Derivatives</w:t>
            </w:r>
          </w:p>
        </w:tc>
        <w:tc>
          <w:tcPr>
            <w:tcW w:w="1520" w:type="dxa"/>
            <w:vAlign w:val="bottom"/>
          </w:tcPr>
          <w:p>
            <w:pPr>
              <w:jc w:val="center"/>
              <w:ind w:left="257"/>
              <w:spacing w:after="0"/>
              <w:rPr>
                <w:sz w:val="20"/>
                <w:szCs w:val="20"/>
                <w:color w:val="auto"/>
              </w:rPr>
            </w:pPr>
            <w:r>
              <w:rPr>
                <w:rFonts w:ascii="Arial" w:cs="Arial" w:eastAsia="Arial" w:hAnsi="Arial"/>
                <w:sz w:val="13"/>
                <w:szCs w:val="13"/>
                <w:b w:val="1"/>
                <w:bCs w:val="1"/>
                <w:color w:val="auto"/>
                <w:w w:val="85"/>
              </w:rPr>
              <w:t>on Derivatives</w:t>
            </w:r>
          </w:p>
        </w:tc>
      </w:tr>
    </w:tbl>
    <w:p>
      <w:pPr>
        <w:sectPr>
          <w:pgSz w:w="11900" w:h="16908"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tcPr>
          <w:p>
            <w:pPr>
              <w:jc w:val="right"/>
              <w:ind w:right="179"/>
              <w:spacing w:after="0"/>
              <w:rPr>
                <w:sz w:val="20"/>
                <w:szCs w:val="20"/>
                <w:color w:val="auto"/>
              </w:rPr>
            </w:pPr>
            <w:r>
              <w:rPr>
                <w:rFonts w:ascii="Arial" w:cs="Arial" w:eastAsia="Arial" w:hAnsi="Arial"/>
                <w:sz w:val="13"/>
                <w:szCs w:val="13"/>
                <w:b w:val="1"/>
                <w:bCs w:val="1"/>
                <w:color w:val="auto"/>
              </w:rPr>
              <w:t>Derivatives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right"/>
              <w:ind w:right="86"/>
              <w:spacing w:after="0"/>
              <w:rPr>
                <w:sz w:val="20"/>
                <w:szCs w:val="20"/>
                <w:color w:val="auto"/>
              </w:rPr>
            </w:pPr>
            <w:r>
              <w:rPr>
                <w:rFonts w:ascii="Arial" w:cs="Arial" w:eastAsia="Arial" w:hAnsi="Arial"/>
                <w:sz w:val="13"/>
                <w:szCs w:val="13"/>
                <w:b w:val="1"/>
                <w:bCs w:val="1"/>
                <w:color w:val="auto"/>
              </w:rPr>
              <w:t>AOCL into Income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8"/>
              </w:rPr>
              <w:t>(Ineffective Portion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(Effective Portion)</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(Effective Portion)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3"/>
          </w:tcPr>
          <w:p>
            <w:pPr>
              <w:jc w:val="right"/>
              <w:ind w:right="106"/>
              <w:spacing w:after="0" w:line="135" w:lineRule="exact"/>
              <w:rPr>
                <w:sz w:val="20"/>
                <w:szCs w:val="20"/>
                <w:color w:val="auto"/>
              </w:rPr>
            </w:pPr>
            <w:r>
              <w:rPr>
                <w:rFonts w:ascii="Arial" w:cs="Arial" w:eastAsia="Arial" w:hAnsi="Arial"/>
                <w:sz w:val="13"/>
                <w:szCs w:val="13"/>
                <w:b w:val="1"/>
                <w:bCs w:val="1"/>
                <w:color w:val="auto"/>
              </w:rPr>
              <w:t>(Effective Portion)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08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ind w:left="20"/>
              <w:spacing w:after="0" w:line="110" w:lineRule="exact"/>
              <w:rPr>
                <w:sz w:val="20"/>
                <w:szCs w:val="20"/>
                <w:color w:val="auto"/>
              </w:rPr>
            </w:pPr>
            <w:r>
              <w:rPr>
                <w:rFonts w:ascii="Arial" w:cs="Arial" w:eastAsia="Arial" w:hAnsi="Arial"/>
                <w:sz w:val="12"/>
                <w:szCs w:val="12"/>
                <w:b w:val="1"/>
                <w:bCs w:val="1"/>
                <w:color w:val="auto"/>
              </w:rPr>
              <w:t>February 3,</w:t>
            </w: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ind w:right="37"/>
              <w:spacing w:after="0" w:line="110" w:lineRule="exact"/>
              <w:rPr>
                <w:sz w:val="20"/>
                <w:szCs w:val="20"/>
                <w:color w:val="auto"/>
              </w:rPr>
            </w:pPr>
            <w:r>
              <w:rPr>
                <w:rFonts w:ascii="Arial" w:cs="Arial" w:eastAsia="Arial" w:hAnsi="Arial"/>
                <w:sz w:val="12"/>
                <w:szCs w:val="12"/>
                <w:b w:val="1"/>
                <w:bCs w:val="1"/>
                <w:color w:val="auto"/>
              </w:rPr>
              <w:t>January 28,</w:t>
            </w:r>
          </w:p>
        </w:tc>
        <w:tc>
          <w:tcPr>
            <w:tcW w:w="18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8"/>
              </w:rPr>
              <w:t>February 3,</w:t>
            </w:r>
          </w:p>
        </w:tc>
        <w:tc>
          <w:tcPr>
            <w:tcW w:w="840" w:type="dxa"/>
            <w:vAlign w:val="bottom"/>
            <w:tcBorders>
              <w:top w:val="single" w:sz="8" w:color="auto"/>
            </w:tcBorders>
            <w:gridSpan w:val="2"/>
          </w:tcPr>
          <w:p>
            <w:pPr>
              <w:jc w:val="right"/>
              <w:ind w:right="37"/>
              <w:spacing w:after="0" w:line="110" w:lineRule="exact"/>
              <w:rPr>
                <w:sz w:val="20"/>
                <w:szCs w:val="20"/>
                <w:color w:val="auto"/>
              </w:rPr>
            </w:pPr>
            <w:r>
              <w:rPr>
                <w:rFonts w:ascii="Arial" w:cs="Arial" w:eastAsia="Arial" w:hAnsi="Arial"/>
                <w:sz w:val="12"/>
                <w:szCs w:val="12"/>
                <w:b w:val="1"/>
                <w:bCs w:val="1"/>
                <w:color w:val="auto"/>
              </w:rPr>
              <w:t>January 28,</w:t>
            </w:r>
          </w:p>
        </w:tc>
        <w:tc>
          <w:tcPr>
            <w:tcW w:w="160" w:type="dxa"/>
            <w:vAlign w:val="bottom"/>
          </w:tcPr>
          <w:p>
            <w:pPr>
              <w:spacing w:after="0"/>
              <w:rPr>
                <w:sz w:val="9"/>
                <w:szCs w:val="9"/>
                <w:color w:val="auto"/>
              </w:rPr>
            </w:pPr>
          </w:p>
        </w:tc>
        <w:tc>
          <w:tcPr>
            <w:tcW w:w="1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8"/>
              </w:rPr>
              <w:t>February 3,</w:t>
            </w: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39"/>
              <w:spacing w:after="0" w:line="110" w:lineRule="exact"/>
              <w:rPr>
                <w:sz w:val="20"/>
                <w:szCs w:val="20"/>
                <w:color w:val="auto"/>
              </w:rPr>
            </w:pPr>
            <w:r>
              <w:rPr>
                <w:rFonts w:ascii="Arial" w:cs="Arial" w:eastAsia="Arial" w:hAnsi="Arial"/>
                <w:sz w:val="12"/>
                <w:szCs w:val="12"/>
                <w:b w:val="1"/>
                <w:bCs w:val="1"/>
                <w:color w:val="auto"/>
                <w:w w:val="96"/>
              </w:rPr>
              <w:t>January 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13"/>
                <w:szCs w:val="13"/>
                <w:color w:val="auto"/>
              </w:rPr>
            </w:pPr>
          </w:p>
        </w:tc>
        <w:tc>
          <w:tcPr>
            <w:tcW w:w="760" w:type="dxa"/>
            <w:vAlign w:val="bottom"/>
          </w:tcPr>
          <w:p>
            <w:pPr>
              <w:jc w:val="right"/>
              <w:ind w:right="238"/>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92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rPr>
              <w:t>2011</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23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39"/>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0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jc w:val="right"/>
              <w:ind w:right="319"/>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(4,260)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3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jc w:val="right"/>
              <w:ind w:right="46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8"/>
              </w:rPr>
              <w:t>(743)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Foreign exchange contracts</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line="129" w:lineRule="exact"/>
              <w:rPr>
                <w:sz w:val="20"/>
                <w:szCs w:val="20"/>
                <w:color w:val="auto"/>
              </w:rPr>
            </w:pPr>
            <w:r>
              <w:rPr>
                <w:rFonts w:ascii="Arial" w:cs="Arial" w:eastAsia="Arial" w:hAnsi="Arial"/>
                <w:sz w:val="13"/>
                <w:szCs w:val="13"/>
                <w:color w:val="auto"/>
              </w:rPr>
              <w:t>572</w:t>
            </w: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967</w:t>
            </w:r>
          </w:p>
        </w:tc>
        <w:tc>
          <w:tcPr>
            <w:tcW w:w="1380" w:type="dxa"/>
            <w:vAlign w:val="bottom"/>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(432)</w:t>
            </w:r>
          </w:p>
        </w:tc>
        <w:tc>
          <w:tcPr>
            <w:tcW w:w="580" w:type="dxa"/>
            <w:vAlign w:val="bottom"/>
          </w:tcPr>
          <w:p>
            <w:pPr>
              <w:spacing w:after="0" w:line="20" w:lineRule="exact"/>
              <w:rPr>
                <w:sz w:val="1"/>
                <w:szCs w:val="1"/>
                <w:color w:val="auto"/>
              </w:rPr>
            </w:pPr>
          </w:p>
        </w:tc>
        <w:tc>
          <w:tcPr>
            <w:tcW w:w="42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143</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ind w:right="319"/>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(3,293)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3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8"/>
              </w:rPr>
              <w:t>(600)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February 3, 2012, the company expects to reclassify approximately $2.4 million of gains from AOCL to earnings during the next twelve months.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Pr>
          <w:p>
            <w:pPr>
              <w:spacing w:after="0"/>
              <w:rPr>
                <w:sz w:val="14"/>
                <w:szCs w:val="14"/>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Gain (Loss) Recognized in Net 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4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5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Recognized in Net Earnings</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95"/>
              </w:rPr>
              <w:t>February 3, 2012</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January 28,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2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short-term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Assets and liabilities measured at fair value on a recurring basis, as of February 3, 2012,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71,804</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71,804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2,147</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293</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4,115</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w:t>
      </w:r>
    </w:p>
    <w:p>
      <w:pPr>
        <w:sectPr>
          <w:pgSz w:w="11900" w:h="16838" w:orient="portrait"/>
          <w:cols w:equalWidth="0" w:num="1">
            <w:col w:w="11420"/>
          </w:cols>
          <w:pgMar w:left="240" w:top="107" w:right="239" w:bottom="285"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7" w:right="239" w:bottom="285"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(“USPTO”) and foreign patent offices. Management believes these activities help minimize its risk of being a defendant in patent infringement litigation.</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Lawnmower Engine Horsepower Marketing and Sales Practices Litigation. </w:t>
      </w:r>
      <w:r>
        <w:rPr>
          <w:rFonts w:ascii="Arial" w:cs="Arial" w:eastAsia="Arial" w:hAnsi="Arial"/>
          <w:sz w:val="18"/>
          <w:szCs w:val="18"/>
          <w:color w:val="auto"/>
        </w:rPr>
        <w:t>Beginning in June 2004, various plaintiffs filed class action lawsuits in state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courts throughout the country against the company and other defendants alleging that the horsepower labels on the products the plaintiffs purchased were inaccurate. The plaintiffs (i) asserted statutory and common law claims, and (ii) sought an injunction, unspecified compensatory and punitive damages, treble damages, and attorneys’ fees. In December 2008, all lawsuits were transferred to the United States District Court for the Eastern District of Wisconsin (the “Court”) for coordinated or consolidated pretrial proceedings.</w:t>
      </w:r>
    </w:p>
    <w:p>
      <w:pPr>
        <w:spacing w:after="0" w:line="188"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The company and certain other defendants entered into a settlement agreement with plaintiffs in February 2010, the Court approved the company’s settlement and certified the settlement class in August 2010, and the company’s settlement agreement became final in February 2011. The settlement class consists of all persons in the United States who, beginning January 1, 1994 and through April 12, 2010, purchased a lawnmower containing a two-stroke or four-stroke gas combustible engine up to 30 horsepower that was manufactured or sold by the company and other defendants, and the company’s settlement agreement provides for, among other things, (i) a monetary settlement, (ii) an additional warranty period for certain engines that are subject to the litigation, and (iii) injunctive relief relating to power rating labeling practices.</w:t>
      </w:r>
    </w:p>
    <w:p>
      <w:pPr>
        <w:spacing w:after="0" w:line="17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81"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8"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agricultural micro-irrigation systems, landscaping equipment and lighting, and residential yard and snow removal products worldwide.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they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 the first quarter of fiscal 2012, both our net sales and net earnings grew double digits, by 10.6 percent and 15.3 percent, respectively, as compared to the first quarter of fiscal 2011. Professional segment net sales were up 9.9 percent compared to the first quarter of fiscal 2011, as shipments for most professional segment businesses increased due to higher customer demand resulting primarily from consumer optimism from improved market conditions, the successful introduction of new products, and strong demand in the Americas for our micro-irrigation products due to increased acceptance of drip irrigation technologies. Additionally, price increases and incremental sales from acquisitions also contributed to the sales growth for our professional segment. Residential segment sales increased 11.6 percent for the first quarter of fiscal 2012 compared to the first quarter of fiscal 2011, primarily from early orders of walk power mowers and zero-turn radius riding mowers as customers anticipate early spring weather, as well as higher sales of Pope products in Australia due to more favorable weather conditions. However, shipments of snow thrower products and service parts were down due to the lack of snowfall during the 2011/2012 winter season. Our net earnings growth of 15.3 percent for the first quarter of fiscal 2012 compared to the first quarter of fiscal 2011 resulted primarily from higher sales volumes and leveraging of our selling, general, and administrative (SG&amp;A) expense over higher sales volumes, which was down 200 basis points to 26.6 percent as a percentage of net sales in the first quarter of fiscal 2012 compared to 28.6 percent in the first quarter of fiscal 2011. However, our gross margin rate was down 110 basis points to 34.6 percent in the first quarter of fiscal 2012 compared to 35.7 percent in the first quarter of fiscal 2011 due mainly to unfavorable product mix. Additionally, our net earnings growth was hampered by an increase in our tax rate due to the expiration of the domestic research tax credit on December 31, 2011 compared to the reinstatement and retroactive credit last year that lowered our tax rate in the first quarter of fiscal 2011.</w:t>
      </w:r>
    </w:p>
    <w:p>
      <w:pPr>
        <w:sectPr>
          <w:pgSz w:w="11900" w:h="16838" w:orient="portrait"/>
          <w:cols w:equalWidth="0" w:num="1">
            <w:col w:w="11420"/>
          </w:cols>
          <w:pgMar w:left="240" w:top="125" w:right="239" w:bottom="0" w:gutter="0" w:footer="0" w:header="0"/>
        </w:sectPr>
      </w:pPr>
    </w:p>
    <w:bookmarkStart w:id="10" w:name="page11"/>
    <w:bookmarkEnd w:id="10"/>
    <w:p>
      <w:pPr>
        <w:ind w:firstLine="270"/>
        <w:spacing w:after="0" w:line="257" w:lineRule="auto"/>
        <w:rPr>
          <w:sz w:val="20"/>
          <w:szCs w:val="20"/>
          <w:color w:val="auto"/>
        </w:rPr>
      </w:pPr>
      <w:r>
        <w:rPr>
          <w:rFonts w:ascii="Arial" w:cs="Arial" w:eastAsia="Arial" w:hAnsi="Arial"/>
          <w:sz w:val="18"/>
          <w:szCs w:val="18"/>
          <w:color w:val="auto"/>
        </w:rPr>
        <w:t>Our overall financial condition remains strong. Our receivables increased slightly, by 2.5 percent, as of the end of the first quarter of fiscal 2012 compared to the end of the first quarter of fiscal 2011 on a net sales increase of 10.6 percent. Our inventory levels increased by 13.7 percent as of the end of the first quarter of fiscal 2012 compared to the end of the first quarter of fiscal 2011 as we bought additional engines for production planning and pricing efficiencies ahead of anticipated demand. We also increased our first quarter cash dividend by 10 percent from $0.20 to $0.22 per share compared to the quarterly cash dividend paid in the first quarter of fiscal 2011.</w:t>
      </w:r>
    </w:p>
    <w:p>
      <w:pPr>
        <w:spacing w:after="0" w:line="188"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four-year initiative is intended to focus our efforts on driving our legacy of excellence through building caring relationships and engaging in innovation. Through our Destination 2014 initiative financial goals, over the next four years we will strive to achieve $100 million in organic revenue growth each fiscal year and 12 percent operating earnings as a percentage of net sales by the end of fiscal 2014. We define organic revenue growth as the increase in net sales, less net sales from acquisitions that occurred in the current fiscal year.</w:t>
      </w:r>
    </w:p>
    <w:p>
      <w:pPr>
        <w:spacing w:after="0" w:line="188"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Our net sales and net earnings for the first quarter of our fiscal year are typically lower than other quarters, and the results of our first quarter are not necessarily an indicator of spring season sales trends. Our focus as we enter our peak selling season is on generating customer demand for our innovative new products, while keeping production closely aligned with expected shipment volumes. We will continue to keep a cautionary eye on the global economic environment,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earnings for the first quarter of fiscal 2012 were $19.9 million, or $0.65 per diluted share, compared to $17.3 million, or $0.53 per diluted share, for the first quarter of fiscal 2011, resulting in a net earnings per diluted share increase of 22.6 percent. The primary factors contributing to the net earnings improvement were higher sales volumes and leveraging fixed SG&amp;A costs over higher sales volumes, somewhat offset by a decrease in our gross margin rate and a higher effective tax rate. In addition, our fiscal 2012 first quarter diluted net earnings per share were benefited by approximately $0.04 per share compared to the fiscal 2011 first quarter as a result of reduced shares outstanding.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results of operations as a percentage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6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2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10"/>
              <w:spacing w:after="0" w:line="119" w:lineRule="exact"/>
              <w:rPr>
                <w:sz w:val="20"/>
                <w:szCs w:val="20"/>
                <w:color w:val="auto"/>
              </w:rPr>
            </w:pPr>
            <w:r>
              <w:rPr>
                <w:rFonts w:ascii="Arial" w:cs="Arial" w:eastAsia="Arial" w:hAnsi="Arial"/>
                <w:sz w:val="13"/>
                <w:szCs w:val="13"/>
                <w:b w:val="1"/>
                <w:bCs w:val="1"/>
                <w:color w:val="auto"/>
              </w:rPr>
              <w:t>February 3,</w:t>
            </w:r>
          </w:p>
        </w:tc>
        <w:tc>
          <w:tcPr>
            <w:tcW w:w="136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January 28,</w:t>
            </w:r>
          </w:p>
        </w:tc>
        <w:tc>
          <w:tcPr>
            <w:tcW w:w="160" w:type="dxa"/>
            <w:vAlign w:val="bottom"/>
          </w:tcPr>
          <w:p>
            <w:pPr>
              <w:spacing w:after="0"/>
              <w:rPr>
                <w:sz w:val="10"/>
                <w:szCs w:val="10"/>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(65.4)</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(64.3)</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(26.6)</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(28.6)</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Worldwide consolidated net sales for the first quarter of fiscal 2012 were $423.8 million compared to $383.2 million in the first quarter of fiscal 2011, an increase of 10.6 percent. Worldwide professional segment net sales were up 9.9 percent, as shipments for most professional segment businesses increased due to higher customer demand resulting from consumer optimism from improved market conditions, the successful introduction of new products, and strong demand in the Americas for our micro-irrigation products due to the increased acceptance of drip irrigation technologies. Shipments of golf and landscape contractor equipment were up due to strong demand as customers continued to replace their aged inventory and positive customer response to new products we introduced. Additionally, price increases and incremental sales from acquisitions also contributed to the sales growth for our professional segment. Residential segment sales increased 11.6 percent for the first quarter of fiscal 2012 compared to the first quarter of fiscal 2011, primarily as a result of early orders for our walk power mowers and zero-turn radius riding mowers as customers anticipate early spring weather. Sales of Pope products sold in Australia were also strong due to favorable weather conditions in the first quarter of fiscal 2012 compared to flooding conditions in Australia last year. Somewhat offsetting those sales increases for the residential segment were lower shipments of snow thrower products and service parts as a result of the lack of snowfall during the 2011/2012 winter season. A weaker U.S. dollar compared to other worldwide currencies in which we transact business accounted for approximately $2.5 million of additional net sales for the first quarter of fiscal 2012 as compared to the first quarter of fiscal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percentage of net sales, gross profit for the first quarter of fiscal 2012 decreased 110 basis points to 34.6 percent compared to 35.7 percent in the first quarter of fiscal 2011. This decrease was due mainly to a lower proportionate share of product sales that carry higher average gross margins, increased freight expense, and higher commodity prices, somewhat offset by price increases on some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SG&amp;A expense for the first quarter of fiscal 2012 increased $3.2 million, or 2.9 percent, compared to the same period last fiscal year. However, SG&amp;A expense as a percentage of net sales decreased 200 basis points to 26.6 percent in the first quarter of fiscal 2012 compared to 28.6 percent in the first quarter of fiscal 2011 due primarily to leveraging SG&amp;A costs over higher sales volumes and lower warranty expense as a result of special provisions for product modifications during the first quarter of fiscal 2011 that was not duplicated to the same extent in the first quarter of fiscal 2012.</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1" w:name="page12"/>
    <w:bookmarkEnd w:id="11"/>
    <w:p>
      <w:pPr>
        <w:spacing w:after="0" w:line="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for the first quarter of fiscal 2012 increased $0.3 million, or 7.6 percent, compared to the first quarter of fiscal 2011 due to higher average debt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for the first quarter of fiscal 2012 was $0.5 million compared to $1.4 million for the same period last fiscal year, a decrease of $0.9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primarily to higher foreign currency exchange rate losses in the first quarter of fiscal 2012 compared to the first quarter of fiscal 2011.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effective tax rate for the first quarter of fiscal 2012 was up to 33.8 percent compared to 29.3 percent in the first quarter of fiscal 2011. The increase in the effective tax rate was primarily the result of the expiration of the Federal Research and Development Tax Credit on December 31, 2011, whereas our tax rate in the first quarter of fiscal 2011 was benefited by the reinstatement and retroactive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from operations, corporate activities, other income, net, and interest expense.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February 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40" w:type="dxa"/>
            <w:vAlign w:val="bottom"/>
          </w:tcPr>
          <w:p>
            <w:pPr>
              <w:spacing w:after="0"/>
              <w:rPr>
                <w:sz w:val="10"/>
                <w:szCs w:val="10"/>
                <w:color w:val="auto"/>
              </w:rPr>
            </w:pPr>
          </w:p>
        </w:tc>
        <w:tc>
          <w:tcPr>
            <w:tcW w:w="11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0"/>
                <w:szCs w:val="10"/>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283,834</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258,280</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25,554</w:t>
            </w:r>
          </w:p>
        </w:tc>
        <w:tc>
          <w:tcPr>
            <w:tcW w:w="2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137,608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123,293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14,315</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383,213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40,622</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128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14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8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149,154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Pr>
          <w:p>
            <w:pPr>
              <w:spacing w:after="0"/>
              <w:rPr>
                <w:sz w:val="10"/>
                <w:szCs w:val="10"/>
                <w:color w:val="auto"/>
              </w:rPr>
            </w:pPr>
          </w:p>
        </w:tc>
        <w:tc>
          <w:tcPr>
            <w:tcW w:w="144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11,368</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1,240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456"/>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2012 were up by 9.9 percent compared to the first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2011 as shipments for all professional segment businesses increased due to higher customer demand resulting from consumer optimism from improved economic conditions, the successful introduction of new products, and strong demand in the Americas for our micro-irrigation products due to the increased acceptance of drip irrigation technologies. Shipments of golf and landscape contractor equipment were up due to strong demand as customers continued to replace aged inventory and the positive response from new products we introduced. Additionally, price increases and incremental sales from acquisitions also contributed to the sales growth for the professional segment.</w:t>
      </w:r>
    </w:p>
    <w:p>
      <w:pPr>
        <w:spacing w:after="0" w:line="178"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$42.1 million in the first quarter of fiscal 2012 compared to $37.9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2011, an increase of 11.0 percent. Expressed as a percentage of net sales, professional segment operating margins slightly increased to 14.8 percent compared to 14.7 percent in the first quarter of fiscal 2011. These profit improvements were primarily attributable to higher sales volumes and lower SG&amp;A expenses as a percentage of net sales as we leverage SG&amp;A costs over higher sales volumes, somewhat offset by a decrease in gross margins due to the same factors discussed previously in the Gross Profit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Worldwide net sales for the residential segment in the first quarter of fiscal 2012 were up by 11.6 percent compared to the first quarter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2011. This increase was primarily the result of early orders and shipments for our walk power mowers and zero-turn radius riding mowers as customers anticipate early spring weather and demand for these products. Sales of Pope products sold in Australia were also strong due to favorable weather conditions in the first quarter of fiscal 2012 compared to flooding conditions in Australia last year. Somewhat offsetting those sales increases for the residential segment were lower shipments of snow thrower products and service parts due to of the lack of snowfall during the 2011/2012 winter season. Field inventory levels for</w:t>
      </w:r>
    </w:p>
    <w:p>
      <w:pPr>
        <w:sectPr>
          <w:pgSz w:w="11900" w:h="16928" w:orient="portrait"/>
          <w:cols w:equalWidth="0" w:num="1">
            <w:col w:w="11460"/>
          </w:cols>
          <w:pgMar w:left="240" w:top="368" w:right="199" w:bottom="0" w:gutter="0" w:footer="0" w:header="0"/>
        </w:sectPr>
      </w:pPr>
    </w:p>
    <w:bookmarkStart w:id="12" w:name="page13"/>
    <w:bookmarkEnd w:id="12"/>
    <w:p>
      <w:pPr>
        <w:spacing w:after="0" w:line="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residential segment were higher as of the end of the first quarter of fiscal 2012 as compared to the end of the first quarter of fiscal 2011 due to higher inventory levels of snow throwers, as well as preseason orders and shipments of spring products as customers anticipate early spring weather and demand for walk power mowers and riding products.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were $12.6 million in the first quarter of fiscal 2012 compared to $11.4 million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2011, an increase of 10.9 percent. Expressed as a percentage of net sales, residential segment operating margins were unchanged at 9.2 percent for the first quarter of both fiscal 2012 and 2011. Gross margins were down for the residential segment due to the same reasons mentioned in the Gross Profit section, offset by leveraging SG&amp;A costs over higher sales volumes and a decrease in warranty expense due to special provisions for product modifications in the first quarter of fiscal 2011 that were not duplicated in the first quarter of fiscal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increased by $0.8 million for the first quarter of fiscal 2012 compared to the first quarter of fiscal 2011 due to lower shipments to our Western-based company-owned distributorship that resulted in fewer sales to eliminate in the other segment.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slightly down, by $0.2 million or 0.9 percent, for the first quarter of fiscal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fiscal 2011. This decrease was primarily attributable to a decline in the elimination of gross profit previously recorded with respect to sales of our products to our wholly owned distribution companies as a result of lower inventory levels at those distribution companies, somewhat offset by higher interest expense and an increase in foreign currency exchange rate losses.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fiscal 2011, we encountered challenges as our working capital increased, mainly from higher average inventory levels as we built residential segment turf products in advance of anticipated demand. In fiscal 2012, we intend to place additional emphasis on asset utilization and limit inventory build up, with a focus on minimizing the amount of working capital in the supply chain, adjusting production plans, and maintaining or improving order replenishment and service levels to end users. We define average net working capital as accounts receivable plus inventory less trade payables as a percentage of net sales for a twelve month period.</w:t>
      </w:r>
    </w:p>
    <w:p>
      <w:pPr>
        <w:spacing w:after="0" w:line="18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Receivables as of the end of the first quarter of fiscal 2012 increased slightly, by 2.5 percent, compared to the end of the first quarter of fiscal 2011. Our average days sales outstanding for receivables slightly improved to 36 days based on sales for the last twelve months ended February 3, 2012, compared to 37 days for the twelve months ended January 28, 2011. Inventory increased as of the end of the first quarter of fiscal 2012 by 13.7 percent compared to the end of the first quarter of fiscal 2011 as we bought additional engines for production planning and pricing efficiencies ahead of anticipated demand. In addition, accounts payable slightly increased as of the end of our first quarter of fiscal 2012 by $2.1 million, or 1.4 percent. As a result of the combination of these increases, our average net working capital as a percentage of net sales for the twelve months ended February 3, 2012 was 15.1 percent compared to 13.5 percent for the twelve months ended January 28,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Our Board of Directors approved a cash dividend of $0.22 per share for the first quarter of fiscal 2012 paid on January 9, 2012, which was an increase of 10 percent over our cash dividend of $0.20 per share for the first quarter of fiscal 2011.</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 historically use more operating cash in the first quarter compared to other fiscal quarters due to the seasonality of our business. Cash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for the first three months of fiscal 2012 was down $14.9 million compared to the first three months of fiscal 2011 due mainly to a higher increase in accounts payable for the first three months of fiscal 2012 compared to the first three months of fiscal 2011 and higher net earnings. Cash used for investing activities was also down by $5.4 million compared to the first quarter of fiscal 2011, due mainly to less cash utilized for acquisitions in the first quarter of fiscal 2012 compared to the first quarter of fiscal 2011, somewhat offset by an increase in cash used to purchase property, plant, and equipment. Cash provided by financing activities for the first quarter of fiscal 2012 was $22.3 million compared to cash used for financing activities of $31.3 million for the first quarter of fiscal 2011. This change was due mainly to short-term borrowing under our revolving credit facility as of the end of the first quarter of fiscal 2012, whereas we did not have any short-term debt outstanding under our revolving credit facility as of the end of the first quarter of fiscal 2011, as well as lower levels of funds used to repurchase our common stock in the first three months of fiscal 2012 compared to the first three months of fiscal 2011.</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w:t>
      </w:r>
    </w:p>
    <w:p>
      <w:pPr>
        <w:sectPr>
          <w:pgSz w:w="11900" w:h="16865" w:orient="portrait"/>
          <w:cols w:equalWidth="0" w:num="1">
            <w:col w:w="11400"/>
          </w:cols>
          <w:pgMar w:left="240" w:top="125" w:right="259" w:bottom="0" w:gutter="0" w:footer="0" w:header="0"/>
        </w:sectPr>
      </w:pPr>
    </w:p>
    <w:bookmarkStart w:id="13" w:name="page14"/>
    <w:bookmarkEnd w:id="13"/>
    <w:p>
      <w:pPr>
        <w:spacing w:after="0" w:line="1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$15 million. These facilities bear interest at various rates depending on the rates in their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respective countries of operation. As of February 3, 2012, we had an aggregate of $25.0 million outstanding short-term debt under credit facilities and an aggregate of $12.3 million of outstanding letters of credit. As of February 3, 2012, we had an aggregate of $127.6 million of unutilized availability under our credit agreements.</w:t>
      </w:r>
    </w:p>
    <w:p>
      <w:pPr>
        <w:spacing w:after="0" w:line="181"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February 3, 2012, we were not limited to payments of cash dividends and stock repurchases as our debt to EBITDA ratio was below 2.75. We were also in compliance with all covenants related to our credit agreement for our revolving credit facility as of February 3, 2012, and we expect to be in compliance with all covenants during the remainder of fiscal 2012.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first quarter of fiscal 2012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$22.6 million of receivables from us during the first quarter of fiscal 2012. As of February 3, 2012, $8.4 million of receivables financed the third party financing company, excluding Red Iron, was outstanding, and also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quarter of fiscal 2012, average prices paid for commodities and components we purchase were higher compared to the average prices paid in the first quarter of fiscal 2011, which hampered our gross margin growth rate in the first quarter of fiscal 2012 compared to the first quarter of fiscal 2011. We will continue to closely follow the commodities and components that affect our product lines, and we anticipate average prices paid for commodities and components to be higher for the remainder of fiscal 2012 as compared to fiscal 2011.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2011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 xml:space="preserve">In May 2011, the Financial Accounting Standards Board (“FASB”) issued Accounting Standards Update (“ASU”) No. 2011-04,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(Topic 820): Amendments to Achieve Common Fair Value Measurement and Disclosure Requirements in U.S. GAAP and IFRS</w:t>
      </w:r>
      <w:r>
        <w:rPr>
          <w:rFonts w:ascii="Arial" w:cs="Arial" w:eastAsia="Arial" w:hAnsi="Arial"/>
          <w:sz w:val="18"/>
          <w:szCs w:val="18"/>
          <w:color w:val="auto"/>
        </w:rPr>
        <w:t>. The amendments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definition of fair value and common requirements for measurement of and disclosure about fair value between U.S. GAAP and International Financial Reporting Standards.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 a) measurement of the fair value of financial instruments that are managed within a portfolio, b) application of premiums and discounts in a fair value measurement, and c) additional disclosure about fair value measurements. The amendments are effective during interim and annual periods beginning after December 15, 2011, and are to be applied prospectively. We will adopt the amendments of ASU No. 2011-04 at the beginning of our fiscal 2012 second quarter, as required. The adoption of this guidance is not expected to have a material impact on our disclosures.</w:t>
      </w:r>
    </w:p>
    <w:p>
      <w:pPr>
        <w:spacing w:after="0" w:line="179"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ASU No. 2011-05 guidance amended the presentation of comprehensive income to allow an entity the option to present the total of comprehensive income, the components of</w:t>
      </w:r>
    </w:p>
    <w:p>
      <w:pPr>
        <w:sectPr>
          <w:pgSz w:w="11900" w:h="16975" w:orient="portrait"/>
          <w:cols w:equalWidth="0" w:num="1">
            <w:col w:w="11400"/>
          </w:cols>
          <w:pgMar w:left="240" w:top="125" w:right="259" w:bottom="0" w:gutter="0" w:footer="0" w:header="0"/>
        </w:sectPr>
      </w:pPr>
    </w:p>
    <w:bookmarkStart w:id="14" w:name="page15"/>
    <w:bookmarkEnd w:id="14"/>
    <w:p>
      <w:pPr>
        <w:spacing w:after="0" w:line="2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 option to present the components of other comprehensive income as part of the statement of changes in stockholders’ equity. The amended guidance is effective for fiscal years, and interim periods within those years, beginning after December 15, 2011, and is to be applied retrospectively. We will adopt this guidance at the beginning of our fiscal 2013 first quarter, as required. The adoption of this guidance is not expected to have a material impact on our consolidated financial statements.</w:t>
      </w:r>
    </w:p>
    <w:p>
      <w:pPr>
        <w:spacing w:after="0" w:line="189"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 xml:space="preserve">In December 2011, the FASB issued ASU No. 2011-12, </w:t>
      </w:r>
      <w:r>
        <w:rPr>
          <w:rFonts w:ascii="Arial" w:cs="Arial" w:eastAsia="Arial" w:hAnsi="Arial"/>
          <w:sz w:val="17"/>
          <w:szCs w:val="17"/>
          <w:i w:val="1"/>
          <w:iCs w:val="1"/>
          <w:color w:val="auto"/>
        </w:rPr>
        <w:t>Deferral of the Effective Date for Amendments to the Presentation of Reclassifications of Items</w:t>
      </w:r>
      <w:r>
        <w:rPr>
          <w:rFonts w:ascii="Arial" w:cs="Arial" w:eastAsia="Arial" w:hAnsi="Arial"/>
          <w:sz w:val="17"/>
          <w:szCs w:val="17"/>
          <w:color w:val="auto"/>
        </w:rPr>
        <w:t xml:space="preserve"> </w:t>
      </w:r>
      <w:r>
        <w:rPr>
          <w:rFonts w:ascii="Arial" w:cs="Arial" w:eastAsia="Arial" w:hAnsi="Arial"/>
          <w:sz w:val="17"/>
          <w:szCs w:val="17"/>
          <w:i w:val="1"/>
          <w:iCs w:val="1"/>
          <w:color w:val="auto"/>
        </w:rPr>
        <w:t>Out of Accumulated Other Comprehensive Income in Accounting Standards Update No. 2011-05</w:t>
      </w:r>
      <w:r>
        <w:rPr>
          <w:rFonts w:ascii="Arial" w:cs="Arial" w:eastAsia="Arial" w:hAnsi="Arial"/>
          <w:sz w:val="17"/>
          <w:szCs w:val="17"/>
          <w:color w:val="auto"/>
        </w:rPr>
        <w:t>. ASU No. 2011-12 defers the changes in ASU No. 2011-05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requirement to present separate line items on the income statement for reclassification adjustments of items out of AOCI into net income. The effective dates for ASU No. 2011-12 are consistent with the effective dates for ASU No. 2011-05 and, similar to our expectations for the adoption of ASU No. 2011-05, we do not expect that the adoption of this guidance will have a material impact on our consolidated financial statements.</w:t>
      </w:r>
    </w:p>
    <w:p>
      <w:pPr>
        <w:spacing w:after="0" w:line="17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first quarter of fiscal 2012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right="20" w:hanging="252"/>
        <w:spacing w:after="0" w:line="272"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in other countries in which we conduct business could adversely affect our net sales and earnings, which includes but is not limited to recessionary conditions; slow or negative economic growth rates; the impact of state debt and sovereign debt defaults by certain European countries; slow down or reductions in levels of golf course development, renovation, and improvement; golf course closures; continuation of reduced levels of home ownership, construction, and sales; home foreclosures; negative consumer confidence; reduced consumer spending levels;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 and operating results.</w:t>
      </w:r>
    </w:p>
    <w:p>
      <w:pPr>
        <w:spacing w:after="0" w:line="23" w:lineRule="exact"/>
        <w:rPr>
          <w:rFonts w:ascii="Arial" w:cs="Arial" w:eastAsia="Arial" w:hAnsi="Arial"/>
          <w:sz w:val="18"/>
          <w:szCs w:val="18"/>
          <w:color w:val="auto"/>
        </w:rPr>
      </w:pPr>
    </w:p>
    <w:p>
      <w:pPr>
        <w:jc w:val="both"/>
        <w:ind w:left="260" w:right="220" w:hanging="252"/>
        <w:spacing w:after="0" w:line="281"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may adversely affect our profit margins and business.</w:t>
      </w:r>
    </w:p>
    <w:p>
      <w:pPr>
        <w:spacing w:after="0" w:line="2" w:lineRule="exact"/>
        <w:rPr>
          <w:rFonts w:ascii="Arial" w:cs="Arial" w:eastAsia="Arial" w:hAnsi="Arial"/>
          <w:sz w:val="16"/>
          <w:szCs w:val="16"/>
          <w:color w:val="auto"/>
        </w:rPr>
      </w:pPr>
    </w:p>
    <w:p>
      <w:pPr>
        <w:ind w:left="260" w:right="16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credit to professional segment customers on acceptable terms to finance new product purchases; and the amount of government revenues, budget, and spending levels for grounds maintenance equipment; and other factors.</w:t>
      </w:r>
    </w:p>
    <w:p>
      <w:pPr>
        <w:ind w:left="260" w:right="20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ind w:left="260" w:right="16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percentage of our consolidated net sales are generated outside of the United States, and we intend to continue to expand our international operations. For example, late in fiscal 2011, we completed the construction of our new manufacturing facility in Romania.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 w:lineRule="exact"/>
        <w:rPr>
          <w:rFonts w:ascii="Arial" w:cs="Arial" w:eastAsia="Arial" w:hAnsi="Arial"/>
          <w:sz w:val="17"/>
          <w:szCs w:val="17"/>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hanging="252"/>
        <w:spacing w:after="0" w:line="286"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compliant products in the form of prices increases to our customers and/or our competitors implement different strategies with respect to compliance with Tier 4 requirements, we may experience lower market demand for our products that may, ultimately, adversely affect our profit margins, net sales, and overall financial results. Additionally, if our customers’</w:t>
      </w:r>
    </w:p>
    <w:p>
      <w:pPr>
        <w:sectPr>
          <w:pgSz w:w="11900" w:h="16865" w:orient="portrait"/>
          <w:cols w:equalWidth="0" w:num="1">
            <w:col w:w="11420"/>
          </w:cols>
          <w:pgMar w:left="240" w:top="125" w:right="239" w:bottom="0" w:gutter="0" w:footer="0" w:header="0"/>
        </w:sectPr>
      </w:pPr>
    </w:p>
    <w:bookmarkStart w:id="15" w:name="page16"/>
    <w:bookmarkEnd w:id="15"/>
    <w:p>
      <w:pPr>
        <w:ind w:left="260" w:right="140"/>
        <w:spacing w:after="0" w:line="274" w:lineRule="auto"/>
        <w:rPr>
          <w:sz w:val="20"/>
          <w:szCs w:val="20"/>
          <w:color w:val="auto"/>
        </w:rPr>
      </w:pPr>
      <w:r>
        <w:rPr>
          <w:rFonts w:ascii="Arial" w:cs="Arial" w:eastAsia="Arial" w:hAnsi="Arial"/>
          <w:sz w:val="17"/>
          <w:szCs w:val="17"/>
          <w:color w:val="auto"/>
        </w:rPr>
        <w:t>buying patterns change to purchasing our products in advance of price increases on compliant products, we may experience abnormal fluctuation in sales and our financial results of any one period may not be representative of expected financial results in subsequent periods.</w:t>
      </w:r>
    </w:p>
    <w:p>
      <w:pPr>
        <w:ind w:left="260" w:right="18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4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60" w:hanging="252"/>
        <w:spacing w:after="0" w:line="253"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open and manage new, and/or move production between manufacturing facilities could adversely affect our business and operating results. In late fiscal 2011, we completed the construction of our new manufacturing facility in Romania for micro-irrigation products. If this facility does not produce the anticipated manufacturing or operational efficiencies, or if the micro-irrigation products to be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00"/>
        <w:spacing w:after="0" w:line="258" w:lineRule="auto"/>
        <w:rPr>
          <w:sz w:val="20"/>
          <w:szCs w:val="20"/>
          <w:color w:val="auto"/>
        </w:rPr>
      </w:pPr>
      <w:r>
        <w:rPr>
          <w:rFonts w:ascii="Arial" w:cs="Arial" w:eastAsia="Arial" w:hAnsi="Arial"/>
          <w:sz w:val="18"/>
          <w:szCs w:val="18"/>
          <w:color w:val="auto"/>
        </w:rPr>
        <w:t>produced at this facility are not accepted into the new geographic markets at expected levels, we may not recover the costs of the new facility and our operating results may be adversely affected.</w:t>
      </w:r>
    </w:p>
    <w:p>
      <w:pPr>
        <w:spacing w:after="0" w:line="1" w:lineRule="exact"/>
        <w:rPr>
          <w:sz w:val="20"/>
          <w:szCs w:val="20"/>
          <w:color w:val="auto"/>
        </w:rPr>
      </w:pPr>
    </w:p>
    <w:p>
      <w:pPr>
        <w:jc w:val="both"/>
        <w:ind w:left="260" w:right="12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 w:lineRule="exact"/>
        <w:rPr>
          <w:rFonts w:ascii="Arial" w:cs="Arial" w:eastAsia="Arial" w:hAnsi="Arial"/>
          <w:sz w:val="18"/>
          <w:szCs w:val="18"/>
          <w:color w:val="auto"/>
        </w:rPr>
      </w:pPr>
    </w:p>
    <w:p>
      <w:pPr>
        <w:ind w:left="260" w:right="18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ind w:left="260" w:right="12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ind w:left="260" w:right="1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ind w:left="260" w:right="4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100" w:hanging="252"/>
        <w:spacing w:after="0" w:line="287"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ectPr>
          <w:pgSz w:w="11900" w:h="16838" w:orient="portrait"/>
          <w:cols w:equalWidth="0" w:num="1">
            <w:col w:w="11420"/>
          </w:cols>
          <w:pgMar w:left="240" w:top="125" w:right="239" w:bottom="0" w:gutter="0" w:footer="0" w:header="0"/>
        </w:sectPr>
      </w:pPr>
    </w:p>
    <w:bookmarkStart w:id="16" w:name="page17"/>
    <w:bookmarkEnd w:id="16"/>
    <w:p>
      <w:pPr>
        <w:ind w:right="12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currency exchange rate exposures are with the Euro, the Australian dollar, the Canadian dollar, the British pound, the Mexican peso, the Japanese yen, and the Chinese Yuan against the U.S. dollar. We also have exposure with the Romanian New Lei against the Euro and the U.S. dollar because of our new manufacturing facility in Romania.</w:t>
      </w:r>
    </w:p>
    <w:p>
      <w:pPr>
        <w:spacing w:after="0" w:line="18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2012 and 2013.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February 3, 2012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Value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0.9713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88,908.9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1.5820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1.3161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20" w:type="dxa"/>
            <w:vAlign w:val="bottom"/>
          </w:tcPr>
          <w:p>
            <w:pPr>
              <w:jc w:val="right"/>
              <w:spacing w:after="0"/>
              <w:rPr>
                <w:sz w:val="20"/>
                <w:szCs w:val="20"/>
                <w:color w:val="auto"/>
              </w:rPr>
            </w:pPr>
            <w:r>
              <w:rPr>
                <w:rFonts w:ascii="Arial" w:cs="Arial" w:eastAsia="Arial" w:hAnsi="Arial"/>
                <w:sz w:val="18"/>
                <w:szCs w:val="18"/>
                <w:color w:val="auto"/>
              </w:rPr>
              <w:t>13.0096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30,977.1</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Lei</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22,167.2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Buy British pound/Sell Euro</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0.8301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6,965.8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February 3, 2012 that has materially affected, or is reasonably likely to materially affect, our internal control over financial reporting.</w:t>
      </w:r>
    </w:p>
    <w:p>
      <w:pPr>
        <w:sectPr>
          <w:pgSz w:w="11900" w:h="16838" w:orient="portrait"/>
          <w:cols w:equalWidth="0" w:num="1">
            <w:col w:w="11420"/>
          </w:cols>
          <w:pgMar w:left="240" w:top="125"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54"/>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2012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Average</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Total 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Paid per</w:t>
            </w: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360" w:type="dxa"/>
            <w:vAlign w:val="bottom"/>
            <w:gridSpan w:val="3"/>
            <w:vMerge w:val="continue"/>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Purchased (1),(2),(3)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(or Unit)</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 (1)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2011 through December 2, 2011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75,665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75,665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 2011 through December 30, 2011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13,792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 through February 3, 2012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1,943,401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91,514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89,457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980" w:right="400" w:hanging="348"/>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December 1, 2010, the company’s Board of Directors authorized the repurchase of 3,000,000 shares of the company’s common stock in open-market or in privately negotiated transactions. This program has no expiration date but may be terminated by the company’s Board of Directors at any time. The company repurchased an aggregate of 89,457 shares during the period indicated above under this program.</w:t>
      </w:r>
    </w:p>
    <w:p>
      <w:pPr>
        <w:spacing w:after="0" w:line="146" w:lineRule="exact"/>
        <w:rPr>
          <w:rFonts w:ascii="Arial" w:cs="Arial" w:eastAsia="Arial" w:hAnsi="Arial"/>
          <w:sz w:val="16"/>
          <w:szCs w:val="16"/>
          <w:color w:val="auto"/>
        </w:rPr>
      </w:pPr>
    </w:p>
    <w:p>
      <w:pPr>
        <w:ind w:left="980" w:right="200" w:hanging="3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588 shares of the company’s common stock surrendered by employees to satisfy minimum tax withholding obligations upon vesting of restricted stock granted under the company’s stock-based compensation plans. These 588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980" w:right="220" w:hanging="348"/>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1,469 units (shares) of the company’s common stock purchased in open-market transactions at an average price of $63.28 per share on behalf of a rabbi trust formed to pay benefit obligations of the company to participants in deferred compensation plans. These 1,469 shares were not repurchased under the company’s repurchase program described in footnote 1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5, 2012, Inge G. Thulin informed us of his decision to resign as a director effective March 20, 2012. Mr. Thulin was elected as the President and Chief Executive Officer of 3M Company effective as of February 24, 2012, and the Board of Directors of 3M Company has announced that it intends to elect Mr. Thulin as Chairman effective as of May 8, 2012. Mr. Thulin has indicated that he is resigning from our Board so that he may focus all of his time and efforts in these new roles at 3M Company and not due to any disagreements with us on any matter, including any matter relating to our operations, policies or practices.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and 4.1</w:t>
      </w:r>
      <w:r>
        <w:rPr>
          <w:rFonts w:ascii="Arial" w:cs="Arial" w:eastAsia="Arial" w:hAnsi="Arial"/>
          <w:sz w:val="16"/>
          <w:szCs w:val="16"/>
          <w:color w:val="auto"/>
        </w:rPr>
        <w:t>Restated Certificate of Incorporation of The Toro Company (incorporated by reference to Exhibit 3.1 to Registrant’s Current Report</w:t>
      </w:r>
    </w:p>
    <w:p>
      <w:pPr>
        <w:sectPr>
          <w:pgSz w:w="11900" w:h="16838" w:orient="portrait"/>
          <w:cols w:equalWidth="0" w:num="1">
            <w:col w:w="11420"/>
          </w:cols>
          <w:pgMar w:left="240" w:top="121" w:right="239" w:bottom="0" w:gutter="0" w:footer="0" w:header="0"/>
        </w:sectPr>
      </w:pPr>
    </w:p>
    <w:bookmarkStart w:id="18" w:name="page19"/>
    <w:bookmarkEnd w:id="18"/>
    <w:tbl>
      <w:tblPr>
        <w:tblLayout w:type="fixed"/>
        <w:tblInd w:w="3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3.2 and 4.2</w:t>
            </w:r>
          </w:p>
        </w:tc>
        <w:tc>
          <w:tcPr>
            <w:tcW w:w="994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4.3</w:t>
            </w:r>
          </w:p>
        </w:tc>
        <w:tc>
          <w:tcPr>
            <w:tcW w:w="9940" w:type="dxa"/>
            <w:vAlign w:val="bottom"/>
          </w:tcPr>
          <w:p>
            <w:pPr>
              <w:ind w:left="26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Quarterly Report on Form 10-</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Q for the fiscal quarter ended August 1,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26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Company’s 7.80% Debentures due June 15, 2027 (incorporated by reference to Exhibit 4(a) to Registrant’s Current Report on Form 8-</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K dated June 24, 1997,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Indenture dated as of April 20, 2007, between Registrant and The Bank of New York Trust Company, N.A., as Trustee, relating to The</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Toro Company’s 6.625% Notes due May 1, 2037 (incorporated by reference to Exhibit 4.3 to Registrant’s Registration Statement on</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Form S-3 filed with the Securities and Exchange Commission on April 23, 2007, Registration No. 333-142282).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9940" w:type="dxa"/>
            <w:vAlign w:val="bottom"/>
          </w:tcPr>
          <w:p>
            <w:pPr>
              <w:ind w:left="26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4.7</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 herewith).</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660" w:right="480" w:hanging="1328"/>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660" w:right="660" w:hanging="1328"/>
        <w:spacing w:after="0" w:line="291" w:lineRule="auto"/>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February 3, 2012, filed with the SEC on March 9, 2012, formatted in eXtensible Business Reporting Language (XBRL):</w:t>
      </w:r>
    </w:p>
    <w:p>
      <w:pPr>
        <w:ind w:left="1880" w:hanging="211"/>
        <w:spacing w:after="0"/>
        <w:tabs>
          <w:tab w:leader="none" w:pos="1880" w:val="left"/>
        </w:tabs>
        <w:numPr>
          <w:ilvl w:val="1"/>
          <w:numId w:val="8"/>
        </w:numPr>
        <w:rPr>
          <w:rFonts w:ascii="Arial" w:cs="Arial" w:eastAsia="Arial" w:hAnsi="Arial"/>
          <w:sz w:val="17"/>
          <w:szCs w:val="17"/>
          <w:color w:val="auto"/>
        </w:rPr>
      </w:pPr>
      <w:r>
        <w:rPr>
          <w:rFonts w:ascii="Arial" w:cs="Arial" w:eastAsia="Arial" w:hAnsi="Arial"/>
          <w:sz w:val="17"/>
          <w:szCs w:val="17"/>
          <w:color w:val="auto"/>
        </w:rPr>
        <w:t>Condensed Consolidated Statements of Earnings for the three-month periods ended February 3, 2012 and January 28, 2011,</w:t>
      </w:r>
    </w:p>
    <w:p>
      <w:pPr>
        <w:spacing w:after="0" w:line="20" w:lineRule="exact"/>
        <w:rPr>
          <w:rFonts w:ascii="Arial" w:cs="Arial" w:eastAsia="Arial" w:hAnsi="Arial"/>
          <w:sz w:val="17"/>
          <w:szCs w:val="17"/>
          <w:color w:val="auto"/>
        </w:rPr>
      </w:pPr>
    </w:p>
    <w:p>
      <w:pPr>
        <w:ind w:left="1660" w:right="300" w:firstLine="9"/>
        <w:spacing w:after="0" w:line="255" w:lineRule="auto"/>
        <w:tabs>
          <w:tab w:leader="none" w:pos="1925"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Condensed Consolidated Balance Sheets as of February 3, 2012, January 28, 2011, and October 31, 2011, (iii) Condensed Consolidated Statement of Cash Flows for the three-month periods ended February 3, 2012 and January 28, 2011,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660" w:right="80" w:firstLine="9"/>
        <w:spacing w:after="0" w:line="257" w:lineRule="auto"/>
        <w:tabs>
          <w:tab w:leader="none" w:pos="1885"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60" w:type="dxa"/>
            <w:vAlign w:val="bottom"/>
            <w:gridSpan w:val="2"/>
          </w:tcPr>
          <w:p>
            <w:pPr>
              <w:ind w:left="1640"/>
              <w:spacing w:after="0"/>
              <w:rPr>
                <w:sz w:val="20"/>
                <w:szCs w:val="20"/>
                <w:color w:val="auto"/>
              </w:rPr>
            </w:pPr>
            <w:r>
              <w:rPr>
                <w:rFonts w:ascii="Arial" w:cs="Arial" w:eastAsia="Arial" w:hAnsi="Arial"/>
                <w:sz w:val="18"/>
                <w:szCs w:val="18"/>
                <w:color w:val="auto"/>
              </w:rPr>
              <w:t>THE TORO COMPANY</w:t>
            </w:r>
          </w:p>
        </w:tc>
      </w:tr>
      <w:tr>
        <w:trPr>
          <w:trHeight w:val="230"/>
        </w:trPr>
        <w:tc>
          <w:tcPr>
            <w:tcW w:w="3160" w:type="dxa"/>
            <w:vAlign w:val="bottom"/>
          </w:tcPr>
          <w:p>
            <w:pPr>
              <w:spacing w:after="0"/>
              <w:rPr>
                <w:sz w:val="20"/>
                <w:szCs w:val="20"/>
                <w:color w:val="auto"/>
              </w:rPr>
            </w:pPr>
          </w:p>
        </w:tc>
        <w:tc>
          <w:tcPr>
            <w:tcW w:w="826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March 9, 2012</w:t>
            </w: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By  /s/ Renee J. Peterson</w:t>
            </w:r>
          </w:p>
        </w:tc>
      </w:tr>
      <w:tr>
        <w:trPr>
          <w:trHeight w:val="182"/>
        </w:trPr>
        <w:tc>
          <w:tcPr>
            <w:tcW w:w="3160" w:type="dxa"/>
            <w:vAlign w:val="bottom"/>
          </w:tcPr>
          <w:p>
            <w:pPr>
              <w:spacing w:after="0"/>
              <w:rPr>
                <w:sz w:val="15"/>
                <w:szCs w:val="15"/>
                <w:color w:val="auto"/>
              </w:rPr>
            </w:pPr>
          </w:p>
        </w:tc>
        <w:tc>
          <w:tcPr>
            <w:tcW w:w="2960" w:type="dxa"/>
            <w:vAlign w:val="bottom"/>
          </w:tcPr>
          <w:p>
            <w:pPr>
              <w:ind w:left="256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Vice President, Finance</w:t>
            </w: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160" w:type="dxa"/>
            <w:vAlign w:val="bottom"/>
          </w:tcPr>
          <w:p>
            <w:pPr>
              <w:spacing w:after="0"/>
              <w:rPr>
                <w:sz w:val="20"/>
                <w:szCs w:val="20"/>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February 3, 2012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32"/>
    </w:lvl>
  </w:abstractNum>
  <w:abstractNum w:abstractNumId="7">
    <w:nsid w:val="4DB127F8"/>
    <w:multiLevelType w:val="hybridMultilevel"/>
    <w:lvl w:ilvl="0">
      <w:lvlJc w:val="left"/>
      <w:lvlText w:val="%1"/>
      <w:numFmt w:val="decimal"/>
      <w:start w:val="101"/>
    </w:lvl>
    <w:lvl w:ilvl="1">
      <w:lvlJc w:val="left"/>
      <w:lvlText w:val="(%2)"/>
      <w:numFmt w:val="lowerRoman"/>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2019-12-09T09:32:56Z</dcterms:created>
  <dcterms:modified xsi:type="dcterms:W3CDTF">2019-12-09T09:32:56Z</dcterms:modified>
</cp:coreProperties>
</file>