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BUHRMASTER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03/06/2014</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16.9675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38,884.012</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03/06/2014</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85"/>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66.21</w:t>
            </w:r>
            <w:r>
              <w:rPr>
                <w:rFonts w:ascii="Arial" w:cs="Arial" w:eastAsia="Arial" w:hAnsi="Arial"/>
                <w:sz w:val="22"/>
                <w:szCs w:val="22"/>
                <w:color w:val="008000"/>
                <w:w w:val="87"/>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30,884.012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8,574.206</w:t>
            </w:r>
            <w:r>
              <w:rPr>
                <w:rFonts w:ascii="Arial" w:cs="Arial" w:eastAsia="Arial" w:hAnsi="Arial"/>
                <w:sz w:val="22"/>
                <w:szCs w:val="22"/>
                <w:color w:val="008000"/>
                <w:w w:val="83"/>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16.9675</w:t>
            </w:r>
          </w:p>
        </w:tc>
        <w:tc>
          <w:tcPr>
            <w:tcW w:w="1080" w:type="dxa"/>
            <w:vAlign w:val="bottom"/>
          </w:tcPr>
          <w:p>
            <w:pPr>
              <w:ind w:left="200"/>
              <w:spacing w:after="0"/>
              <w:rPr>
                <w:sz w:val="20"/>
                <w:szCs w:val="20"/>
                <w:color w:val="auto"/>
              </w:rPr>
            </w:pPr>
            <w:r>
              <w:rPr>
                <w:rFonts w:ascii="Arial" w:cs="Arial" w:eastAsia="Arial" w:hAnsi="Arial"/>
                <w:sz w:val="14"/>
                <w:szCs w:val="14"/>
                <w:color w:val="0000FF"/>
              </w:rPr>
              <w:t>03/06/2014</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8,000</w:t>
            </w:r>
          </w:p>
        </w:tc>
        <w:tc>
          <w:tcPr>
            <w:tcW w:w="840" w:type="dxa"/>
            <w:vAlign w:val="bottom"/>
            <w:gridSpan w:val="2"/>
          </w:tcPr>
          <w:p>
            <w:pPr>
              <w:jc w:val="right"/>
              <w:ind w:right="317"/>
              <w:spacing w:after="0"/>
              <w:rPr>
                <w:sz w:val="20"/>
                <w:szCs w:val="20"/>
                <w:color w:val="auto"/>
              </w:rPr>
            </w:pPr>
            <w:r>
              <w:rPr>
                <w:rFonts w:ascii="Arial" w:cs="Arial" w:eastAsia="Arial" w:hAnsi="Arial"/>
                <w:sz w:val="11"/>
                <w:szCs w:val="11"/>
                <w:color w:val="008000"/>
              </w:rPr>
              <w:t>(4)</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11/01/2014</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8,000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84.934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$66.20 to $66.25,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26.499 common stock units acquired by the reporting person under the dividend reinvestment feature of The Toro Company Deferred Compensation Plan for Non-Employee Directors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1, 2004.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 The Toro</w:t>
      </w:r>
    </w:p>
    <w:p>
      <w:pPr>
        <w:spacing w:after="0"/>
        <w:rPr>
          <w:sz w:val="20"/>
          <w:szCs w:val="20"/>
          <w:color w:val="auto"/>
        </w:rPr>
      </w:pPr>
      <w:r>
        <w:rPr>
          <w:rFonts w:ascii="Courier New" w:cs="Courier New" w:eastAsia="Courier New" w:hAnsi="Courier New"/>
          <w:sz w:val="18"/>
          <w:szCs w:val="18"/>
          <w:color w:val="auto"/>
        </w:rPr>
        <w:t>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C. Buhrmaster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C. Buhrmaster</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11/09/2013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2019-12-17T02:32:50Z</dcterms:created>
  <dcterms:modified xsi:type="dcterms:W3CDTF">2019-12-17T02:32:50Z</dcterms:modified>
</cp:coreProperties>
</file>