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Rodier Richard W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Group VP, Construction &amp; RLC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153035</wp:posOffset>
            </wp:positionV>
            <wp:extent cx="6967220" cy="23501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2350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14.1125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22,885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94.09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21,185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20,605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2,760.16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6,000.825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14.1125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1,700</w:t>
            </w: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12/07/2021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1,700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-2052955</wp:posOffset>
            </wp:positionV>
            <wp:extent cx="7033260" cy="2193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vested in three equal annual installments commencing on the first anniversary of the date of grant, which was December 7, 2011.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Angela D. Snavely,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12/30/2020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10825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2020-12-30T15:12:51Z</dcterms:created>
  <dcterms:modified xsi:type="dcterms:W3CDTF">2020-12-30T15:12:51Z</dcterms:modified>
</cp:coreProperties>
</file>