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6"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24" w:lineRule="exact"/>
        <w:rPr>
          <w:sz w:val="24"/>
          <w:szCs w:val="24"/>
          <w:color w:val="auto"/>
        </w:rPr>
      </w:pPr>
    </w:p>
    <w:p>
      <w:pPr>
        <w:jc w:val="center"/>
        <w:ind w:right="2730"/>
        <w:spacing w:after="0"/>
        <w:rPr>
          <w:sz w:val="20"/>
          <w:szCs w:val="20"/>
          <w:color w:val="auto"/>
        </w:rPr>
      </w:pPr>
      <w:r>
        <w:rPr>
          <w:rFonts w:ascii="Courier New" w:cs="Courier New" w:eastAsia="Courier New" w:hAnsi="Courier New"/>
          <w:sz w:val="15"/>
          <w:szCs w:val="15"/>
          <w:color w:val="auto"/>
        </w:rPr>
        <w:t>UNITED STATES</w:t>
      </w:r>
    </w:p>
    <w:p>
      <w:pPr>
        <w:spacing w:after="0" w:line="169" w:lineRule="exact"/>
        <w:rPr>
          <w:sz w:val="24"/>
          <w:szCs w:val="24"/>
          <w:color w:val="auto"/>
        </w:rPr>
      </w:pPr>
    </w:p>
    <w:p>
      <w:pPr>
        <w:ind w:left="229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39" w:lineRule="exact"/>
        <w:rPr>
          <w:sz w:val="24"/>
          <w:szCs w:val="24"/>
          <w:color w:val="auto"/>
        </w:rPr>
      </w:pPr>
    </w:p>
    <w:p>
      <w:pPr>
        <w:jc w:val="center"/>
        <w:ind w:right="2730"/>
        <w:spacing w:after="0"/>
        <w:tabs>
          <w:tab w:leader="none" w:pos="140" w:val="left"/>
        </w:tabs>
        <w:rPr>
          <w:sz w:val="20"/>
          <w:szCs w:val="20"/>
          <w:color w:val="auto"/>
        </w:rPr>
      </w:pPr>
      <w:r>
        <w:rPr>
          <w:rFonts w:ascii="Courier New" w:cs="Courier New" w:eastAsia="Courier New" w:hAnsi="Courier New"/>
          <w:sz w:val="15"/>
          <w:szCs w:val="15"/>
          <w:color w:val="auto"/>
        </w:rPr>
        <w:t>WASHINGTON, D.C.</w:t>
        <w:tab/>
        <w:t>20549</w:t>
      </w:r>
    </w:p>
    <w:p>
      <w:pPr>
        <w:spacing w:after="0" w:line="169" w:lineRule="exact"/>
        <w:rPr>
          <w:sz w:val="24"/>
          <w:szCs w:val="24"/>
          <w:color w:val="auto"/>
        </w:rPr>
      </w:pPr>
    </w:p>
    <w:p>
      <w:pPr>
        <w:jc w:val="center"/>
        <w:ind w:right="2730"/>
        <w:spacing w:after="0"/>
        <w:rPr>
          <w:sz w:val="20"/>
          <w:szCs w:val="20"/>
          <w:color w:val="auto"/>
        </w:rPr>
      </w:pPr>
      <w:r>
        <w:rPr>
          <w:rFonts w:ascii="Courier New" w:cs="Courier New" w:eastAsia="Courier New" w:hAnsi="Courier New"/>
          <w:sz w:val="15"/>
          <w:szCs w:val="15"/>
          <w:color w:val="auto"/>
        </w:rPr>
        <w:t>FORM 10-Q</w:t>
      </w:r>
    </w:p>
    <w:p>
      <w:pPr>
        <w:spacing w:after="0" w:line="169" w:lineRule="exact"/>
        <w:rPr>
          <w:sz w:val="24"/>
          <w:szCs w:val="24"/>
          <w:color w:val="auto"/>
        </w:rPr>
      </w:pPr>
    </w:p>
    <w:p>
      <w:pPr>
        <w:jc w:val="center"/>
        <w:ind w:right="2730"/>
        <w:spacing w:after="0"/>
        <w:rPr>
          <w:sz w:val="20"/>
          <w:szCs w:val="20"/>
          <w:color w:val="auto"/>
        </w:rPr>
      </w:pPr>
      <w:r>
        <w:rPr>
          <w:rFonts w:ascii="Courier New" w:cs="Courier New" w:eastAsia="Courier New" w:hAnsi="Courier New"/>
          <w:sz w:val="15"/>
          <w:szCs w:val="15"/>
          <w:color w:val="auto"/>
        </w:rPr>
        <w:t>Quarterly Report Pursuant to Section 13 or 15(d) of the</w:t>
      </w:r>
    </w:p>
    <w:p>
      <w:pPr>
        <w:spacing w:after="0" w:line="26" w:lineRule="exact"/>
        <w:rPr>
          <w:sz w:val="24"/>
          <w:szCs w:val="24"/>
          <w:color w:val="auto"/>
        </w:rPr>
      </w:pPr>
    </w:p>
    <w:p>
      <w:pPr>
        <w:jc w:val="center"/>
        <w:ind w:right="2730"/>
        <w:spacing w:after="0"/>
        <w:rPr>
          <w:sz w:val="20"/>
          <w:szCs w:val="20"/>
          <w:color w:val="auto"/>
        </w:rPr>
      </w:pPr>
      <w:r>
        <w:rPr>
          <w:rFonts w:ascii="Courier New" w:cs="Courier New" w:eastAsia="Courier New" w:hAnsi="Courier New"/>
          <w:sz w:val="15"/>
          <w:szCs w:val="15"/>
          <w:color w:val="auto"/>
        </w:rPr>
        <w:t>Securities Exchange Act of 1934</w:t>
      </w:r>
    </w:p>
    <w:p>
      <w:pPr>
        <w:sectPr>
          <w:pgSz w:w="11900" w:h="16838" w:orient="portrait"/>
          <w:cols w:equalWidth="0" w:num="1">
            <w:col w:w="10229"/>
          </w:cols>
          <w:pgMar w:left="230" w:top="714" w:right="1440" w:bottom="1440" w:gutter="0" w:footer="0" w:header="0"/>
        </w:sectPr>
      </w:pPr>
    </w:p>
    <w:p>
      <w:pPr>
        <w:spacing w:after="0" w:line="143"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For the Quarterly Period Ended</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August 1, 1997 Commission File Number</w:t>
      </w:r>
    </w:p>
    <w:p>
      <w:pPr>
        <w:spacing w:after="0" w:line="3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1-8649</w:t>
      </w:r>
    </w:p>
    <w:p>
      <w:pPr>
        <w:spacing w:after="0" w:line="3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1" w:lineRule="exact"/>
        <w:rPr>
          <w:sz w:val="24"/>
          <w:szCs w:val="24"/>
          <w:color w:val="auto"/>
        </w:rPr>
      </w:pPr>
    </w:p>
    <w:p>
      <w:pPr>
        <w:sectPr>
          <w:pgSz w:w="11900" w:h="16838" w:orient="portrait"/>
          <w:cols w:equalWidth="0" w:num="3">
            <w:col w:w="2650" w:space="0"/>
            <w:col w:w="3440" w:space="0"/>
            <w:col w:w="4139"/>
          </w:cols>
          <w:pgMar w:left="230" w:top="714" w:right="1440" w:bottom="1440" w:gutter="0" w:footer="0" w:header="0"/>
          <w:type w:val="continuous"/>
        </w:sectPr>
      </w:pPr>
    </w:p>
    <w:p>
      <w:pPr>
        <w:spacing w:after="0" w:line="113" w:lineRule="exact"/>
        <w:rPr>
          <w:sz w:val="24"/>
          <w:szCs w:val="24"/>
          <w:color w:val="auto"/>
        </w:rPr>
      </w:pPr>
    </w:p>
    <w:p>
      <w:pPr>
        <w:jc w:val="center"/>
        <w:ind w:right="2650"/>
        <w:spacing w:after="0"/>
        <w:rPr>
          <w:sz w:val="20"/>
          <w:szCs w:val="20"/>
          <w:color w:val="auto"/>
        </w:rPr>
      </w:pPr>
      <w:r>
        <w:rPr>
          <w:rFonts w:ascii="Courier New" w:cs="Courier New" w:eastAsia="Courier New" w:hAnsi="Courier New"/>
          <w:sz w:val="15"/>
          <w:szCs w:val="15"/>
          <w:color w:val="auto"/>
        </w:rPr>
        <w:t>THE TORO COMPANY</w:t>
      </w:r>
    </w:p>
    <w:p>
      <w:pPr>
        <w:spacing w:after="0" w:line="26" w:lineRule="exact"/>
        <w:rPr>
          <w:sz w:val="24"/>
          <w:szCs w:val="24"/>
          <w:color w:val="auto"/>
        </w:rPr>
      </w:pPr>
    </w:p>
    <w:p>
      <w:pPr>
        <w:jc w:val="center"/>
        <w:ind w:right="265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29"/>
          </w:cols>
          <w:pgMar w:left="230" w:top="714" w:right="1440" w:bottom="1440" w:gutter="0" w:footer="0" w:header="0"/>
          <w:type w:val="continuous"/>
        </w:sectPr>
      </w:pPr>
    </w:p>
    <w:p>
      <w:pPr>
        <w:spacing w:after="0" w:line="200" w:lineRule="exact"/>
        <w:rPr>
          <w:sz w:val="24"/>
          <w:szCs w:val="24"/>
          <w:color w:val="auto"/>
        </w:rPr>
      </w:pPr>
    </w:p>
    <w:p>
      <w:pPr>
        <w:spacing w:after="0" w:line="293" w:lineRule="exact"/>
        <w:rPr>
          <w:sz w:val="24"/>
          <w:szCs w:val="24"/>
          <w:color w:val="auto"/>
        </w:rPr>
      </w:pPr>
    </w:p>
    <w:p>
      <w:pPr>
        <w:ind w:left="610"/>
        <w:spacing w:after="0"/>
        <w:rPr>
          <w:sz w:val="20"/>
          <w:szCs w:val="20"/>
          <w:color w:val="auto"/>
        </w:rPr>
      </w:pPr>
      <w:r>
        <w:rPr>
          <w:rFonts w:ascii="Courier New" w:cs="Courier New" w:eastAsia="Courier New" w:hAnsi="Courier New"/>
          <w:sz w:val="15"/>
          <w:szCs w:val="15"/>
          <w:color w:val="auto"/>
        </w:rPr>
        <w:t>DELAWARE</w:t>
      </w:r>
    </w:p>
    <w:p>
      <w:pPr>
        <w:spacing w:after="0" w:line="26" w:lineRule="exact"/>
        <w:rPr>
          <w:sz w:val="24"/>
          <w:szCs w:val="24"/>
          <w:color w:val="auto"/>
        </w:rPr>
      </w:pPr>
    </w:p>
    <w:p>
      <w:pPr>
        <w:ind w:left="17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3"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41-0580470</w:t>
      </w:r>
    </w:p>
    <w:p>
      <w:pPr>
        <w:spacing w:after="0" w:line="2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200" w:lineRule="exact"/>
        <w:rPr>
          <w:sz w:val="24"/>
          <w:szCs w:val="24"/>
          <w:color w:val="auto"/>
        </w:rPr>
      </w:pPr>
    </w:p>
    <w:p>
      <w:pPr>
        <w:sectPr>
          <w:pgSz w:w="11900" w:h="16838" w:orient="portrait"/>
          <w:cols w:equalWidth="0" w:num="2">
            <w:col w:w="2550" w:space="720"/>
            <w:col w:w="6959"/>
          </w:cols>
          <w:pgMar w:left="230" w:top="714" w:right="1440" w:bottom="1440" w:gutter="0" w:footer="0" w:header="0"/>
          <w:type w:val="continuous"/>
        </w:sectPr>
      </w:pPr>
    </w:p>
    <w:p>
      <w:pPr>
        <w:spacing w:after="0" w:line="124" w:lineRule="exact"/>
        <w:rPr>
          <w:sz w:val="24"/>
          <w:szCs w:val="24"/>
          <w:color w:val="auto"/>
        </w:rPr>
      </w:pPr>
    </w:p>
    <w:p>
      <w:pPr>
        <w:ind w:left="2650"/>
        <w:spacing w:after="0"/>
        <w:rPr>
          <w:sz w:val="20"/>
          <w:szCs w:val="20"/>
          <w:color w:val="auto"/>
        </w:rPr>
      </w:pPr>
      <w:r>
        <w:rPr>
          <w:rFonts w:ascii="Courier New" w:cs="Courier New" w:eastAsia="Courier New" w:hAnsi="Courier New"/>
          <w:sz w:val="15"/>
          <w:szCs w:val="15"/>
          <w:color w:val="auto"/>
        </w:rPr>
        <w:t>8111 LYNDALE AVENUE SOUTH</w:t>
      </w:r>
    </w:p>
    <w:p>
      <w:pPr>
        <w:spacing w:after="0" w:line="25" w:lineRule="exact"/>
        <w:rPr>
          <w:sz w:val="24"/>
          <w:szCs w:val="24"/>
          <w:color w:val="auto"/>
        </w:rPr>
      </w:pPr>
    </w:p>
    <w:p>
      <w:pPr>
        <w:ind w:left="2470"/>
        <w:spacing w:after="0"/>
        <w:tabs>
          <w:tab w:leader="none" w:pos="4569" w:val="left"/>
        </w:tabs>
        <w:rPr>
          <w:sz w:val="20"/>
          <w:szCs w:val="20"/>
          <w:color w:val="auto"/>
        </w:rPr>
      </w:pPr>
      <w:r>
        <w:rPr>
          <w:rFonts w:ascii="Courier New" w:cs="Courier New" w:eastAsia="Courier New" w:hAnsi="Courier New"/>
          <w:sz w:val="15"/>
          <w:szCs w:val="15"/>
          <w:color w:val="auto"/>
        </w:rPr>
        <w:t>BLOOMINGTON, MINNESOTA</w:t>
      </w:r>
      <w:r>
        <w:rPr>
          <w:sz w:val="20"/>
          <w:szCs w:val="20"/>
          <w:color w:val="auto"/>
        </w:rPr>
        <w:tab/>
      </w:r>
      <w:r>
        <w:rPr>
          <w:rFonts w:ascii="Courier New" w:cs="Courier New" w:eastAsia="Courier New" w:hAnsi="Courier New"/>
          <w:sz w:val="14"/>
          <w:szCs w:val="14"/>
          <w:color w:val="auto"/>
        </w:rPr>
        <w:t>55420</w:t>
      </w:r>
    </w:p>
    <w:p>
      <w:pPr>
        <w:ind w:left="2390"/>
        <w:spacing w:after="0"/>
        <w:rPr>
          <w:sz w:val="20"/>
          <w:szCs w:val="20"/>
          <w:color w:val="auto"/>
        </w:rPr>
      </w:pPr>
      <w:r>
        <w:rPr>
          <w:rFonts w:ascii="Courier New" w:cs="Courier New" w:eastAsia="Courier New" w:hAnsi="Courier New"/>
          <w:sz w:val="14"/>
          <w:szCs w:val="14"/>
          <w:color w:val="auto"/>
        </w:rPr>
        <w:t>TELEPHONE NUMBER: (612) 888-8801</w:t>
      </w:r>
    </w:p>
    <w:p>
      <w:pPr>
        <w:sectPr>
          <w:pgSz w:w="11900" w:h="16838" w:orient="portrait"/>
          <w:cols w:equalWidth="0" w:num="1">
            <w:col w:w="10229"/>
          </w:cols>
          <w:pgMar w:left="230" w:top="714" w:right="1440" w:bottom="1440" w:gutter="0" w:footer="0" w:header="0"/>
          <w:type w:val="continuous"/>
        </w:sectPr>
      </w:pPr>
    </w:p>
    <w:p>
      <w:pPr>
        <w:spacing w:after="0" w:line="324" w:lineRule="exact"/>
        <w:rPr>
          <w:sz w:val="24"/>
          <w:szCs w:val="24"/>
          <w:color w:val="auto"/>
        </w:rPr>
      </w:pPr>
    </w:p>
    <w:p>
      <w:pPr>
        <w:ind w:left="1770" w:right="3259" w:hanging="1409"/>
        <w:spacing w:after="0" w:line="347" w:lineRule="auto"/>
        <w:rPr>
          <w:sz w:val="20"/>
          <w:szCs w:val="20"/>
          <w:color w:val="auto"/>
        </w:rPr>
      </w:pPr>
      <w:r>
        <w:rPr>
          <w:rFonts w:ascii="Courier New" w:cs="Courier New" w:eastAsia="Courier New" w:hAnsi="Courier New"/>
          <w:sz w:val="15"/>
          <w:szCs w:val="15"/>
          <w:color w:val="auto"/>
        </w:rPr>
        <w:t>(Address, including zip code, and telephone number, including area code, of registrant's principal executive offices)</w:t>
      </w:r>
    </w:p>
    <w:p>
      <w:pPr>
        <w:spacing w:after="0" w:line="356" w:lineRule="exact"/>
        <w:rPr>
          <w:sz w:val="24"/>
          <w:szCs w:val="24"/>
          <w:color w:val="auto"/>
        </w:rPr>
      </w:pPr>
    </w:p>
    <w:p>
      <w:pPr>
        <w:ind w:left="10" w:right="3439"/>
        <w:spacing w:after="0" w:line="26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29"/>
          </w:cols>
          <w:pgMar w:left="230" w:top="714" w:right="1440" w:bottom="1440" w:gutter="0" w:footer="0" w:header="0"/>
          <w:type w:val="continuous"/>
        </w:sectPr>
      </w:pPr>
    </w:p>
    <w:p>
      <w:pPr>
        <w:spacing w:after="0" w:line="75" w:lineRule="exact"/>
        <w:rPr>
          <w:sz w:val="24"/>
          <w:szCs w:val="24"/>
          <w:color w:val="auto"/>
        </w:rPr>
      </w:pPr>
    </w:p>
    <w:p>
      <w:pPr>
        <w:ind w:left="159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76" w:lineRule="exact"/>
        <w:rPr>
          <w:sz w:val="24"/>
          <w:szCs w:val="24"/>
          <w:color w:val="auto"/>
        </w:rPr>
      </w:pPr>
    </w:p>
    <w:p>
      <w:pPr>
        <w:sectPr>
          <w:pgSz w:w="11900" w:h="16838" w:orient="portrait"/>
          <w:cols w:equalWidth="0" w:num="3">
            <w:col w:w="1850" w:space="360"/>
            <w:col w:w="1560" w:space="720"/>
            <w:col w:w="5739"/>
          </w:cols>
          <w:pgMar w:left="230" w:top="714" w:right="1440" w:bottom="1440" w:gutter="0" w:footer="0" w:header="0"/>
          <w:type w:val="continuous"/>
        </w:sectPr>
      </w:pPr>
    </w:p>
    <w:p>
      <w:pPr>
        <w:ind w:left="193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04" w:lineRule="exact"/>
        <w:rPr>
          <w:sz w:val="24"/>
          <w:szCs w:val="24"/>
          <w:color w:val="auto"/>
        </w:rPr>
      </w:pPr>
    </w:p>
    <w:p>
      <w:pPr>
        <w:sectPr>
          <w:pgSz w:w="11900" w:h="16838" w:orient="portrait"/>
          <w:cols w:equalWidth="0" w:num="2">
            <w:col w:w="4130" w:space="720"/>
            <w:col w:w="5379"/>
          </w:cols>
          <w:pgMar w:left="230" w:top="714" w:right="1440" w:bottom="1440" w:gutter="0" w:footer="0" w:header="0"/>
          <w:type w:val="continuous"/>
        </w:sectPr>
      </w:pPr>
    </w:p>
    <w:p>
      <w:pPr>
        <w:ind w:left="10" w:right="3699"/>
        <w:spacing w:after="0" w:line="347" w:lineRule="auto"/>
        <w:rPr>
          <w:sz w:val="20"/>
          <w:szCs w:val="20"/>
          <w:color w:val="auto"/>
        </w:rPr>
      </w:pPr>
      <w:r>
        <w:rPr>
          <w:rFonts w:ascii="Courier New" w:cs="Courier New" w:eastAsia="Courier New" w:hAnsi="Courier New"/>
          <w:sz w:val="15"/>
          <w:szCs w:val="15"/>
          <w:color w:val="auto"/>
        </w:rPr>
        <w:t>The number of shares of Common Stock outstanding as of August 29, 1997 was 12,115,415.</w:t>
      </w:r>
    </w:p>
    <w:p>
      <w:pPr>
        <w:spacing w:after="0" w:line="17" w:lineRule="exact"/>
        <w:rPr>
          <w:sz w:val="24"/>
          <w:szCs w:val="24"/>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6"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714" w:right="1440" w:bottom="1440" w:gutter="0" w:footer="0" w:header="0"/>
          <w:type w:val="continuous"/>
        </w:sectPr>
      </w:pPr>
    </w:p>
    <w:bookmarkStart w:id="1" w:name="page2"/>
    <w:bookmarkEnd w:id="1"/>
    <w:p>
      <w:pPr>
        <w:jc w:val="center"/>
        <w:ind w:right="2659"/>
        <w:spacing w:after="0"/>
        <w:rPr>
          <w:sz w:val="20"/>
          <w:szCs w:val="20"/>
          <w:color w:val="auto"/>
        </w:rPr>
      </w:pPr>
      <w:r>
        <w:rPr>
          <w:rFonts w:ascii="Courier New" w:cs="Courier New" w:eastAsia="Courier New" w:hAnsi="Courier New"/>
          <w:sz w:val="15"/>
          <w:szCs w:val="15"/>
          <w:color w:val="auto"/>
        </w:rPr>
        <w:t>THE TORO COMPANY</w:t>
      </w:r>
    </w:p>
    <w:p>
      <w:pPr>
        <w:spacing w:after="0" w:line="26"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INDEX TO FORM 10-Q</w:t>
      </w:r>
    </w:p>
    <w:p>
      <w:pPr>
        <w:spacing w:after="0" w:line="200" w:lineRule="exact"/>
        <w:rPr>
          <w:sz w:val="20"/>
          <w:szCs w:val="20"/>
          <w:color w:val="auto"/>
        </w:rPr>
      </w:pPr>
    </w:p>
    <w:p>
      <w:pPr>
        <w:spacing w:after="0" w:line="282"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5"/>
          <w:szCs w:val="15"/>
          <w:color w:val="auto"/>
        </w:rPr>
        <w:t>Page Number</w:t>
      </w:r>
    </w:p>
    <w:p>
      <w:pPr>
        <w:spacing w:after="0" w:line="26" w:lineRule="exact"/>
        <w:rPr>
          <w:sz w:val="20"/>
          <w:szCs w:val="20"/>
          <w:color w:val="auto"/>
        </w:rPr>
      </w:pPr>
    </w:p>
    <w:p>
      <w:pPr>
        <w:ind w:left="5980"/>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69" w:lineRule="exact"/>
        <w:rPr>
          <w:sz w:val="20"/>
          <w:szCs w:val="20"/>
          <w:color w:val="auto"/>
        </w:rPr>
      </w:pPr>
    </w:p>
    <w:tbl>
      <w:tblPr>
        <w:tblLayout w:type="fixed"/>
        <w:tblInd w:w="96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Condensed</w:t>
            </w:r>
          </w:p>
        </w:tc>
        <w:tc>
          <w:tcPr>
            <w:tcW w:w="2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Consolidated Statements of</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Earnings and</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60" w:type="dxa"/>
            <w:vAlign w:val="bottom"/>
            <w:gridSpan w:val="3"/>
          </w:tcPr>
          <w:p>
            <w:pPr>
              <w:spacing w:after="0"/>
              <w:rPr>
                <w:sz w:val="20"/>
                <w:szCs w:val="20"/>
                <w:color w:val="auto"/>
              </w:rPr>
            </w:pPr>
            <w:r>
              <w:rPr>
                <w:rFonts w:ascii="Courier New" w:cs="Courier New" w:eastAsia="Courier New" w:hAnsi="Courier New"/>
                <w:sz w:val="15"/>
                <w:szCs w:val="15"/>
                <w:color w:val="auto"/>
              </w:rPr>
              <w:t>Retained Earnings -</w:t>
            </w:r>
          </w:p>
        </w:tc>
        <w:tc>
          <w:tcPr>
            <w:tcW w:w="2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Three and</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Nine Months Ended</w:t>
            </w:r>
          </w:p>
        </w:tc>
        <w:tc>
          <w:tcPr>
            <w:tcW w:w="212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.3</w:t>
            </w:r>
          </w:p>
        </w:tc>
        <w:tc>
          <w:tcPr>
            <w:tcW w:w="0" w:type="dxa"/>
            <w:vAlign w:val="bottom"/>
          </w:tcPr>
          <w:p>
            <w:pPr>
              <w:spacing w:after="0"/>
              <w:rPr>
                <w:sz w:val="1"/>
                <w:szCs w:val="1"/>
                <w:color w:val="auto"/>
              </w:rPr>
            </w:pPr>
          </w:p>
        </w:tc>
      </w:tr>
      <w:tr>
        <w:trPr>
          <w:trHeight w:val="246"/>
        </w:trPr>
        <w:tc>
          <w:tcPr>
            <w:tcW w:w="840" w:type="dxa"/>
            <w:vAlign w:val="bottom"/>
          </w:tcPr>
          <w:p>
            <w:pPr>
              <w:ind w:left="260"/>
              <w:spacing w:after="0"/>
              <w:rPr>
                <w:sz w:val="20"/>
                <w:szCs w:val="20"/>
                <w:color w:val="auto"/>
              </w:rPr>
            </w:pPr>
            <w:r>
              <w:rPr>
                <w:rFonts w:ascii="Courier New" w:cs="Courier New" w:eastAsia="Courier New" w:hAnsi="Courier New"/>
                <w:sz w:val="15"/>
                <w:szCs w:val="15"/>
                <w:color w:val="auto"/>
              </w:rPr>
              <w:t>August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1,</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w w:val="97"/>
              </w:rPr>
              <w:t>1997 and August 2, 1996.</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 . . . . . . . . . . .</w:t>
            </w:r>
          </w:p>
        </w:tc>
        <w:tc>
          <w:tcPr>
            <w:tcW w:w="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840" w:type="dxa"/>
            <w:vAlign w:val="bottom"/>
          </w:tcPr>
          <w:p>
            <w:pPr>
              <w:spacing w:after="0"/>
              <w:rPr>
                <w:sz w:val="20"/>
                <w:szCs w:val="20"/>
                <w:color w:val="auto"/>
              </w:rPr>
            </w:pPr>
            <w:r>
              <w:rPr>
                <w:rFonts w:ascii="Courier New" w:cs="Courier New" w:eastAsia="Courier New" w:hAnsi="Courier New"/>
                <w:sz w:val="15"/>
                <w:szCs w:val="15"/>
                <w:color w:val="auto"/>
              </w:rPr>
              <w:t>Condensed</w:t>
            </w:r>
          </w:p>
        </w:tc>
        <w:tc>
          <w:tcPr>
            <w:tcW w:w="45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Consolidated Balance Sheets -</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.4</w:t>
            </w:r>
          </w:p>
        </w:tc>
        <w:tc>
          <w:tcPr>
            <w:tcW w:w="0" w:type="dxa"/>
            <w:vAlign w:val="bottom"/>
          </w:tcPr>
          <w:p>
            <w:pPr>
              <w:spacing w:after="0"/>
              <w:rPr>
                <w:sz w:val="1"/>
                <w:szCs w:val="1"/>
                <w:color w:val="auto"/>
              </w:rPr>
            </w:pPr>
          </w:p>
        </w:tc>
      </w:tr>
      <w:tr>
        <w:trPr>
          <w:trHeight w:val="246"/>
        </w:trPr>
        <w:tc>
          <w:tcPr>
            <w:tcW w:w="840" w:type="dxa"/>
            <w:vAlign w:val="bottom"/>
          </w:tcPr>
          <w:p>
            <w:pPr>
              <w:ind w:left="260"/>
              <w:spacing w:after="0"/>
              <w:rPr>
                <w:sz w:val="20"/>
                <w:szCs w:val="20"/>
                <w:color w:val="auto"/>
              </w:rPr>
            </w:pPr>
            <w:r>
              <w:rPr>
                <w:rFonts w:ascii="Courier New" w:cs="Courier New" w:eastAsia="Courier New" w:hAnsi="Courier New"/>
                <w:sz w:val="15"/>
                <w:szCs w:val="15"/>
                <w:color w:val="auto"/>
              </w:rPr>
              <w:t>August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1,</w:t>
            </w:r>
          </w:p>
        </w:tc>
        <w:tc>
          <w:tcPr>
            <w:tcW w:w="42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1997, August 2, 1996 and October 31, 1996. . . .</w:t>
            </w:r>
          </w:p>
        </w:tc>
        <w:tc>
          <w:tcPr>
            <w:tcW w:w="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840" w:type="dxa"/>
            <w:vAlign w:val="bottom"/>
          </w:tcPr>
          <w:p>
            <w:pPr>
              <w:spacing w:after="0"/>
              <w:rPr>
                <w:sz w:val="20"/>
                <w:szCs w:val="20"/>
                <w:color w:val="auto"/>
              </w:rPr>
            </w:pPr>
            <w:r>
              <w:rPr>
                <w:rFonts w:ascii="Courier New" w:cs="Courier New" w:eastAsia="Courier New" w:hAnsi="Courier New"/>
                <w:sz w:val="15"/>
                <w:szCs w:val="15"/>
                <w:color w:val="auto"/>
              </w:rPr>
              <w:t>Condensed</w:t>
            </w:r>
          </w:p>
        </w:tc>
        <w:tc>
          <w:tcPr>
            <w:tcW w:w="2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Consolidated Statements of</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Cash Flows -</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.5</w:t>
            </w:r>
          </w:p>
        </w:tc>
        <w:tc>
          <w:tcPr>
            <w:tcW w:w="0" w:type="dxa"/>
            <w:vAlign w:val="bottom"/>
          </w:tcPr>
          <w:p>
            <w:pPr>
              <w:spacing w:after="0"/>
              <w:rPr>
                <w:sz w:val="1"/>
                <w:szCs w:val="1"/>
                <w:color w:val="auto"/>
              </w:rPr>
            </w:pPr>
          </w:p>
        </w:tc>
      </w:tr>
      <w:tr>
        <w:trPr>
          <w:trHeight w:val="246"/>
        </w:trPr>
        <w:tc>
          <w:tcPr>
            <w:tcW w:w="5380" w:type="dxa"/>
            <w:vAlign w:val="bottom"/>
            <w:gridSpan w:val="4"/>
          </w:tcPr>
          <w:p>
            <w:pPr>
              <w:ind w:left="260"/>
              <w:spacing w:after="0"/>
              <w:rPr>
                <w:sz w:val="20"/>
                <w:szCs w:val="20"/>
                <w:color w:val="auto"/>
              </w:rPr>
            </w:pPr>
            <w:r>
              <w:rPr>
                <w:rFonts w:ascii="Courier New" w:cs="Courier New" w:eastAsia="Courier New" w:hAnsi="Courier New"/>
                <w:sz w:val="15"/>
                <w:szCs w:val="15"/>
                <w:color w:val="auto"/>
                <w:w w:val="97"/>
              </w:rPr>
              <w:t>Nine Months Ended August 1, 1997 and August 2, 1996. . . .</w:t>
            </w:r>
          </w:p>
        </w:tc>
        <w:tc>
          <w:tcPr>
            <w:tcW w:w="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5380" w:type="dxa"/>
            <w:vAlign w:val="bottom"/>
            <w:gridSpan w:val="4"/>
          </w:tcPr>
          <w:p>
            <w:pPr>
              <w:spacing w:after="0"/>
              <w:rPr>
                <w:sz w:val="20"/>
                <w:szCs w:val="20"/>
                <w:color w:val="auto"/>
              </w:rPr>
            </w:pPr>
            <w:r>
              <w:rPr>
                <w:rFonts w:ascii="Courier New" w:cs="Courier New" w:eastAsia="Courier New" w:hAnsi="Courier New"/>
                <w:sz w:val="15"/>
                <w:szCs w:val="15"/>
                <w:color w:val="auto"/>
                <w:w w:val="97"/>
              </w:rPr>
              <w:t>Notes to Condensed Consolidated Financial Statements. . . . .</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c>
          <w:tcPr>
            <w:tcW w:w="0" w:type="dxa"/>
            <w:vAlign w:val="bottom"/>
          </w:tcPr>
          <w:p>
            <w:pPr>
              <w:spacing w:after="0"/>
              <w:rPr>
                <w:sz w:val="1"/>
                <w:szCs w:val="1"/>
                <w:color w:val="auto"/>
              </w:rPr>
            </w:pPr>
          </w:p>
        </w:tc>
      </w:tr>
      <w:tr>
        <w:trPr>
          <w:trHeight w:val="262"/>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Management's</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Discussion and Analysis</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of Financial</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3"/>
              </w:rPr>
              <w:t>10-14</w:t>
            </w:r>
          </w:p>
        </w:tc>
        <w:tc>
          <w:tcPr>
            <w:tcW w:w="0" w:type="dxa"/>
            <w:vAlign w:val="bottom"/>
          </w:tcPr>
          <w:p>
            <w:pPr>
              <w:spacing w:after="0"/>
              <w:rPr>
                <w:sz w:val="1"/>
                <w:szCs w:val="1"/>
                <w:color w:val="auto"/>
              </w:rPr>
            </w:pPr>
          </w:p>
        </w:tc>
      </w:tr>
      <w:tr>
        <w:trPr>
          <w:trHeight w:val="246"/>
        </w:trPr>
        <w:tc>
          <w:tcPr>
            <w:tcW w:w="840" w:type="dxa"/>
            <w:vAlign w:val="bottom"/>
          </w:tcPr>
          <w:p>
            <w:pPr>
              <w:spacing w:after="0"/>
              <w:rPr>
                <w:sz w:val="20"/>
                <w:szCs w:val="20"/>
                <w:color w:val="auto"/>
              </w:rPr>
            </w:pPr>
            <w:r>
              <w:rPr>
                <w:rFonts w:ascii="Courier New" w:cs="Courier New" w:eastAsia="Courier New" w:hAnsi="Courier New"/>
                <w:sz w:val="15"/>
                <w:szCs w:val="15"/>
                <w:color w:val="auto"/>
              </w:rPr>
              <w:t>Condition</w:t>
            </w:r>
          </w:p>
        </w:tc>
        <w:tc>
          <w:tcPr>
            <w:tcW w:w="24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and Results of Operations .</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 . . . . . . . . . . .</w:t>
            </w:r>
          </w:p>
        </w:tc>
        <w:tc>
          <w:tcPr>
            <w:tcW w:w="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 OTHER INFORMATION:</w:t>
      </w:r>
    </w:p>
    <w:p>
      <w:pPr>
        <w:spacing w:after="0" w:line="169" w:lineRule="exact"/>
        <w:rPr>
          <w:sz w:val="20"/>
          <w:szCs w:val="20"/>
          <w:color w:val="auto"/>
        </w:rPr>
      </w:pPr>
    </w:p>
    <w:p>
      <w:pPr>
        <w:ind w:left="960"/>
        <w:spacing w:after="0"/>
        <w:tabs>
          <w:tab w:leader="none" w:pos="164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 . . . . . . . . . . . 15</w:t>
      </w:r>
    </w:p>
    <w:p>
      <w:pPr>
        <w:spacing w:after="0" w:line="169" w:lineRule="exact"/>
        <w:rPr>
          <w:sz w:val="20"/>
          <w:szCs w:val="20"/>
          <w:color w:val="auto"/>
        </w:rPr>
      </w:pPr>
    </w:p>
    <w:p>
      <w:pPr>
        <w:ind w:left="960"/>
        <w:spacing w:after="0"/>
        <w:tabs>
          <w:tab w:leader="none" w:pos="2000" w:val="left"/>
        </w:tabs>
        <w:rPr>
          <w:sz w:val="20"/>
          <w:szCs w:val="20"/>
          <w:color w:val="auto"/>
        </w:rPr>
      </w:pPr>
      <w:r>
        <w:rPr>
          <w:rFonts w:ascii="Courier New" w:cs="Courier New" w:eastAsia="Courier New" w:hAnsi="Courier New"/>
          <w:sz w:val="15"/>
          <w:szCs w:val="15"/>
          <w:color w:val="auto"/>
        </w:rPr>
        <w:t>Exhibit 11</w:t>
      </w:r>
      <w:r>
        <w:rPr>
          <w:sz w:val="20"/>
          <w:szCs w:val="20"/>
          <w:color w:val="auto"/>
        </w:rPr>
        <w:tab/>
      </w:r>
      <w:r>
        <w:rPr>
          <w:rFonts w:ascii="Courier New" w:cs="Courier New" w:eastAsia="Courier New" w:hAnsi="Courier New"/>
          <w:sz w:val="14"/>
          <w:szCs w:val="14"/>
          <w:color w:val="auto"/>
        </w:rPr>
        <w:t>Computation of Earnings Per Common Share. . . . . . 16</w:t>
      </w:r>
    </w:p>
    <w:p>
      <w:pPr>
        <w:spacing w:after="0" w:line="33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01" w:right="1440" w:bottom="1440" w:gutter="0" w:footer="0" w:header="0"/>
        </w:sectPr>
      </w:pPr>
    </w:p>
    <w:bookmarkStart w:id="2" w:name="page3"/>
    <w:bookmarkEnd w:id="2"/>
    <w:p>
      <w:pPr>
        <w:jc w:val="center"/>
        <w:ind w:right="2740"/>
        <w:spacing w:after="0"/>
        <w:rPr>
          <w:sz w:val="20"/>
          <w:szCs w:val="20"/>
          <w:color w:val="auto"/>
        </w:rPr>
      </w:pPr>
      <w:r>
        <w:rPr>
          <w:rFonts w:ascii="Courier New" w:cs="Courier New" w:eastAsia="Courier New" w:hAnsi="Courier New"/>
          <w:sz w:val="15"/>
          <w:szCs w:val="15"/>
          <w:color w:val="auto"/>
        </w:rPr>
        <w:t>PART I. FINANCIAL INFORMATION</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THE TORO COMPANY AND SUBSIDIARIES</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 EARNINGS AND RETAINED EARNINGS (UNAUDITED)</w:t>
      </w:r>
    </w:p>
    <w:p>
      <w:pPr>
        <w:ind w:left="1760"/>
        <w:spacing w:after="0"/>
        <w:rPr>
          <w:sz w:val="20"/>
          <w:szCs w:val="20"/>
          <w:color w:val="auto"/>
        </w:rPr>
      </w:pPr>
      <w:r>
        <w:rPr>
          <w:rFonts w:ascii="Courier New" w:cs="Courier New" w:eastAsia="Courier New" w:hAnsi="Courier New"/>
          <w:sz w:val="15"/>
          <w:szCs w:val="15"/>
          <w:color w:val="auto"/>
        </w:rPr>
        <w:t>(DOLLARS IN THOUSANDS, EXCEPT PER-SHARE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8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Three Months Ended</w:t>
            </w:r>
          </w:p>
        </w:tc>
        <w:tc>
          <w:tcPr>
            <w:tcW w:w="280" w:type="dxa"/>
            <w:vAlign w:val="bottom"/>
          </w:tcPr>
          <w:p>
            <w:pPr>
              <w:spacing w:after="0"/>
              <w:rPr>
                <w:sz w:val="14"/>
                <w:szCs w:val="14"/>
                <w:color w:val="auto"/>
              </w:rPr>
            </w:pPr>
          </w:p>
        </w:tc>
        <w:tc>
          <w:tcPr>
            <w:tcW w:w="220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Nine Months Ended</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w w:val="74"/>
                <w:vertAlign w:val="subscript"/>
              </w:rPr>
              <w:t>August</w:t>
            </w:r>
            <w:r>
              <w:rPr>
                <w:rFonts w:ascii="Courier New" w:cs="Courier New" w:eastAsia="Courier New" w:hAnsi="Courier New"/>
                <w:sz w:val="9"/>
                <w:szCs w:val="9"/>
                <w:color w:val="auto"/>
                <w:w w:val="74"/>
              </w:rPr>
              <w:t>------------------------</w:t>
            </w:r>
            <w:r>
              <w:rPr>
                <w:rFonts w:ascii="Courier New" w:cs="Courier New" w:eastAsia="Courier New" w:hAnsi="Courier New"/>
                <w:sz w:val="14"/>
                <w:szCs w:val="14"/>
                <w:color w:val="auto"/>
                <w:w w:val="74"/>
                <w:vertAlign w:val="subscript"/>
              </w:rPr>
              <w:t>1,</w:t>
            </w:r>
          </w:p>
        </w:tc>
        <w:tc>
          <w:tcPr>
            <w:tcW w:w="10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August 2,</w:t>
            </w:r>
          </w:p>
        </w:tc>
        <w:tc>
          <w:tcPr>
            <w:tcW w:w="28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August 1,</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August 2,</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630"/>
              <w:spacing w:after="0"/>
              <w:rPr>
                <w:sz w:val="20"/>
                <w:szCs w:val="20"/>
                <w:color w:val="auto"/>
              </w:rPr>
            </w:pPr>
            <w:r>
              <w:rPr>
                <w:rFonts w:ascii="Courier New" w:cs="Courier New" w:eastAsia="Courier New" w:hAnsi="Courier New"/>
                <w:sz w:val="15"/>
                <w:szCs w:val="15"/>
                <w:color w:val="auto"/>
              </w:rPr>
              <w:t>1997</w:t>
            </w:r>
          </w:p>
        </w:tc>
        <w:tc>
          <w:tcPr>
            <w:tcW w:w="8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c>
          <w:tcPr>
            <w:tcW w:w="280" w:type="dxa"/>
            <w:vAlign w:val="bottom"/>
          </w:tcPr>
          <w:p>
            <w:pPr>
              <w:spacing w:after="0"/>
              <w:rPr>
                <w:sz w:val="14"/>
                <w:szCs w:val="14"/>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5"/>
                <w:szCs w:val="15"/>
                <w:color w:val="auto"/>
              </w:rPr>
              <w:t>1997</w:t>
            </w:r>
          </w:p>
        </w:tc>
        <w:tc>
          <w:tcPr>
            <w:tcW w:w="3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46"/>
        </w:trPr>
        <w:tc>
          <w:tcPr>
            <w:tcW w:w="5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37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21"/>
                <w:szCs w:val="21"/>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280" w:type="dxa"/>
            <w:vAlign w:val="bottom"/>
          </w:tcPr>
          <w:p>
            <w:pPr>
              <w:spacing w:after="0"/>
              <w:rPr>
                <w:sz w:val="21"/>
                <w:szCs w:val="21"/>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w:t>
            </w:r>
          </w:p>
        </w:tc>
        <w:tc>
          <w:tcPr>
            <w:tcW w:w="320" w:type="dxa"/>
            <w:vAlign w:val="bottom"/>
          </w:tcPr>
          <w:p>
            <w:pPr>
              <w:spacing w:after="0"/>
              <w:rPr>
                <w:sz w:val="21"/>
                <w:szCs w:val="21"/>
                <w:color w:val="auto"/>
              </w:rPr>
            </w:pP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2"/>
        </w:trPr>
        <w:tc>
          <w:tcPr>
            <w:tcW w:w="5020" w:type="dxa"/>
            <w:vAlign w:val="bottom"/>
          </w:tcPr>
          <w:p>
            <w:pPr>
              <w:spacing w:after="0"/>
              <w:rPr>
                <w:sz w:val="20"/>
                <w:szCs w:val="20"/>
                <w:color w:val="auto"/>
              </w:rPr>
            </w:pPr>
            <w:r>
              <w:rPr>
                <w:rFonts w:ascii="Courier New" w:cs="Courier New" w:eastAsia="Courier New" w:hAnsi="Courier New"/>
                <w:sz w:val="15"/>
                <w:szCs w:val="15"/>
                <w:color w:val="auto"/>
              </w:rPr>
              <w:t>Net sales.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50"/>
              <w:spacing w:after="0"/>
              <w:rPr>
                <w:sz w:val="20"/>
                <w:szCs w:val="20"/>
                <w:color w:val="auto"/>
              </w:rPr>
            </w:pPr>
            <w:r>
              <w:rPr>
                <w:rFonts w:ascii="Courier New" w:cs="Courier New" w:eastAsia="Courier New" w:hAnsi="Courier New"/>
                <w:sz w:val="15"/>
                <w:szCs w:val="15"/>
                <w:color w:val="auto"/>
              </w:rPr>
              <w:t>249,274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232,565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810,434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732,712</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Cost of sales. . . . . . . . . . . . . . . . . . . . .</w:t>
            </w:r>
          </w:p>
        </w:tc>
        <w:tc>
          <w:tcPr>
            <w:tcW w:w="340" w:type="dxa"/>
            <w:vAlign w:val="bottom"/>
          </w:tcPr>
          <w:p>
            <w:pPr>
              <w:spacing w:after="0"/>
              <w:rPr>
                <w:sz w:val="14"/>
                <w:szCs w:val="14"/>
                <w:color w:val="auto"/>
              </w:rPr>
            </w:pPr>
          </w:p>
        </w:tc>
        <w:tc>
          <w:tcPr>
            <w:tcW w:w="1240" w:type="dxa"/>
            <w:vAlign w:val="bottom"/>
          </w:tcPr>
          <w:p>
            <w:pPr>
              <w:jc w:val="right"/>
              <w:ind w:right="450"/>
              <w:spacing w:after="0"/>
              <w:rPr>
                <w:sz w:val="20"/>
                <w:szCs w:val="20"/>
                <w:color w:val="auto"/>
              </w:rPr>
            </w:pPr>
            <w:r>
              <w:rPr>
                <w:rFonts w:ascii="Courier New" w:cs="Courier New" w:eastAsia="Courier New" w:hAnsi="Courier New"/>
                <w:sz w:val="15"/>
                <w:szCs w:val="15"/>
                <w:color w:val="auto"/>
              </w:rPr>
              <w:t>156,879</w:t>
            </w:r>
          </w:p>
        </w:tc>
        <w:tc>
          <w:tcPr>
            <w:tcW w:w="8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146,681</w:t>
            </w:r>
          </w:p>
        </w:tc>
        <w:tc>
          <w:tcPr>
            <w:tcW w:w="28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517,695</w:t>
            </w:r>
          </w:p>
        </w:tc>
        <w:tc>
          <w:tcPr>
            <w:tcW w:w="320" w:type="dxa"/>
            <w:vAlign w:val="bottom"/>
          </w:tcPr>
          <w:p>
            <w:pPr>
              <w:spacing w:after="0"/>
              <w:rPr>
                <w:sz w:val="14"/>
                <w:szCs w:val="14"/>
                <w:color w:val="auto"/>
              </w:rPr>
            </w:pP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466,689</w:t>
            </w:r>
          </w:p>
        </w:tc>
        <w:tc>
          <w:tcPr>
            <w:tcW w:w="0" w:type="dxa"/>
            <w:vAlign w:val="bottom"/>
          </w:tcPr>
          <w:p>
            <w:pPr>
              <w:spacing w:after="0"/>
              <w:rPr>
                <w:sz w:val="1"/>
                <w:szCs w:val="1"/>
                <w:color w:val="auto"/>
              </w:rPr>
            </w:pPr>
          </w:p>
        </w:tc>
      </w:tr>
      <w:tr>
        <w:trPr>
          <w:trHeight w:val="170"/>
        </w:trPr>
        <w:tc>
          <w:tcPr>
            <w:tcW w:w="502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Gross profit . . . . . . . . . . . . . . . . .</w:t>
            </w:r>
          </w:p>
        </w:tc>
        <w:tc>
          <w:tcPr>
            <w:tcW w:w="340" w:type="dxa"/>
            <w:vAlign w:val="bottom"/>
          </w:tcPr>
          <w:p>
            <w:pPr>
              <w:spacing w:after="0"/>
              <w:rPr>
                <w:sz w:val="14"/>
                <w:szCs w:val="14"/>
                <w:color w:val="auto"/>
              </w:rPr>
            </w:pPr>
          </w:p>
        </w:tc>
        <w:tc>
          <w:tcPr>
            <w:tcW w:w="1240" w:type="dxa"/>
            <w:vAlign w:val="bottom"/>
            <w:vMerge w:val="restart"/>
          </w:tcPr>
          <w:p>
            <w:pPr>
              <w:jc w:val="right"/>
              <w:ind w:right="370"/>
              <w:spacing w:after="0"/>
              <w:rPr>
                <w:sz w:val="20"/>
                <w:szCs w:val="20"/>
                <w:color w:val="auto"/>
              </w:rPr>
            </w:pPr>
            <w:r>
              <w:rPr>
                <w:rFonts w:ascii="Courier New" w:cs="Courier New" w:eastAsia="Courier New" w:hAnsi="Courier New"/>
                <w:sz w:val="11"/>
                <w:szCs w:val="11"/>
                <w:color w:val="auto"/>
                <w:w w:val="74"/>
              </w:rPr>
              <w:t>---------</w:t>
            </w:r>
            <w:r>
              <w:rPr>
                <w:rFonts w:ascii="Courier New" w:cs="Courier New" w:eastAsia="Courier New" w:hAnsi="Courier New"/>
                <w:sz w:val="19"/>
                <w:szCs w:val="19"/>
                <w:color w:val="auto"/>
                <w:w w:val="74"/>
                <w:vertAlign w:val="subscript"/>
              </w:rPr>
              <w:t>92,395</w:t>
            </w:r>
          </w:p>
        </w:tc>
        <w:tc>
          <w:tcPr>
            <w:tcW w:w="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2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w:t>
            </w:r>
          </w:p>
        </w:tc>
        <w:tc>
          <w:tcPr>
            <w:tcW w:w="320" w:type="dxa"/>
            <w:vAlign w:val="bottom"/>
          </w:tcPr>
          <w:p>
            <w:pPr>
              <w:spacing w:after="0"/>
              <w:rPr>
                <w:sz w:val="14"/>
                <w:szCs w:val="14"/>
                <w:color w:val="auto"/>
              </w:rPr>
            </w:pP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70"/>
        </w:trPr>
        <w:tc>
          <w:tcPr>
            <w:tcW w:w="5020" w:type="dxa"/>
            <w:vAlign w:val="bottom"/>
            <w:vMerge w:val="continue"/>
          </w:tcPr>
          <w:p>
            <w:pPr>
              <w:jc w:val="right"/>
              <w:ind w:right="187"/>
              <w:spacing w:after="0" w:line="148" w:lineRule="exact"/>
              <w:rPr>
                <w:sz w:val="20"/>
                <w:szCs w:val="20"/>
                <w:color w:val="auto"/>
              </w:rPr>
            </w:pPr>
            <w:r>
              <w:rPr>
                <w:rFonts w:ascii="Courier New" w:cs="Courier New" w:eastAsia="Courier New" w:hAnsi="Courier New"/>
                <w:sz w:val="15"/>
                <w:szCs w:val="15"/>
                <w:color w:val="auto"/>
              </w:rPr>
              <w:t>. . .</w:t>
            </w:r>
          </w:p>
        </w:tc>
        <w:tc>
          <w:tcPr>
            <w:tcW w:w="3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85,884</w:t>
            </w:r>
          </w:p>
        </w:tc>
        <w:tc>
          <w:tcPr>
            <w:tcW w:w="28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292,739</w:t>
            </w:r>
          </w:p>
        </w:tc>
        <w:tc>
          <w:tcPr>
            <w:tcW w:w="320" w:type="dxa"/>
            <w:vAlign w:val="bottom"/>
          </w:tcPr>
          <w:p>
            <w:pPr>
              <w:spacing w:after="0"/>
              <w:rPr>
                <w:sz w:val="14"/>
                <w:szCs w:val="14"/>
                <w:color w:val="auto"/>
              </w:rPr>
            </w:pP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266,023</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340" w:type="dxa"/>
            <w:vAlign w:val="bottom"/>
          </w:tcPr>
          <w:p>
            <w:pPr>
              <w:spacing w:after="0"/>
              <w:rPr>
                <w:sz w:val="14"/>
                <w:szCs w:val="14"/>
                <w:color w:val="auto"/>
              </w:rPr>
            </w:pPr>
          </w:p>
        </w:tc>
        <w:tc>
          <w:tcPr>
            <w:tcW w:w="1240" w:type="dxa"/>
            <w:vAlign w:val="bottom"/>
            <w:vMerge w:val="restart"/>
          </w:tcPr>
          <w:p>
            <w:pPr>
              <w:jc w:val="right"/>
              <w:ind w:right="450"/>
              <w:spacing w:after="0"/>
              <w:rPr>
                <w:sz w:val="20"/>
                <w:szCs w:val="20"/>
                <w:color w:val="auto"/>
              </w:rPr>
            </w:pPr>
            <w:r>
              <w:rPr>
                <w:rFonts w:ascii="Courier New" w:cs="Courier New" w:eastAsia="Courier New" w:hAnsi="Courier New"/>
                <w:sz w:val="15"/>
                <w:szCs w:val="15"/>
                <w:color w:val="auto"/>
              </w:rPr>
              <w:t>73,626</w:t>
            </w:r>
          </w:p>
        </w:tc>
        <w:tc>
          <w:tcPr>
            <w:tcW w:w="80" w:type="dxa"/>
            <w:vAlign w:val="bottom"/>
          </w:tcPr>
          <w:p>
            <w:pPr>
              <w:spacing w:after="0"/>
              <w:rPr>
                <w:sz w:val="14"/>
                <w:szCs w:val="14"/>
                <w:color w:val="auto"/>
              </w:rPr>
            </w:pPr>
          </w:p>
        </w:tc>
        <w:tc>
          <w:tcPr>
            <w:tcW w:w="10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72,909</w:t>
            </w:r>
          </w:p>
        </w:tc>
        <w:tc>
          <w:tcPr>
            <w:tcW w:w="280" w:type="dxa"/>
            <w:vAlign w:val="bottom"/>
          </w:tcPr>
          <w:p>
            <w:pPr>
              <w:spacing w:after="0"/>
              <w:rPr>
                <w:sz w:val="14"/>
                <w:szCs w:val="14"/>
                <w:color w:val="auto"/>
              </w:rPr>
            </w:pPr>
          </w:p>
        </w:tc>
        <w:tc>
          <w:tcPr>
            <w:tcW w:w="10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231,255</w:t>
            </w:r>
          </w:p>
        </w:tc>
        <w:tc>
          <w:tcPr>
            <w:tcW w:w="320" w:type="dxa"/>
            <w:vAlign w:val="bottom"/>
          </w:tcPr>
          <w:p>
            <w:pPr>
              <w:spacing w:after="0"/>
              <w:rPr>
                <w:sz w:val="14"/>
                <w:szCs w:val="14"/>
                <w:color w:val="auto"/>
              </w:rPr>
            </w:pPr>
          </w:p>
        </w:tc>
        <w:tc>
          <w:tcPr>
            <w:tcW w:w="880" w:type="dxa"/>
            <w:vAlign w:val="bottom"/>
            <w:vMerge w:val="restart"/>
          </w:tcPr>
          <w:p>
            <w:pPr>
              <w:jc w:val="center"/>
              <w:ind w:right="27"/>
              <w:spacing w:after="0"/>
              <w:rPr>
                <w:sz w:val="20"/>
                <w:szCs w:val="20"/>
                <w:color w:val="auto"/>
              </w:rPr>
            </w:pPr>
            <w:r>
              <w:rPr>
                <w:rFonts w:ascii="Courier New" w:cs="Courier New" w:eastAsia="Courier New" w:hAnsi="Courier New"/>
                <w:sz w:val="15"/>
                <w:szCs w:val="15"/>
                <w:color w:val="auto"/>
                <w:w w:val="98"/>
              </w:rPr>
              <w:t>210,273</w:t>
            </w:r>
          </w:p>
        </w:tc>
        <w:tc>
          <w:tcPr>
            <w:tcW w:w="0" w:type="dxa"/>
            <w:vAlign w:val="bottom"/>
          </w:tcPr>
          <w:p>
            <w:pPr>
              <w:spacing w:after="0"/>
              <w:rPr>
                <w:sz w:val="1"/>
                <w:szCs w:val="1"/>
                <w:color w:val="auto"/>
              </w:rPr>
            </w:pPr>
          </w:p>
        </w:tc>
      </w:tr>
      <w:tr>
        <w:trPr>
          <w:trHeight w:val="170"/>
        </w:trPr>
        <w:tc>
          <w:tcPr>
            <w:tcW w:w="5020" w:type="dxa"/>
            <w:vAlign w:val="bottom"/>
          </w:tcPr>
          <w:p>
            <w:pPr>
              <w:ind w:left="160"/>
              <w:spacing w:after="0"/>
              <w:rPr>
                <w:sz w:val="20"/>
                <w:szCs w:val="20"/>
                <w:color w:val="auto"/>
              </w:rPr>
            </w:pPr>
            <w:r>
              <w:rPr>
                <w:rFonts w:ascii="Courier New" w:cs="Courier New" w:eastAsia="Courier New" w:hAnsi="Courier New"/>
                <w:sz w:val="15"/>
                <w:szCs w:val="15"/>
                <w:color w:val="auto"/>
              </w:rPr>
              <w:t>expense. . . . . . . . . . . . . . . . . . . . . . .</w:t>
            </w:r>
          </w:p>
        </w:tc>
        <w:tc>
          <w:tcPr>
            <w:tcW w:w="3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2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Earnings from operations . . . . . . . . . . .</w:t>
            </w:r>
          </w:p>
        </w:tc>
        <w:tc>
          <w:tcPr>
            <w:tcW w:w="340" w:type="dxa"/>
            <w:vAlign w:val="bottom"/>
          </w:tcPr>
          <w:p>
            <w:pPr>
              <w:spacing w:after="0"/>
              <w:rPr>
                <w:sz w:val="14"/>
                <w:szCs w:val="14"/>
                <w:color w:val="auto"/>
              </w:rPr>
            </w:pPr>
          </w:p>
        </w:tc>
        <w:tc>
          <w:tcPr>
            <w:tcW w:w="1240" w:type="dxa"/>
            <w:vAlign w:val="bottom"/>
            <w:vMerge w:val="restart"/>
          </w:tcPr>
          <w:p>
            <w:pPr>
              <w:jc w:val="right"/>
              <w:ind w:right="370"/>
              <w:spacing w:after="0"/>
              <w:rPr>
                <w:sz w:val="20"/>
                <w:szCs w:val="20"/>
                <w:color w:val="auto"/>
              </w:rPr>
            </w:pPr>
            <w:r>
              <w:rPr>
                <w:rFonts w:ascii="Courier New" w:cs="Courier New" w:eastAsia="Courier New" w:hAnsi="Courier New"/>
                <w:sz w:val="11"/>
                <w:szCs w:val="11"/>
                <w:color w:val="auto"/>
                <w:w w:val="74"/>
              </w:rPr>
              <w:t>---------</w:t>
            </w:r>
            <w:r>
              <w:rPr>
                <w:rFonts w:ascii="Courier New" w:cs="Courier New" w:eastAsia="Courier New" w:hAnsi="Courier New"/>
                <w:sz w:val="19"/>
                <w:szCs w:val="19"/>
                <w:color w:val="auto"/>
                <w:w w:val="74"/>
                <w:vertAlign w:val="subscript"/>
              </w:rPr>
              <w:t>18,769</w:t>
            </w:r>
          </w:p>
        </w:tc>
        <w:tc>
          <w:tcPr>
            <w:tcW w:w="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2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w:t>
            </w:r>
          </w:p>
        </w:tc>
        <w:tc>
          <w:tcPr>
            <w:tcW w:w="320" w:type="dxa"/>
            <w:vAlign w:val="bottom"/>
          </w:tcPr>
          <w:p>
            <w:pPr>
              <w:spacing w:after="0"/>
              <w:rPr>
                <w:sz w:val="14"/>
                <w:szCs w:val="14"/>
                <w:color w:val="auto"/>
              </w:rPr>
            </w:pP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70"/>
        </w:trPr>
        <w:tc>
          <w:tcPr>
            <w:tcW w:w="5020" w:type="dxa"/>
            <w:vAlign w:val="bottom"/>
            <w:vMerge w:val="continue"/>
          </w:tcPr>
          <w:p>
            <w:pPr>
              <w:jc w:val="right"/>
              <w:ind w:right="187"/>
              <w:spacing w:after="0" w:line="148" w:lineRule="exact"/>
              <w:rPr>
                <w:sz w:val="20"/>
                <w:szCs w:val="20"/>
                <w:color w:val="auto"/>
              </w:rPr>
            </w:pPr>
            <w:r>
              <w:rPr>
                <w:rFonts w:ascii="Courier New" w:cs="Courier New" w:eastAsia="Courier New" w:hAnsi="Courier New"/>
                <w:sz w:val="15"/>
                <w:szCs w:val="15"/>
                <w:color w:val="auto"/>
              </w:rPr>
              <w:t>. . .</w:t>
            </w:r>
          </w:p>
        </w:tc>
        <w:tc>
          <w:tcPr>
            <w:tcW w:w="3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12,975</w:t>
            </w:r>
          </w:p>
        </w:tc>
        <w:tc>
          <w:tcPr>
            <w:tcW w:w="28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61,484</w:t>
            </w:r>
          </w:p>
        </w:tc>
        <w:tc>
          <w:tcPr>
            <w:tcW w:w="3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55,750</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Interest expense . . . . . . . . . . . . . . . . . . .</w:t>
            </w:r>
          </w:p>
        </w:tc>
        <w:tc>
          <w:tcPr>
            <w:tcW w:w="340" w:type="dxa"/>
            <w:vAlign w:val="bottom"/>
          </w:tcPr>
          <w:p>
            <w:pPr>
              <w:spacing w:after="0"/>
              <w:rPr>
                <w:sz w:val="14"/>
                <w:szCs w:val="14"/>
                <w:color w:val="auto"/>
              </w:rPr>
            </w:pPr>
          </w:p>
        </w:tc>
        <w:tc>
          <w:tcPr>
            <w:tcW w:w="1240" w:type="dxa"/>
            <w:vAlign w:val="bottom"/>
          </w:tcPr>
          <w:p>
            <w:pPr>
              <w:jc w:val="right"/>
              <w:ind w:right="450"/>
              <w:spacing w:after="0"/>
              <w:rPr>
                <w:sz w:val="20"/>
                <w:szCs w:val="20"/>
                <w:color w:val="auto"/>
              </w:rPr>
            </w:pPr>
            <w:r>
              <w:rPr>
                <w:rFonts w:ascii="Courier New" w:cs="Courier New" w:eastAsia="Courier New" w:hAnsi="Courier New"/>
                <w:sz w:val="15"/>
                <w:szCs w:val="15"/>
                <w:color w:val="auto"/>
              </w:rPr>
              <w:t>5,476</w:t>
            </w:r>
          </w:p>
        </w:tc>
        <w:tc>
          <w:tcPr>
            <w:tcW w:w="8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3,755</w:t>
            </w:r>
          </w:p>
        </w:tc>
        <w:tc>
          <w:tcPr>
            <w:tcW w:w="28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15,408</w:t>
            </w:r>
          </w:p>
        </w:tc>
        <w:tc>
          <w:tcPr>
            <w:tcW w:w="3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10,858</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Other income, net. . . . . . . . . . . . . . . . . . .</w:t>
            </w:r>
          </w:p>
        </w:tc>
        <w:tc>
          <w:tcPr>
            <w:tcW w:w="340" w:type="dxa"/>
            <w:vAlign w:val="bottom"/>
          </w:tcPr>
          <w:p>
            <w:pPr>
              <w:spacing w:after="0"/>
              <w:rPr>
                <w:sz w:val="14"/>
                <w:szCs w:val="14"/>
                <w:color w:val="auto"/>
              </w:rPr>
            </w:pPr>
          </w:p>
        </w:tc>
        <w:tc>
          <w:tcPr>
            <w:tcW w:w="1240" w:type="dxa"/>
            <w:vAlign w:val="bottom"/>
          </w:tcPr>
          <w:p>
            <w:pPr>
              <w:jc w:val="right"/>
              <w:ind w:right="370"/>
              <w:spacing w:after="0"/>
              <w:rPr>
                <w:sz w:val="20"/>
                <w:szCs w:val="20"/>
                <w:color w:val="auto"/>
              </w:rPr>
            </w:pPr>
            <w:r>
              <w:rPr>
                <w:rFonts w:ascii="Courier New" w:cs="Courier New" w:eastAsia="Courier New" w:hAnsi="Courier New"/>
                <w:sz w:val="15"/>
                <w:szCs w:val="15"/>
                <w:color w:val="auto"/>
              </w:rPr>
              <w:t>(3,151)</w:t>
            </w:r>
          </w:p>
        </w:tc>
        <w:tc>
          <w:tcPr>
            <w:tcW w:w="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(1,489)</w:t>
            </w:r>
          </w:p>
        </w:tc>
        <w:tc>
          <w:tcPr>
            <w:tcW w:w="2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(5,957)</w:t>
            </w:r>
          </w:p>
        </w:tc>
        <w:tc>
          <w:tcPr>
            <w:tcW w:w="3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(7,642)</w:t>
            </w:r>
          </w:p>
        </w:tc>
        <w:tc>
          <w:tcPr>
            <w:tcW w:w="0" w:type="dxa"/>
            <w:vAlign w:val="bottom"/>
          </w:tcPr>
          <w:p>
            <w:pPr>
              <w:spacing w:after="0"/>
              <w:rPr>
                <w:sz w:val="1"/>
                <w:szCs w:val="1"/>
                <w:color w:val="auto"/>
              </w:rPr>
            </w:pPr>
          </w:p>
        </w:tc>
      </w:tr>
      <w:tr>
        <w:trPr>
          <w:trHeight w:val="170"/>
        </w:trPr>
        <w:tc>
          <w:tcPr>
            <w:tcW w:w="502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Earnings before income taxes . . . . . . . . .</w:t>
            </w:r>
          </w:p>
        </w:tc>
        <w:tc>
          <w:tcPr>
            <w:tcW w:w="340" w:type="dxa"/>
            <w:vAlign w:val="bottom"/>
          </w:tcPr>
          <w:p>
            <w:pPr>
              <w:spacing w:after="0"/>
              <w:rPr>
                <w:sz w:val="14"/>
                <w:szCs w:val="14"/>
                <w:color w:val="auto"/>
              </w:rPr>
            </w:pPr>
          </w:p>
        </w:tc>
        <w:tc>
          <w:tcPr>
            <w:tcW w:w="1240" w:type="dxa"/>
            <w:vAlign w:val="bottom"/>
            <w:vMerge w:val="restart"/>
          </w:tcPr>
          <w:p>
            <w:pPr>
              <w:jc w:val="right"/>
              <w:ind w:right="370"/>
              <w:spacing w:after="0"/>
              <w:rPr>
                <w:sz w:val="20"/>
                <w:szCs w:val="20"/>
                <w:color w:val="auto"/>
              </w:rPr>
            </w:pPr>
            <w:r>
              <w:rPr>
                <w:rFonts w:ascii="Courier New" w:cs="Courier New" w:eastAsia="Courier New" w:hAnsi="Courier New"/>
                <w:sz w:val="11"/>
                <w:szCs w:val="11"/>
                <w:color w:val="auto"/>
                <w:w w:val="74"/>
              </w:rPr>
              <w:t>---------</w:t>
            </w:r>
            <w:r>
              <w:rPr>
                <w:rFonts w:ascii="Courier New" w:cs="Courier New" w:eastAsia="Courier New" w:hAnsi="Courier New"/>
                <w:sz w:val="19"/>
                <w:szCs w:val="19"/>
                <w:color w:val="auto"/>
                <w:w w:val="74"/>
                <w:vertAlign w:val="subscript"/>
              </w:rPr>
              <w:t>16,444</w:t>
            </w:r>
          </w:p>
        </w:tc>
        <w:tc>
          <w:tcPr>
            <w:tcW w:w="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2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w:t>
            </w:r>
          </w:p>
        </w:tc>
        <w:tc>
          <w:tcPr>
            <w:tcW w:w="320" w:type="dxa"/>
            <w:vAlign w:val="bottom"/>
          </w:tcPr>
          <w:p>
            <w:pPr>
              <w:spacing w:after="0"/>
              <w:rPr>
                <w:sz w:val="14"/>
                <w:szCs w:val="14"/>
                <w:color w:val="auto"/>
              </w:rPr>
            </w:pP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70"/>
        </w:trPr>
        <w:tc>
          <w:tcPr>
            <w:tcW w:w="5020" w:type="dxa"/>
            <w:vAlign w:val="bottom"/>
            <w:vMerge w:val="continue"/>
          </w:tcPr>
          <w:p>
            <w:pPr>
              <w:jc w:val="right"/>
              <w:ind w:right="187"/>
              <w:spacing w:after="0" w:line="148" w:lineRule="exact"/>
              <w:rPr>
                <w:sz w:val="20"/>
                <w:szCs w:val="20"/>
                <w:color w:val="auto"/>
              </w:rPr>
            </w:pPr>
            <w:r>
              <w:rPr>
                <w:rFonts w:ascii="Courier New" w:cs="Courier New" w:eastAsia="Courier New" w:hAnsi="Courier New"/>
                <w:sz w:val="15"/>
                <w:szCs w:val="15"/>
                <w:color w:val="auto"/>
              </w:rPr>
              <w:t>. . .</w:t>
            </w:r>
          </w:p>
        </w:tc>
        <w:tc>
          <w:tcPr>
            <w:tcW w:w="3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10,709</w:t>
            </w:r>
          </w:p>
        </w:tc>
        <w:tc>
          <w:tcPr>
            <w:tcW w:w="28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52,033</w:t>
            </w:r>
          </w:p>
        </w:tc>
        <w:tc>
          <w:tcPr>
            <w:tcW w:w="3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52,534</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Provision for income taxes . . . . . . . . . . . . . .</w:t>
            </w:r>
          </w:p>
        </w:tc>
        <w:tc>
          <w:tcPr>
            <w:tcW w:w="340" w:type="dxa"/>
            <w:vAlign w:val="bottom"/>
          </w:tcPr>
          <w:p>
            <w:pPr>
              <w:spacing w:after="0"/>
              <w:rPr>
                <w:sz w:val="14"/>
                <w:szCs w:val="14"/>
                <w:color w:val="auto"/>
              </w:rPr>
            </w:pPr>
          </w:p>
        </w:tc>
        <w:tc>
          <w:tcPr>
            <w:tcW w:w="1240" w:type="dxa"/>
            <w:vAlign w:val="bottom"/>
          </w:tcPr>
          <w:p>
            <w:pPr>
              <w:jc w:val="right"/>
              <w:ind w:right="450"/>
              <w:spacing w:after="0"/>
              <w:rPr>
                <w:sz w:val="20"/>
                <w:szCs w:val="20"/>
                <w:color w:val="auto"/>
              </w:rPr>
            </w:pPr>
            <w:r>
              <w:rPr>
                <w:rFonts w:ascii="Courier New" w:cs="Courier New" w:eastAsia="Courier New" w:hAnsi="Courier New"/>
                <w:sz w:val="15"/>
                <w:szCs w:val="15"/>
                <w:color w:val="auto"/>
              </w:rPr>
              <w:t>6,495</w:t>
            </w:r>
          </w:p>
        </w:tc>
        <w:tc>
          <w:tcPr>
            <w:tcW w:w="8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4,244</w:t>
            </w:r>
          </w:p>
        </w:tc>
        <w:tc>
          <w:tcPr>
            <w:tcW w:w="28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20,553</w:t>
            </w:r>
          </w:p>
        </w:tc>
        <w:tc>
          <w:tcPr>
            <w:tcW w:w="3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20,751</w:t>
            </w:r>
          </w:p>
        </w:tc>
        <w:tc>
          <w:tcPr>
            <w:tcW w:w="0" w:type="dxa"/>
            <w:vAlign w:val="bottom"/>
          </w:tcPr>
          <w:p>
            <w:pPr>
              <w:spacing w:after="0"/>
              <w:rPr>
                <w:sz w:val="1"/>
                <w:szCs w:val="1"/>
                <w:color w:val="auto"/>
              </w:rPr>
            </w:pPr>
          </w:p>
        </w:tc>
      </w:tr>
      <w:tr>
        <w:trPr>
          <w:trHeight w:val="170"/>
        </w:trPr>
        <w:tc>
          <w:tcPr>
            <w:tcW w:w="502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Net earnings before extraordinary loss . . . .</w:t>
            </w:r>
          </w:p>
        </w:tc>
        <w:tc>
          <w:tcPr>
            <w:tcW w:w="340" w:type="dxa"/>
            <w:vAlign w:val="bottom"/>
          </w:tcPr>
          <w:p>
            <w:pPr>
              <w:spacing w:after="0"/>
              <w:rPr>
                <w:sz w:val="14"/>
                <w:szCs w:val="14"/>
                <w:color w:val="auto"/>
              </w:rPr>
            </w:pPr>
          </w:p>
        </w:tc>
        <w:tc>
          <w:tcPr>
            <w:tcW w:w="1240" w:type="dxa"/>
            <w:vAlign w:val="bottom"/>
            <w:vMerge w:val="restart"/>
          </w:tcPr>
          <w:p>
            <w:pPr>
              <w:jc w:val="right"/>
              <w:ind w:right="370"/>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bscript"/>
              </w:rPr>
              <w:t>9,949</w:t>
            </w:r>
          </w:p>
        </w:tc>
        <w:tc>
          <w:tcPr>
            <w:tcW w:w="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2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w:t>
            </w:r>
          </w:p>
        </w:tc>
        <w:tc>
          <w:tcPr>
            <w:tcW w:w="320" w:type="dxa"/>
            <w:vAlign w:val="bottom"/>
          </w:tcPr>
          <w:p>
            <w:pPr>
              <w:spacing w:after="0"/>
              <w:rPr>
                <w:sz w:val="14"/>
                <w:szCs w:val="14"/>
                <w:color w:val="auto"/>
              </w:rPr>
            </w:pP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70"/>
        </w:trPr>
        <w:tc>
          <w:tcPr>
            <w:tcW w:w="5020" w:type="dxa"/>
            <w:vAlign w:val="bottom"/>
            <w:vMerge w:val="continue"/>
          </w:tcPr>
          <w:p>
            <w:pPr>
              <w:jc w:val="right"/>
              <w:ind w:right="187"/>
              <w:spacing w:after="0" w:line="148" w:lineRule="exact"/>
              <w:rPr>
                <w:sz w:val="20"/>
                <w:szCs w:val="20"/>
                <w:color w:val="auto"/>
              </w:rPr>
            </w:pPr>
            <w:r>
              <w:rPr>
                <w:rFonts w:ascii="Courier New" w:cs="Courier New" w:eastAsia="Courier New" w:hAnsi="Courier New"/>
                <w:sz w:val="15"/>
                <w:szCs w:val="15"/>
                <w:color w:val="auto"/>
              </w:rPr>
              <w:t>. . .</w:t>
            </w:r>
          </w:p>
        </w:tc>
        <w:tc>
          <w:tcPr>
            <w:tcW w:w="3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6,465</w:t>
            </w:r>
          </w:p>
        </w:tc>
        <w:tc>
          <w:tcPr>
            <w:tcW w:w="28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31,480</w:t>
            </w:r>
          </w:p>
        </w:tc>
        <w:tc>
          <w:tcPr>
            <w:tcW w:w="3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31,783</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Extraordinary loss, net of income tax benefit of</w:t>
            </w:r>
          </w:p>
        </w:tc>
        <w:tc>
          <w:tcPr>
            <w:tcW w:w="340" w:type="dxa"/>
            <w:vAlign w:val="bottom"/>
          </w:tcPr>
          <w:p>
            <w:pPr>
              <w:spacing w:after="0"/>
              <w:rPr>
                <w:sz w:val="14"/>
                <w:szCs w:val="14"/>
                <w:color w:val="auto"/>
              </w:rPr>
            </w:pPr>
          </w:p>
        </w:tc>
        <w:tc>
          <w:tcPr>
            <w:tcW w:w="1240" w:type="dxa"/>
            <w:vAlign w:val="bottom"/>
            <w:vMerge w:val="restart"/>
          </w:tcPr>
          <w:p>
            <w:pPr>
              <w:jc w:val="right"/>
              <w:ind w:right="370"/>
              <w:spacing w:after="0"/>
              <w:rPr>
                <w:sz w:val="20"/>
                <w:szCs w:val="20"/>
                <w:color w:val="auto"/>
              </w:rPr>
            </w:pPr>
            <w:r>
              <w:rPr>
                <w:rFonts w:ascii="Courier New" w:cs="Courier New" w:eastAsia="Courier New" w:hAnsi="Courier New"/>
                <w:sz w:val="15"/>
                <w:szCs w:val="15"/>
                <w:color w:val="auto"/>
              </w:rPr>
              <w:t>(1,663)</w:t>
            </w:r>
          </w:p>
        </w:tc>
        <w:tc>
          <w:tcPr>
            <w:tcW w:w="80" w:type="dxa"/>
            <w:vAlign w:val="bottom"/>
          </w:tcPr>
          <w:p>
            <w:pPr>
              <w:spacing w:after="0"/>
              <w:rPr>
                <w:sz w:val="14"/>
                <w:szCs w:val="14"/>
                <w:color w:val="auto"/>
              </w:rPr>
            </w:pPr>
          </w:p>
        </w:tc>
        <w:tc>
          <w:tcPr>
            <w:tcW w:w="10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(1,663)</w:t>
            </w:r>
          </w:p>
        </w:tc>
        <w:tc>
          <w:tcPr>
            <w:tcW w:w="32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$1,087 . . . . . . . . . . . . . . . . . . . . . . .</w:t>
            </w:r>
          </w:p>
        </w:tc>
        <w:tc>
          <w:tcPr>
            <w:tcW w:w="3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2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Net earnings . . . . . . . . . . . . . . . . .</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370"/>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bscript"/>
              </w:rPr>
              <w:t>8,286</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70"/>
        </w:trPr>
        <w:tc>
          <w:tcPr>
            <w:tcW w:w="5020" w:type="dxa"/>
            <w:vAlign w:val="bottom"/>
            <w:vMerge w:val="continue"/>
          </w:tcPr>
          <w:p>
            <w:pPr>
              <w:jc w:val="right"/>
              <w:ind w:right="187"/>
              <w:spacing w:after="0" w:line="148" w:lineRule="exact"/>
              <w:rPr>
                <w:sz w:val="20"/>
                <w:szCs w:val="20"/>
                <w:color w:val="auto"/>
              </w:rPr>
            </w:pPr>
            <w:r>
              <w:rPr>
                <w:rFonts w:ascii="Courier New" w:cs="Courier New" w:eastAsia="Courier New" w:hAnsi="Courier New"/>
                <w:sz w:val="15"/>
                <w:szCs w:val="15"/>
                <w:color w:val="auto"/>
              </w:rPr>
              <w:t>. . .</w:t>
            </w:r>
          </w:p>
        </w:tc>
        <w:tc>
          <w:tcPr>
            <w:tcW w:w="3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6,465</w:t>
            </w:r>
          </w:p>
        </w:tc>
        <w:tc>
          <w:tcPr>
            <w:tcW w:w="280" w:type="dxa"/>
            <w:vAlign w:val="bottom"/>
            <w:vMerge w:val="continue"/>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29,817</w:t>
            </w:r>
          </w:p>
        </w:tc>
        <w:tc>
          <w:tcPr>
            <w:tcW w:w="320" w:type="dxa"/>
            <w:vAlign w:val="bottom"/>
            <w:vMerge w:val="continue"/>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31,783</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37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2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w:t>
            </w:r>
          </w:p>
        </w:tc>
        <w:tc>
          <w:tcPr>
            <w:tcW w:w="320" w:type="dxa"/>
            <w:vAlign w:val="bottom"/>
          </w:tcPr>
          <w:p>
            <w:pPr>
              <w:spacing w:after="0"/>
              <w:rPr>
                <w:sz w:val="14"/>
                <w:szCs w:val="14"/>
                <w:color w:val="auto"/>
              </w:rPr>
            </w:pP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46"/>
        </w:trPr>
        <w:tc>
          <w:tcPr>
            <w:tcW w:w="5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37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21"/>
                <w:szCs w:val="21"/>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280" w:type="dxa"/>
            <w:vAlign w:val="bottom"/>
          </w:tcPr>
          <w:p>
            <w:pPr>
              <w:spacing w:after="0"/>
              <w:rPr>
                <w:sz w:val="21"/>
                <w:szCs w:val="21"/>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w:t>
            </w:r>
          </w:p>
        </w:tc>
        <w:tc>
          <w:tcPr>
            <w:tcW w:w="320" w:type="dxa"/>
            <w:vAlign w:val="bottom"/>
          </w:tcPr>
          <w:p>
            <w:pPr>
              <w:spacing w:after="0"/>
              <w:rPr>
                <w:sz w:val="21"/>
                <w:szCs w:val="21"/>
                <w:color w:val="auto"/>
              </w:rPr>
            </w:pP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432"/>
        </w:trPr>
        <w:tc>
          <w:tcPr>
            <w:tcW w:w="5020" w:type="dxa"/>
            <w:vAlign w:val="bottom"/>
          </w:tcPr>
          <w:p>
            <w:pPr>
              <w:spacing w:after="0"/>
              <w:rPr>
                <w:sz w:val="20"/>
                <w:szCs w:val="20"/>
                <w:color w:val="auto"/>
              </w:rPr>
            </w:pPr>
            <w:r>
              <w:rPr>
                <w:rFonts w:ascii="Courier New" w:cs="Courier New" w:eastAsia="Courier New" w:hAnsi="Courier New"/>
                <w:sz w:val="15"/>
                <w:szCs w:val="15"/>
                <w:color w:val="auto"/>
              </w:rPr>
              <w:t>Retained earnings at beginning of period . . . . . . .</w:t>
            </w:r>
          </w:p>
        </w:tc>
        <w:tc>
          <w:tcPr>
            <w:tcW w:w="340" w:type="dxa"/>
            <w:vAlign w:val="bottom"/>
          </w:tcPr>
          <w:p>
            <w:pPr>
              <w:spacing w:after="0"/>
              <w:rPr>
                <w:sz w:val="24"/>
                <w:szCs w:val="24"/>
                <w:color w:val="auto"/>
              </w:rPr>
            </w:pPr>
          </w:p>
        </w:tc>
        <w:tc>
          <w:tcPr>
            <w:tcW w:w="1240" w:type="dxa"/>
            <w:vAlign w:val="bottom"/>
          </w:tcPr>
          <w:p>
            <w:pPr>
              <w:jc w:val="right"/>
              <w:ind w:right="450"/>
              <w:spacing w:after="0"/>
              <w:rPr>
                <w:sz w:val="20"/>
                <w:szCs w:val="20"/>
                <w:color w:val="auto"/>
              </w:rPr>
            </w:pPr>
            <w:r>
              <w:rPr>
                <w:rFonts w:ascii="Courier New" w:cs="Courier New" w:eastAsia="Courier New" w:hAnsi="Courier New"/>
                <w:sz w:val="15"/>
                <w:szCs w:val="15"/>
                <w:color w:val="auto"/>
              </w:rPr>
              <w:t>192,276</w:t>
            </w:r>
          </w:p>
        </w:tc>
        <w:tc>
          <w:tcPr>
            <w:tcW w:w="80" w:type="dxa"/>
            <w:vAlign w:val="bottom"/>
          </w:tcPr>
          <w:p>
            <w:pPr>
              <w:spacing w:after="0"/>
              <w:rPr>
                <w:sz w:val="24"/>
                <w:szCs w:val="2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165,274</w:t>
            </w:r>
          </w:p>
        </w:tc>
        <w:tc>
          <w:tcPr>
            <w:tcW w:w="28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173,630</w:t>
            </w:r>
          </w:p>
        </w:tc>
        <w:tc>
          <w:tcPr>
            <w:tcW w:w="320" w:type="dxa"/>
            <w:vAlign w:val="bottom"/>
          </w:tcPr>
          <w:p>
            <w:pPr>
              <w:spacing w:after="0"/>
              <w:rPr>
                <w:sz w:val="24"/>
                <w:szCs w:val="24"/>
                <w:color w:val="auto"/>
              </w:rPr>
            </w:pP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142,891</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Other  . . . . . . . . . . . . . . . . . . . . . . . .</w:t>
            </w:r>
          </w:p>
        </w:tc>
        <w:tc>
          <w:tcPr>
            <w:tcW w:w="340" w:type="dxa"/>
            <w:vAlign w:val="bottom"/>
          </w:tcPr>
          <w:p>
            <w:pPr>
              <w:spacing w:after="0"/>
              <w:rPr>
                <w:sz w:val="14"/>
                <w:szCs w:val="14"/>
                <w:color w:val="auto"/>
              </w:rPr>
            </w:pPr>
          </w:p>
        </w:tc>
        <w:tc>
          <w:tcPr>
            <w:tcW w:w="1240" w:type="dxa"/>
            <w:vAlign w:val="bottom"/>
          </w:tcPr>
          <w:p>
            <w:pPr>
              <w:jc w:val="right"/>
              <w:ind w:right="45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164</w:t>
            </w:r>
          </w:p>
        </w:tc>
        <w:tc>
          <w:tcPr>
            <w:tcW w:w="28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164</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Dividends on common stock of $0.12, $0.12,</w:t>
            </w:r>
          </w:p>
        </w:tc>
        <w:tc>
          <w:tcPr>
            <w:tcW w:w="340" w:type="dxa"/>
            <w:vAlign w:val="bottom"/>
          </w:tcPr>
          <w:p>
            <w:pPr>
              <w:spacing w:after="0"/>
              <w:rPr>
                <w:sz w:val="14"/>
                <w:szCs w:val="14"/>
                <w:color w:val="auto"/>
              </w:rPr>
            </w:pPr>
          </w:p>
        </w:tc>
        <w:tc>
          <w:tcPr>
            <w:tcW w:w="1240" w:type="dxa"/>
            <w:vAlign w:val="bottom"/>
            <w:vMerge w:val="restart"/>
          </w:tcPr>
          <w:p>
            <w:pPr>
              <w:jc w:val="right"/>
              <w:ind w:right="370"/>
              <w:spacing w:after="0"/>
              <w:rPr>
                <w:sz w:val="20"/>
                <w:szCs w:val="20"/>
                <w:color w:val="auto"/>
              </w:rPr>
            </w:pPr>
            <w:r>
              <w:rPr>
                <w:rFonts w:ascii="Courier New" w:cs="Courier New" w:eastAsia="Courier New" w:hAnsi="Courier New"/>
                <w:sz w:val="15"/>
                <w:szCs w:val="15"/>
                <w:color w:val="auto"/>
              </w:rPr>
              <w:t>(1,452)</w:t>
            </w:r>
          </w:p>
        </w:tc>
        <w:tc>
          <w:tcPr>
            <w:tcW w:w="80" w:type="dxa"/>
            <w:vAlign w:val="bottom"/>
          </w:tcPr>
          <w:p>
            <w:pPr>
              <w:spacing w:after="0"/>
              <w:rPr>
                <w:sz w:val="14"/>
                <w:szCs w:val="14"/>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(1,458)</w:t>
            </w:r>
          </w:p>
        </w:tc>
        <w:tc>
          <w:tcPr>
            <w:tcW w:w="280" w:type="dxa"/>
            <w:vAlign w:val="bottom"/>
          </w:tcPr>
          <w:p>
            <w:pPr>
              <w:spacing w:after="0"/>
              <w:rPr>
                <w:sz w:val="14"/>
                <w:szCs w:val="14"/>
                <w:color w:val="auto"/>
              </w:rPr>
            </w:pP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(4,337)</w:t>
            </w:r>
          </w:p>
        </w:tc>
        <w:tc>
          <w:tcPr>
            <w:tcW w:w="320" w:type="dxa"/>
            <w:vAlign w:val="bottom"/>
          </w:tcPr>
          <w:p>
            <w:pPr>
              <w:spacing w:after="0"/>
              <w:rPr>
                <w:sz w:val="14"/>
                <w:szCs w:val="14"/>
                <w:color w:val="auto"/>
              </w:rPr>
            </w:pP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(4,393)</w:t>
            </w:r>
          </w:p>
        </w:tc>
        <w:tc>
          <w:tcPr>
            <w:tcW w:w="0" w:type="dxa"/>
            <w:vAlign w:val="bottom"/>
          </w:tcPr>
          <w:p>
            <w:pPr>
              <w:spacing w:after="0"/>
              <w:rPr>
                <w:sz w:val="1"/>
                <w:szCs w:val="1"/>
                <w:color w:val="auto"/>
              </w:rPr>
            </w:pPr>
          </w:p>
        </w:tc>
      </w:tr>
      <w:tr>
        <w:trPr>
          <w:trHeight w:val="170"/>
        </w:trPr>
        <w:tc>
          <w:tcPr>
            <w:tcW w:w="5020" w:type="dxa"/>
            <w:vAlign w:val="bottom"/>
          </w:tcPr>
          <w:p>
            <w:pPr>
              <w:ind w:left="160"/>
              <w:spacing w:after="0"/>
              <w:rPr>
                <w:sz w:val="20"/>
                <w:szCs w:val="20"/>
                <w:color w:val="auto"/>
              </w:rPr>
            </w:pPr>
            <w:r>
              <w:rPr>
                <w:rFonts w:ascii="Courier New" w:cs="Courier New" w:eastAsia="Courier New" w:hAnsi="Courier New"/>
                <w:sz w:val="15"/>
                <w:szCs w:val="15"/>
                <w:color w:val="auto"/>
              </w:rPr>
              <w:t>$0.36 and $0.36 per share, respectively. . . . . . .</w:t>
            </w:r>
          </w:p>
        </w:tc>
        <w:tc>
          <w:tcPr>
            <w:tcW w:w="3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20" w:type="dxa"/>
            <w:vAlign w:val="bottom"/>
            <w:vMerge w:val="restart"/>
          </w:tcPr>
          <w:p>
            <w:pPr>
              <w:spacing w:after="0"/>
              <w:rPr>
                <w:sz w:val="20"/>
                <w:szCs w:val="20"/>
                <w:color w:val="auto"/>
              </w:rPr>
            </w:pPr>
            <w:r>
              <w:rPr>
                <w:rFonts w:ascii="Courier New" w:cs="Courier New" w:eastAsia="Courier New" w:hAnsi="Courier New"/>
                <w:sz w:val="15"/>
                <w:szCs w:val="15"/>
                <w:color w:val="auto"/>
              </w:rPr>
              <w:t>Retained earnings at end of period . . . . . . .</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370"/>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bscript"/>
              </w:rPr>
              <w:t>199,110</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70"/>
        </w:trPr>
        <w:tc>
          <w:tcPr>
            <w:tcW w:w="5020" w:type="dxa"/>
            <w:vAlign w:val="bottom"/>
            <w:vMerge w:val="continue"/>
          </w:tcPr>
          <w:p>
            <w:pPr>
              <w:jc w:val="right"/>
              <w:ind w:right="187"/>
              <w:spacing w:after="0" w:line="148" w:lineRule="exact"/>
              <w:rPr>
                <w:sz w:val="20"/>
                <w:szCs w:val="20"/>
                <w:color w:val="auto"/>
              </w:rPr>
            </w:pPr>
            <w:r>
              <w:rPr>
                <w:rFonts w:ascii="Courier New" w:cs="Courier New" w:eastAsia="Courier New" w:hAnsi="Courier New"/>
                <w:sz w:val="15"/>
                <w:szCs w:val="15"/>
                <w:color w:val="auto"/>
              </w:rPr>
              <w:t>. . .</w:t>
            </w:r>
          </w:p>
        </w:tc>
        <w:tc>
          <w:tcPr>
            <w:tcW w:w="3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170,445</w:t>
            </w:r>
          </w:p>
        </w:tc>
        <w:tc>
          <w:tcPr>
            <w:tcW w:w="280" w:type="dxa"/>
            <w:vAlign w:val="bottom"/>
            <w:vMerge w:val="continue"/>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199,110</w:t>
            </w:r>
          </w:p>
        </w:tc>
        <w:tc>
          <w:tcPr>
            <w:tcW w:w="320" w:type="dxa"/>
            <w:vAlign w:val="bottom"/>
            <w:vMerge w:val="continue"/>
          </w:tcPr>
          <w:p>
            <w:pPr>
              <w:spacing w:after="0"/>
              <w:rPr>
                <w:sz w:val="14"/>
                <w:szCs w:val="14"/>
                <w:color w:val="auto"/>
              </w:rPr>
            </w:pP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170,445</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37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2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w:t>
            </w:r>
          </w:p>
        </w:tc>
        <w:tc>
          <w:tcPr>
            <w:tcW w:w="320" w:type="dxa"/>
            <w:vAlign w:val="bottom"/>
          </w:tcPr>
          <w:p>
            <w:pPr>
              <w:spacing w:after="0"/>
              <w:rPr>
                <w:sz w:val="14"/>
                <w:szCs w:val="14"/>
                <w:color w:val="auto"/>
              </w:rPr>
            </w:pP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46"/>
        </w:trPr>
        <w:tc>
          <w:tcPr>
            <w:tcW w:w="5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37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21"/>
                <w:szCs w:val="21"/>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280" w:type="dxa"/>
            <w:vAlign w:val="bottom"/>
          </w:tcPr>
          <w:p>
            <w:pPr>
              <w:spacing w:after="0"/>
              <w:rPr>
                <w:sz w:val="21"/>
                <w:szCs w:val="21"/>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w:t>
            </w:r>
          </w:p>
        </w:tc>
        <w:tc>
          <w:tcPr>
            <w:tcW w:w="320" w:type="dxa"/>
            <w:vAlign w:val="bottom"/>
          </w:tcPr>
          <w:p>
            <w:pPr>
              <w:spacing w:after="0"/>
              <w:rPr>
                <w:sz w:val="21"/>
                <w:szCs w:val="21"/>
                <w:color w:val="auto"/>
              </w:rPr>
            </w:pP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2"/>
        </w:trPr>
        <w:tc>
          <w:tcPr>
            <w:tcW w:w="5020" w:type="dxa"/>
            <w:vAlign w:val="bottom"/>
          </w:tcPr>
          <w:p>
            <w:pPr>
              <w:spacing w:after="0"/>
              <w:rPr>
                <w:sz w:val="20"/>
                <w:szCs w:val="20"/>
                <w:color w:val="auto"/>
              </w:rPr>
            </w:pPr>
            <w:r>
              <w:rPr>
                <w:rFonts w:ascii="Courier New" w:cs="Courier New" w:eastAsia="Courier New" w:hAnsi="Courier New"/>
                <w:sz w:val="15"/>
                <w:szCs w:val="15"/>
                <w:color w:val="auto"/>
              </w:rPr>
              <w:t>Net earnings per share of common stock and</w:t>
            </w: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5020" w:type="dxa"/>
            <w:vAlign w:val="bottom"/>
          </w:tcPr>
          <w:p>
            <w:pPr>
              <w:ind w:left="160"/>
              <w:spacing w:after="0"/>
              <w:rPr>
                <w:sz w:val="20"/>
                <w:szCs w:val="20"/>
                <w:color w:val="auto"/>
              </w:rPr>
            </w:pPr>
            <w:r>
              <w:rPr>
                <w:rFonts w:ascii="Courier New" w:cs="Courier New" w:eastAsia="Courier New" w:hAnsi="Courier New"/>
                <w:sz w:val="15"/>
                <w:szCs w:val="15"/>
                <w:color w:val="auto"/>
              </w:rPr>
              <w:t>common stock equivalent before extraordinary</w:t>
            </w:r>
          </w:p>
        </w:tc>
        <w:tc>
          <w:tcPr>
            <w:tcW w:w="340" w:type="dxa"/>
            <w:vAlign w:val="bottom"/>
          </w:tcPr>
          <w:p>
            <w:pPr>
              <w:spacing w:after="0"/>
              <w:rPr>
                <w:sz w:val="14"/>
                <w:szCs w:val="14"/>
                <w:color w:val="auto"/>
              </w:rPr>
            </w:pPr>
          </w:p>
        </w:tc>
        <w:tc>
          <w:tcPr>
            <w:tcW w:w="1240" w:type="dxa"/>
            <w:vAlign w:val="bottom"/>
            <w:vMerge w:val="restart"/>
          </w:tcPr>
          <w:p>
            <w:pPr>
              <w:jc w:val="right"/>
              <w:ind w:right="450"/>
              <w:spacing w:after="0"/>
              <w:rPr>
                <w:sz w:val="20"/>
                <w:szCs w:val="20"/>
                <w:color w:val="auto"/>
              </w:rPr>
            </w:pPr>
            <w:r>
              <w:rPr>
                <w:rFonts w:ascii="Courier New" w:cs="Courier New" w:eastAsia="Courier New" w:hAnsi="Courier New"/>
                <w:sz w:val="15"/>
                <w:szCs w:val="15"/>
                <w:color w:val="auto"/>
              </w:rPr>
              <w:t>.80</w:t>
            </w:r>
          </w:p>
        </w:tc>
        <w:tc>
          <w:tcPr>
            <w:tcW w:w="80" w:type="dxa"/>
            <w:vAlign w:val="bottom"/>
          </w:tcPr>
          <w:p>
            <w:pPr>
              <w:spacing w:after="0"/>
              <w:rPr>
                <w:sz w:val="14"/>
                <w:szCs w:val="14"/>
                <w:color w:val="auto"/>
              </w:rPr>
            </w:pPr>
          </w:p>
        </w:tc>
        <w:tc>
          <w:tcPr>
            <w:tcW w:w="10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.52</w:t>
            </w:r>
          </w:p>
        </w:tc>
        <w:tc>
          <w:tcPr>
            <w:tcW w:w="280" w:type="dxa"/>
            <w:vAlign w:val="bottom"/>
          </w:tcPr>
          <w:p>
            <w:pPr>
              <w:spacing w:after="0"/>
              <w:rPr>
                <w:sz w:val="14"/>
                <w:szCs w:val="14"/>
                <w:color w:val="auto"/>
              </w:rPr>
            </w:pPr>
          </w:p>
        </w:tc>
        <w:tc>
          <w:tcPr>
            <w:tcW w:w="10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2.53</w:t>
            </w:r>
          </w:p>
        </w:tc>
        <w:tc>
          <w:tcPr>
            <w:tcW w:w="32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2.52</w:t>
            </w:r>
          </w:p>
        </w:tc>
        <w:tc>
          <w:tcPr>
            <w:tcW w:w="0" w:type="dxa"/>
            <w:vAlign w:val="bottom"/>
          </w:tcPr>
          <w:p>
            <w:pPr>
              <w:spacing w:after="0"/>
              <w:rPr>
                <w:sz w:val="1"/>
                <w:szCs w:val="1"/>
                <w:color w:val="auto"/>
              </w:rPr>
            </w:pPr>
          </w:p>
        </w:tc>
      </w:tr>
      <w:tr>
        <w:trPr>
          <w:trHeight w:val="170"/>
        </w:trPr>
        <w:tc>
          <w:tcPr>
            <w:tcW w:w="5020" w:type="dxa"/>
            <w:vAlign w:val="bottom"/>
          </w:tcPr>
          <w:p>
            <w:pPr>
              <w:ind w:left="160"/>
              <w:spacing w:after="0"/>
              <w:rPr>
                <w:sz w:val="20"/>
                <w:szCs w:val="20"/>
                <w:color w:val="auto"/>
              </w:rPr>
            </w:pPr>
            <w:r>
              <w:rPr>
                <w:rFonts w:ascii="Courier New" w:cs="Courier New" w:eastAsia="Courier New" w:hAnsi="Courier New"/>
                <w:sz w:val="15"/>
                <w:szCs w:val="15"/>
                <w:color w:val="auto"/>
              </w:rPr>
              <w:t>loss . . . . . . . . . . . . . . . . . . . . . . . .</w:t>
            </w:r>
          </w:p>
        </w:tc>
        <w:tc>
          <w:tcPr>
            <w:tcW w:w="3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Extraordinary loss, net of income tax benefit. . . . .</w:t>
            </w:r>
          </w:p>
        </w:tc>
        <w:tc>
          <w:tcPr>
            <w:tcW w:w="340" w:type="dxa"/>
            <w:vAlign w:val="bottom"/>
          </w:tcPr>
          <w:p>
            <w:pPr>
              <w:spacing w:after="0"/>
              <w:rPr>
                <w:sz w:val="14"/>
                <w:szCs w:val="14"/>
                <w:color w:val="auto"/>
              </w:rPr>
            </w:pPr>
          </w:p>
        </w:tc>
        <w:tc>
          <w:tcPr>
            <w:tcW w:w="1240" w:type="dxa"/>
            <w:vAlign w:val="bottom"/>
          </w:tcPr>
          <w:p>
            <w:pPr>
              <w:jc w:val="right"/>
              <w:ind w:right="370"/>
              <w:spacing w:after="0"/>
              <w:rPr>
                <w:sz w:val="20"/>
                <w:szCs w:val="20"/>
                <w:color w:val="auto"/>
              </w:rPr>
            </w:pPr>
            <w:r>
              <w:rPr>
                <w:rFonts w:ascii="Courier New" w:cs="Courier New" w:eastAsia="Courier New" w:hAnsi="Courier New"/>
                <w:sz w:val="15"/>
                <w:szCs w:val="15"/>
                <w:color w:val="auto"/>
              </w:rPr>
              <w:t>(.13)</w:t>
            </w:r>
          </w:p>
        </w:tc>
        <w:tc>
          <w:tcPr>
            <w:tcW w:w="8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w:t>
            </w:r>
          </w:p>
        </w:tc>
        <w:tc>
          <w:tcPr>
            <w:tcW w:w="3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5020" w:type="dxa"/>
            <w:vAlign w:val="bottom"/>
            <w:vMerge w:val="restart"/>
          </w:tcPr>
          <w:p>
            <w:pPr>
              <w:spacing w:after="0"/>
              <w:rPr>
                <w:sz w:val="20"/>
                <w:szCs w:val="20"/>
                <w:color w:val="auto"/>
              </w:rPr>
            </w:pPr>
            <w:r>
              <w:rPr>
                <w:rFonts w:ascii="Courier New" w:cs="Courier New" w:eastAsia="Courier New" w:hAnsi="Courier New"/>
                <w:sz w:val="15"/>
                <w:szCs w:val="15"/>
                <w:color w:val="auto"/>
              </w:rPr>
              <w:t>Net earnings per share of common stock and</w:t>
            </w:r>
          </w:p>
        </w:tc>
        <w:tc>
          <w:tcPr>
            <w:tcW w:w="340" w:type="dxa"/>
            <w:vAlign w:val="bottom"/>
          </w:tcPr>
          <w:p>
            <w:pPr>
              <w:spacing w:after="0"/>
              <w:rPr>
                <w:sz w:val="21"/>
                <w:szCs w:val="21"/>
                <w:color w:val="auto"/>
              </w:rPr>
            </w:pPr>
          </w:p>
        </w:tc>
        <w:tc>
          <w:tcPr>
            <w:tcW w:w="1240" w:type="dxa"/>
            <w:vAlign w:val="bottom"/>
          </w:tcPr>
          <w:p>
            <w:pPr>
              <w:jc w:val="right"/>
              <w:ind w:right="37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21"/>
                <w:szCs w:val="21"/>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280" w:type="dxa"/>
            <w:vAlign w:val="bottom"/>
          </w:tcPr>
          <w:p>
            <w:pPr>
              <w:spacing w:after="0"/>
              <w:rPr>
                <w:sz w:val="21"/>
                <w:szCs w:val="21"/>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w:t>
            </w:r>
          </w:p>
        </w:tc>
        <w:tc>
          <w:tcPr>
            <w:tcW w:w="320" w:type="dxa"/>
            <w:vAlign w:val="bottom"/>
          </w:tcPr>
          <w:p>
            <w:pPr>
              <w:spacing w:after="0"/>
              <w:rPr>
                <w:sz w:val="21"/>
                <w:szCs w:val="21"/>
                <w:color w:val="auto"/>
              </w:rPr>
            </w:pP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93"/>
        </w:trPr>
        <w:tc>
          <w:tcPr>
            <w:tcW w:w="5020" w:type="dxa"/>
            <w:vAlign w:val="bottom"/>
            <w:vMerge w:val="continue"/>
          </w:tcPr>
          <w:p>
            <w:pPr>
              <w:spacing w:after="0"/>
              <w:rPr>
                <w:sz w:val="8"/>
                <w:szCs w:val="8"/>
                <w:color w:val="auto"/>
              </w:rPr>
            </w:pP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450"/>
              <w:spacing w:after="0"/>
              <w:rPr>
                <w:sz w:val="20"/>
                <w:szCs w:val="20"/>
                <w:color w:val="auto"/>
              </w:rPr>
            </w:pPr>
            <w:r>
              <w:rPr>
                <w:rFonts w:ascii="Courier New" w:cs="Courier New" w:eastAsia="Courier New" w:hAnsi="Courier New"/>
                <w:sz w:val="15"/>
                <w:szCs w:val="15"/>
                <w:color w:val="auto"/>
              </w:rPr>
              <w:t>.67</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.52</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2.40</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2.52</w:t>
            </w:r>
          </w:p>
        </w:tc>
        <w:tc>
          <w:tcPr>
            <w:tcW w:w="0" w:type="dxa"/>
            <w:vAlign w:val="bottom"/>
          </w:tcPr>
          <w:p>
            <w:pPr>
              <w:spacing w:after="0"/>
              <w:rPr>
                <w:sz w:val="1"/>
                <w:szCs w:val="1"/>
                <w:color w:val="auto"/>
              </w:rPr>
            </w:pPr>
          </w:p>
        </w:tc>
      </w:tr>
      <w:tr>
        <w:trPr>
          <w:trHeight w:val="170"/>
        </w:trPr>
        <w:tc>
          <w:tcPr>
            <w:tcW w:w="5020" w:type="dxa"/>
            <w:vAlign w:val="bottom"/>
          </w:tcPr>
          <w:p>
            <w:pPr>
              <w:ind w:left="160"/>
              <w:spacing w:after="0"/>
              <w:rPr>
                <w:sz w:val="20"/>
                <w:szCs w:val="20"/>
                <w:color w:val="auto"/>
              </w:rPr>
            </w:pPr>
            <w:r>
              <w:rPr>
                <w:rFonts w:ascii="Courier New" w:cs="Courier New" w:eastAsia="Courier New" w:hAnsi="Courier New"/>
                <w:sz w:val="15"/>
                <w:szCs w:val="15"/>
                <w:color w:val="auto"/>
              </w:rPr>
              <w:t>common stock equivalent. . . . . . . . . . . . . . .</w:t>
            </w:r>
          </w:p>
        </w:tc>
        <w:tc>
          <w:tcPr>
            <w:tcW w:w="3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37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2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w:t>
            </w:r>
          </w:p>
        </w:tc>
        <w:tc>
          <w:tcPr>
            <w:tcW w:w="320" w:type="dxa"/>
            <w:vAlign w:val="bottom"/>
          </w:tcPr>
          <w:p>
            <w:pPr>
              <w:spacing w:after="0"/>
              <w:rPr>
                <w:sz w:val="14"/>
                <w:szCs w:val="14"/>
                <w:color w:val="auto"/>
              </w:rPr>
            </w:pP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46"/>
        </w:trPr>
        <w:tc>
          <w:tcPr>
            <w:tcW w:w="5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37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21"/>
                <w:szCs w:val="21"/>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280" w:type="dxa"/>
            <w:vAlign w:val="bottom"/>
          </w:tcPr>
          <w:p>
            <w:pPr>
              <w:spacing w:after="0"/>
              <w:rPr>
                <w:sz w:val="21"/>
                <w:szCs w:val="21"/>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w:t>
            </w:r>
          </w:p>
        </w:tc>
        <w:tc>
          <w:tcPr>
            <w:tcW w:w="320" w:type="dxa"/>
            <w:vAlign w:val="bottom"/>
          </w:tcPr>
          <w:p>
            <w:pPr>
              <w:spacing w:after="0"/>
              <w:rPr>
                <w:sz w:val="21"/>
                <w:szCs w:val="21"/>
                <w:color w:val="auto"/>
              </w:rPr>
            </w:pP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2"/>
        </w:trPr>
        <w:tc>
          <w:tcPr>
            <w:tcW w:w="5020" w:type="dxa"/>
            <w:vAlign w:val="bottom"/>
          </w:tcPr>
          <w:p>
            <w:pPr>
              <w:spacing w:after="0"/>
              <w:rPr>
                <w:sz w:val="20"/>
                <w:szCs w:val="20"/>
                <w:color w:val="auto"/>
              </w:rPr>
            </w:pPr>
            <w:r>
              <w:rPr>
                <w:rFonts w:ascii="Courier New" w:cs="Courier New" w:eastAsia="Courier New" w:hAnsi="Courier New"/>
                <w:sz w:val="15"/>
                <w:szCs w:val="15"/>
                <w:color w:val="auto"/>
              </w:rPr>
              <w:t>Net earnings per share of common stock and</w:t>
            </w: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5020" w:type="dxa"/>
            <w:vAlign w:val="bottom"/>
          </w:tcPr>
          <w:p>
            <w:pPr>
              <w:ind w:left="160"/>
              <w:spacing w:after="0"/>
              <w:rPr>
                <w:sz w:val="20"/>
                <w:szCs w:val="20"/>
                <w:color w:val="auto"/>
              </w:rPr>
            </w:pPr>
            <w:r>
              <w:rPr>
                <w:rFonts w:ascii="Courier New" w:cs="Courier New" w:eastAsia="Courier New" w:hAnsi="Courier New"/>
                <w:sz w:val="15"/>
                <w:szCs w:val="15"/>
                <w:color w:val="auto"/>
              </w:rPr>
              <w:t>common stock equivalent -</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20" w:type="dxa"/>
            <w:vAlign w:val="bottom"/>
          </w:tcPr>
          <w:p>
            <w:pPr>
              <w:ind w:left="160"/>
              <w:spacing w:after="0"/>
              <w:rPr>
                <w:sz w:val="20"/>
                <w:szCs w:val="20"/>
                <w:color w:val="auto"/>
              </w:rPr>
            </w:pPr>
            <w:r>
              <w:rPr>
                <w:rFonts w:ascii="Courier New" w:cs="Courier New" w:eastAsia="Courier New" w:hAnsi="Courier New"/>
                <w:sz w:val="15"/>
                <w:szCs w:val="15"/>
                <w:color w:val="auto"/>
              </w:rPr>
              <w:t>assuming full dilution before extraordinary</w:t>
            </w:r>
          </w:p>
        </w:tc>
        <w:tc>
          <w:tcPr>
            <w:tcW w:w="340" w:type="dxa"/>
            <w:vAlign w:val="bottom"/>
          </w:tcPr>
          <w:p>
            <w:pPr>
              <w:spacing w:after="0"/>
              <w:rPr>
                <w:sz w:val="14"/>
                <w:szCs w:val="14"/>
                <w:color w:val="auto"/>
              </w:rPr>
            </w:pPr>
          </w:p>
        </w:tc>
        <w:tc>
          <w:tcPr>
            <w:tcW w:w="1240" w:type="dxa"/>
            <w:vAlign w:val="bottom"/>
            <w:vMerge w:val="restart"/>
          </w:tcPr>
          <w:p>
            <w:pPr>
              <w:jc w:val="right"/>
              <w:ind w:right="450"/>
              <w:spacing w:after="0"/>
              <w:rPr>
                <w:sz w:val="20"/>
                <w:szCs w:val="20"/>
                <w:color w:val="auto"/>
              </w:rPr>
            </w:pPr>
            <w:r>
              <w:rPr>
                <w:rFonts w:ascii="Courier New" w:cs="Courier New" w:eastAsia="Courier New" w:hAnsi="Courier New"/>
                <w:sz w:val="15"/>
                <w:szCs w:val="15"/>
                <w:color w:val="auto"/>
              </w:rPr>
              <w:t>.80</w:t>
            </w:r>
          </w:p>
        </w:tc>
        <w:tc>
          <w:tcPr>
            <w:tcW w:w="80" w:type="dxa"/>
            <w:vAlign w:val="bottom"/>
          </w:tcPr>
          <w:p>
            <w:pPr>
              <w:spacing w:after="0"/>
              <w:rPr>
                <w:sz w:val="14"/>
                <w:szCs w:val="14"/>
                <w:color w:val="auto"/>
              </w:rPr>
            </w:pPr>
          </w:p>
        </w:tc>
        <w:tc>
          <w:tcPr>
            <w:tcW w:w="10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.52</w:t>
            </w:r>
          </w:p>
        </w:tc>
        <w:tc>
          <w:tcPr>
            <w:tcW w:w="280" w:type="dxa"/>
            <w:vAlign w:val="bottom"/>
          </w:tcPr>
          <w:p>
            <w:pPr>
              <w:spacing w:after="0"/>
              <w:rPr>
                <w:sz w:val="14"/>
                <w:szCs w:val="14"/>
                <w:color w:val="auto"/>
              </w:rPr>
            </w:pPr>
          </w:p>
        </w:tc>
        <w:tc>
          <w:tcPr>
            <w:tcW w:w="10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2.52</w:t>
            </w:r>
          </w:p>
        </w:tc>
        <w:tc>
          <w:tcPr>
            <w:tcW w:w="32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2.52</w:t>
            </w:r>
          </w:p>
        </w:tc>
        <w:tc>
          <w:tcPr>
            <w:tcW w:w="0" w:type="dxa"/>
            <w:vAlign w:val="bottom"/>
          </w:tcPr>
          <w:p>
            <w:pPr>
              <w:spacing w:after="0"/>
              <w:rPr>
                <w:sz w:val="1"/>
                <w:szCs w:val="1"/>
                <w:color w:val="auto"/>
              </w:rPr>
            </w:pPr>
          </w:p>
        </w:tc>
      </w:tr>
      <w:tr>
        <w:trPr>
          <w:trHeight w:val="170"/>
        </w:trPr>
        <w:tc>
          <w:tcPr>
            <w:tcW w:w="5020" w:type="dxa"/>
            <w:vAlign w:val="bottom"/>
          </w:tcPr>
          <w:p>
            <w:pPr>
              <w:ind w:left="160"/>
              <w:spacing w:after="0"/>
              <w:rPr>
                <w:sz w:val="20"/>
                <w:szCs w:val="20"/>
                <w:color w:val="auto"/>
              </w:rPr>
            </w:pPr>
            <w:r>
              <w:rPr>
                <w:rFonts w:ascii="Courier New" w:cs="Courier New" w:eastAsia="Courier New" w:hAnsi="Courier New"/>
                <w:sz w:val="15"/>
                <w:szCs w:val="15"/>
                <w:color w:val="auto"/>
              </w:rPr>
              <w:t>loss . . . . . . . . . . . . . . . . . . . . . . . .</w:t>
            </w:r>
          </w:p>
        </w:tc>
        <w:tc>
          <w:tcPr>
            <w:tcW w:w="3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Extraordinary loss, net of income tax benefit. . . . .</w:t>
            </w:r>
          </w:p>
        </w:tc>
        <w:tc>
          <w:tcPr>
            <w:tcW w:w="340" w:type="dxa"/>
            <w:vAlign w:val="bottom"/>
          </w:tcPr>
          <w:p>
            <w:pPr>
              <w:spacing w:after="0"/>
              <w:rPr>
                <w:sz w:val="14"/>
                <w:szCs w:val="14"/>
                <w:color w:val="auto"/>
              </w:rPr>
            </w:pPr>
          </w:p>
        </w:tc>
        <w:tc>
          <w:tcPr>
            <w:tcW w:w="1240" w:type="dxa"/>
            <w:vAlign w:val="bottom"/>
          </w:tcPr>
          <w:p>
            <w:pPr>
              <w:jc w:val="right"/>
              <w:ind w:right="370"/>
              <w:spacing w:after="0"/>
              <w:rPr>
                <w:sz w:val="20"/>
                <w:szCs w:val="20"/>
                <w:color w:val="auto"/>
              </w:rPr>
            </w:pPr>
            <w:r>
              <w:rPr>
                <w:rFonts w:ascii="Courier New" w:cs="Courier New" w:eastAsia="Courier New" w:hAnsi="Courier New"/>
                <w:sz w:val="15"/>
                <w:szCs w:val="15"/>
                <w:color w:val="auto"/>
              </w:rPr>
              <w:t>(.13)</w:t>
            </w:r>
          </w:p>
        </w:tc>
        <w:tc>
          <w:tcPr>
            <w:tcW w:w="8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w:t>
            </w:r>
          </w:p>
        </w:tc>
        <w:tc>
          <w:tcPr>
            <w:tcW w:w="3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5020" w:type="dxa"/>
            <w:vAlign w:val="bottom"/>
            <w:vMerge w:val="restart"/>
          </w:tcPr>
          <w:p>
            <w:pPr>
              <w:spacing w:after="0"/>
              <w:rPr>
                <w:sz w:val="20"/>
                <w:szCs w:val="20"/>
                <w:color w:val="auto"/>
              </w:rPr>
            </w:pPr>
            <w:r>
              <w:rPr>
                <w:rFonts w:ascii="Courier New" w:cs="Courier New" w:eastAsia="Courier New" w:hAnsi="Courier New"/>
                <w:sz w:val="15"/>
                <w:szCs w:val="15"/>
                <w:color w:val="auto"/>
              </w:rPr>
              <w:t>Net earnings per share of common stock and</w:t>
            </w:r>
          </w:p>
        </w:tc>
        <w:tc>
          <w:tcPr>
            <w:tcW w:w="340" w:type="dxa"/>
            <w:vAlign w:val="bottom"/>
          </w:tcPr>
          <w:p>
            <w:pPr>
              <w:spacing w:after="0"/>
              <w:rPr>
                <w:sz w:val="21"/>
                <w:szCs w:val="21"/>
                <w:color w:val="auto"/>
              </w:rPr>
            </w:pPr>
          </w:p>
        </w:tc>
        <w:tc>
          <w:tcPr>
            <w:tcW w:w="1240" w:type="dxa"/>
            <w:vAlign w:val="bottom"/>
          </w:tcPr>
          <w:p>
            <w:pPr>
              <w:jc w:val="right"/>
              <w:ind w:right="37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21"/>
                <w:szCs w:val="21"/>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280" w:type="dxa"/>
            <w:vAlign w:val="bottom"/>
          </w:tcPr>
          <w:p>
            <w:pPr>
              <w:spacing w:after="0"/>
              <w:rPr>
                <w:sz w:val="21"/>
                <w:szCs w:val="21"/>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w:t>
            </w:r>
          </w:p>
        </w:tc>
        <w:tc>
          <w:tcPr>
            <w:tcW w:w="320" w:type="dxa"/>
            <w:vAlign w:val="bottom"/>
          </w:tcPr>
          <w:p>
            <w:pPr>
              <w:spacing w:after="0"/>
              <w:rPr>
                <w:sz w:val="21"/>
                <w:szCs w:val="21"/>
                <w:color w:val="auto"/>
              </w:rPr>
            </w:pP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93"/>
        </w:trPr>
        <w:tc>
          <w:tcPr>
            <w:tcW w:w="50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5020" w:type="dxa"/>
            <w:vAlign w:val="bottom"/>
          </w:tcPr>
          <w:p>
            <w:pPr>
              <w:ind w:left="160"/>
              <w:spacing w:after="0"/>
              <w:rPr>
                <w:sz w:val="20"/>
                <w:szCs w:val="20"/>
                <w:color w:val="auto"/>
              </w:rPr>
            </w:pPr>
            <w:r>
              <w:rPr>
                <w:rFonts w:ascii="Courier New" w:cs="Courier New" w:eastAsia="Courier New" w:hAnsi="Courier New"/>
                <w:sz w:val="15"/>
                <w:szCs w:val="15"/>
                <w:color w:val="auto"/>
              </w:rPr>
              <w:t>common stock equivalent -</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450"/>
              <w:spacing w:after="0"/>
              <w:rPr>
                <w:sz w:val="20"/>
                <w:szCs w:val="20"/>
                <w:color w:val="auto"/>
              </w:rPr>
            </w:pPr>
            <w:r>
              <w:rPr>
                <w:rFonts w:ascii="Courier New" w:cs="Courier New" w:eastAsia="Courier New" w:hAnsi="Courier New"/>
                <w:sz w:val="15"/>
                <w:szCs w:val="15"/>
                <w:color w:val="auto"/>
              </w:rPr>
              <w:t>.67</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.52</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2.39</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2.52</w:t>
            </w:r>
          </w:p>
        </w:tc>
        <w:tc>
          <w:tcPr>
            <w:tcW w:w="0" w:type="dxa"/>
            <w:vAlign w:val="bottom"/>
          </w:tcPr>
          <w:p>
            <w:pPr>
              <w:spacing w:after="0"/>
              <w:rPr>
                <w:sz w:val="1"/>
                <w:szCs w:val="1"/>
                <w:color w:val="auto"/>
              </w:rPr>
            </w:pPr>
          </w:p>
        </w:tc>
      </w:tr>
      <w:tr>
        <w:trPr>
          <w:trHeight w:val="170"/>
        </w:trPr>
        <w:tc>
          <w:tcPr>
            <w:tcW w:w="5020" w:type="dxa"/>
            <w:vAlign w:val="bottom"/>
          </w:tcPr>
          <w:p>
            <w:pPr>
              <w:ind w:left="160"/>
              <w:spacing w:after="0"/>
              <w:rPr>
                <w:sz w:val="20"/>
                <w:szCs w:val="20"/>
                <w:color w:val="auto"/>
              </w:rPr>
            </w:pPr>
            <w:r>
              <w:rPr>
                <w:rFonts w:ascii="Courier New" w:cs="Courier New" w:eastAsia="Courier New" w:hAnsi="Courier New"/>
                <w:sz w:val="15"/>
                <w:szCs w:val="15"/>
                <w:color w:val="auto"/>
              </w:rPr>
              <w:t>assuming full dilution . . . . . . . . . . . . . . .</w:t>
            </w:r>
          </w:p>
        </w:tc>
        <w:tc>
          <w:tcPr>
            <w:tcW w:w="3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37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2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w:t>
            </w:r>
          </w:p>
        </w:tc>
        <w:tc>
          <w:tcPr>
            <w:tcW w:w="320" w:type="dxa"/>
            <w:vAlign w:val="bottom"/>
          </w:tcPr>
          <w:p>
            <w:pPr>
              <w:spacing w:after="0"/>
              <w:rPr>
                <w:sz w:val="14"/>
                <w:szCs w:val="14"/>
                <w:color w:val="auto"/>
              </w:rPr>
            </w:pP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46"/>
        </w:trPr>
        <w:tc>
          <w:tcPr>
            <w:tcW w:w="5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37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21"/>
                <w:szCs w:val="21"/>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280" w:type="dxa"/>
            <w:vAlign w:val="bottom"/>
          </w:tcPr>
          <w:p>
            <w:pPr>
              <w:spacing w:after="0"/>
              <w:rPr>
                <w:sz w:val="21"/>
                <w:szCs w:val="21"/>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w:t>
            </w:r>
          </w:p>
        </w:tc>
        <w:tc>
          <w:tcPr>
            <w:tcW w:w="320" w:type="dxa"/>
            <w:vAlign w:val="bottom"/>
          </w:tcPr>
          <w:p>
            <w:pPr>
              <w:spacing w:after="0"/>
              <w:rPr>
                <w:sz w:val="21"/>
                <w:szCs w:val="21"/>
                <w:color w:val="auto"/>
              </w:rPr>
            </w:pP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0"/>
          </w:cols>
          <w:pgMar w:left="240" w:top="601" w:right="1439" w:bottom="1440" w:gutter="0" w:footer="0" w:header="0"/>
        </w:sectPr>
      </w:pPr>
    </w:p>
    <w:bookmarkStart w:id="3" w:name="page4"/>
    <w:bookmarkEnd w:id="3"/>
    <w:p>
      <w:pPr>
        <w:jc w:val="center"/>
        <w:ind w:right="2740"/>
        <w:spacing w:after="0"/>
        <w:rPr>
          <w:sz w:val="20"/>
          <w:szCs w:val="20"/>
          <w:color w:val="auto"/>
        </w:rPr>
      </w:pPr>
      <w:r>
        <w:rPr>
          <w:rFonts w:ascii="Courier New" w:cs="Courier New" w:eastAsia="Courier New" w:hAnsi="Courier New"/>
          <w:sz w:val="15"/>
          <w:szCs w:val="15"/>
          <w:color w:val="auto"/>
        </w:rPr>
        <w:t>THE TORO COMPANY AND SUBSIDIARIES</w:t>
      </w:r>
    </w:p>
    <w:p>
      <w:pPr>
        <w:spacing w:after="0" w:line="25" w:lineRule="exact"/>
        <w:rPr>
          <w:sz w:val="20"/>
          <w:szCs w:val="20"/>
          <w:color w:val="auto"/>
        </w:rPr>
      </w:pPr>
    </w:p>
    <w:p>
      <w:pPr>
        <w:jc w:val="center"/>
        <w:ind w:right="2740"/>
        <w:spacing w:after="0"/>
        <w:rPr>
          <w:sz w:val="20"/>
          <w:szCs w:val="20"/>
          <w:color w:val="auto"/>
        </w:rPr>
      </w:pPr>
      <w:r>
        <w:rPr>
          <w:rFonts w:ascii="Courier New" w:cs="Courier New" w:eastAsia="Courier New" w:hAnsi="Courier New"/>
          <w:sz w:val="15"/>
          <w:szCs w:val="15"/>
          <w:color w:val="auto"/>
        </w:rPr>
        <w:t>CONDENSED CONSOLIDATED BALANCE SHEETS (UNAUDITED)</w:t>
      </w:r>
    </w:p>
    <w:tbl>
      <w:tblPr>
        <w:tblLayout w:type="fixed"/>
        <w:tblInd w:w="0" w:type="dxa"/>
        <w:tblCellMar>
          <w:top w:w="0" w:type="dxa"/>
          <w:left w:w="0" w:type="dxa"/>
          <w:bottom w:w="0" w:type="dxa"/>
          <w:right w:w="0" w:type="dxa"/>
        </w:tblCellMar>
      </w:tblPr>
      <w:tr>
        <w:trPr>
          <w:trHeight w:val="246"/>
        </w:trPr>
        <w:tc>
          <w:tcPr>
            <w:tcW w:w="6160" w:type="dxa"/>
            <w:vAlign w:val="bottom"/>
          </w:tcPr>
          <w:p>
            <w:pPr>
              <w:ind w:left="2820"/>
              <w:spacing w:after="0"/>
              <w:rPr>
                <w:sz w:val="20"/>
                <w:szCs w:val="20"/>
                <w:color w:val="auto"/>
              </w:rPr>
            </w:pPr>
            <w:r>
              <w:rPr>
                <w:rFonts w:ascii="Courier New" w:cs="Courier New" w:eastAsia="Courier New" w:hAnsi="Courier New"/>
                <w:sz w:val="15"/>
                <w:szCs w:val="15"/>
                <w:color w:val="auto"/>
              </w:rPr>
              <w:t>(DOLLARS IN THOUSANDS)</w:t>
            </w:r>
          </w:p>
        </w:tc>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4"/>
        </w:trPr>
        <w:tc>
          <w:tcPr>
            <w:tcW w:w="6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jc w:val="right"/>
              <w:ind w:right="91"/>
              <w:spacing w:after="0"/>
              <w:rPr>
                <w:sz w:val="20"/>
                <w:szCs w:val="20"/>
                <w:color w:val="auto"/>
              </w:rPr>
            </w:pPr>
            <w:r>
              <w:rPr>
                <w:rFonts w:ascii="Courier New" w:cs="Courier New" w:eastAsia="Courier New" w:hAnsi="Courier New"/>
                <w:sz w:val="15"/>
                <w:szCs w:val="15"/>
                <w:color w:val="auto"/>
                <w:w w:val="96"/>
              </w:rPr>
              <w:t>August 1,</w:t>
            </w:r>
          </w:p>
        </w:tc>
        <w:tc>
          <w:tcPr>
            <w:tcW w:w="360" w:type="dxa"/>
            <w:vAlign w:val="bottom"/>
          </w:tcPr>
          <w:p>
            <w:pPr>
              <w:spacing w:after="0"/>
              <w:rPr>
                <w:sz w:val="24"/>
                <w:szCs w:val="2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August 2,</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October 31,</w:t>
            </w:r>
          </w:p>
        </w:tc>
        <w:tc>
          <w:tcPr>
            <w:tcW w:w="0" w:type="dxa"/>
            <w:vAlign w:val="bottom"/>
          </w:tcPr>
          <w:p>
            <w:pPr>
              <w:spacing w:after="0"/>
              <w:rPr>
                <w:sz w:val="1"/>
                <w:szCs w:val="1"/>
                <w:color w:val="auto"/>
              </w:rPr>
            </w:pPr>
          </w:p>
        </w:tc>
      </w:tr>
      <w:tr>
        <w:trPr>
          <w:trHeight w:val="170"/>
        </w:trPr>
        <w:tc>
          <w:tcPr>
            <w:tcW w:w="6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center"/>
              <w:ind w:right="191"/>
              <w:spacing w:after="0"/>
              <w:rPr>
                <w:sz w:val="20"/>
                <w:szCs w:val="20"/>
                <w:color w:val="auto"/>
              </w:rPr>
            </w:pPr>
            <w:r>
              <w:rPr>
                <w:rFonts w:ascii="Courier New" w:cs="Courier New" w:eastAsia="Courier New" w:hAnsi="Courier New"/>
                <w:sz w:val="15"/>
                <w:szCs w:val="15"/>
                <w:color w:val="auto"/>
                <w:w w:val="94"/>
              </w:rPr>
              <w:t>1997</w:t>
            </w:r>
          </w:p>
        </w:tc>
        <w:tc>
          <w:tcPr>
            <w:tcW w:w="360" w:type="dxa"/>
            <w:vAlign w:val="bottom"/>
          </w:tcPr>
          <w:p>
            <w:pPr>
              <w:spacing w:after="0"/>
              <w:rPr>
                <w:sz w:val="14"/>
                <w:szCs w:val="14"/>
                <w:color w:val="auto"/>
              </w:rPr>
            </w:pPr>
          </w:p>
        </w:tc>
        <w:tc>
          <w:tcPr>
            <w:tcW w:w="9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4"/>
              </w:rPr>
              <w:t>1996</w:t>
            </w:r>
          </w:p>
        </w:tc>
        <w:tc>
          <w:tcPr>
            <w:tcW w:w="4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46"/>
        </w:trPr>
        <w:tc>
          <w:tcPr>
            <w:tcW w:w="6160" w:type="dxa"/>
            <w:vAlign w:val="bottom"/>
          </w:tcPr>
          <w:p>
            <w:pPr>
              <w:spacing w:after="0"/>
              <w:rPr>
                <w:sz w:val="21"/>
                <w:szCs w:val="21"/>
                <w:color w:val="auto"/>
              </w:rPr>
            </w:pPr>
          </w:p>
        </w:tc>
        <w:tc>
          <w:tcPr>
            <w:tcW w:w="1580" w:type="dxa"/>
            <w:vAlign w:val="bottom"/>
            <w:gridSpan w:val="2"/>
          </w:tcPr>
          <w:p>
            <w:pPr>
              <w:jc w:val="center"/>
              <w:ind w:left="287"/>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1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271"/>
              <w:spacing w:after="0"/>
              <w:rPr>
                <w:sz w:val="20"/>
                <w:szCs w:val="20"/>
                <w:color w:val="auto"/>
              </w:rPr>
            </w:pPr>
            <w:r>
              <w:rPr>
                <w:rFonts w:ascii="Courier New" w:cs="Courier New" w:eastAsia="Courier New" w:hAnsi="Courier New"/>
                <w:sz w:val="15"/>
                <w:szCs w:val="15"/>
                <w:color w:val="auto"/>
              </w:rPr>
              <w:t>4</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1,151</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66</w:t>
            </w:r>
          </w:p>
        </w:tc>
        <w:tc>
          <w:tcPr>
            <w:tcW w:w="0" w:type="dxa"/>
            <w:vAlign w:val="bottom"/>
          </w:tcPr>
          <w:p>
            <w:pPr>
              <w:spacing w:after="0"/>
              <w:rPr>
                <w:sz w:val="1"/>
                <w:szCs w:val="1"/>
                <w:color w:val="auto"/>
              </w:rPr>
            </w:pP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Cash and cash equivalents. . . . . . . . . . . . . . . . . . . .</w:t>
            </w:r>
          </w:p>
        </w:tc>
        <w:tc>
          <w:tcPr>
            <w:tcW w:w="6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Receivables, net . . . . . . . . . . . . . . . . . . . . . . . .</w:t>
            </w:r>
          </w:p>
        </w:tc>
        <w:tc>
          <w:tcPr>
            <w:tcW w:w="620" w:type="dxa"/>
            <w:vAlign w:val="bottom"/>
          </w:tcPr>
          <w:p>
            <w:pPr>
              <w:spacing w:after="0"/>
              <w:rPr>
                <w:sz w:val="14"/>
                <w:szCs w:val="14"/>
                <w:color w:val="auto"/>
              </w:rPr>
            </w:pPr>
          </w:p>
        </w:tc>
        <w:tc>
          <w:tcPr>
            <w:tcW w:w="960" w:type="dxa"/>
            <w:vAlign w:val="bottom"/>
          </w:tcPr>
          <w:p>
            <w:pPr>
              <w:jc w:val="right"/>
              <w:ind w:right="271"/>
              <w:spacing w:after="0"/>
              <w:rPr>
                <w:sz w:val="20"/>
                <w:szCs w:val="20"/>
                <w:color w:val="auto"/>
              </w:rPr>
            </w:pPr>
            <w:r>
              <w:rPr>
                <w:rFonts w:ascii="Courier New" w:cs="Courier New" w:eastAsia="Courier New" w:hAnsi="Courier New"/>
                <w:sz w:val="15"/>
                <w:szCs w:val="15"/>
                <w:color w:val="auto"/>
                <w:w w:val="95"/>
              </w:rPr>
              <w:t>308,234</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265,772</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239,637</w:t>
            </w:r>
          </w:p>
        </w:tc>
        <w:tc>
          <w:tcPr>
            <w:tcW w:w="0" w:type="dxa"/>
            <w:vAlign w:val="bottom"/>
          </w:tcPr>
          <w:p>
            <w:pPr>
              <w:spacing w:after="0"/>
              <w:rPr>
                <w:sz w:val="1"/>
                <w:szCs w:val="1"/>
                <w:color w:val="auto"/>
              </w:rPr>
            </w:pP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Inventories. . . . . . . . . . . . . . . . . . . . . . . . . . .</w:t>
            </w:r>
          </w:p>
        </w:tc>
        <w:tc>
          <w:tcPr>
            <w:tcW w:w="620" w:type="dxa"/>
            <w:vAlign w:val="bottom"/>
          </w:tcPr>
          <w:p>
            <w:pPr>
              <w:spacing w:after="0"/>
              <w:rPr>
                <w:sz w:val="14"/>
                <w:szCs w:val="14"/>
                <w:color w:val="auto"/>
              </w:rPr>
            </w:pPr>
          </w:p>
        </w:tc>
        <w:tc>
          <w:tcPr>
            <w:tcW w:w="960" w:type="dxa"/>
            <w:vAlign w:val="bottom"/>
          </w:tcPr>
          <w:p>
            <w:pPr>
              <w:jc w:val="right"/>
              <w:ind w:right="271"/>
              <w:spacing w:after="0"/>
              <w:rPr>
                <w:sz w:val="20"/>
                <w:szCs w:val="20"/>
                <w:color w:val="auto"/>
              </w:rPr>
            </w:pPr>
            <w:r>
              <w:rPr>
                <w:rFonts w:ascii="Courier New" w:cs="Courier New" w:eastAsia="Courier New" w:hAnsi="Courier New"/>
                <w:sz w:val="15"/>
                <w:szCs w:val="15"/>
                <w:color w:val="auto"/>
                <w:w w:val="95"/>
              </w:rPr>
              <w:t>161,825</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143,339</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130,288</w:t>
            </w:r>
          </w:p>
        </w:tc>
        <w:tc>
          <w:tcPr>
            <w:tcW w:w="0" w:type="dxa"/>
            <w:vAlign w:val="bottom"/>
          </w:tcPr>
          <w:p>
            <w:pPr>
              <w:spacing w:after="0"/>
              <w:rPr>
                <w:sz w:val="1"/>
                <w:szCs w:val="1"/>
                <w:color w:val="auto"/>
              </w:rPr>
            </w:pP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Other current assets . . . . . . . . . . . . . . . . . . . . . .</w:t>
            </w:r>
          </w:p>
        </w:tc>
        <w:tc>
          <w:tcPr>
            <w:tcW w:w="620" w:type="dxa"/>
            <w:vAlign w:val="bottom"/>
          </w:tcPr>
          <w:p>
            <w:pPr>
              <w:spacing w:after="0"/>
              <w:rPr>
                <w:sz w:val="14"/>
                <w:szCs w:val="14"/>
                <w:color w:val="auto"/>
              </w:rPr>
            </w:pPr>
          </w:p>
        </w:tc>
        <w:tc>
          <w:tcPr>
            <w:tcW w:w="960" w:type="dxa"/>
            <w:vAlign w:val="bottom"/>
          </w:tcPr>
          <w:p>
            <w:pPr>
              <w:jc w:val="center"/>
              <w:ind w:right="191"/>
              <w:spacing w:after="0"/>
              <w:rPr>
                <w:sz w:val="20"/>
                <w:szCs w:val="20"/>
                <w:color w:val="auto"/>
              </w:rPr>
            </w:pPr>
            <w:r>
              <w:rPr>
                <w:rFonts w:ascii="Courier New" w:cs="Courier New" w:eastAsia="Courier New" w:hAnsi="Courier New"/>
                <w:sz w:val="15"/>
                <w:szCs w:val="15"/>
                <w:color w:val="auto"/>
                <w:w w:val="99"/>
              </w:rPr>
              <w:t>39,285</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34,370</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35,010</w:t>
            </w:r>
          </w:p>
        </w:tc>
        <w:tc>
          <w:tcPr>
            <w:tcW w:w="0" w:type="dxa"/>
            <w:vAlign w:val="bottom"/>
          </w:tcPr>
          <w:p>
            <w:pPr>
              <w:spacing w:after="0"/>
              <w:rPr>
                <w:sz w:val="1"/>
                <w:szCs w:val="1"/>
                <w:color w:val="auto"/>
              </w:rPr>
            </w:pPr>
          </w:p>
        </w:tc>
      </w:tr>
      <w:tr>
        <w:trPr>
          <w:trHeight w:val="170"/>
        </w:trPr>
        <w:tc>
          <w:tcPr>
            <w:tcW w:w="616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current assets. . . . . . . . . . . . . . .</w:t>
            </w:r>
          </w:p>
        </w:tc>
        <w:tc>
          <w:tcPr>
            <w:tcW w:w="620" w:type="dxa"/>
            <w:vAlign w:val="bottom"/>
          </w:tcPr>
          <w:p>
            <w:pPr>
              <w:spacing w:after="0"/>
              <w:rPr>
                <w:sz w:val="14"/>
                <w:szCs w:val="14"/>
                <w:color w:val="auto"/>
              </w:rPr>
            </w:pPr>
          </w:p>
        </w:tc>
        <w:tc>
          <w:tcPr>
            <w:tcW w:w="960" w:type="dxa"/>
            <w:vAlign w:val="bottom"/>
            <w:vMerge w:val="restart"/>
          </w:tcPr>
          <w:p>
            <w:pPr>
              <w:jc w:val="center"/>
              <w:ind w:right="191"/>
              <w:spacing w:after="0"/>
              <w:rPr>
                <w:sz w:val="20"/>
                <w:szCs w:val="20"/>
                <w:color w:val="auto"/>
              </w:rPr>
            </w:pPr>
            <w:r>
              <w:rPr>
                <w:rFonts w:ascii="Courier New" w:cs="Courier New" w:eastAsia="Courier New" w:hAnsi="Courier New"/>
                <w:sz w:val="17"/>
                <w:szCs w:val="17"/>
                <w:color w:val="auto"/>
                <w:w w:val="73"/>
                <w:vertAlign w:val="subscript"/>
              </w:rPr>
              <w:t>509,348</w:t>
            </w:r>
            <w:r>
              <w:rPr>
                <w:rFonts w:ascii="Courier New" w:cs="Courier New" w:eastAsia="Courier New" w:hAnsi="Courier New"/>
                <w:sz w:val="10"/>
                <w:szCs w:val="10"/>
                <w:color w:val="auto"/>
                <w:w w:val="73"/>
              </w:rPr>
              <w:t>--------</w:t>
            </w:r>
          </w:p>
        </w:tc>
        <w:tc>
          <w:tcPr>
            <w:tcW w:w="360" w:type="dxa"/>
            <w:vAlign w:val="bottom"/>
          </w:tcPr>
          <w:p>
            <w:pPr>
              <w:spacing w:after="0"/>
              <w:rPr>
                <w:sz w:val="14"/>
                <w:szCs w:val="14"/>
                <w:color w:val="auto"/>
              </w:rPr>
            </w:pPr>
          </w:p>
        </w:tc>
        <w:tc>
          <w:tcPr>
            <w:tcW w:w="9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70"/>
        </w:trPr>
        <w:tc>
          <w:tcPr>
            <w:tcW w:w="6160" w:type="dxa"/>
            <w:vAlign w:val="bottom"/>
            <w:vMerge w:val="continue"/>
          </w:tcPr>
          <w:p>
            <w:pPr>
              <w:jc w:val="right"/>
              <w:ind w:right="447"/>
              <w:spacing w:after="0" w:line="148" w:lineRule="exact"/>
              <w:rPr>
                <w:sz w:val="20"/>
                <w:szCs w:val="20"/>
                <w:color w:val="auto"/>
              </w:rPr>
            </w:pPr>
            <w:r>
              <w:rPr>
                <w:rFonts w:ascii="Courier New" w:cs="Courier New" w:eastAsia="Courier New" w:hAnsi="Courier New"/>
                <w:sz w:val="15"/>
                <w:szCs w:val="15"/>
                <w:color w:val="auto"/>
              </w:rPr>
              <w:t>. . . . .</w:t>
            </w:r>
          </w:p>
        </w:tc>
        <w:tc>
          <w:tcPr>
            <w:tcW w:w="6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444,632</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405,001</w:t>
            </w:r>
          </w:p>
        </w:tc>
        <w:tc>
          <w:tcPr>
            <w:tcW w:w="0" w:type="dxa"/>
            <w:vAlign w:val="bottom"/>
          </w:tcPr>
          <w:p>
            <w:pPr>
              <w:spacing w:after="0"/>
              <w:rPr>
                <w:sz w:val="1"/>
                <w:szCs w:val="1"/>
                <w:color w:val="auto"/>
              </w:rPr>
            </w:pPr>
          </w:p>
        </w:tc>
      </w:tr>
      <w:tr>
        <w:trPr>
          <w:trHeight w:val="170"/>
        </w:trPr>
        <w:tc>
          <w:tcPr>
            <w:tcW w:w="6160" w:type="dxa"/>
            <w:vAlign w:val="bottom"/>
            <w:vMerge w:val="restart"/>
          </w:tcPr>
          <w:p>
            <w:pPr>
              <w:spacing w:after="0"/>
              <w:rPr>
                <w:sz w:val="20"/>
                <w:szCs w:val="20"/>
                <w:color w:val="auto"/>
              </w:rPr>
            </w:pPr>
            <w:r>
              <w:rPr>
                <w:rFonts w:ascii="Courier New" w:cs="Courier New" w:eastAsia="Courier New" w:hAnsi="Courier New"/>
                <w:sz w:val="15"/>
                <w:szCs w:val="15"/>
                <w:color w:val="auto"/>
              </w:rPr>
              <w:t>Property, plant and equipment. . . . . . . . . . . . .</w:t>
            </w:r>
          </w:p>
        </w:tc>
        <w:tc>
          <w:tcPr>
            <w:tcW w:w="620" w:type="dxa"/>
            <w:vAlign w:val="bottom"/>
          </w:tcPr>
          <w:p>
            <w:pPr>
              <w:spacing w:after="0"/>
              <w:rPr>
                <w:sz w:val="14"/>
                <w:szCs w:val="14"/>
                <w:color w:val="auto"/>
              </w:rPr>
            </w:pPr>
          </w:p>
        </w:tc>
        <w:tc>
          <w:tcPr>
            <w:tcW w:w="960" w:type="dxa"/>
            <w:vAlign w:val="bottom"/>
            <w:vMerge w:val="restart"/>
          </w:tcPr>
          <w:p>
            <w:pPr>
              <w:jc w:val="center"/>
              <w:ind w:right="191"/>
              <w:spacing w:after="0"/>
              <w:rPr>
                <w:sz w:val="20"/>
                <w:szCs w:val="20"/>
                <w:color w:val="auto"/>
              </w:rPr>
            </w:pPr>
            <w:r>
              <w:rPr>
                <w:rFonts w:ascii="Courier New" w:cs="Courier New" w:eastAsia="Courier New" w:hAnsi="Courier New"/>
                <w:sz w:val="17"/>
                <w:szCs w:val="17"/>
                <w:color w:val="auto"/>
                <w:w w:val="73"/>
                <w:vertAlign w:val="subscript"/>
              </w:rPr>
              <w:t>322,708</w:t>
            </w:r>
            <w:r>
              <w:rPr>
                <w:rFonts w:ascii="Courier New" w:cs="Courier New" w:eastAsia="Courier New" w:hAnsi="Courier New"/>
                <w:sz w:val="10"/>
                <w:szCs w:val="10"/>
                <w:color w:val="auto"/>
                <w:w w:val="73"/>
              </w:rPr>
              <w:t>--------</w:t>
            </w:r>
          </w:p>
        </w:tc>
        <w:tc>
          <w:tcPr>
            <w:tcW w:w="360" w:type="dxa"/>
            <w:vAlign w:val="bottom"/>
          </w:tcPr>
          <w:p>
            <w:pPr>
              <w:spacing w:after="0"/>
              <w:rPr>
                <w:sz w:val="14"/>
                <w:szCs w:val="14"/>
                <w:color w:val="auto"/>
              </w:rPr>
            </w:pPr>
          </w:p>
        </w:tc>
        <w:tc>
          <w:tcPr>
            <w:tcW w:w="9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70"/>
        </w:trPr>
        <w:tc>
          <w:tcPr>
            <w:tcW w:w="6160" w:type="dxa"/>
            <w:vAlign w:val="bottom"/>
            <w:vMerge w:val="continue"/>
          </w:tcPr>
          <w:p>
            <w:pPr>
              <w:jc w:val="right"/>
              <w:ind w:right="447"/>
              <w:spacing w:after="0" w:line="148" w:lineRule="exact"/>
              <w:rPr>
                <w:sz w:val="20"/>
                <w:szCs w:val="20"/>
                <w:color w:val="auto"/>
              </w:rPr>
            </w:pPr>
            <w:r>
              <w:rPr>
                <w:rFonts w:ascii="Courier New" w:cs="Courier New" w:eastAsia="Courier New" w:hAnsi="Courier New"/>
                <w:sz w:val="15"/>
                <w:szCs w:val="15"/>
                <w:color w:val="auto"/>
              </w:rPr>
              <w:t>. . . . .</w:t>
            </w:r>
          </w:p>
        </w:tc>
        <w:tc>
          <w:tcPr>
            <w:tcW w:w="6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220,443</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229,080</w:t>
            </w:r>
          </w:p>
        </w:tc>
        <w:tc>
          <w:tcPr>
            <w:tcW w:w="0" w:type="dxa"/>
            <w:vAlign w:val="bottom"/>
          </w:tcPr>
          <w:p>
            <w:pPr>
              <w:spacing w:after="0"/>
              <w:rPr>
                <w:sz w:val="1"/>
                <w:szCs w:val="1"/>
                <w:color w:val="auto"/>
              </w:rPr>
            </w:pPr>
          </w:p>
        </w:tc>
      </w:tr>
      <w:tr>
        <w:trPr>
          <w:trHeight w:val="170"/>
        </w:trPr>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rPr>
              <w:t>Less accumulated depreciation and amortization. . . . . . .</w:t>
            </w:r>
          </w:p>
        </w:tc>
        <w:tc>
          <w:tcPr>
            <w:tcW w:w="620" w:type="dxa"/>
            <w:vAlign w:val="bottom"/>
          </w:tcPr>
          <w:p>
            <w:pPr>
              <w:spacing w:after="0"/>
              <w:rPr>
                <w:sz w:val="14"/>
                <w:szCs w:val="14"/>
                <w:color w:val="auto"/>
              </w:rPr>
            </w:pPr>
          </w:p>
        </w:tc>
        <w:tc>
          <w:tcPr>
            <w:tcW w:w="960" w:type="dxa"/>
            <w:vAlign w:val="bottom"/>
          </w:tcPr>
          <w:p>
            <w:pPr>
              <w:jc w:val="right"/>
              <w:ind w:right="271"/>
              <w:spacing w:after="0"/>
              <w:rPr>
                <w:sz w:val="20"/>
                <w:szCs w:val="20"/>
                <w:color w:val="auto"/>
              </w:rPr>
            </w:pPr>
            <w:r>
              <w:rPr>
                <w:rFonts w:ascii="Courier New" w:cs="Courier New" w:eastAsia="Courier New" w:hAnsi="Courier New"/>
                <w:sz w:val="15"/>
                <w:szCs w:val="15"/>
                <w:color w:val="auto"/>
                <w:w w:val="95"/>
              </w:rPr>
              <w:t>206,105</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151,626</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155,270</w:t>
            </w:r>
          </w:p>
        </w:tc>
        <w:tc>
          <w:tcPr>
            <w:tcW w:w="0" w:type="dxa"/>
            <w:vAlign w:val="bottom"/>
          </w:tcPr>
          <w:p>
            <w:pPr>
              <w:spacing w:after="0"/>
              <w:rPr>
                <w:sz w:val="1"/>
                <w:szCs w:val="1"/>
                <w:color w:val="auto"/>
              </w:rPr>
            </w:pPr>
          </w:p>
        </w:tc>
      </w:tr>
      <w:tr>
        <w:trPr>
          <w:trHeight w:val="170"/>
        </w:trPr>
        <w:tc>
          <w:tcPr>
            <w:tcW w:w="6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vMerge w:val="restart"/>
          </w:tcPr>
          <w:p>
            <w:pPr>
              <w:jc w:val="center"/>
              <w:ind w:right="191"/>
              <w:spacing w:after="0"/>
              <w:rPr>
                <w:sz w:val="20"/>
                <w:szCs w:val="20"/>
                <w:color w:val="auto"/>
              </w:rPr>
            </w:pPr>
            <w:r>
              <w:rPr>
                <w:rFonts w:ascii="Courier New" w:cs="Courier New" w:eastAsia="Courier New" w:hAnsi="Courier New"/>
                <w:sz w:val="17"/>
                <w:szCs w:val="17"/>
                <w:color w:val="auto"/>
                <w:w w:val="73"/>
                <w:vertAlign w:val="subscript"/>
              </w:rPr>
              <w:t>116,603</w:t>
            </w:r>
            <w:r>
              <w:rPr>
                <w:rFonts w:ascii="Courier New" w:cs="Courier New" w:eastAsia="Courier New" w:hAnsi="Courier New"/>
                <w:sz w:val="10"/>
                <w:szCs w:val="10"/>
                <w:color w:val="auto"/>
                <w:w w:val="73"/>
              </w:rPr>
              <w:t>--------</w:t>
            </w:r>
          </w:p>
        </w:tc>
        <w:tc>
          <w:tcPr>
            <w:tcW w:w="360" w:type="dxa"/>
            <w:vAlign w:val="bottom"/>
          </w:tcPr>
          <w:p>
            <w:pPr>
              <w:spacing w:after="0"/>
              <w:rPr>
                <w:sz w:val="14"/>
                <w:szCs w:val="14"/>
                <w:color w:val="auto"/>
              </w:rPr>
            </w:pPr>
          </w:p>
        </w:tc>
        <w:tc>
          <w:tcPr>
            <w:tcW w:w="9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70"/>
        </w:trPr>
        <w:tc>
          <w:tcPr>
            <w:tcW w:w="6160" w:type="dxa"/>
            <w:vAlign w:val="bottom"/>
            <w:vMerge w:val="restart"/>
          </w:tcPr>
          <w:p>
            <w:pPr>
              <w:spacing w:after="0"/>
              <w:rPr>
                <w:sz w:val="20"/>
                <w:szCs w:val="20"/>
                <w:color w:val="auto"/>
              </w:rPr>
            </w:pPr>
            <w:r>
              <w:rPr>
                <w:rFonts w:ascii="Courier New" w:cs="Courier New" w:eastAsia="Courier New" w:hAnsi="Courier New"/>
                <w:sz w:val="15"/>
                <w:szCs w:val="15"/>
                <w:color w:val="auto"/>
              </w:rPr>
              <w:t>Other assets . . . . . . . . . . . . . . . . . . . . .</w:t>
            </w:r>
          </w:p>
        </w:tc>
        <w:tc>
          <w:tcPr>
            <w:tcW w:w="6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68,817</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73,810</w:t>
            </w:r>
          </w:p>
        </w:tc>
        <w:tc>
          <w:tcPr>
            <w:tcW w:w="0" w:type="dxa"/>
            <w:vAlign w:val="bottom"/>
          </w:tcPr>
          <w:p>
            <w:pPr>
              <w:spacing w:after="0"/>
              <w:rPr>
                <w:sz w:val="1"/>
                <w:szCs w:val="1"/>
                <w:color w:val="auto"/>
              </w:rPr>
            </w:pPr>
          </w:p>
        </w:tc>
      </w:tr>
      <w:tr>
        <w:trPr>
          <w:trHeight w:val="170"/>
        </w:trPr>
        <w:tc>
          <w:tcPr>
            <w:tcW w:w="6160" w:type="dxa"/>
            <w:vAlign w:val="bottom"/>
            <w:vMerge w:val="continue"/>
          </w:tcPr>
          <w:p>
            <w:pPr>
              <w:jc w:val="right"/>
              <w:ind w:right="447"/>
              <w:spacing w:after="0" w:line="148" w:lineRule="exact"/>
              <w:rPr>
                <w:sz w:val="20"/>
                <w:szCs w:val="20"/>
                <w:color w:val="auto"/>
              </w:rPr>
            </w:pPr>
            <w:r>
              <w:rPr>
                <w:rFonts w:ascii="Courier New" w:cs="Courier New" w:eastAsia="Courier New" w:hAnsi="Courier New"/>
                <w:sz w:val="15"/>
                <w:szCs w:val="15"/>
                <w:color w:val="auto"/>
              </w:rPr>
              <w:t>. . . . .</w:t>
            </w:r>
          </w:p>
        </w:tc>
        <w:tc>
          <w:tcPr>
            <w:tcW w:w="620" w:type="dxa"/>
            <w:vAlign w:val="bottom"/>
          </w:tcPr>
          <w:p>
            <w:pPr>
              <w:spacing w:after="0"/>
              <w:rPr>
                <w:sz w:val="14"/>
                <w:szCs w:val="14"/>
                <w:color w:val="auto"/>
              </w:rPr>
            </w:pPr>
          </w:p>
        </w:tc>
        <w:tc>
          <w:tcPr>
            <w:tcW w:w="960" w:type="dxa"/>
            <w:vAlign w:val="bottom"/>
          </w:tcPr>
          <w:p>
            <w:pPr>
              <w:jc w:val="center"/>
              <w:ind w:right="191"/>
              <w:spacing w:after="0"/>
              <w:rPr>
                <w:sz w:val="20"/>
                <w:szCs w:val="20"/>
                <w:color w:val="auto"/>
              </w:rPr>
            </w:pPr>
            <w:r>
              <w:rPr>
                <w:rFonts w:ascii="Courier New" w:cs="Courier New" w:eastAsia="Courier New" w:hAnsi="Courier New"/>
                <w:sz w:val="15"/>
                <w:szCs w:val="15"/>
                <w:color w:val="auto"/>
                <w:w w:val="99"/>
              </w:rPr>
              <w:t>79,019</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18,481</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18,066</w:t>
            </w:r>
          </w:p>
        </w:tc>
        <w:tc>
          <w:tcPr>
            <w:tcW w:w="0" w:type="dxa"/>
            <w:vAlign w:val="bottom"/>
          </w:tcPr>
          <w:p>
            <w:pPr>
              <w:spacing w:after="0"/>
              <w:rPr>
                <w:sz w:val="1"/>
                <w:szCs w:val="1"/>
                <w:color w:val="auto"/>
              </w:rPr>
            </w:pPr>
          </w:p>
        </w:tc>
      </w:tr>
      <w:tr>
        <w:trPr>
          <w:trHeight w:val="170"/>
        </w:trPr>
        <w:tc>
          <w:tcPr>
            <w:tcW w:w="616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assets. . . . . . . . . . . . . . . . . . .</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center"/>
              <w:ind w:right="191"/>
              <w:spacing w:after="0"/>
              <w:rPr>
                <w:sz w:val="20"/>
                <w:szCs w:val="20"/>
                <w:color w:val="auto"/>
              </w:rPr>
            </w:pPr>
            <w:r>
              <w:rPr>
                <w:rFonts w:ascii="Courier New" w:cs="Courier New" w:eastAsia="Courier New" w:hAnsi="Courier New"/>
                <w:sz w:val="17"/>
                <w:szCs w:val="17"/>
                <w:color w:val="auto"/>
                <w:w w:val="73"/>
                <w:vertAlign w:val="subscript"/>
              </w:rPr>
              <w:t>704,970</w:t>
            </w:r>
            <w:r>
              <w:rPr>
                <w:rFonts w:ascii="Courier New" w:cs="Courier New" w:eastAsia="Courier New" w:hAnsi="Courier New"/>
                <w:sz w:val="10"/>
                <w:szCs w:val="10"/>
                <w:color w:val="auto"/>
                <w:w w:val="73"/>
              </w:rPr>
              <w:t>--------</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70"/>
        </w:trPr>
        <w:tc>
          <w:tcPr>
            <w:tcW w:w="6160" w:type="dxa"/>
            <w:vAlign w:val="bottom"/>
            <w:vMerge w:val="continue"/>
          </w:tcPr>
          <w:p>
            <w:pPr>
              <w:jc w:val="right"/>
              <w:ind w:right="447"/>
              <w:spacing w:after="0" w:line="148" w:lineRule="exact"/>
              <w:rPr>
                <w:sz w:val="20"/>
                <w:szCs w:val="20"/>
                <w:color w:val="auto"/>
              </w:rPr>
            </w:pPr>
            <w:r>
              <w:rPr>
                <w:rFonts w:ascii="Courier New" w:cs="Courier New" w:eastAsia="Courier New" w:hAnsi="Courier New"/>
                <w:sz w:val="15"/>
                <w:szCs w:val="15"/>
                <w:color w:val="auto"/>
              </w:rPr>
              <w:t>. . . . .</w:t>
            </w:r>
          </w:p>
        </w:tc>
        <w:tc>
          <w:tcPr>
            <w:tcW w:w="6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531,930</w:t>
            </w:r>
          </w:p>
        </w:tc>
        <w:tc>
          <w:tcPr>
            <w:tcW w:w="400" w:type="dxa"/>
            <w:vAlign w:val="bottom"/>
            <w:vMerge w:val="continue"/>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496,877</w:t>
            </w:r>
          </w:p>
        </w:tc>
        <w:tc>
          <w:tcPr>
            <w:tcW w:w="0" w:type="dxa"/>
            <w:vAlign w:val="bottom"/>
          </w:tcPr>
          <w:p>
            <w:pPr>
              <w:spacing w:after="0"/>
              <w:rPr>
                <w:sz w:val="1"/>
                <w:szCs w:val="1"/>
                <w:color w:val="auto"/>
              </w:rPr>
            </w:pPr>
          </w:p>
        </w:tc>
      </w:tr>
      <w:tr>
        <w:trPr>
          <w:trHeight w:val="170"/>
        </w:trPr>
        <w:tc>
          <w:tcPr>
            <w:tcW w:w="6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center"/>
              <w:ind w:right="191"/>
              <w:spacing w:after="0"/>
              <w:rPr>
                <w:sz w:val="20"/>
                <w:szCs w:val="20"/>
                <w:color w:val="auto"/>
              </w:rPr>
            </w:pPr>
            <w:r>
              <w:rPr>
                <w:rFonts w:ascii="Courier New" w:cs="Courier New" w:eastAsia="Courier New" w:hAnsi="Courier New"/>
                <w:sz w:val="15"/>
                <w:szCs w:val="15"/>
                <w:color w:val="auto"/>
                <w:w w:val="97"/>
              </w:rPr>
              <w:t>--------</w:t>
            </w:r>
          </w:p>
        </w:tc>
        <w:tc>
          <w:tcPr>
            <w:tcW w:w="360" w:type="dxa"/>
            <w:vAlign w:val="bottom"/>
          </w:tcPr>
          <w:p>
            <w:pPr>
              <w:spacing w:after="0"/>
              <w:rPr>
                <w:sz w:val="14"/>
                <w:szCs w:val="14"/>
                <w:color w:val="auto"/>
              </w:rPr>
            </w:pPr>
          </w:p>
        </w:tc>
        <w:tc>
          <w:tcPr>
            <w:tcW w:w="9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46"/>
        </w:trPr>
        <w:tc>
          <w:tcPr>
            <w:tcW w:w="6160" w:type="dxa"/>
            <w:vAlign w:val="bottom"/>
            <w:vMerge w:val="restart"/>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620" w:type="dxa"/>
            <w:vAlign w:val="bottom"/>
          </w:tcPr>
          <w:p>
            <w:pPr>
              <w:spacing w:after="0"/>
              <w:rPr>
                <w:sz w:val="21"/>
                <w:szCs w:val="21"/>
                <w:color w:val="auto"/>
              </w:rPr>
            </w:pPr>
          </w:p>
        </w:tc>
        <w:tc>
          <w:tcPr>
            <w:tcW w:w="960" w:type="dxa"/>
            <w:vAlign w:val="bottom"/>
          </w:tcPr>
          <w:p>
            <w:pPr>
              <w:jc w:val="center"/>
              <w:ind w:right="191"/>
              <w:spacing w:after="0"/>
              <w:rPr>
                <w:sz w:val="20"/>
                <w:szCs w:val="20"/>
                <w:color w:val="auto"/>
              </w:rPr>
            </w:pPr>
            <w:r>
              <w:rPr>
                <w:rFonts w:ascii="Courier New" w:cs="Courier New" w:eastAsia="Courier New" w:hAnsi="Courier New"/>
                <w:sz w:val="15"/>
                <w:szCs w:val="15"/>
                <w:color w:val="auto"/>
                <w:w w:val="97"/>
              </w:rPr>
              <w:t>--------</w:t>
            </w:r>
          </w:p>
        </w:tc>
        <w:tc>
          <w:tcPr>
            <w:tcW w:w="360" w:type="dxa"/>
            <w:vAlign w:val="bottom"/>
          </w:tcPr>
          <w:p>
            <w:pPr>
              <w:spacing w:after="0"/>
              <w:rPr>
                <w:sz w:val="21"/>
                <w:szCs w:val="21"/>
                <w:color w:val="auto"/>
              </w:rPr>
            </w:pPr>
          </w:p>
        </w:tc>
        <w:tc>
          <w:tcPr>
            <w:tcW w:w="9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w:t>
            </w:r>
          </w:p>
        </w:tc>
        <w:tc>
          <w:tcPr>
            <w:tcW w:w="400" w:type="dxa"/>
            <w:vAlign w:val="bottom"/>
          </w:tcPr>
          <w:p>
            <w:pPr>
              <w:spacing w:after="0"/>
              <w:rPr>
                <w:sz w:val="21"/>
                <w:szCs w:val="21"/>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93"/>
        </w:trPr>
        <w:tc>
          <w:tcPr>
            <w:tcW w:w="6160" w:type="dxa"/>
            <w:vAlign w:val="bottom"/>
            <w:vMerge w:val="continue"/>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271"/>
              <w:spacing w:after="0"/>
              <w:rPr>
                <w:sz w:val="20"/>
                <w:szCs w:val="20"/>
                <w:color w:val="auto"/>
              </w:rPr>
            </w:pPr>
            <w:r>
              <w:rPr>
                <w:rFonts w:ascii="Courier New" w:cs="Courier New" w:eastAsia="Courier New" w:hAnsi="Courier New"/>
                <w:sz w:val="15"/>
                <w:szCs w:val="15"/>
                <w:color w:val="auto"/>
              </w:rPr>
              <w:t>365</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373</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350</w:t>
            </w:r>
          </w:p>
        </w:tc>
        <w:tc>
          <w:tcPr>
            <w:tcW w:w="0" w:type="dxa"/>
            <w:vAlign w:val="bottom"/>
          </w:tcPr>
          <w:p>
            <w:pPr>
              <w:spacing w:after="0"/>
              <w:rPr>
                <w:sz w:val="1"/>
                <w:szCs w:val="1"/>
                <w:color w:val="auto"/>
              </w:rPr>
            </w:pP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Current portion of long-term debt. . . . . . . . . . . . . . . .</w:t>
            </w:r>
          </w:p>
        </w:tc>
        <w:tc>
          <w:tcPr>
            <w:tcW w:w="6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Short-term borrowing . . . . . . . . . . . . . . . . . . . . . .</w:t>
            </w:r>
          </w:p>
        </w:tc>
        <w:tc>
          <w:tcPr>
            <w:tcW w:w="620" w:type="dxa"/>
            <w:vAlign w:val="bottom"/>
          </w:tcPr>
          <w:p>
            <w:pPr>
              <w:spacing w:after="0"/>
              <w:rPr>
                <w:sz w:val="14"/>
                <w:szCs w:val="14"/>
                <w:color w:val="auto"/>
              </w:rPr>
            </w:pPr>
          </w:p>
        </w:tc>
        <w:tc>
          <w:tcPr>
            <w:tcW w:w="960" w:type="dxa"/>
            <w:vAlign w:val="bottom"/>
          </w:tcPr>
          <w:p>
            <w:pPr>
              <w:jc w:val="center"/>
              <w:ind w:right="191"/>
              <w:spacing w:after="0"/>
              <w:rPr>
                <w:sz w:val="20"/>
                <w:szCs w:val="20"/>
                <w:color w:val="auto"/>
              </w:rPr>
            </w:pPr>
            <w:r>
              <w:rPr>
                <w:rFonts w:ascii="Courier New" w:cs="Courier New" w:eastAsia="Courier New" w:hAnsi="Courier New"/>
                <w:sz w:val="15"/>
                <w:szCs w:val="15"/>
                <w:color w:val="auto"/>
                <w:w w:val="99"/>
              </w:rPr>
              <w:t>95,000</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83,600</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41,025</w:t>
            </w:r>
          </w:p>
        </w:tc>
        <w:tc>
          <w:tcPr>
            <w:tcW w:w="0" w:type="dxa"/>
            <w:vAlign w:val="bottom"/>
          </w:tcPr>
          <w:p>
            <w:pPr>
              <w:spacing w:after="0"/>
              <w:rPr>
                <w:sz w:val="1"/>
                <w:szCs w:val="1"/>
                <w:color w:val="auto"/>
              </w:rPr>
            </w:pP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Accounts payable . . . . . . . . . . . . . . . . . . . . . . . .</w:t>
            </w:r>
          </w:p>
        </w:tc>
        <w:tc>
          <w:tcPr>
            <w:tcW w:w="620" w:type="dxa"/>
            <w:vAlign w:val="bottom"/>
          </w:tcPr>
          <w:p>
            <w:pPr>
              <w:spacing w:after="0"/>
              <w:rPr>
                <w:sz w:val="14"/>
                <w:szCs w:val="14"/>
                <w:color w:val="auto"/>
              </w:rPr>
            </w:pPr>
          </w:p>
        </w:tc>
        <w:tc>
          <w:tcPr>
            <w:tcW w:w="960" w:type="dxa"/>
            <w:vAlign w:val="bottom"/>
          </w:tcPr>
          <w:p>
            <w:pPr>
              <w:jc w:val="center"/>
              <w:ind w:right="191"/>
              <w:spacing w:after="0"/>
              <w:rPr>
                <w:sz w:val="20"/>
                <w:szCs w:val="20"/>
                <w:color w:val="auto"/>
              </w:rPr>
            </w:pPr>
            <w:r>
              <w:rPr>
                <w:rFonts w:ascii="Courier New" w:cs="Courier New" w:eastAsia="Courier New" w:hAnsi="Courier New"/>
                <w:sz w:val="15"/>
                <w:szCs w:val="15"/>
                <w:color w:val="auto"/>
                <w:w w:val="99"/>
              </w:rPr>
              <w:t>46,531</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26,160</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43,524</w:t>
            </w:r>
          </w:p>
        </w:tc>
        <w:tc>
          <w:tcPr>
            <w:tcW w:w="0" w:type="dxa"/>
            <w:vAlign w:val="bottom"/>
          </w:tcPr>
          <w:p>
            <w:pPr>
              <w:spacing w:after="0"/>
              <w:rPr>
                <w:sz w:val="1"/>
                <w:szCs w:val="1"/>
                <w:color w:val="auto"/>
              </w:rPr>
            </w:pP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Other accrued liabilities. . . . . . . . . . . . . . . . . . . .</w:t>
            </w:r>
          </w:p>
        </w:tc>
        <w:tc>
          <w:tcPr>
            <w:tcW w:w="620" w:type="dxa"/>
            <w:vAlign w:val="bottom"/>
          </w:tcPr>
          <w:p>
            <w:pPr>
              <w:spacing w:after="0"/>
              <w:rPr>
                <w:sz w:val="14"/>
                <w:szCs w:val="14"/>
                <w:color w:val="auto"/>
              </w:rPr>
            </w:pPr>
          </w:p>
        </w:tc>
        <w:tc>
          <w:tcPr>
            <w:tcW w:w="960" w:type="dxa"/>
            <w:vAlign w:val="bottom"/>
          </w:tcPr>
          <w:p>
            <w:pPr>
              <w:jc w:val="right"/>
              <w:ind w:right="271"/>
              <w:spacing w:after="0"/>
              <w:rPr>
                <w:sz w:val="20"/>
                <w:szCs w:val="20"/>
                <w:color w:val="auto"/>
              </w:rPr>
            </w:pPr>
            <w:r>
              <w:rPr>
                <w:rFonts w:ascii="Courier New" w:cs="Courier New" w:eastAsia="Courier New" w:hAnsi="Courier New"/>
                <w:sz w:val="15"/>
                <w:szCs w:val="15"/>
                <w:color w:val="auto"/>
                <w:w w:val="95"/>
              </w:rPr>
              <w:t>146,358</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136,603</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122,958</w:t>
            </w:r>
          </w:p>
        </w:tc>
        <w:tc>
          <w:tcPr>
            <w:tcW w:w="0" w:type="dxa"/>
            <w:vAlign w:val="bottom"/>
          </w:tcPr>
          <w:p>
            <w:pPr>
              <w:spacing w:after="0"/>
              <w:rPr>
                <w:sz w:val="1"/>
                <w:szCs w:val="1"/>
                <w:color w:val="auto"/>
              </w:rPr>
            </w:pPr>
          </w:p>
        </w:tc>
      </w:tr>
      <w:tr>
        <w:trPr>
          <w:trHeight w:val="170"/>
        </w:trPr>
        <w:tc>
          <w:tcPr>
            <w:tcW w:w="616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current liabilities . . . . . . . . . . . .</w:t>
            </w:r>
          </w:p>
        </w:tc>
        <w:tc>
          <w:tcPr>
            <w:tcW w:w="620" w:type="dxa"/>
            <w:vAlign w:val="bottom"/>
          </w:tcPr>
          <w:p>
            <w:pPr>
              <w:spacing w:after="0"/>
              <w:rPr>
                <w:sz w:val="14"/>
                <w:szCs w:val="14"/>
                <w:color w:val="auto"/>
              </w:rPr>
            </w:pPr>
          </w:p>
        </w:tc>
        <w:tc>
          <w:tcPr>
            <w:tcW w:w="960" w:type="dxa"/>
            <w:vAlign w:val="bottom"/>
            <w:vMerge w:val="restart"/>
          </w:tcPr>
          <w:p>
            <w:pPr>
              <w:jc w:val="center"/>
              <w:ind w:right="191"/>
              <w:spacing w:after="0"/>
              <w:rPr>
                <w:sz w:val="20"/>
                <w:szCs w:val="20"/>
                <w:color w:val="auto"/>
              </w:rPr>
            </w:pPr>
            <w:r>
              <w:rPr>
                <w:rFonts w:ascii="Courier New" w:cs="Courier New" w:eastAsia="Courier New" w:hAnsi="Courier New"/>
                <w:sz w:val="17"/>
                <w:szCs w:val="17"/>
                <w:color w:val="auto"/>
                <w:w w:val="73"/>
                <w:vertAlign w:val="subscript"/>
              </w:rPr>
              <w:t>288,254</w:t>
            </w:r>
            <w:r>
              <w:rPr>
                <w:rFonts w:ascii="Courier New" w:cs="Courier New" w:eastAsia="Courier New" w:hAnsi="Courier New"/>
                <w:sz w:val="10"/>
                <w:szCs w:val="10"/>
                <w:color w:val="auto"/>
                <w:w w:val="73"/>
              </w:rPr>
              <w:t>--------</w:t>
            </w:r>
          </w:p>
        </w:tc>
        <w:tc>
          <w:tcPr>
            <w:tcW w:w="360" w:type="dxa"/>
            <w:vAlign w:val="bottom"/>
          </w:tcPr>
          <w:p>
            <w:pPr>
              <w:spacing w:after="0"/>
              <w:rPr>
                <w:sz w:val="14"/>
                <w:szCs w:val="14"/>
                <w:color w:val="auto"/>
              </w:rPr>
            </w:pPr>
          </w:p>
        </w:tc>
        <w:tc>
          <w:tcPr>
            <w:tcW w:w="9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70"/>
        </w:trPr>
        <w:tc>
          <w:tcPr>
            <w:tcW w:w="6160" w:type="dxa"/>
            <w:vAlign w:val="bottom"/>
            <w:vMerge w:val="continue"/>
          </w:tcPr>
          <w:p>
            <w:pPr>
              <w:jc w:val="right"/>
              <w:ind w:right="447"/>
              <w:spacing w:after="0" w:line="148" w:lineRule="exact"/>
              <w:rPr>
                <w:sz w:val="20"/>
                <w:szCs w:val="20"/>
                <w:color w:val="auto"/>
              </w:rPr>
            </w:pPr>
            <w:r>
              <w:rPr>
                <w:rFonts w:ascii="Courier New" w:cs="Courier New" w:eastAsia="Courier New" w:hAnsi="Courier New"/>
                <w:sz w:val="15"/>
                <w:szCs w:val="15"/>
                <w:color w:val="auto"/>
              </w:rPr>
              <w:t>. . . . .</w:t>
            </w:r>
          </w:p>
        </w:tc>
        <w:tc>
          <w:tcPr>
            <w:tcW w:w="6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246,736</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207,857</w:t>
            </w:r>
          </w:p>
        </w:tc>
        <w:tc>
          <w:tcPr>
            <w:tcW w:w="0" w:type="dxa"/>
            <w:vAlign w:val="bottom"/>
          </w:tcPr>
          <w:p>
            <w:pPr>
              <w:spacing w:after="0"/>
              <w:rPr>
                <w:sz w:val="1"/>
                <w:szCs w:val="1"/>
                <w:color w:val="auto"/>
              </w:rPr>
            </w:pPr>
          </w:p>
        </w:tc>
      </w:tr>
      <w:tr>
        <w:trPr>
          <w:trHeight w:val="246"/>
        </w:trPr>
        <w:tc>
          <w:tcPr>
            <w:tcW w:w="6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center"/>
              <w:ind w:right="191"/>
              <w:spacing w:after="0"/>
              <w:rPr>
                <w:sz w:val="20"/>
                <w:szCs w:val="20"/>
                <w:color w:val="auto"/>
              </w:rPr>
            </w:pPr>
            <w:r>
              <w:rPr>
                <w:rFonts w:ascii="Courier New" w:cs="Courier New" w:eastAsia="Courier New" w:hAnsi="Courier New"/>
                <w:sz w:val="15"/>
                <w:szCs w:val="15"/>
                <w:color w:val="auto"/>
                <w:w w:val="97"/>
              </w:rPr>
              <w:t>--------</w:t>
            </w:r>
          </w:p>
        </w:tc>
        <w:tc>
          <w:tcPr>
            <w:tcW w:w="360" w:type="dxa"/>
            <w:vAlign w:val="bottom"/>
          </w:tcPr>
          <w:p>
            <w:pPr>
              <w:spacing w:after="0"/>
              <w:rPr>
                <w:sz w:val="21"/>
                <w:szCs w:val="21"/>
                <w:color w:val="auto"/>
              </w:rPr>
            </w:pPr>
          </w:p>
        </w:tc>
        <w:tc>
          <w:tcPr>
            <w:tcW w:w="9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w:t>
            </w:r>
          </w:p>
        </w:tc>
        <w:tc>
          <w:tcPr>
            <w:tcW w:w="400" w:type="dxa"/>
            <w:vAlign w:val="bottom"/>
          </w:tcPr>
          <w:p>
            <w:pPr>
              <w:spacing w:after="0"/>
              <w:rPr>
                <w:sz w:val="21"/>
                <w:szCs w:val="21"/>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62"/>
        </w:trPr>
        <w:tc>
          <w:tcPr>
            <w:tcW w:w="6160" w:type="dxa"/>
            <w:vAlign w:val="bottom"/>
          </w:tcPr>
          <w:p>
            <w:pPr>
              <w:spacing w:after="0"/>
              <w:rPr>
                <w:sz w:val="20"/>
                <w:szCs w:val="20"/>
                <w:color w:val="auto"/>
              </w:rPr>
            </w:pPr>
            <w:r>
              <w:rPr>
                <w:rFonts w:ascii="Courier New" w:cs="Courier New" w:eastAsia="Courier New" w:hAnsi="Courier New"/>
                <w:sz w:val="15"/>
                <w:szCs w:val="15"/>
                <w:color w:val="auto"/>
              </w:rPr>
              <w:t>Long-term debt, less current portion . . . . . . . . . . . . . .</w:t>
            </w:r>
          </w:p>
        </w:tc>
        <w:tc>
          <w:tcPr>
            <w:tcW w:w="620" w:type="dxa"/>
            <w:vAlign w:val="bottom"/>
          </w:tcPr>
          <w:p>
            <w:pPr>
              <w:spacing w:after="0"/>
              <w:rPr>
                <w:sz w:val="22"/>
                <w:szCs w:val="22"/>
                <w:color w:val="auto"/>
              </w:rPr>
            </w:pPr>
          </w:p>
        </w:tc>
        <w:tc>
          <w:tcPr>
            <w:tcW w:w="960" w:type="dxa"/>
            <w:vAlign w:val="bottom"/>
          </w:tcPr>
          <w:p>
            <w:pPr>
              <w:jc w:val="right"/>
              <w:ind w:right="271"/>
              <w:spacing w:after="0"/>
              <w:rPr>
                <w:sz w:val="20"/>
                <w:szCs w:val="20"/>
                <w:color w:val="auto"/>
              </w:rPr>
            </w:pPr>
            <w:r>
              <w:rPr>
                <w:rFonts w:ascii="Courier New" w:cs="Courier New" w:eastAsia="Courier New" w:hAnsi="Courier New"/>
                <w:sz w:val="15"/>
                <w:szCs w:val="15"/>
                <w:color w:val="auto"/>
                <w:w w:val="95"/>
              </w:rPr>
              <w:t>177,650</w:t>
            </w:r>
          </w:p>
        </w:tc>
        <w:tc>
          <w:tcPr>
            <w:tcW w:w="360" w:type="dxa"/>
            <w:vAlign w:val="bottom"/>
          </w:tcPr>
          <w:p>
            <w:pPr>
              <w:spacing w:after="0"/>
              <w:rPr>
                <w:sz w:val="22"/>
                <w:szCs w:val="22"/>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53,046</w:t>
            </w:r>
          </w:p>
        </w:tc>
        <w:tc>
          <w:tcPr>
            <w:tcW w:w="400" w:type="dxa"/>
            <w:vAlign w:val="bottom"/>
          </w:tcPr>
          <w:p>
            <w:pPr>
              <w:spacing w:after="0"/>
              <w:rPr>
                <w:sz w:val="22"/>
                <w:szCs w:val="22"/>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53,015</w:t>
            </w:r>
          </w:p>
        </w:tc>
        <w:tc>
          <w:tcPr>
            <w:tcW w:w="0" w:type="dxa"/>
            <w:vAlign w:val="bottom"/>
          </w:tcPr>
          <w:p>
            <w:pPr>
              <w:spacing w:after="0"/>
              <w:rPr>
                <w:sz w:val="1"/>
                <w:szCs w:val="1"/>
                <w:color w:val="auto"/>
              </w:rPr>
            </w:pPr>
          </w:p>
        </w:tc>
      </w:tr>
      <w:tr>
        <w:trPr>
          <w:trHeight w:val="246"/>
        </w:trPr>
        <w:tc>
          <w:tcPr>
            <w:tcW w:w="6160" w:type="dxa"/>
            <w:vAlign w:val="bottom"/>
          </w:tcPr>
          <w:p>
            <w:pPr>
              <w:spacing w:after="0"/>
              <w:rPr>
                <w:sz w:val="20"/>
                <w:szCs w:val="20"/>
                <w:color w:val="auto"/>
              </w:rPr>
            </w:pPr>
            <w:r>
              <w:rPr>
                <w:rFonts w:ascii="Courier New" w:cs="Courier New" w:eastAsia="Courier New" w:hAnsi="Courier New"/>
                <w:sz w:val="15"/>
                <w:szCs w:val="15"/>
                <w:color w:val="auto"/>
              </w:rPr>
              <w:t>Other long-term liabilities. . . . . . . . . . . . . . . . . . .</w:t>
            </w:r>
          </w:p>
        </w:tc>
        <w:tc>
          <w:tcPr>
            <w:tcW w:w="620" w:type="dxa"/>
            <w:vAlign w:val="bottom"/>
          </w:tcPr>
          <w:p>
            <w:pPr>
              <w:spacing w:after="0"/>
              <w:rPr>
                <w:sz w:val="21"/>
                <w:szCs w:val="21"/>
                <w:color w:val="auto"/>
              </w:rPr>
            </w:pPr>
          </w:p>
        </w:tc>
        <w:tc>
          <w:tcPr>
            <w:tcW w:w="960" w:type="dxa"/>
            <w:vAlign w:val="bottom"/>
          </w:tcPr>
          <w:p>
            <w:pPr>
              <w:jc w:val="right"/>
              <w:ind w:right="271"/>
              <w:spacing w:after="0"/>
              <w:rPr>
                <w:sz w:val="20"/>
                <w:szCs w:val="20"/>
                <w:color w:val="auto"/>
              </w:rPr>
            </w:pPr>
            <w:r>
              <w:rPr>
                <w:rFonts w:ascii="Courier New" w:cs="Courier New" w:eastAsia="Courier New" w:hAnsi="Courier New"/>
                <w:sz w:val="15"/>
                <w:szCs w:val="15"/>
                <w:color w:val="auto"/>
              </w:rPr>
              <w:t>5,399</w:t>
            </w:r>
          </w:p>
        </w:tc>
        <w:tc>
          <w:tcPr>
            <w:tcW w:w="360" w:type="dxa"/>
            <w:vAlign w:val="bottom"/>
          </w:tcPr>
          <w:p>
            <w:pPr>
              <w:spacing w:after="0"/>
              <w:rPr>
                <w:sz w:val="21"/>
                <w:szCs w:val="21"/>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22,586</w:t>
            </w:r>
          </w:p>
        </w:tc>
        <w:tc>
          <w:tcPr>
            <w:tcW w:w="400" w:type="dxa"/>
            <w:vAlign w:val="bottom"/>
          </w:tcPr>
          <w:p>
            <w:pPr>
              <w:spacing w:after="0"/>
              <w:rPr>
                <w:sz w:val="21"/>
                <w:szCs w:val="21"/>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22,438</w:t>
            </w:r>
          </w:p>
        </w:tc>
        <w:tc>
          <w:tcPr>
            <w:tcW w:w="0" w:type="dxa"/>
            <w:vAlign w:val="bottom"/>
          </w:tcPr>
          <w:p>
            <w:pPr>
              <w:spacing w:after="0"/>
              <w:rPr>
                <w:sz w:val="1"/>
                <w:szCs w:val="1"/>
                <w:color w:val="auto"/>
              </w:rPr>
            </w:pPr>
          </w:p>
        </w:tc>
      </w:tr>
      <w:tr>
        <w:trPr>
          <w:trHeight w:val="262"/>
        </w:trPr>
        <w:tc>
          <w:tcPr>
            <w:tcW w:w="6160" w:type="dxa"/>
            <w:vAlign w:val="bottom"/>
          </w:tcPr>
          <w:p>
            <w:pPr>
              <w:spacing w:after="0"/>
              <w:rPr>
                <w:sz w:val="20"/>
                <w:szCs w:val="20"/>
                <w:color w:val="auto"/>
              </w:rPr>
            </w:pPr>
            <w:r>
              <w:rPr>
                <w:rFonts w:ascii="Courier New" w:cs="Courier New" w:eastAsia="Courier New" w:hAnsi="Courier New"/>
                <w:sz w:val="15"/>
                <w:szCs w:val="15"/>
                <w:color w:val="auto"/>
              </w:rPr>
              <w:t>Common stockholders' equity:</w:t>
            </w:r>
          </w:p>
        </w:tc>
        <w:tc>
          <w:tcPr>
            <w:tcW w:w="6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6160" w:type="dxa"/>
            <w:vAlign w:val="bottom"/>
          </w:tcPr>
          <w:p>
            <w:pPr>
              <w:ind w:left="260"/>
              <w:spacing w:after="0"/>
              <w:rPr>
                <w:sz w:val="20"/>
                <w:szCs w:val="20"/>
                <w:color w:val="auto"/>
              </w:rPr>
            </w:pPr>
            <w:r>
              <w:rPr>
                <w:rFonts w:ascii="Courier New" w:cs="Courier New" w:eastAsia="Courier New" w:hAnsi="Courier New"/>
                <w:sz w:val="15"/>
                <w:szCs w:val="15"/>
                <w:color w:val="auto"/>
              </w:rPr>
              <w:t>Common stock par value $1.00,</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rPr>
              <w:t>authorized 35,000,000 shares; issued and</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rPr>
              <w:t>outstanding 12,112,310 shares at August 1,</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rPr>
              <w:t>1997 (net of 797,694 treasury shares),</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rPr>
              <w:t>11,990,873 shares at August 2, 1996</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rPr>
              <w:t>(net of 919,131 treasury shares), and</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rPr>
              <w:t>12,032,143 shares at October 31, 1996 (net</w:t>
            </w:r>
          </w:p>
        </w:tc>
        <w:tc>
          <w:tcPr>
            <w:tcW w:w="620" w:type="dxa"/>
            <w:vAlign w:val="bottom"/>
          </w:tcPr>
          <w:p>
            <w:pPr>
              <w:spacing w:after="0"/>
              <w:rPr>
                <w:sz w:val="14"/>
                <w:szCs w:val="14"/>
                <w:color w:val="auto"/>
              </w:rPr>
            </w:pPr>
          </w:p>
        </w:tc>
        <w:tc>
          <w:tcPr>
            <w:tcW w:w="960" w:type="dxa"/>
            <w:vAlign w:val="bottom"/>
            <w:vMerge w:val="restart"/>
          </w:tcPr>
          <w:p>
            <w:pPr>
              <w:jc w:val="center"/>
              <w:ind w:right="191"/>
              <w:spacing w:after="0"/>
              <w:rPr>
                <w:sz w:val="20"/>
                <w:szCs w:val="20"/>
                <w:color w:val="auto"/>
              </w:rPr>
            </w:pPr>
            <w:r>
              <w:rPr>
                <w:rFonts w:ascii="Courier New" w:cs="Courier New" w:eastAsia="Courier New" w:hAnsi="Courier New"/>
                <w:sz w:val="15"/>
                <w:szCs w:val="15"/>
                <w:color w:val="auto"/>
                <w:w w:val="99"/>
              </w:rPr>
              <w:t>12,112</w:t>
            </w:r>
          </w:p>
        </w:tc>
        <w:tc>
          <w:tcPr>
            <w:tcW w:w="360" w:type="dxa"/>
            <w:vAlign w:val="bottom"/>
          </w:tcPr>
          <w:p>
            <w:pPr>
              <w:spacing w:after="0"/>
              <w:rPr>
                <w:sz w:val="14"/>
                <w:szCs w:val="14"/>
                <w:color w:val="auto"/>
              </w:rPr>
            </w:pPr>
          </w:p>
        </w:tc>
        <w:tc>
          <w:tcPr>
            <w:tcW w:w="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11,991</w:t>
            </w:r>
          </w:p>
        </w:tc>
        <w:tc>
          <w:tcPr>
            <w:tcW w:w="400" w:type="dxa"/>
            <w:vAlign w:val="bottom"/>
          </w:tcPr>
          <w:p>
            <w:pPr>
              <w:spacing w:after="0"/>
              <w:rPr>
                <w:sz w:val="14"/>
                <w:szCs w:val="14"/>
                <w:color w:val="auto"/>
              </w:rPr>
            </w:pP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12,032</w:t>
            </w:r>
          </w:p>
        </w:tc>
        <w:tc>
          <w:tcPr>
            <w:tcW w:w="0" w:type="dxa"/>
            <w:vAlign w:val="bottom"/>
          </w:tcPr>
          <w:p>
            <w:pPr>
              <w:spacing w:after="0"/>
              <w:rPr>
                <w:sz w:val="1"/>
                <w:szCs w:val="1"/>
                <w:color w:val="auto"/>
              </w:rPr>
            </w:pPr>
          </w:p>
        </w:tc>
      </w:tr>
      <w:tr>
        <w:trPr>
          <w:trHeight w:val="170"/>
        </w:trPr>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rPr>
              <w:t>of 877,861 treasury shares) . . . . . . . . . . . . . . . .</w:t>
            </w:r>
          </w:p>
        </w:tc>
        <w:tc>
          <w:tcPr>
            <w:tcW w:w="6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Additional paid-in capital. . . . . . . . . . . . . . . . . .</w:t>
            </w:r>
          </w:p>
        </w:tc>
        <w:tc>
          <w:tcPr>
            <w:tcW w:w="620" w:type="dxa"/>
            <w:vAlign w:val="bottom"/>
          </w:tcPr>
          <w:p>
            <w:pPr>
              <w:spacing w:after="0"/>
              <w:rPr>
                <w:sz w:val="14"/>
                <w:szCs w:val="14"/>
                <w:color w:val="auto"/>
              </w:rPr>
            </w:pPr>
          </w:p>
        </w:tc>
        <w:tc>
          <w:tcPr>
            <w:tcW w:w="960" w:type="dxa"/>
            <w:vAlign w:val="bottom"/>
          </w:tcPr>
          <w:p>
            <w:pPr>
              <w:jc w:val="center"/>
              <w:ind w:right="191"/>
              <w:spacing w:after="0"/>
              <w:rPr>
                <w:sz w:val="20"/>
                <w:szCs w:val="20"/>
                <w:color w:val="auto"/>
              </w:rPr>
            </w:pPr>
            <w:r>
              <w:rPr>
                <w:rFonts w:ascii="Courier New" w:cs="Courier New" w:eastAsia="Courier New" w:hAnsi="Courier New"/>
                <w:sz w:val="15"/>
                <w:szCs w:val="15"/>
                <w:color w:val="auto"/>
                <w:w w:val="99"/>
              </w:rPr>
              <w:t>28,241</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27,817</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28,462</w:t>
            </w:r>
          </w:p>
        </w:tc>
        <w:tc>
          <w:tcPr>
            <w:tcW w:w="0" w:type="dxa"/>
            <w:vAlign w:val="bottom"/>
          </w:tcPr>
          <w:p>
            <w:pPr>
              <w:spacing w:after="0"/>
              <w:rPr>
                <w:sz w:val="1"/>
                <w:szCs w:val="1"/>
                <w:color w:val="auto"/>
              </w:rPr>
            </w:pPr>
          </w:p>
        </w:tc>
      </w:tr>
      <w:tr>
        <w:trPr>
          <w:trHeight w:val="170"/>
        </w:trPr>
        <w:tc>
          <w:tcPr>
            <w:tcW w:w="61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Retained earnings . . . . . . . . . . . . . . . . . . . . . .</w:t>
            </w:r>
          </w:p>
        </w:tc>
        <w:tc>
          <w:tcPr>
            <w:tcW w:w="620" w:type="dxa"/>
            <w:vAlign w:val="bottom"/>
          </w:tcPr>
          <w:p>
            <w:pPr>
              <w:spacing w:after="0"/>
              <w:rPr>
                <w:sz w:val="14"/>
                <w:szCs w:val="14"/>
                <w:color w:val="auto"/>
              </w:rPr>
            </w:pPr>
          </w:p>
        </w:tc>
        <w:tc>
          <w:tcPr>
            <w:tcW w:w="960" w:type="dxa"/>
            <w:vAlign w:val="bottom"/>
          </w:tcPr>
          <w:p>
            <w:pPr>
              <w:jc w:val="right"/>
              <w:ind w:right="271"/>
              <w:spacing w:after="0"/>
              <w:rPr>
                <w:sz w:val="20"/>
                <w:szCs w:val="20"/>
                <w:color w:val="auto"/>
              </w:rPr>
            </w:pPr>
            <w:r>
              <w:rPr>
                <w:rFonts w:ascii="Courier New" w:cs="Courier New" w:eastAsia="Courier New" w:hAnsi="Courier New"/>
                <w:sz w:val="15"/>
                <w:szCs w:val="15"/>
                <w:color w:val="auto"/>
                <w:w w:val="95"/>
              </w:rPr>
              <w:t>199,110</w:t>
            </w: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170,445</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173,630</w:t>
            </w:r>
          </w:p>
        </w:tc>
        <w:tc>
          <w:tcPr>
            <w:tcW w:w="0" w:type="dxa"/>
            <w:vAlign w:val="bottom"/>
          </w:tcPr>
          <w:p>
            <w:pPr>
              <w:spacing w:after="0"/>
              <w:rPr>
                <w:sz w:val="1"/>
                <w:szCs w:val="1"/>
                <w:color w:val="auto"/>
              </w:rPr>
            </w:pPr>
          </w:p>
        </w:tc>
      </w:tr>
      <w:tr>
        <w:trPr>
          <w:trHeight w:val="170"/>
        </w:trPr>
        <w:tc>
          <w:tcPr>
            <w:tcW w:w="61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Foreign currency translation adjustment . . . . . . . . . . .</w:t>
            </w:r>
          </w:p>
        </w:tc>
        <w:tc>
          <w:tcPr>
            <w:tcW w:w="620" w:type="dxa"/>
            <w:vAlign w:val="bottom"/>
          </w:tcPr>
          <w:p>
            <w:pPr>
              <w:spacing w:after="0"/>
              <w:rPr>
                <w:sz w:val="14"/>
                <w:szCs w:val="14"/>
                <w:color w:val="auto"/>
              </w:rPr>
            </w:pPr>
          </w:p>
        </w:tc>
        <w:tc>
          <w:tcPr>
            <w:tcW w:w="960" w:type="dxa"/>
            <w:vAlign w:val="bottom"/>
          </w:tcPr>
          <w:p>
            <w:pPr>
              <w:jc w:val="right"/>
              <w:ind w:right="191"/>
              <w:spacing w:after="0"/>
              <w:rPr>
                <w:sz w:val="20"/>
                <w:szCs w:val="20"/>
                <w:color w:val="auto"/>
              </w:rPr>
            </w:pPr>
            <w:r>
              <w:rPr>
                <w:rFonts w:ascii="Courier New" w:cs="Courier New" w:eastAsia="Courier New" w:hAnsi="Courier New"/>
                <w:sz w:val="15"/>
                <w:szCs w:val="15"/>
                <w:color w:val="auto"/>
              </w:rPr>
              <w:t>(5,796)</w:t>
            </w:r>
          </w:p>
        </w:tc>
        <w:tc>
          <w:tcPr>
            <w:tcW w:w="3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(691)</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(557)</w:t>
            </w:r>
          </w:p>
        </w:tc>
        <w:tc>
          <w:tcPr>
            <w:tcW w:w="0" w:type="dxa"/>
            <w:vAlign w:val="bottom"/>
          </w:tcPr>
          <w:p>
            <w:pPr>
              <w:spacing w:after="0"/>
              <w:rPr>
                <w:sz w:val="1"/>
                <w:szCs w:val="1"/>
                <w:color w:val="auto"/>
              </w:rPr>
            </w:pPr>
          </w:p>
        </w:tc>
      </w:tr>
      <w:tr>
        <w:trPr>
          <w:trHeight w:val="170"/>
        </w:trPr>
        <w:tc>
          <w:tcPr>
            <w:tcW w:w="61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Total common stockholders' equity . . . . . . . . .</w:t>
            </w:r>
          </w:p>
        </w:tc>
        <w:tc>
          <w:tcPr>
            <w:tcW w:w="620" w:type="dxa"/>
            <w:vAlign w:val="bottom"/>
          </w:tcPr>
          <w:p>
            <w:pPr>
              <w:spacing w:after="0"/>
              <w:rPr>
                <w:sz w:val="14"/>
                <w:szCs w:val="14"/>
                <w:color w:val="auto"/>
              </w:rPr>
            </w:pPr>
          </w:p>
        </w:tc>
        <w:tc>
          <w:tcPr>
            <w:tcW w:w="960" w:type="dxa"/>
            <w:vAlign w:val="bottom"/>
            <w:vMerge w:val="restart"/>
          </w:tcPr>
          <w:p>
            <w:pPr>
              <w:jc w:val="center"/>
              <w:ind w:right="191"/>
              <w:spacing w:after="0"/>
              <w:rPr>
                <w:sz w:val="20"/>
                <w:szCs w:val="20"/>
                <w:color w:val="auto"/>
              </w:rPr>
            </w:pPr>
            <w:r>
              <w:rPr>
                <w:rFonts w:ascii="Courier New" w:cs="Courier New" w:eastAsia="Courier New" w:hAnsi="Courier New"/>
                <w:sz w:val="17"/>
                <w:szCs w:val="17"/>
                <w:color w:val="auto"/>
                <w:w w:val="73"/>
                <w:vertAlign w:val="subscript"/>
              </w:rPr>
              <w:t>233,667</w:t>
            </w:r>
            <w:r>
              <w:rPr>
                <w:rFonts w:ascii="Courier New" w:cs="Courier New" w:eastAsia="Courier New" w:hAnsi="Courier New"/>
                <w:sz w:val="10"/>
                <w:szCs w:val="10"/>
                <w:color w:val="auto"/>
                <w:w w:val="73"/>
              </w:rPr>
              <w:t>--------</w:t>
            </w:r>
          </w:p>
        </w:tc>
        <w:tc>
          <w:tcPr>
            <w:tcW w:w="360" w:type="dxa"/>
            <w:vAlign w:val="bottom"/>
          </w:tcPr>
          <w:p>
            <w:pPr>
              <w:spacing w:after="0"/>
              <w:rPr>
                <w:sz w:val="14"/>
                <w:szCs w:val="14"/>
                <w:color w:val="auto"/>
              </w:rPr>
            </w:pPr>
          </w:p>
        </w:tc>
        <w:tc>
          <w:tcPr>
            <w:tcW w:w="9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70"/>
        </w:trPr>
        <w:tc>
          <w:tcPr>
            <w:tcW w:w="6160" w:type="dxa"/>
            <w:vAlign w:val="bottom"/>
            <w:vMerge w:val="continue"/>
          </w:tcPr>
          <w:p>
            <w:pPr>
              <w:jc w:val="right"/>
              <w:ind w:right="447"/>
              <w:spacing w:after="0" w:line="148" w:lineRule="exact"/>
              <w:rPr>
                <w:sz w:val="20"/>
                <w:szCs w:val="20"/>
                <w:color w:val="auto"/>
              </w:rPr>
            </w:pPr>
            <w:r>
              <w:rPr>
                <w:rFonts w:ascii="Courier New" w:cs="Courier New" w:eastAsia="Courier New" w:hAnsi="Courier New"/>
                <w:sz w:val="15"/>
                <w:szCs w:val="15"/>
                <w:color w:val="auto"/>
              </w:rPr>
              <w:t>. . . . .</w:t>
            </w:r>
          </w:p>
        </w:tc>
        <w:tc>
          <w:tcPr>
            <w:tcW w:w="6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209,562</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213,567</w:t>
            </w:r>
          </w:p>
        </w:tc>
        <w:tc>
          <w:tcPr>
            <w:tcW w:w="0" w:type="dxa"/>
            <w:vAlign w:val="bottom"/>
          </w:tcPr>
          <w:p>
            <w:pPr>
              <w:spacing w:after="0"/>
              <w:rPr>
                <w:sz w:val="1"/>
                <w:szCs w:val="1"/>
                <w:color w:val="auto"/>
              </w:rPr>
            </w:pPr>
          </w:p>
        </w:tc>
      </w:tr>
      <w:tr>
        <w:trPr>
          <w:trHeight w:val="170"/>
        </w:trPr>
        <w:tc>
          <w:tcPr>
            <w:tcW w:w="616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liabilities and common stockholders' equity</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center"/>
              <w:ind w:right="191"/>
              <w:spacing w:after="0"/>
              <w:rPr>
                <w:sz w:val="20"/>
                <w:szCs w:val="20"/>
                <w:color w:val="auto"/>
              </w:rPr>
            </w:pPr>
            <w:r>
              <w:rPr>
                <w:rFonts w:ascii="Courier New" w:cs="Courier New" w:eastAsia="Courier New" w:hAnsi="Courier New"/>
                <w:sz w:val="17"/>
                <w:szCs w:val="17"/>
                <w:color w:val="auto"/>
                <w:w w:val="73"/>
                <w:vertAlign w:val="subscript"/>
              </w:rPr>
              <w:t>704,970</w:t>
            </w:r>
            <w:r>
              <w:rPr>
                <w:rFonts w:ascii="Courier New" w:cs="Courier New" w:eastAsia="Courier New" w:hAnsi="Courier New"/>
                <w:sz w:val="10"/>
                <w:szCs w:val="10"/>
                <w:color w:val="auto"/>
                <w:w w:val="73"/>
              </w:rPr>
              <w:t>--------</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70"/>
        </w:trPr>
        <w:tc>
          <w:tcPr>
            <w:tcW w:w="6160" w:type="dxa"/>
            <w:vAlign w:val="bottom"/>
            <w:vMerge w:val="continue"/>
          </w:tcPr>
          <w:p>
            <w:pPr>
              <w:jc w:val="right"/>
              <w:ind w:right="447"/>
              <w:spacing w:after="0" w:line="148" w:lineRule="exact"/>
              <w:rPr>
                <w:sz w:val="20"/>
                <w:szCs w:val="20"/>
                <w:color w:val="auto"/>
              </w:rPr>
            </w:pPr>
            <w:r>
              <w:rPr>
                <w:rFonts w:ascii="Courier New" w:cs="Courier New" w:eastAsia="Courier New" w:hAnsi="Courier New"/>
                <w:sz w:val="15"/>
                <w:szCs w:val="15"/>
                <w:color w:val="auto"/>
              </w:rPr>
              <w:t>. . . . .</w:t>
            </w:r>
          </w:p>
        </w:tc>
        <w:tc>
          <w:tcPr>
            <w:tcW w:w="6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531,930</w:t>
            </w:r>
          </w:p>
        </w:tc>
        <w:tc>
          <w:tcPr>
            <w:tcW w:w="400" w:type="dxa"/>
            <w:vAlign w:val="bottom"/>
            <w:vMerge w:val="continue"/>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496,877</w:t>
            </w:r>
          </w:p>
        </w:tc>
        <w:tc>
          <w:tcPr>
            <w:tcW w:w="0" w:type="dxa"/>
            <w:vAlign w:val="bottom"/>
          </w:tcPr>
          <w:p>
            <w:pPr>
              <w:spacing w:after="0"/>
              <w:rPr>
                <w:sz w:val="1"/>
                <w:szCs w:val="1"/>
                <w:color w:val="auto"/>
              </w:rPr>
            </w:pPr>
          </w:p>
        </w:tc>
      </w:tr>
      <w:tr>
        <w:trPr>
          <w:trHeight w:val="170"/>
        </w:trPr>
        <w:tc>
          <w:tcPr>
            <w:tcW w:w="6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center"/>
              <w:ind w:right="191"/>
              <w:spacing w:after="0"/>
              <w:rPr>
                <w:sz w:val="20"/>
                <w:szCs w:val="20"/>
                <w:color w:val="auto"/>
              </w:rPr>
            </w:pPr>
            <w:r>
              <w:rPr>
                <w:rFonts w:ascii="Courier New" w:cs="Courier New" w:eastAsia="Courier New" w:hAnsi="Courier New"/>
                <w:sz w:val="15"/>
                <w:szCs w:val="15"/>
                <w:color w:val="auto"/>
                <w:w w:val="97"/>
              </w:rPr>
              <w:t>--------</w:t>
            </w:r>
          </w:p>
        </w:tc>
        <w:tc>
          <w:tcPr>
            <w:tcW w:w="360" w:type="dxa"/>
            <w:vAlign w:val="bottom"/>
          </w:tcPr>
          <w:p>
            <w:pPr>
              <w:spacing w:after="0"/>
              <w:rPr>
                <w:sz w:val="14"/>
                <w:szCs w:val="14"/>
                <w:color w:val="auto"/>
              </w:rPr>
            </w:pPr>
          </w:p>
        </w:tc>
        <w:tc>
          <w:tcPr>
            <w:tcW w:w="9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46"/>
        </w:trPr>
        <w:tc>
          <w:tcPr>
            <w:tcW w:w="6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center"/>
              <w:ind w:right="191"/>
              <w:spacing w:after="0"/>
              <w:rPr>
                <w:sz w:val="20"/>
                <w:szCs w:val="20"/>
                <w:color w:val="auto"/>
              </w:rPr>
            </w:pPr>
            <w:r>
              <w:rPr>
                <w:rFonts w:ascii="Courier New" w:cs="Courier New" w:eastAsia="Courier New" w:hAnsi="Courier New"/>
                <w:sz w:val="15"/>
                <w:szCs w:val="15"/>
                <w:color w:val="auto"/>
                <w:w w:val="97"/>
              </w:rPr>
              <w:t>--------</w:t>
            </w:r>
          </w:p>
        </w:tc>
        <w:tc>
          <w:tcPr>
            <w:tcW w:w="360" w:type="dxa"/>
            <w:vAlign w:val="bottom"/>
          </w:tcPr>
          <w:p>
            <w:pPr>
              <w:spacing w:after="0"/>
              <w:rPr>
                <w:sz w:val="21"/>
                <w:szCs w:val="21"/>
                <w:color w:val="auto"/>
              </w:rPr>
            </w:pPr>
          </w:p>
        </w:tc>
        <w:tc>
          <w:tcPr>
            <w:tcW w:w="9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w:t>
            </w:r>
          </w:p>
        </w:tc>
        <w:tc>
          <w:tcPr>
            <w:tcW w:w="400" w:type="dxa"/>
            <w:vAlign w:val="bottom"/>
          </w:tcPr>
          <w:p>
            <w:pPr>
              <w:spacing w:after="0"/>
              <w:rPr>
                <w:sz w:val="21"/>
                <w:szCs w:val="21"/>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0"/>
          </w:cols>
          <w:pgMar w:left="240" w:top="601" w:right="1439" w:bottom="1440" w:gutter="0" w:footer="0" w:header="0"/>
        </w:sectPr>
      </w:pPr>
    </w:p>
    <w:bookmarkStart w:id="4" w:name="page5"/>
    <w:bookmarkEnd w:id="4"/>
    <w:p>
      <w:pPr>
        <w:jc w:val="center"/>
        <w:ind w:right="2739"/>
        <w:spacing w:after="0" w:line="293" w:lineRule="auto"/>
        <w:rPr>
          <w:sz w:val="20"/>
          <w:szCs w:val="20"/>
          <w:color w:val="auto"/>
        </w:rPr>
      </w:pPr>
      <w:r>
        <w:rPr>
          <w:rFonts w:ascii="Courier New" w:cs="Courier New" w:eastAsia="Courier New" w:hAnsi="Courier New"/>
          <w:sz w:val="15"/>
          <w:szCs w:val="15"/>
          <w:color w:val="auto"/>
        </w:rPr>
        <w:t>THE TORO COMPANY AND SUBSIDIARIES CONDENSED CONSOLIDATED STATEMENTS OF CASH FLOWS (UNAUDITED)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2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Nine Months Ended</w:t>
            </w:r>
          </w:p>
        </w:tc>
        <w:tc>
          <w:tcPr>
            <w:tcW w:w="0" w:type="dxa"/>
            <w:vAlign w:val="bottom"/>
          </w:tcPr>
          <w:p>
            <w:pPr>
              <w:spacing w:after="0"/>
              <w:rPr>
                <w:sz w:val="1"/>
                <w:szCs w:val="1"/>
                <w:color w:val="auto"/>
              </w:rPr>
            </w:pPr>
          </w:p>
        </w:tc>
      </w:tr>
      <w:tr>
        <w:trPr>
          <w:trHeight w:val="170"/>
        </w:trPr>
        <w:tc>
          <w:tcPr>
            <w:tcW w:w="6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20" w:type="dxa"/>
            <w:vAlign w:val="bottom"/>
            <w:gridSpan w:val="3"/>
          </w:tcPr>
          <w:p>
            <w:pPr>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6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August 1,</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August 2,</w:t>
            </w:r>
          </w:p>
        </w:tc>
        <w:tc>
          <w:tcPr>
            <w:tcW w:w="0" w:type="dxa"/>
            <w:vAlign w:val="bottom"/>
          </w:tcPr>
          <w:p>
            <w:pPr>
              <w:spacing w:after="0"/>
              <w:rPr>
                <w:sz w:val="1"/>
                <w:szCs w:val="1"/>
                <w:color w:val="auto"/>
              </w:rPr>
            </w:pPr>
          </w:p>
        </w:tc>
      </w:tr>
      <w:tr>
        <w:trPr>
          <w:trHeight w:val="170"/>
        </w:trPr>
        <w:tc>
          <w:tcPr>
            <w:tcW w:w="6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ind w:left="280"/>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46"/>
        </w:trPr>
        <w:tc>
          <w:tcPr>
            <w:tcW w:w="6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62"/>
        </w:trPr>
        <w:tc>
          <w:tcPr>
            <w:tcW w:w="61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29,817</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31,783</w:t>
            </w:r>
          </w:p>
        </w:tc>
        <w:tc>
          <w:tcPr>
            <w:tcW w:w="0" w:type="dxa"/>
            <w:vAlign w:val="bottom"/>
          </w:tcPr>
          <w:p>
            <w:pPr>
              <w:spacing w:after="0"/>
              <w:rPr>
                <w:sz w:val="1"/>
                <w:szCs w:val="1"/>
                <w:color w:val="auto"/>
              </w:rPr>
            </w:pP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Net earnings. . .. . . . . . . . . . . . . . . . . . . . . . . .</w:t>
            </w:r>
          </w:p>
        </w:tc>
        <w:tc>
          <w:tcPr>
            <w:tcW w:w="5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2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 earnings to net cash</w:t>
            </w: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20" w:type="dxa"/>
            <w:vAlign w:val="bottom"/>
          </w:tcPr>
          <w:p>
            <w:pPr>
              <w:jc w:val="right"/>
              <w:ind w:right="2007"/>
              <w:spacing w:after="0"/>
              <w:rPr>
                <w:sz w:val="20"/>
                <w:szCs w:val="20"/>
                <w:color w:val="auto"/>
              </w:rPr>
            </w:pPr>
            <w:r>
              <w:rPr>
                <w:rFonts w:ascii="Courier New" w:cs="Courier New" w:eastAsia="Courier New" w:hAnsi="Courier New"/>
                <w:sz w:val="15"/>
                <w:szCs w:val="15"/>
                <w:color w:val="auto"/>
              </w:rPr>
              <w:t>provided by (used in) operating activities:</w:t>
            </w:r>
          </w:p>
        </w:tc>
        <w:tc>
          <w:tcPr>
            <w:tcW w:w="560" w:type="dxa"/>
            <w:vAlign w:val="bottom"/>
          </w:tcPr>
          <w:p>
            <w:pPr>
              <w:spacing w:after="0"/>
              <w:rPr>
                <w:sz w:val="14"/>
                <w:szCs w:val="14"/>
                <w:color w:val="auto"/>
              </w:rPr>
            </w:pPr>
          </w:p>
        </w:tc>
        <w:tc>
          <w:tcPr>
            <w:tcW w:w="11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1,663</w:t>
            </w:r>
          </w:p>
        </w:tc>
        <w:tc>
          <w:tcPr>
            <w:tcW w:w="22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120" w:type="dxa"/>
            <w:vAlign w:val="bottom"/>
          </w:tcPr>
          <w:p>
            <w:pPr>
              <w:ind w:left="160"/>
              <w:spacing w:after="0"/>
              <w:rPr>
                <w:sz w:val="20"/>
                <w:szCs w:val="20"/>
                <w:color w:val="auto"/>
              </w:rPr>
            </w:pPr>
            <w:r>
              <w:rPr>
                <w:rFonts w:ascii="Courier New" w:cs="Courier New" w:eastAsia="Courier New" w:hAnsi="Courier New"/>
                <w:sz w:val="15"/>
                <w:szCs w:val="15"/>
                <w:color w:val="auto"/>
              </w:rPr>
              <w:t>Extraordinary loss on early extinguishment of debt . . . . . .</w:t>
            </w:r>
          </w:p>
        </w:tc>
        <w:tc>
          <w:tcPr>
            <w:tcW w:w="5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20" w:type="dxa"/>
            <w:vAlign w:val="bottom"/>
          </w:tcPr>
          <w:p>
            <w:pPr>
              <w:ind w:left="160"/>
              <w:spacing w:after="0"/>
              <w:rPr>
                <w:sz w:val="20"/>
                <w:szCs w:val="20"/>
                <w:color w:val="auto"/>
              </w:rPr>
            </w:pPr>
            <w:r>
              <w:rPr>
                <w:rFonts w:ascii="Courier New" w:cs="Courier New" w:eastAsia="Courier New" w:hAnsi="Courier New"/>
                <w:sz w:val="15"/>
                <w:szCs w:val="15"/>
                <w:color w:val="auto"/>
              </w:rPr>
              <w:t>Provision for depreciation and amortization. . . . . . . . . .</w:t>
            </w:r>
          </w:p>
        </w:tc>
        <w:tc>
          <w:tcPr>
            <w:tcW w:w="560" w:type="dxa"/>
            <w:vAlign w:val="bottom"/>
          </w:tcPr>
          <w:p>
            <w:pPr>
              <w:spacing w:after="0"/>
              <w:rPr>
                <w:sz w:val="14"/>
                <w:szCs w:val="14"/>
                <w:color w:val="auto"/>
              </w:rPr>
            </w:pP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16,675</w:t>
            </w:r>
          </w:p>
        </w:tc>
        <w:tc>
          <w:tcPr>
            <w:tcW w:w="2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13,228</w:t>
            </w:r>
          </w:p>
        </w:tc>
        <w:tc>
          <w:tcPr>
            <w:tcW w:w="0" w:type="dxa"/>
            <w:vAlign w:val="bottom"/>
          </w:tcPr>
          <w:p>
            <w:pPr>
              <w:spacing w:after="0"/>
              <w:rPr>
                <w:sz w:val="1"/>
                <w:szCs w:val="1"/>
                <w:color w:val="auto"/>
              </w:rPr>
            </w:pPr>
          </w:p>
        </w:tc>
      </w:tr>
      <w:tr>
        <w:trPr>
          <w:trHeight w:val="170"/>
        </w:trPr>
        <w:tc>
          <w:tcPr>
            <w:tcW w:w="6120" w:type="dxa"/>
            <w:vAlign w:val="bottom"/>
          </w:tcPr>
          <w:p>
            <w:pPr>
              <w:ind w:left="160"/>
              <w:spacing w:after="0"/>
              <w:rPr>
                <w:sz w:val="20"/>
                <w:szCs w:val="20"/>
                <w:color w:val="auto"/>
              </w:rPr>
            </w:pPr>
            <w:r>
              <w:rPr>
                <w:rFonts w:ascii="Courier New" w:cs="Courier New" w:eastAsia="Courier New" w:hAnsi="Courier New"/>
                <w:sz w:val="15"/>
                <w:szCs w:val="15"/>
                <w:color w:val="auto"/>
              </w:rPr>
              <w:t>Gain on disposal of property, plant and equipment. . . . . . .</w:t>
            </w:r>
          </w:p>
        </w:tc>
        <w:tc>
          <w:tcPr>
            <w:tcW w:w="56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(70)</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(176)</w:t>
            </w:r>
          </w:p>
        </w:tc>
        <w:tc>
          <w:tcPr>
            <w:tcW w:w="0" w:type="dxa"/>
            <w:vAlign w:val="bottom"/>
          </w:tcPr>
          <w:p>
            <w:pPr>
              <w:spacing w:after="0"/>
              <w:rPr>
                <w:sz w:val="1"/>
                <w:szCs w:val="1"/>
                <w:color w:val="auto"/>
              </w:rPr>
            </w:pPr>
          </w:p>
        </w:tc>
      </w:tr>
      <w:tr>
        <w:trPr>
          <w:trHeight w:val="170"/>
        </w:trPr>
        <w:tc>
          <w:tcPr>
            <w:tcW w:w="6120" w:type="dxa"/>
            <w:vAlign w:val="bottom"/>
          </w:tcPr>
          <w:p>
            <w:pPr>
              <w:ind w:left="160"/>
              <w:spacing w:after="0"/>
              <w:rPr>
                <w:sz w:val="20"/>
                <w:szCs w:val="20"/>
                <w:color w:val="auto"/>
              </w:rPr>
            </w:pPr>
            <w:r>
              <w:rPr>
                <w:rFonts w:ascii="Courier New" w:cs="Courier New" w:eastAsia="Courier New" w:hAnsi="Courier New"/>
                <w:sz w:val="15"/>
                <w:szCs w:val="15"/>
                <w:color w:val="auto"/>
              </w:rPr>
              <w:t>Deferred income taxes. . . . . . . . . . . . . . . . . . . . .</w:t>
            </w:r>
          </w:p>
        </w:tc>
        <w:tc>
          <w:tcPr>
            <w:tcW w:w="560" w:type="dxa"/>
            <w:vAlign w:val="bottom"/>
          </w:tcPr>
          <w:p>
            <w:pPr>
              <w:spacing w:after="0"/>
              <w:rPr>
                <w:sz w:val="14"/>
                <w:szCs w:val="14"/>
                <w:color w:val="auto"/>
              </w:rPr>
            </w:pP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1,528</w:t>
            </w:r>
          </w:p>
        </w:tc>
        <w:tc>
          <w:tcPr>
            <w:tcW w:w="2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120" w:type="dxa"/>
            <w:vAlign w:val="bottom"/>
          </w:tcPr>
          <w:p>
            <w:pPr>
              <w:ind w:left="160"/>
              <w:spacing w:after="0"/>
              <w:rPr>
                <w:sz w:val="20"/>
                <w:szCs w:val="20"/>
                <w:color w:val="auto"/>
              </w:rPr>
            </w:pPr>
            <w:r>
              <w:rPr>
                <w:rFonts w:ascii="Courier New" w:cs="Courier New" w:eastAsia="Courier New" w:hAnsi="Courier New"/>
                <w:sz w:val="15"/>
                <w:szCs w:val="15"/>
                <w:color w:val="auto"/>
              </w:rPr>
              <w:t>Tax benefits related to employee stock option</w:t>
            </w:r>
          </w:p>
        </w:tc>
        <w:tc>
          <w:tcPr>
            <w:tcW w:w="560" w:type="dxa"/>
            <w:vAlign w:val="bottom"/>
          </w:tcPr>
          <w:p>
            <w:pPr>
              <w:spacing w:after="0"/>
              <w:rPr>
                <w:sz w:val="14"/>
                <w:szCs w:val="14"/>
                <w:color w:val="auto"/>
              </w:rPr>
            </w:pPr>
          </w:p>
        </w:tc>
        <w:tc>
          <w:tcPr>
            <w:tcW w:w="11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1,224</w:t>
            </w:r>
          </w:p>
        </w:tc>
        <w:tc>
          <w:tcPr>
            <w:tcW w:w="22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1,490</w:t>
            </w:r>
          </w:p>
        </w:tc>
        <w:tc>
          <w:tcPr>
            <w:tcW w:w="0" w:type="dxa"/>
            <w:vAlign w:val="bottom"/>
          </w:tcPr>
          <w:p>
            <w:pPr>
              <w:spacing w:after="0"/>
              <w:rPr>
                <w:sz w:val="1"/>
                <w:szCs w:val="1"/>
                <w:color w:val="auto"/>
              </w:rPr>
            </w:pPr>
          </w:p>
        </w:tc>
      </w:tr>
      <w:tr>
        <w:trPr>
          <w:trHeight w:val="170"/>
        </w:trPr>
        <w:tc>
          <w:tcPr>
            <w:tcW w:w="61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transactions . . . . . . . . . . . . . . . . . . . . . . . .</w:t>
            </w:r>
          </w:p>
        </w:tc>
        <w:tc>
          <w:tcPr>
            <w:tcW w:w="5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20" w:type="dxa"/>
            <w:vAlign w:val="bottom"/>
          </w:tcPr>
          <w:p>
            <w:pPr>
              <w:ind w:left="16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560" w:type="dxa"/>
            <w:vAlign w:val="bottom"/>
          </w:tcPr>
          <w:p>
            <w:pPr>
              <w:spacing w:after="0"/>
              <w:rPr>
                <w:sz w:val="14"/>
                <w:szCs w:val="14"/>
                <w:color w:val="auto"/>
              </w:rPr>
            </w:pPr>
          </w:p>
        </w:tc>
        <w:tc>
          <w:tcPr>
            <w:tcW w:w="11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(43,488)</w:t>
            </w:r>
          </w:p>
        </w:tc>
        <w:tc>
          <w:tcPr>
            <w:tcW w:w="220" w:type="dxa"/>
            <w:vAlign w:val="bottom"/>
          </w:tcPr>
          <w:p>
            <w:pPr>
              <w:spacing w:after="0"/>
              <w:rPr>
                <w:sz w:val="14"/>
                <w:szCs w:val="14"/>
                <w:color w:val="auto"/>
              </w:rPr>
            </w:pP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(66,956)</w:t>
            </w:r>
          </w:p>
        </w:tc>
        <w:tc>
          <w:tcPr>
            <w:tcW w:w="0" w:type="dxa"/>
            <w:vAlign w:val="bottom"/>
          </w:tcPr>
          <w:p>
            <w:pPr>
              <w:spacing w:after="0"/>
              <w:rPr>
                <w:sz w:val="1"/>
                <w:szCs w:val="1"/>
                <w:color w:val="auto"/>
              </w:rPr>
            </w:pPr>
          </w:p>
        </w:tc>
      </w:tr>
      <w:tr>
        <w:trPr>
          <w:trHeight w:val="170"/>
        </w:trPr>
        <w:tc>
          <w:tcPr>
            <w:tcW w:w="61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Receivables, net. . . . . . . . . . . . . . . . . . . . . .</w:t>
            </w:r>
          </w:p>
        </w:tc>
        <w:tc>
          <w:tcPr>
            <w:tcW w:w="5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Inventories . . . . . . . . . . . . . . . . . . . . . . . .</w:t>
            </w:r>
          </w:p>
        </w:tc>
        <w:tc>
          <w:tcPr>
            <w:tcW w:w="56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(747)</w:t>
            </w:r>
          </w:p>
        </w:tc>
        <w:tc>
          <w:tcPr>
            <w:tcW w:w="2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2,523</w:t>
            </w:r>
          </w:p>
        </w:tc>
        <w:tc>
          <w:tcPr>
            <w:tcW w:w="0" w:type="dxa"/>
            <w:vAlign w:val="bottom"/>
          </w:tcPr>
          <w:p>
            <w:pPr>
              <w:spacing w:after="0"/>
              <w:rPr>
                <w:sz w:val="1"/>
                <w:szCs w:val="1"/>
                <w:color w:val="auto"/>
              </w:rPr>
            </w:pPr>
          </w:p>
        </w:tc>
      </w:tr>
      <w:tr>
        <w:trPr>
          <w:trHeight w:val="170"/>
        </w:trPr>
        <w:tc>
          <w:tcPr>
            <w:tcW w:w="61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Other current assets. . . . . . . . . . . . . . . . . . . .</w:t>
            </w:r>
          </w:p>
        </w:tc>
        <w:tc>
          <w:tcPr>
            <w:tcW w:w="56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(3,606)</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(491)</w:t>
            </w:r>
          </w:p>
        </w:tc>
        <w:tc>
          <w:tcPr>
            <w:tcW w:w="0" w:type="dxa"/>
            <w:vAlign w:val="bottom"/>
          </w:tcPr>
          <w:p>
            <w:pPr>
              <w:spacing w:after="0"/>
              <w:rPr>
                <w:sz w:val="1"/>
                <w:szCs w:val="1"/>
                <w:color w:val="auto"/>
              </w:rPr>
            </w:pPr>
          </w:p>
        </w:tc>
      </w:tr>
      <w:tr>
        <w:trPr>
          <w:trHeight w:val="170"/>
        </w:trPr>
        <w:tc>
          <w:tcPr>
            <w:tcW w:w="61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Accounts payable and accrued expenses . . . . . . . . . . .</w:t>
            </w:r>
          </w:p>
        </w:tc>
        <w:tc>
          <w:tcPr>
            <w:tcW w:w="560" w:type="dxa"/>
            <w:vAlign w:val="bottom"/>
          </w:tcPr>
          <w:p>
            <w:pPr>
              <w:spacing w:after="0"/>
              <w:rPr>
                <w:sz w:val="14"/>
                <w:szCs w:val="14"/>
                <w:color w:val="auto"/>
              </w:rPr>
            </w:pP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7,601</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(1,502)</w:t>
            </w:r>
          </w:p>
        </w:tc>
        <w:tc>
          <w:tcPr>
            <w:tcW w:w="0" w:type="dxa"/>
            <w:vAlign w:val="bottom"/>
          </w:tcPr>
          <w:p>
            <w:pPr>
              <w:spacing w:after="0"/>
              <w:rPr>
                <w:sz w:val="1"/>
                <w:szCs w:val="1"/>
                <w:color w:val="auto"/>
              </w:rPr>
            </w:pPr>
          </w:p>
        </w:tc>
      </w:tr>
      <w:tr>
        <w:trPr>
          <w:trHeight w:val="246"/>
        </w:trPr>
        <w:tc>
          <w:tcPr>
            <w:tcW w:w="6120" w:type="dxa"/>
            <w:vAlign w:val="bottom"/>
            <w:vMerge w:val="restart"/>
          </w:tcPr>
          <w:p>
            <w:pPr>
              <w:ind w:left="600"/>
              <w:spacing w:after="0"/>
              <w:rPr>
                <w:sz w:val="20"/>
                <w:szCs w:val="20"/>
                <w:color w:val="auto"/>
              </w:rPr>
            </w:pPr>
            <w:r>
              <w:rPr>
                <w:rFonts w:ascii="Courier New" w:cs="Courier New" w:eastAsia="Courier New" w:hAnsi="Courier New"/>
                <w:sz w:val="15"/>
                <w:szCs w:val="15"/>
                <w:color w:val="auto"/>
              </w:rPr>
              <w:t>Net cash provided by (used in) operating</w:t>
            </w:r>
          </w:p>
        </w:tc>
        <w:tc>
          <w:tcPr>
            <w:tcW w:w="56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61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10,597</w:t>
            </w:r>
          </w:p>
        </w:tc>
        <w:tc>
          <w:tcPr>
            <w:tcW w:w="220" w:type="dxa"/>
            <w:vAlign w:val="bottom"/>
          </w:tcPr>
          <w:p>
            <w:pPr>
              <w:spacing w:after="0"/>
              <w:rPr>
                <w:sz w:val="8"/>
                <w:szCs w:val="8"/>
                <w:color w:val="auto"/>
              </w:rPr>
            </w:pP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(20,101)</w:t>
            </w:r>
          </w:p>
        </w:tc>
        <w:tc>
          <w:tcPr>
            <w:tcW w:w="0" w:type="dxa"/>
            <w:vAlign w:val="bottom"/>
          </w:tcPr>
          <w:p>
            <w:pPr>
              <w:spacing w:after="0"/>
              <w:rPr>
                <w:sz w:val="1"/>
                <w:szCs w:val="1"/>
                <w:color w:val="auto"/>
              </w:rPr>
            </w:pPr>
          </w:p>
        </w:tc>
      </w:tr>
      <w:tr>
        <w:trPr>
          <w:trHeight w:val="170"/>
        </w:trPr>
        <w:tc>
          <w:tcPr>
            <w:tcW w:w="61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activities . . . . . . . . . . . . . . . . . . . . . . .</w:t>
            </w:r>
          </w:p>
        </w:tc>
        <w:tc>
          <w:tcPr>
            <w:tcW w:w="5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12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56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61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(24,729)</w:t>
            </w:r>
          </w:p>
        </w:tc>
        <w:tc>
          <w:tcPr>
            <w:tcW w:w="220" w:type="dxa"/>
            <w:vAlign w:val="bottom"/>
          </w:tcPr>
          <w:p>
            <w:pPr>
              <w:spacing w:after="0"/>
              <w:rPr>
                <w:sz w:val="8"/>
                <w:szCs w:val="8"/>
                <w:color w:val="auto"/>
              </w:rPr>
            </w:pP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(11,655)</w:t>
            </w:r>
          </w:p>
        </w:tc>
        <w:tc>
          <w:tcPr>
            <w:tcW w:w="0" w:type="dxa"/>
            <w:vAlign w:val="bottom"/>
          </w:tcPr>
          <w:p>
            <w:pPr>
              <w:spacing w:after="0"/>
              <w:rPr>
                <w:sz w:val="1"/>
                <w:szCs w:val="1"/>
                <w:color w:val="auto"/>
              </w:rPr>
            </w:pPr>
          </w:p>
        </w:tc>
      </w:tr>
      <w:tr>
        <w:trPr>
          <w:trHeight w:val="170"/>
        </w:trPr>
        <w:tc>
          <w:tcPr>
            <w:tcW w:w="61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Purchases of property, plant and equipment . . . . . . . . . .</w:t>
            </w:r>
          </w:p>
        </w:tc>
        <w:tc>
          <w:tcPr>
            <w:tcW w:w="5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Proceeds from asset disposals. . . . . . . . . . . . . . . . .</w:t>
            </w:r>
          </w:p>
        </w:tc>
        <w:tc>
          <w:tcPr>
            <w:tcW w:w="560" w:type="dxa"/>
            <w:vAlign w:val="bottom"/>
          </w:tcPr>
          <w:p>
            <w:pPr>
              <w:spacing w:after="0"/>
              <w:rPr>
                <w:sz w:val="14"/>
                <w:szCs w:val="14"/>
                <w:color w:val="auto"/>
              </w:rPr>
            </w:pP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1,160</w:t>
            </w:r>
          </w:p>
        </w:tc>
        <w:tc>
          <w:tcPr>
            <w:tcW w:w="2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439</w:t>
            </w:r>
          </w:p>
        </w:tc>
        <w:tc>
          <w:tcPr>
            <w:tcW w:w="0" w:type="dxa"/>
            <w:vAlign w:val="bottom"/>
          </w:tcPr>
          <w:p>
            <w:pPr>
              <w:spacing w:after="0"/>
              <w:rPr>
                <w:sz w:val="1"/>
                <w:szCs w:val="1"/>
                <w:color w:val="auto"/>
              </w:rPr>
            </w:pPr>
          </w:p>
        </w:tc>
      </w:tr>
      <w:tr>
        <w:trPr>
          <w:trHeight w:val="170"/>
        </w:trPr>
        <w:tc>
          <w:tcPr>
            <w:tcW w:w="61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Change in other assets/liabilities . . . . . . . . . . . . . .</w:t>
            </w:r>
          </w:p>
        </w:tc>
        <w:tc>
          <w:tcPr>
            <w:tcW w:w="56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(7,877)</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(2,740)</w:t>
            </w:r>
          </w:p>
        </w:tc>
        <w:tc>
          <w:tcPr>
            <w:tcW w:w="0" w:type="dxa"/>
            <w:vAlign w:val="bottom"/>
          </w:tcPr>
          <w:p>
            <w:pPr>
              <w:spacing w:after="0"/>
              <w:rPr>
                <w:sz w:val="1"/>
                <w:szCs w:val="1"/>
                <w:color w:val="auto"/>
              </w:rPr>
            </w:pPr>
          </w:p>
        </w:tc>
      </w:tr>
      <w:tr>
        <w:trPr>
          <w:trHeight w:val="170"/>
        </w:trPr>
        <w:tc>
          <w:tcPr>
            <w:tcW w:w="6120" w:type="dxa"/>
            <w:vAlign w:val="bottom"/>
          </w:tcPr>
          <w:p>
            <w:pPr>
              <w:ind w:left="160"/>
              <w:spacing w:after="0"/>
              <w:rPr>
                <w:sz w:val="20"/>
                <w:szCs w:val="20"/>
                <w:color w:val="auto"/>
              </w:rPr>
            </w:pPr>
            <w:r>
              <w:rPr>
                <w:rFonts w:ascii="Courier New" w:cs="Courier New" w:eastAsia="Courier New" w:hAnsi="Courier New"/>
                <w:sz w:val="15"/>
                <w:szCs w:val="15"/>
                <w:color w:val="auto"/>
              </w:rPr>
              <w:t>Acquisition of James Hardie Irrigation, net of</w:t>
            </w:r>
          </w:p>
        </w:tc>
        <w:tc>
          <w:tcPr>
            <w:tcW w:w="560" w:type="dxa"/>
            <w:vAlign w:val="bottom"/>
          </w:tcPr>
          <w:p>
            <w:pPr>
              <w:spacing w:after="0"/>
              <w:rPr>
                <w:sz w:val="14"/>
                <w:szCs w:val="14"/>
                <w:color w:val="auto"/>
              </w:rPr>
            </w:pPr>
          </w:p>
        </w:tc>
        <w:tc>
          <w:tcPr>
            <w:tcW w:w="11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w w:val="96"/>
              </w:rPr>
              <w:t>(117,622)</w:t>
            </w:r>
          </w:p>
        </w:tc>
        <w:tc>
          <w:tcPr>
            <w:tcW w:w="22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1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cash acquired . . . . . . . . . . . . . . . . . . . . . . .</w:t>
            </w:r>
          </w:p>
        </w:tc>
        <w:tc>
          <w:tcPr>
            <w:tcW w:w="5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20" w:type="dxa"/>
            <w:vAlign w:val="bottom"/>
            <w:vMerge w:val="restart"/>
          </w:tcPr>
          <w:p>
            <w:pPr>
              <w:ind w:left="600"/>
              <w:spacing w:after="0"/>
              <w:rPr>
                <w:sz w:val="20"/>
                <w:szCs w:val="20"/>
                <w:color w:val="auto"/>
              </w:rPr>
            </w:pPr>
            <w:r>
              <w:rPr>
                <w:rFonts w:ascii="Courier New" w:cs="Courier New" w:eastAsia="Courier New" w:hAnsi="Courier New"/>
                <w:sz w:val="15"/>
                <w:szCs w:val="15"/>
                <w:color w:val="auto"/>
              </w:rPr>
              <w:t>Net cash used in investing activities . . . .</w:t>
            </w:r>
          </w:p>
        </w:tc>
        <w:tc>
          <w:tcPr>
            <w:tcW w:w="560" w:type="dxa"/>
            <w:vAlign w:val="bottom"/>
          </w:tcPr>
          <w:p>
            <w:pPr>
              <w:spacing w:after="0"/>
              <w:rPr>
                <w:sz w:val="14"/>
                <w:szCs w:val="14"/>
                <w:color w:val="auto"/>
              </w:rPr>
            </w:pPr>
          </w:p>
        </w:tc>
        <w:tc>
          <w:tcPr>
            <w:tcW w:w="1120" w:type="dxa"/>
            <w:vAlign w:val="bottom"/>
            <w:vMerge w:val="restart"/>
          </w:tcPr>
          <w:p>
            <w:pPr>
              <w:jc w:val="right"/>
              <w:ind w:right="247"/>
              <w:spacing w:after="0"/>
              <w:rPr>
                <w:sz w:val="20"/>
                <w:szCs w:val="20"/>
                <w:color w:val="auto"/>
              </w:rPr>
            </w:pPr>
            <w:r>
              <w:rPr>
                <w:rFonts w:ascii="Courier New" w:cs="Courier New" w:eastAsia="Courier New" w:hAnsi="Courier New"/>
                <w:sz w:val="10"/>
                <w:szCs w:val="10"/>
                <w:color w:val="auto"/>
                <w:w w:val="72"/>
              </w:rPr>
              <w:t>(149,068)</w:t>
            </w:r>
            <w:r>
              <w:rPr>
                <w:rFonts w:ascii="Courier New" w:cs="Courier New" w:eastAsia="Courier New" w:hAnsi="Courier New"/>
                <w:sz w:val="15"/>
                <w:szCs w:val="15"/>
                <w:color w:val="auto"/>
                <w:w w:val="72"/>
                <w:vertAlign w:val="superscript"/>
              </w:rPr>
              <w:t>---------</w:t>
            </w:r>
          </w:p>
        </w:tc>
        <w:tc>
          <w:tcPr>
            <w:tcW w:w="2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120" w:type="dxa"/>
            <w:vAlign w:val="bottom"/>
            <w:vMerge w:val="continue"/>
          </w:tcPr>
          <w:p>
            <w:pPr>
              <w:jc w:val="right"/>
              <w:ind w:right="407"/>
              <w:spacing w:after="0" w:line="148" w:lineRule="exact"/>
              <w:rPr>
                <w:sz w:val="20"/>
                <w:szCs w:val="20"/>
                <w:color w:val="auto"/>
              </w:rPr>
            </w:pPr>
            <w:r>
              <w:rPr>
                <w:rFonts w:ascii="Courier New" w:cs="Courier New" w:eastAsia="Courier New" w:hAnsi="Courier New"/>
                <w:sz w:val="15"/>
                <w:szCs w:val="15"/>
                <w:color w:val="auto"/>
              </w:rPr>
              <w:t>. . . . . .</w:t>
            </w:r>
          </w:p>
        </w:tc>
        <w:tc>
          <w:tcPr>
            <w:tcW w:w="5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(13,956)</w:t>
            </w:r>
          </w:p>
        </w:tc>
        <w:tc>
          <w:tcPr>
            <w:tcW w:w="0" w:type="dxa"/>
            <w:vAlign w:val="bottom"/>
          </w:tcPr>
          <w:p>
            <w:pPr>
              <w:spacing w:after="0"/>
              <w:rPr>
                <w:sz w:val="1"/>
                <w:szCs w:val="1"/>
                <w:color w:val="auto"/>
              </w:rPr>
            </w:pPr>
          </w:p>
        </w:tc>
      </w:tr>
      <w:tr>
        <w:trPr>
          <w:trHeight w:val="246"/>
        </w:trPr>
        <w:tc>
          <w:tcPr>
            <w:tcW w:w="612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56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61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53,975</w:t>
            </w:r>
          </w:p>
        </w:tc>
        <w:tc>
          <w:tcPr>
            <w:tcW w:w="220" w:type="dxa"/>
            <w:vAlign w:val="bottom"/>
          </w:tcPr>
          <w:p>
            <w:pPr>
              <w:spacing w:after="0"/>
              <w:rPr>
                <w:sz w:val="8"/>
                <w:szCs w:val="8"/>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42,025</w:t>
            </w:r>
          </w:p>
        </w:tc>
        <w:tc>
          <w:tcPr>
            <w:tcW w:w="0" w:type="dxa"/>
            <w:vAlign w:val="bottom"/>
          </w:tcPr>
          <w:p>
            <w:pPr>
              <w:spacing w:after="0"/>
              <w:rPr>
                <w:sz w:val="1"/>
                <w:szCs w:val="1"/>
                <w:color w:val="auto"/>
              </w:rPr>
            </w:pPr>
          </w:p>
        </w:tc>
      </w:tr>
      <w:tr>
        <w:trPr>
          <w:trHeight w:val="170"/>
        </w:trPr>
        <w:tc>
          <w:tcPr>
            <w:tcW w:w="61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Increase in short-term borrowing . . . . . . . . . . . . . . .</w:t>
            </w:r>
          </w:p>
        </w:tc>
        <w:tc>
          <w:tcPr>
            <w:tcW w:w="5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Proceeds from issuance of long-term debt . . . . . . . . . . .</w:t>
            </w:r>
          </w:p>
        </w:tc>
        <w:tc>
          <w:tcPr>
            <w:tcW w:w="560" w:type="dxa"/>
            <w:vAlign w:val="bottom"/>
          </w:tcPr>
          <w:p>
            <w:pPr>
              <w:spacing w:after="0"/>
              <w:rPr>
                <w:sz w:val="14"/>
                <w:szCs w:val="14"/>
                <w:color w:val="auto"/>
              </w:rPr>
            </w:pP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175,000</w:t>
            </w:r>
          </w:p>
        </w:tc>
        <w:tc>
          <w:tcPr>
            <w:tcW w:w="2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1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Repayments of long-term debt . . . . . . . . . . . . . . . . .</w:t>
            </w:r>
          </w:p>
        </w:tc>
        <w:tc>
          <w:tcPr>
            <w:tcW w:w="56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(50,350)</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(15,280)</w:t>
            </w:r>
          </w:p>
        </w:tc>
        <w:tc>
          <w:tcPr>
            <w:tcW w:w="0" w:type="dxa"/>
            <w:vAlign w:val="bottom"/>
          </w:tcPr>
          <w:p>
            <w:pPr>
              <w:spacing w:after="0"/>
              <w:rPr>
                <w:sz w:val="1"/>
                <w:szCs w:val="1"/>
                <w:color w:val="auto"/>
              </w:rPr>
            </w:pPr>
          </w:p>
        </w:tc>
      </w:tr>
      <w:tr>
        <w:trPr>
          <w:trHeight w:val="170"/>
        </w:trPr>
        <w:tc>
          <w:tcPr>
            <w:tcW w:w="61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Payment of debt issue costs and prepayment penalty . . . . . .</w:t>
            </w:r>
          </w:p>
        </w:tc>
        <w:tc>
          <w:tcPr>
            <w:tcW w:w="56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(5,625)</w:t>
            </w:r>
          </w:p>
        </w:tc>
        <w:tc>
          <w:tcPr>
            <w:tcW w:w="2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1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Payments for termination of interest rate swaps. . . . . . . .</w:t>
            </w:r>
          </w:p>
        </w:tc>
        <w:tc>
          <w:tcPr>
            <w:tcW w:w="56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(23,650)</w:t>
            </w:r>
          </w:p>
        </w:tc>
        <w:tc>
          <w:tcPr>
            <w:tcW w:w="2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1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Proceeds from forward-starting interest rate swap. . . . . . .</w:t>
            </w:r>
          </w:p>
        </w:tc>
        <w:tc>
          <w:tcPr>
            <w:tcW w:w="560" w:type="dxa"/>
            <w:vAlign w:val="bottom"/>
          </w:tcPr>
          <w:p>
            <w:pPr>
              <w:spacing w:after="0"/>
              <w:rPr>
                <w:sz w:val="14"/>
                <w:szCs w:val="14"/>
                <w:color w:val="auto"/>
              </w:rPr>
            </w:pP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15,363</w:t>
            </w:r>
          </w:p>
        </w:tc>
        <w:tc>
          <w:tcPr>
            <w:tcW w:w="0" w:type="dxa"/>
            <w:vAlign w:val="bottom"/>
          </w:tcPr>
          <w:p>
            <w:pPr>
              <w:spacing w:after="0"/>
              <w:rPr>
                <w:sz w:val="1"/>
                <w:szCs w:val="1"/>
                <w:color w:val="auto"/>
              </w:rPr>
            </w:pPr>
          </w:p>
        </w:tc>
      </w:tr>
      <w:tr>
        <w:trPr>
          <w:trHeight w:val="170"/>
        </w:trPr>
        <w:tc>
          <w:tcPr>
            <w:tcW w:w="61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Proceeds from sale of common stock . . . . . . . . . . . . . .</w:t>
            </w:r>
          </w:p>
        </w:tc>
        <w:tc>
          <w:tcPr>
            <w:tcW w:w="560" w:type="dxa"/>
            <w:vAlign w:val="bottom"/>
          </w:tcPr>
          <w:p>
            <w:pPr>
              <w:spacing w:after="0"/>
              <w:rPr>
                <w:sz w:val="14"/>
                <w:szCs w:val="14"/>
                <w:color w:val="auto"/>
              </w:rPr>
            </w:pP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6,587</w:t>
            </w:r>
          </w:p>
        </w:tc>
        <w:tc>
          <w:tcPr>
            <w:tcW w:w="2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3,673</w:t>
            </w:r>
          </w:p>
        </w:tc>
        <w:tc>
          <w:tcPr>
            <w:tcW w:w="0" w:type="dxa"/>
            <w:vAlign w:val="bottom"/>
          </w:tcPr>
          <w:p>
            <w:pPr>
              <w:spacing w:after="0"/>
              <w:rPr>
                <w:sz w:val="1"/>
                <w:szCs w:val="1"/>
                <w:color w:val="auto"/>
              </w:rPr>
            </w:pPr>
          </w:p>
        </w:tc>
      </w:tr>
      <w:tr>
        <w:trPr>
          <w:trHeight w:val="170"/>
        </w:trPr>
        <w:tc>
          <w:tcPr>
            <w:tcW w:w="61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Purchases of common stock. . . . . . . . . . . . . . . . . . .</w:t>
            </w:r>
          </w:p>
        </w:tc>
        <w:tc>
          <w:tcPr>
            <w:tcW w:w="56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(7,952)</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(13,071)</w:t>
            </w:r>
          </w:p>
        </w:tc>
        <w:tc>
          <w:tcPr>
            <w:tcW w:w="0" w:type="dxa"/>
            <w:vAlign w:val="bottom"/>
          </w:tcPr>
          <w:p>
            <w:pPr>
              <w:spacing w:after="0"/>
              <w:rPr>
                <w:sz w:val="1"/>
                <w:szCs w:val="1"/>
                <w:color w:val="auto"/>
              </w:rPr>
            </w:pPr>
          </w:p>
        </w:tc>
      </w:tr>
      <w:tr>
        <w:trPr>
          <w:trHeight w:val="170"/>
        </w:trPr>
        <w:tc>
          <w:tcPr>
            <w:tcW w:w="61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Dividends on common stock. . . . . . . . . . . . . . . . . . .</w:t>
            </w:r>
          </w:p>
        </w:tc>
        <w:tc>
          <w:tcPr>
            <w:tcW w:w="56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(4,337)</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(4,393)</w:t>
            </w:r>
          </w:p>
        </w:tc>
        <w:tc>
          <w:tcPr>
            <w:tcW w:w="0" w:type="dxa"/>
            <w:vAlign w:val="bottom"/>
          </w:tcPr>
          <w:p>
            <w:pPr>
              <w:spacing w:after="0"/>
              <w:rPr>
                <w:sz w:val="1"/>
                <w:szCs w:val="1"/>
                <w:color w:val="auto"/>
              </w:rPr>
            </w:pPr>
          </w:p>
        </w:tc>
      </w:tr>
      <w:tr>
        <w:trPr>
          <w:trHeight w:val="170"/>
        </w:trPr>
        <w:tc>
          <w:tcPr>
            <w:tcW w:w="6120" w:type="dxa"/>
            <w:vAlign w:val="bottom"/>
            <w:vMerge w:val="restart"/>
          </w:tcPr>
          <w:p>
            <w:pPr>
              <w:ind w:left="600"/>
              <w:spacing w:after="0"/>
              <w:rPr>
                <w:sz w:val="20"/>
                <w:szCs w:val="20"/>
                <w:color w:val="auto"/>
              </w:rPr>
            </w:pPr>
            <w:r>
              <w:rPr>
                <w:rFonts w:ascii="Courier New" w:cs="Courier New" w:eastAsia="Courier New" w:hAnsi="Courier New"/>
                <w:sz w:val="15"/>
                <w:szCs w:val="15"/>
                <w:color w:val="auto"/>
              </w:rPr>
              <w:t>Net cash provided by financing activities . .</w:t>
            </w:r>
          </w:p>
        </w:tc>
        <w:tc>
          <w:tcPr>
            <w:tcW w:w="56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Courier New" w:cs="Courier New" w:eastAsia="Courier New" w:hAnsi="Courier New"/>
                <w:sz w:val="14"/>
                <w:szCs w:val="14"/>
                <w:color w:val="auto"/>
                <w:w w:val="71"/>
              </w:rPr>
              <w:t>---------</w:t>
            </w:r>
            <w:r>
              <w:rPr>
                <w:rFonts w:ascii="Courier New" w:cs="Courier New" w:eastAsia="Courier New" w:hAnsi="Courier New"/>
                <w:sz w:val="28"/>
                <w:szCs w:val="28"/>
                <w:color w:val="auto"/>
                <w:w w:val="71"/>
                <w:vertAlign w:val="subscript"/>
              </w:rPr>
              <w:t>143,648</w:t>
            </w:r>
          </w:p>
        </w:tc>
        <w:tc>
          <w:tcPr>
            <w:tcW w:w="2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120" w:type="dxa"/>
            <w:vAlign w:val="bottom"/>
            <w:vMerge w:val="continue"/>
          </w:tcPr>
          <w:p>
            <w:pPr>
              <w:jc w:val="right"/>
              <w:ind w:right="407"/>
              <w:spacing w:after="0" w:line="148" w:lineRule="exact"/>
              <w:rPr>
                <w:sz w:val="20"/>
                <w:szCs w:val="20"/>
                <w:color w:val="auto"/>
              </w:rPr>
            </w:pPr>
            <w:r>
              <w:rPr>
                <w:rFonts w:ascii="Courier New" w:cs="Courier New" w:eastAsia="Courier New" w:hAnsi="Courier New"/>
                <w:sz w:val="15"/>
                <w:szCs w:val="15"/>
                <w:color w:val="auto"/>
              </w:rPr>
              <w:t>. . . . . .</w:t>
            </w:r>
          </w:p>
        </w:tc>
        <w:tc>
          <w:tcPr>
            <w:tcW w:w="5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28,317</w:t>
            </w:r>
          </w:p>
        </w:tc>
        <w:tc>
          <w:tcPr>
            <w:tcW w:w="0" w:type="dxa"/>
            <w:vAlign w:val="bottom"/>
          </w:tcPr>
          <w:p>
            <w:pPr>
              <w:spacing w:after="0"/>
              <w:rPr>
                <w:sz w:val="1"/>
                <w:szCs w:val="1"/>
                <w:color w:val="auto"/>
              </w:rPr>
            </w:pPr>
          </w:p>
        </w:tc>
      </w:tr>
      <w:tr>
        <w:trPr>
          <w:trHeight w:val="170"/>
        </w:trPr>
        <w:tc>
          <w:tcPr>
            <w:tcW w:w="6120" w:type="dxa"/>
            <w:vAlign w:val="bottom"/>
            <w:vMerge w:val="restart"/>
          </w:tcPr>
          <w:p>
            <w:pPr>
              <w:spacing w:after="0"/>
              <w:rPr>
                <w:sz w:val="20"/>
                <w:szCs w:val="20"/>
                <w:color w:val="auto"/>
              </w:rPr>
            </w:pPr>
            <w:r>
              <w:rPr>
                <w:rFonts w:ascii="Courier New" w:cs="Courier New" w:eastAsia="Courier New" w:hAnsi="Courier New"/>
                <w:sz w:val="15"/>
                <w:szCs w:val="15"/>
                <w:color w:val="auto"/>
              </w:rPr>
              <w:t>Foreign currency translation adjustment. . . . . . .</w:t>
            </w:r>
          </w:p>
        </w:tc>
        <w:tc>
          <w:tcPr>
            <w:tcW w:w="56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Courier New" w:cs="Courier New" w:eastAsia="Courier New" w:hAnsi="Courier New"/>
                <w:sz w:val="14"/>
                <w:szCs w:val="14"/>
                <w:color w:val="auto"/>
                <w:w w:val="71"/>
              </w:rPr>
              <w:t>---------</w:t>
            </w:r>
            <w:r>
              <w:rPr>
                <w:rFonts w:ascii="Courier New" w:cs="Courier New" w:eastAsia="Courier New" w:hAnsi="Courier New"/>
                <w:sz w:val="28"/>
                <w:szCs w:val="28"/>
                <w:color w:val="auto"/>
                <w:w w:val="71"/>
                <w:vertAlign w:val="subscript"/>
              </w:rPr>
              <w:t>(5,239)</w:t>
            </w:r>
          </w:p>
        </w:tc>
        <w:tc>
          <w:tcPr>
            <w:tcW w:w="2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120" w:type="dxa"/>
            <w:vAlign w:val="bottom"/>
            <w:vMerge w:val="continue"/>
          </w:tcPr>
          <w:p>
            <w:pPr>
              <w:jc w:val="right"/>
              <w:ind w:right="407"/>
              <w:spacing w:after="0" w:line="148" w:lineRule="exact"/>
              <w:rPr>
                <w:sz w:val="20"/>
                <w:szCs w:val="20"/>
                <w:color w:val="auto"/>
              </w:rPr>
            </w:pPr>
            <w:r>
              <w:rPr>
                <w:rFonts w:ascii="Courier New" w:cs="Courier New" w:eastAsia="Courier New" w:hAnsi="Courier New"/>
                <w:sz w:val="15"/>
                <w:szCs w:val="15"/>
                <w:color w:val="auto"/>
              </w:rPr>
              <w:t>. . . . . .</w:t>
            </w:r>
          </w:p>
        </w:tc>
        <w:tc>
          <w:tcPr>
            <w:tcW w:w="5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(811)</w:t>
            </w:r>
          </w:p>
        </w:tc>
        <w:tc>
          <w:tcPr>
            <w:tcW w:w="0" w:type="dxa"/>
            <w:vAlign w:val="bottom"/>
          </w:tcPr>
          <w:p>
            <w:pPr>
              <w:spacing w:after="0"/>
              <w:rPr>
                <w:sz w:val="1"/>
                <w:szCs w:val="1"/>
                <w:color w:val="auto"/>
              </w:rPr>
            </w:pPr>
          </w:p>
        </w:tc>
      </w:tr>
      <w:tr>
        <w:trPr>
          <w:trHeight w:val="170"/>
        </w:trPr>
        <w:tc>
          <w:tcPr>
            <w:tcW w:w="6120" w:type="dxa"/>
            <w:vAlign w:val="bottom"/>
            <w:vMerge w:val="restart"/>
          </w:tcPr>
          <w:p>
            <w:pPr>
              <w:spacing w:after="0"/>
              <w:rPr>
                <w:sz w:val="20"/>
                <w:szCs w:val="20"/>
                <w:color w:val="auto"/>
              </w:rPr>
            </w:pPr>
            <w:r>
              <w:rPr>
                <w:rFonts w:ascii="Courier New" w:cs="Courier New" w:eastAsia="Courier New" w:hAnsi="Courier New"/>
                <w:sz w:val="15"/>
                <w:szCs w:val="15"/>
                <w:color w:val="auto"/>
              </w:rPr>
              <w:t>Net decrease in cash and cash equivalents. . . . . .</w:t>
            </w:r>
          </w:p>
        </w:tc>
        <w:tc>
          <w:tcPr>
            <w:tcW w:w="56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Courier New" w:cs="Courier New" w:eastAsia="Courier New" w:hAnsi="Courier New"/>
                <w:sz w:val="15"/>
                <w:szCs w:val="15"/>
                <w:color w:val="auto"/>
                <w:w w:val="86"/>
              </w:rPr>
              <w:t>---------</w:t>
            </w:r>
            <w:r>
              <w:rPr>
                <w:rFonts w:ascii="Courier New" w:cs="Courier New" w:eastAsia="Courier New" w:hAnsi="Courier New"/>
                <w:sz w:val="29"/>
                <w:szCs w:val="29"/>
                <w:color w:val="auto"/>
                <w:w w:val="86"/>
                <w:vertAlign w:val="subscript"/>
              </w:rPr>
              <w:t>(62)</w:t>
            </w:r>
          </w:p>
        </w:tc>
        <w:tc>
          <w:tcPr>
            <w:tcW w:w="2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120" w:type="dxa"/>
            <w:vAlign w:val="bottom"/>
            <w:vMerge w:val="continue"/>
          </w:tcPr>
          <w:p>
            <w:pPr>
              <w:jc w:val="right"/>
              <w:ind w:right="407"/>
              <w:spacing w:after="0" w:line="148" w:lineRule="exact"/>
              <w:rPr>
                <w:sz w:val="20"/>
                <w:szCs w:val="20"/>
                <w:color w:val="auto"/>
              </w:rPr>
            </w:pPr>
            <w:r>
              <w:rPr>
                <w:rFonts w:ascii="Courier New" w:cs="Courier New" w:eastAsia="Courier New" w:hAnsi="Courier New"/>
                <w:sz w:val="15"/>
                <w:szCs w:val="15"/>
                <w:color w:val="auto"/>
              </w:rPr>
              <w:t>. . . . . .</w:t>
            </w:r>
          </w:p>
        </w:tc>
        <w:tc>
          <w:tcPr>
            <w:tcW w:w="5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(6,551)</w:t>
            </w:r>
          </w:p>
        </w:tc>
        <w:tc>
          <w:tcPr>
            <w:tcW w:w="0" w:type="dxa"/>
            <w:vAlign w:val="bottom"/>
          </w:tcPr>
          <w:p>
            <w:pPr>
              <w:spacing w:after="0"/>
              <w:rPr>
                <w:sz w:val="1"/>
                <w:szCs w:val="1"/>
                <w:color w:val="auto"/>
              </w:rPr>
            </w:pPr>
          </w:p>
        </w:tc>
      </w:tr>
      <w:tr>
        <w:trPr>
          <w:trHeight w:val="170"/>
        </w:trPr>
        <w:tc>
          <w:tcPr>
            <w:tcW w:w="61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7"/>
              </w:rPr>
              <w:t>Cash and cash equivalents at beginning of period . . . . . . . .</w:t>
            </w:r>
          </w:p>
        </w:tc>
        <w:tc>
          <w:tcPr>
            <w:tcW w:w="560" w:type="dxa"/>
            <w:vAlign w:val="bottom"/>
          </w:tcPr>
          <w:p>
            <w:pPr>
              <w:spacing w:after="0"/>
              <w:rPr>
                <w:sz w:val="14"/>
                <w:szCs w:val="14"/>
                <w:color w:val="auto"/>
              </w:rPr>
            </w:pP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66</w:t>
            </w:r>
          </w:p>
        </w:tc>
        <w:tc>
          <w:tcPr>
            <w:tcW w:w="2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7,702</w:t>
            </w:r>
          </w:p>
        </w:tc>
        <w:tc>
          <w:tcPr>
            <w:tcW w:w="0" w:type="dxa"/>
            <w:vAlign w:val="bottom"/>
          </w:tcPr>
          <w:p>
            <w:pPr>
              <w:spacing w:after="0"/>
              <w:rPr>
                <w:sz w:val="1"/>
                <w:szCs w:val="1"/>
                <w:color w:val="auto"/>
              </w:rPr>
            </w:pPr>
          </w:p>
        </w:tc>
      </w:tr>
      <w:tr>
        <w:trPr>
          <w:trHeight w:val="170"/>
        </w:trPr>
        <w:tc>
          <w:tcPr>
            <w:tcW w:w="6120" w:type="dxa"/>
            <w:vAlign w:val="bottom"/>
            <w:vMerge w:val="restart"/>
          </w:tcPr>
          <w:p>
            <w:pPr>
              <w:spacing w:after="0"/>
              <w:rPr>
                <w:sz w:val="20"/>
                <w:szCs w:val="20"/>
                <w:color w:val="auto"/>
              </w:rPr>
            </w:pPr>
            <w:r>
              <w:rPr>
                <w:rFonts w:ascii="Courier New" w:cs="Courier New" w:eastAsia="Courier New" w:hAnsi="Courier New"/>
                <w:sz w:val="15"/>
                <w:szCs w:val="15"/>
                <w:color w:val="auto"/>
              </w:rPr>
              <w:t>Cash and cash equivalents at end of period . . . . .</w:t>
            </w: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vMerge w:val="restart"/>
          </w:tcPr>
          <w:p>
            <w:pPr>
              <w:spacing w:after="0"/>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29"/>
                <w:szCs w:val="29"/>
                <w:color w:val="auto"/>
                <w:vertAlign w:val="subscript"/>
              </w:rPr>
              <w:t>4</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120" w:type="dxa"/>
            <w:vAlign w:val="bottom"/>
            <w:vMerge w:val="continue"/>
          </w:tcPr>
          <w:p>
            <w:pPr>
              <w:jc w:val="right"/>
              <w:ind w:right="407"/>
              <w:spacing w:after="0" w:line="148" w:lineRule="exact"/>
              <w:rPr>
                <w:sz w:val="20"/>
                <w:szCs w:val="20"/>
                <w:color w:val="auto"/>
              </w:rPr>
            </w:pPr>
            <w:r>
              <w:rPr>
                <w:rFonts w:ascii="Courier New" w:cs="Courier New" w:eastAsia="Courier New" w:hAnsi="Courier New"/>
                <w:sz w:val="15"/>
                <w:szCs w:val="15"/>
                <w:color w:val="auto"/>
              </w:rPr>
              <w:t>. . . . . .</w:t>
            </w:r>
          </w:p>
        </w:tc>
        <w:tc>
          <w:tcPr>
            <w:tcW w:w="5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1,151</w:t>
            </w:r>
          </w:p>
        </w:tc>
        <w:tc>
          <w:tcPr>
            <w:tcW w:w="0" w:type="dxa"/>
            <w:vAlign w:val="bottom"/>
          </w:tcPr>
          <w:p>
            <w:pPr>
              <w:spacing w:after="0"/>
              <w:rPr>
                <w:sz w:val="1"/>
                <w:szCs w:val="1"/>
                <w:color w:val="auto"/>
              </w:rPr>
            </w:pPr>
          </w:p>
        </w:tc>
      </w:tr>
      <w:tr>
        <w:trPr>
          <w:trHeight w:val="170"/>
        </w:trPr>
        <w:tc>
          <w:tcPr>
            <w:tcW w:w="6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6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771" w:right="1440" w:bottom="1440" w:gutter="0" w:footer="0" w:header="0"/>
        </w:sectPr>
      </w:pPr>
    </w:p>
    <w:bookmarkStart w:id="5" w:name="page6"/>
    <w:bookmarkEnd w:id="5"/>
    <w:tbl>
      <w:tblPr>
        <w:tblLayout w:type="fixed"/>
        <w:tblInd w:w="960" w:type="dxa"/>
        <w:tblCellMar>
          <w:top w:w="0" w:type="dxa"/>
          <w:left w:w="0" w:type="dxa"/>
          <w:bottom w:w="0" w:type="dxa"/>
          <w:right w:w="0" w:type="dxa"/>
        </w:tblCellMar>
      </w:tblPr>
      <w:tr>
        <w:trPr>
          <w:trHeight w:val="170"/>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THE TORO COMPANY</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AND SUBSIDIARIES</w:t>
            </w:r>
          </w:p>
        </w:tc>
      </w:tr>
      <w:tr>
        <w:trPr>
          <w:trHeight w:val="170"/>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w w:val="97"/>
              </w:rPr>
              <w:t>NOTES TO CONDENSED CONSOLIDATED</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w w:val="97"/>
              </w:rPr>
              <w:t>FINANCIAL STATEMENTS (UNAUDITED)</w:t>
            </w:r>
          </w:p>
        </w:tc>
      </w:tr>
      <w:tr>
        <w:trPr>
          <w:trHeight w:val="246"/>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AUGUST</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1, 1997</w:t>
            </w: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69" w:lineRule="exact"/>
        <w:rPr>
          <w:sz w:val="20"/>
          <w:szCs w:val="20"/>
          <w:color w:val="auto"/>
        </w:rPr>
      </w:pPr>
    </w:p>
    <w:p>
      <w:pPr>
        <w:ind w:left="340" w:right="3259"/>
        <w:spacing w:after="0" w:line="268" w:lineRule="auto"/>
        <w:rPr>
          <w:sz w:val="20"/>
          <w:szCs w:val="20"/>
          <w:color w:val="auto"/>
        </w:rPr>
      </w:pPr>
      <w:r>
        <w:rPr>
          <w:rFonts w:ascii="Courier New" w:cs="Courier New" w:eastAsia="Courier New" w:hAnsi="Courier New"/>
          <w:sz w:val="14"/>
          <w:szCs w:val="14"/>
          <w:color w:val="auto"/>
        </w:rPr>
        <w:t>The accompanying unaudited condensed consolidated financial statements have been prepared in accordance with the instructions to Form 10-Q and do not include all the information and notes required by generally accepted accounting principles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nine months ended August 1, 1997 are not necessarily indicative of the results that may be expected for the year ended October 31, 1997.</w:t>
      </w:r>
    </w:p>
    <w:p>
      <w:pPr>
        <w:spacing w:after="0" w:line="78" w:lineRule="exact"/>
        <w:rPr>
          <w:sz w:val="20"/>
          <w:szCs w:val="20"/>
          <w:color w:val="auto"/>
        </w:rPr>
      </w:pPr>
    </w:p>
    <w:p>
      <w:pPr>
        <w:ind w:left="340" w:right="3259"/>
        <w:spacing w:after="0" w:line="275" w:lineRule="auto"/>
        <w:rPr>
          <w:sz w:val="20"/>
          <w:szCs w:val="20"/>
          <w:color w:val="auto"/>
        </w:rPr>
      </w:pPr>
      <w:r>
        <w:rPr>
          <w:rFonts w:ascii="Courier New" w:cs="Courier New" w:eastAsia="Courier New" w:hAnsi="Courier New"/>
          <w:sz w:val="15"/>
          <w:szCs w:val="15"/>
          <w:color w:val="auto"/>
        </w:rPr>
        <w:t>For further information, refer to the consolidated financial statements and notes included in the company's Annual Report on Form 10-K for the year ended October 31, 1996. The policies described in that report are used for preparing quarterly reports.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69" w:lineRule="exact"/>
        <w:rPr>
          <w:sz w:val="20"/>
          <w:szCs w:val="20"/>
          <w:color w:val="auto"/>
        </w:rPr>
      </w:pPr>
    </w:p>
    <w:p>
      <w:pPr>
        <w:ind w:left="340" w:right="3259"/>
        <w:spacing w:after="0" w:line="254" w:lineRule="auto"/>
        <w:rPr>
          <w:sz w:val="20"/>
          <w:szCs w:val="20"/>
          <w:color w:val="auto"/>
        </w:rPr>
      </w:pPr>
      <w:r>
        <w:rPr>
          <w:rFonts w:ascii="Courier New" w:cs="Courier New" w:eastAsia="Courier New" w:hAnsi="Courier New"/>
          <w:sz w:val="15"/>
          <w:szCs w:val="15"/>
          <w:color w:val="auto"/>
        </w:rPr>
        <w:t>The majority of inventories are valued at the lower of net realizable value or cost with cost determined by the last-in, first-out (LIFO) method. Had the first-in, first-out (FIFO) method of cost determination been used, inventories would have been $25,642,000 and $24,841,000 higher than reported at August 1, 1997, and August 2, 1996, respectively. Under the FIFO method, work-in-process inventories were $72,008,000 and $68,952,000 and finished goods inventories were $115,459,000 and $99,228,000 at August 1, 1997, and August 2, 1996, respectively.</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w:t>
      </w:r>
    </w:p>
    <w:p>
      <w:pPr>
        <w:spacing w:after="0" w:line="169" w:lineRule="exact"/>
        <w:rPr>
          <w:sz w:val="20"/>
          <w:szCs w:val="20"/>
          <w:color w:val="auto"/>
        </w:rPr>
      </w:pPr>
    </w:p>
    <w:p>
      <w:pPr>
        <w:ind w:left="340" w:right="3259"/>
        <w:spacing w:after="0" w:line="250" w:lineRule="auto"/>
        <w:rPr>
          <w:sz w:val="20"/>
          <w:szCs w:val="20"/>
          <w:color w:val="auto"/>
        </w:rPr>
      </w:pPr>
      <w:r>
        <w:rPr>
          <w:rFonts w:ascii="Courier New" w:cs="Courier New" w:eastAsia="Courier New" w:hAnsi="Courier New"/>
          <w:sz w:val="15"/>
          <w:szCs w:val="15"/>
          <w:color w:val="auto"/>
        </w:rPr>
        <w:t>In June 1997, the company issued $175.0 million of debt securities consisting of $75.0 million of 7.125 % coupon 10-year Notes and $100.0 million of 7.80 % 30-year Debentures. The proceeds from the debt securities issued were used in part to repay short-term indebtedness, which was primarily related to the acquisition of the James Hardie Irrigation Group, and to redeem on August 1, 1997, the company's $50.0 million principal amount of 11 % Sinking Fund Debentures. The company paid a prepayment penalty of approximately $2.8 million for the early retirement of the Debentures. This penalty is reported in the condensed consolidated statement of earnings as an extraordinary loss, net of the related income tax benefit.</w:t>
      </w:r>
    </w:p>
    <w:p>
      <w:pPr>
        <w:spacing w:after="0" w:line="87" w:lineRule="exact"/>
        <w:rPr>
          <w:sz w:val="20"/>
          <w:szCs w:val="20"/>
          <w:color w:val="auto"/>
        </w:rPr>
      </w:pPr>
    </w:p>
    <w:p>
      <w:pPr>
        <w:ind w:left="340" w:right="3259"/>
        <w:spacing w:after="0" w:line="248" w:lineRule="auto"/>
        <w:rPr>
          <w:sz w:val="20"/>
          <w:szCs w:val="20"/>
          <w:color w:val="auto"/>
        </w:rPr>
      </w:pPr>
      <w:r>
        <w:rPr>
          <w:rFonts w:ascii="Courier New" w:cs="Courier New" w:eastAsia="Courier New" w:hAnsi="Courier New"/>
          <w:sz w:val="15"/>
          <w:szCs w:val="15"/>
          <w:color w:val="auto"/>
        </w:rPr>
        <w:t>In connection with the issuance of the $175.0 million in long-term debt securities, the company paid $23.7 million to terminate three forward-starting interest rate swap agreements with notational amounts totaling $125.0 million. These swap agreements had been entered into to reduce exposure to interest rate risk prior to the issuance of the new long-term debt securities. At the inception of one of the swap agreements, the company had received payments which were recorded as deferred income to be recognized as an adjustment to interest expense over the term of the new debt securities. At the date the swaps were terminated, this deferred income totaled $18.7 million. The excess of the termination fees over the deferred income recorded has been deferred and is being recognized as an adjustment to interest expense over the term of the new debt securities issued.</w:t>
      </w:r>
    </w:p>
    <w:p>
      <w:pPr>
        <w:spacing w:after="0" w:line="9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01"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DERIVATIVE FINANCIAL INSTRUMENTS</w:t>
      </w:r>
    </w:p>
    <w:p>
      <w:pPr>
        <w:spacing w:after="0" w:line="169" w:lineRule="exact"/>
        <w:rPr>
          <w:sz w:val="20"/>
          <w:szCs w:val="20"/>
          <w:color w:val="auto"/>
        </w:rPr>
      </w:pPr>
    </w:p>
    <w:p>
      <w:pPr>
        <w:ind w:left="340" w:right="3980"/>
        <w:spacing w:after="0" w:line="283" w:lineRule="auto"/>
        <w:rPr>
          <w:sz w:val="20"/>
          <w:szCs w:val="20"/>
          <w:color w:val="auto"/>
        </w:rPr>
      </w:pPr>
      <w:r>
        <w:rPr>
          <w:rFonts w:ascii="Courier New" w:cs="Courier New" w:eastAsia="Courier New" w:hAnsi="Courier New"/>
          <w:sz w:val="14"/>
          <w:szCs w:val="14"/>
          <w:color w:val="auto"/>
        </w:rPr>
        <w:t>A portion of the company's sales and purchases are denominated in foreign currencies. The company enters into forward exchange and range forward option contracts to reduce exposure to foreign currency exchange risk. These contracts are designated to hedge firm anticipated foreign currency transactions. Gains and losses on foreign currency contracts are deferred and recognized upon settlement of the underlying hedged transaction.</w:t>
      </w:r>
    </w:p>
    <w:p>
      <w:pPr>
        <w:spacing w:after="0" w:line="64" w:lineRule="exact"/>
        <w:rPr>
          <w:sz w:val="20"/>
          <w:szCs w:val="20"/>
          <w:color w:val="auto"/>
        </w:rPr>
      </w:pPr>
    </w:p>
    <w:p>
      <w:pPr>
        <w:ind w:left="340" w:right="3880"/>
        <w:spacing w:after="0" w:line="252" w:lineRule="auto"/>
        <w:rPr>
          <w:sz w:val="20"/>
          <w:szCs w:val="20"/>
          <w:color w:val="auto"/>
        </w:rPr>
      </w:pPr>
      <w:r>
        <w:rPr>
          <w:rFonts w:ascii="Courier New" w:cs="Courier New" w:eastAsia="Courier New" w:hAnsi="Courier New"/>
          <w:sz w:val="15"/>
          <w:szCs w:val="15"/>
          <w:color w:val="auto"/>
        </w:rPr>
        <w:t>As discussed under the "Long-term Debt" caption in these notes to the condensed consolidated financial statements, the company entered into interest rate exchange or swap agreements to hedge interest rate exposure on the anticipated issuance of new long-term debt securities. The net loss on these swap agreements has been deferred and is being amortized as an adjustment to interest expense over the term of the debt securities. In June 1997, the company terminated all of its outstanding interest rate exchange agreements upon the issuance of the new long-term debt securities.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ACQUISITIONS</w:t>
      </w:r>
    </w:p>
    <w:p>
      <w:pPr>
        <w:spacing w:after="0" w:line="169" w:lineRule="exact"/>
        <w:rPr>
          <w:sz w:val="20"/>
          <w:szCs w:val="20"/>
          <w:color w:val="auto"/>
        </w:rPr>
      </w:pPr>
    </w:p>
    <w:p>
      <w:pPr>
        <w:ind w:left="340" w:right="3880"/>
        <w:spacing w:after="0" w:line="257" w:lineRule="auto"/>
        <w:rPr>
          <w:sz w:val="20"/>
          <w:szCs w:val="20"/>
          <w:color w:val="auto"/>
        </w:rPr>
      </w:pPr>
      <w:r>
        <w:rPr>
          <w:rFonts w:ascii="Courier New" w:cs="Courier New" w:eastAsia="Courier New" w:hAnsi="Courier New"/>
          <w:sz w:val="15"/>
          <w:szCs w:val="15"/>
          <w:color w:val="auto"/>
        </w:rPr>
        <w:t>Effective December 1, 1996, The Toro Company acquired the James Hardie Irrigation Group ("Hardie") from James Hardie Industries Limited under an agreement dated September 18, 1996. The initial purchase price pursuant to the agreement was estimated to be $131,500,000. The purchase price was subsequently adjusted to $119,125,000 based on estimated, unaudited aggregate shareholders' equity of Hardie on December 1, 1996, subject to further adjustment based on final audit results.</w:t>
      </w:r>
    </w:p>
    <w:p>
      <w:pPr>
        <w:spacing w:after="0" w:line="82" w:lineRule="exact"/>
        <w:rPr>
          <w:sz w:val="20"/>
          <w:szCs w:val="20"/>
          <w:color w:val="auto"/>
        </w:rPr>
      </w:pPr>
    </w:p>
    <w:p>
      <w:pPr>
        <w:ind w:left="340" w:right="3880"/>
        <w:spacing w:after="0" w:line="273" w:lineRule="auto"/>
        <w:rPr>
          <w:sz w:val="20"/>
          <w:szCs w:val="20"/>
          <w:color w:val="auto"/>
        </w:rPr>
      </w:pPr>
      <w:r>
        <w:rPr>
          <w:rFonts w:ascii="Courier New" w:cs="Courier New" w:eastAsia="Courier New" w:hAnsi="Courier New"/>
          <w:sz w:val="14"/>
          <w:szCs w:val="14"/>
          <w:color w:val="auto"/>
        </w:rPr>
        <w:t>Based on the financial statements of Hardie as of the acquisition date, shareholders' equity at the acquisition date was approximately $10,545,000 less than the estimated equity used as the closing date purchase price, and this $10,545,000 is to be returned from James Hardie Industries Limited to Toro. In addition, under the procedures established in the purchase agreement, Toro has delivered a letter of objections to James Hardie Industries Limited related to the valuation of assets, accounting methods applied, estimates used and other items. The resolution of these objections may result in an additional reduction of the purchase price.</w:t>
      </w:r>
    </w:p>
    <w:p>
      <w:pPr>
        <w:spacing w:after="0" w:line="71" w:lineRule="exact"/>
        <w:rPr>
          <w:sz w:val="20"/>
          <w:szCs w:val="20"/>
          <w:color w:val="auto"/>
        </w:rPr>
      </w:pPr>
    </w:p>
    <w:p>
      <w:pPr>
        <w:ind w:left="340" w:right="3880"/>
        <w:spacing w:after="0" w:line="269" w:lineRule="auto"/>
        <w:rPr>
          <w:sz w:val="20"/>
          <w:szCs w:val="20"/>
          <w:color w:val="auto"/>
        </w:rPr>
      </w:pPr>
      <w:r>
        <w:rPr>
          <w:rFonts w:ascii="Courier New" w:cs="Courier New" w:eastAsia="Courier New" w:hAnsi="Courier New"/>
          <w:sz w:val="14"/>
          <w:szCs w:val="14"/>
          <w:color w:val="auto"/>
        </w:rPr>
        <w:t>The acquisition is accounted for using the purchase accounting method and, accordingly, the adjusted purchase price of $108,580,000 has initially been allocated based on the estimated fair values of assets acquired and liabilities assumed on the date of acquisition. The excess of the purchase price over the estimated fair value of net tangible assets acquired has been recorded as goodwill and is being amortized on a straight-line basis over 20 years. Any additional reductions in the purchase price as a result of resolution of the objections discussed in the preceding paragraph will result in a reduction of goodwill and/or other net assets. The related effect of these adjustments on the Consolidated Statement of Earnings of The Toro Company is not expected to be material.</w:t>
      </w:r>
    </w:p>
    <w:p>
      <w:pPr>
        <w:spacing w:after="0" w:line="79" w:lineRule="exact"/>
        <w:rPr>
          <w:sz w:val="20"/>
          <w:szCs w:val="20"/>
          <w:color w:val="auto"/>
        </w:rPr>
      </w:pPr>
    </w:p>
    <w:p>
      <w:pPr>
        <w:ind w:left="340" w:right="3880"/>
        <w:spacing w:after="0" w:line="261" w:lineRule="auto"/>
        <w:rPr>
          <w:sz w:val="20"/>
          <w:szCs w:val="20"/>
          <w:color w:val="auto"/>
        </w:rPr>
      </w:pPr>
      <w:r>
        <w:rPr>
          <w:rFonts w:ascii="Courier New" w:cs="Courier New" w:eastAsia="Courier New" w:hAnsi="Courier New"/>
          <w:sz w:val="15"/>
          <w:szCs w:val="15"/>
          <w:color w:val="auto"/>
        </w:rPr>
        <w:t>The following unaudited pro forma information presents a summary of consolidated results of operations of the company and Hardie as if the acquisition had occurred at the beginning of fiscal 1996, with pro forma adjustments to give effect to amortization of goodwill, interest expense on acquisition debt and certain other adjustments, together with the related income tax effects.</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Three Months Ended</w:t>
            </w:r>
          </w:p>
        </w:tc>
        <w:tc>
          <w:tcPr>
            <w:tcW w:w="320" w:type="dxa"/>
            <w:vAlign w:val="bottom"/>
          </w:tcPr>
          <w:p>
            <w:pPr>
              <w:spacing w:after="0"/>
              <w:rPr>
                <w:sz w:val="14"/>
                <w:szCs w:val="14"/>
                <w:color w:val="auto"/>
              </w:rPr>
            </w:pPr>
          </w:p>
        </w:tc>
        <w:tc>
          <w:tcPr>
            <w:tcW w:w="216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Nine Months Ended</w:t>
            </w:r>
          </w:p>
        </w:tc>
        <w:tc>
          <w:tcPr>
            <w:tcW w:w="0" w:type="dxa"/>
            <w:vAlign w:val="bottom"/>
          </w:tcPr>
          <w:p>
            <w:pPr>
              <w:spacing w:after="0"/>
              <w:rPr>
                <w:sz w:val="1"/>
                <w:szCs w:val="1"/>
                <w:color w:val="auto"/>
              </w:rPr>
            </w:pPr>
          </w:p>
        </w:tc>
      </w:tr>
      <w:tr>
        <w:trPr>
          <w:trHeight w:val="170"/>
        </w:trPr>
        <w:tc>
          <w:tcPr>
            <w:tcW w:w="5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gridSpan w:val="2"/>
            <w:vMerge w:val="restart"/>
          </w:tcPr>
          <w:p>
            <w:pPr>
              <w:jc w:val="right"/>
              <w:spacing w:after="0"/>
              <w:rPr>
                <w:sz w:val="20"/>
                <w:szCs w:val="20"/>
                <w:color w:val="auto"/>
              </w:rPr>
            </w:pPr>
            <w:r>
              <w:rPr>
                <w:rFonts w:ascii="Courier New" w:cs="Courier New" w:eastAsia="Courier New" w:hAnsi="Courier New"/>
                <w:sz w:val="25"/>
                <w:szCs w:val="25"/>
                <w:color w:val="auto"/>
                <w:w w:val="73"/>
                <w:vertAlign w:val="subscript"/>
              </w:rPr>
              <w:t>Aug</w:t>
            </w:r>
            <w:r>
              <w:rPr>
                <w:rFonts w:ascii="Courier New" w:cs="Courier New" w:eastAsia="Courier New" w:hAnsi="Courier New"/>
                <w:sz w:val="13"/>
                <w:szCs w:val="13"/>
                <w:color w:val="auto"/>
                <w:w w:val="73"/>
              </w:rPr>
              <w:t>------------------</w:t>
            </w:r>
            <w:r>
              <w:rPr>
                <w:rFonts w:ascii="Courier New" w:cs="Courier New" w:eastAsia="Courier New" w:hAnsi="Courier New"/>
                <w:sz w:val="25"/>
                <w:szCs w:val="25"/>
                <w:color w:val="auto"/>
                <w:w w:val="73"/>
                <w:vertAlign w:val="subscript"/>
              </w:rPr>
              <w:t>1,</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Aug 2,</w:t>
            </w:r>
          </w:p>
        </w:tc>
        <w:tc>
          <w:tcPr>
            <w:tcW w:w="320" w:type="dxa"/>
            <w:vAlign w:val="bottom"/>
          </w:tcPr>
          <w:p>
            <w:pPr>
              <w:spacing w:after="0"/>
              <w:rPr>
                <w:sz w:val="14"/>
                <w:szCs w:val="14"/>
                <w:color w:val="auto"/>
              </w:rPr>
            </w:pPr>
          </w:p>
        </w:tc>
        <w:tc>
          <w:tcPr>
            <w:tcW w:w="216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24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 except per share data)</w:t>
            </w:r>
          </w:p>
        </w:tc>
        <w:tc>
          <w:tcPr>
            <w:tcW w:w="9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Aug 1,</w:t>
            </w:r>
          </w:p>
        </w:tc>
        <w:tc>
          <w:tcPr>
            <w:tcW w:w="38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Aug 2,</w:t>
            </w:r>
          </w:p>
        </w:tc>
        <w:tc>
          <w:tcPr>
            <w:tcW w:w="0" w:type="dxa"/>
            <w:vAlign w:val="bottom"/>
          </w:tcPr>
          <w:p>
            <w:pPr>
              <w:spacing w:after="0"/>
              <w:rPr>
                <w:sz w:val="1"/>
                <w:szCs w:val="1"/>
                <w:color w:val="auto"/>
              </w:rPr>
            </w:pPr>
          </w:p>
        </w:tc>
      </w:tr>
      <w:tr>
        <w:trPr>
          <w:trHeight w:val="170"/>
        </w:trPr>
        <w:tc>
          <w:tcPr>
            <w:tcW w:w="524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c>
          <w:tcPr>
            <w:tcW w:w="320" w:type="dxa"/>
            <w:vAlign w:val="bottom"/>
          </w:tcPr>
          <w:p>
            <w:pPr>
              <w:spacing w:after="0"/>
              <w:rPr>
                <w:sz w:val="14"/>
                <w:szCs w:val="14"/>
                <w:color w:val="auto"/>
              </w:rPr>
            </w:pPr>
          </w:p>
        </w:tc>
        <w:tc>
          <w:tcPr>
            <w:tcW w:w="1060" w:type="dxa"/>
            <w:vAlign w:val="bottom"/>
          </w:tcPr>
          <w:p>
            <w:pPr>
              <w:ind w:left="300"/>
              <w:spacing w:after="0"/>
              <w:rPr>
                <w:sz w:val="20"/>
                <w:szCs w:val="20"/>
                <w:color w:val="auto"/>
              </w:rPr>
            </w:pPr>
            <w:r>
              <w:rPr>
                <w:rFonts w:ascii="Courier New" w:cs="Courier New" w:eastAsia="Courier New" w:hAnsi="Courier New"/>
                <w:sz w:val="15"/>
                <w:szCs w:val="15"/>
                <w:color w:val="auto"/>
              </w:rPr>
              <w:t>1997</w:t>
            </w:r>
          </w:p>
        </w:tc>
        <w:tc>
          <w:tcPr>
            <w:tcW w:w="38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46"/>
        </w:trPr>
        <w:tc>
          <w:tcPr>
            <w:tcW w:w="5240" w:type="dxa"/>
            <w:vAlign w:val="bottom"/>
          </w:tcPr>
          <w:p>
            <w:pPr>
              <w:spacing w:after="0"/>
              <w:rPr>
                <w:sz w:val="21"/>
                <w:szCs w:val="21"/>
                <w:color w:val="auto"/>
              </w:rPr>
            </w:pPr>
          </w:p>
        </w:tc>
        <w:tc>
          <w:tcPr>
            <w:tcW w:w="560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5240" w:type="dxa"/>
            <w:vAlign w:val="bottom"/>
          </w:tcPr>
          <w:p>
            <w:pPr>
              <w:ind w:left="80"/>
              <w:spacing w:after="0"/>
              <w:rPr>
                <w:sz w:val="20"/>
                <w:szCs w:val="20"/>
                <w:color w:val="auto"/>
              </w:rPr>
            </w:pPr>
            <w:r>
              <w:rPr>
                <w:rFonts w:ascii="Courier New" w:cs="Courier New" w:eastAsia="Courier New" w:hAnsi="Courier New"/>
                <w:sz w:val="15"/>
                <w:szCs w:val="15"/>
                <w:color w:val="auto"/>
              </w:rPr>
              <w:t>Net sales</w:t>
            </w:r>
          </w:p>
        </w:tc>
        <w:tc>
          <w:tcPr>
            <w:tcW w:w="92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249,274</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267,774</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824,600</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842,793</w:t>
            </w:r>
          </w:p>
        </w:tc>
        <w:tc>
          <w:tcPr>
            <w:tcW w:w="0" w:type="dxa"/>
            <w:vAlign w:val="bottom"/>
          </w:tcPr>
          <w:p>
            <w:pPr>
              <w:spacing w:after="0"/>
              <w:rPr>
                <w:sz w:val="1"/>
                <w:szCs w:val="1"/>
                <w:color w:val="auto"/>
              </w:rPr>
            </w:pPr>
          </w:p>
        </w:tc>
      </w:tr>
      <w:tr>
        <w:trPr>
          <w:trHeight w:val="262"/>
        </w:trPr>
        <w:tc>
          <w:tcPr>
            <w:tcW w:w="5240" w:type="dxa"/>
            <w:vAlign w:val="bottom"/>
          </w:tcPr>
          <w:p>
            <w:pPr>
              <w:ind w:left="80"/>
              <w:spacing w:after="0"/>
              <w:rPr>
                <w:sz w:val="20"/>
                <w:szCs w:val="20"/>
                <w:color w:val="auto"/>
              </w:rPr>
            </w:pPr>
            <w:r>
              <w:rPr>
                <w:rFonts w:ascii="Courier New" w:cs="Courier New" w:eastAsia="Courier New" w:hAnsi="Courier New"/>
                <w:sz w:val="15"/>
                <w:szCs w:val="15"/>
                <w:color w:val="auto"/>
              </w:rPr>
              <w:t>Net earnings before extraordinary loss</w:t>
            </w:r>
          </w:p>
        </w:tc>
        <w:tc>
          <w:tcPr>
            <w:tcW w:w="920" w:type="dxa"/>
            <w:vAlign w:val="bottom"/>
          </w:tcPr>
          <w:p>
            <w:pPr>
              <w:spacing w:after="0"/>
              <w:rPr>
                <w:sz w:val="22"/>
                <w:szCs w:val="22"/>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9,949</w:t>
            </w:r>
          </w:p>
        </w:tc>
        <w:tc>
          <w:tcPr>
            <w:tcW w:w="18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5,634</w:t>
            </w:r>
          </w:p>
        </w:tc>
        <w:tc>
          <w:tcPr>
            <w:tcW w:w="320" w:type="dxa"/>
            <w:vAlign w:val="bottom"/>
          </w:tcPr>
          <w:p>
            <w:pPr>
              <w:spacing w:after="0"/>
              <w:rPr>
                <w:sz w:val="22"/>
                <w:szCs w:val="22"/>
                <w:color w:val="auto"/>
              </w:rPr>
            </w:pP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29,783</w:t>
            </w:r>
          </w:p>
        </w:tc>
        <w:tc>
          <w:tcPr>
            <w:tcW w:w="3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28,283</w:t>
            </w:r>
          </w:p>
        </w:tc>
        <w:tc>
          <w:tcPr>
            <w:tcW w:w="0" w:type="dxa"/>
            <w:vAlign w:val="bottom"/>
          </w:tcPr>
          <w:p>
            <w:pPr>
              <w:spacing w:after="0"/>
              <w:rPr>
                <w:sz w:val="1"/>
                <w:szCs w:val="1"/>
                <w:color w:val="auto"/>
              </w:rPr>
            </w:pPr>
          </w:p>
        </w:tc>
      </w:tr>
      <w:tr>
        <w:trPr>
          <w:trHeight w:val="170"/>
        </w:trPr>
        <w:tc>
          <w:tcPr>
            <w:tcW w:w="5240" w:type="dxa"/>
            <w:vAlign w:val="bottom"/>
          </w:tcPr>
          <w:p>
            <w:pPr>
              <w:ind w:left="80"/>
              <w:spacing w:after="0"/>
              <w:rPr>
                <w:sz w:val="20"/>
                <w:szCs w:val="20"/>
                <w:color w:val="auto"/>
              </w:rPr>
            </w:pPr>
            <w:r>
              <w:rPr>
                <w:rFonts w:ascii="Courier New" w:cs="Courier New" w:eastAsia="Courier New" w:hAnsi="Courier New"/>
                <w:sz w:val="15"/>
                <w:szCs w:val="15"/>
                <w:color w:val="auto"/>
              </w:rPr>
              <w:t>Extraordinary loss, net of income tax benefit</w:t>
            </w:r>
          </w:p>
        </w:tc>
        <w:tc>
          <w:tcPr>
            <w:tcW w:w="92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(1,663)</w:t>
            </w:r>
          </w:p>
        </w:tc>
        <w:tc>
          <w:tcPr>
            <w:tcW w:w="18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(1,663)</w:t>
            </w:r>
          </w:p>
        </w:tc>
        <w:tc>
          <w:tcPr>
            <w:tcW w:w="38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2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Net earnings</w:t>
            </w:r>
          </w:p>
        </w:tc>
        <w:tc>
          <w:tcPr>
            <w:tcW w:w="920" w:type="dxa"/>
            <w:vAlign w:val="bottom"/>
            <w:vMerge w:val="restart"/>
          </w:tcPr>
          <w:p>
            <w:pPr>
              <w:ind w:left="56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124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8,286</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w:t>
            </w: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2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5,634</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28,120</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28,283</w:t>
            </w:r>
          </w:p>
        </w:tc>
        <w:tc>
          <w:tcPr>
            <w:tcW w:w="0" w:type="dxa"/>
            <w:vAlign w:val="bottom"/>
          </w:tcPr>
          <w:p>
            <w:pPr>
              <w:spacing w:after="0"/>
              <w:rPr>
                <w:sz w:val="1"/>
                <w:szCs w:val="1"/>
                <w:color w:val="auto"/>
              </w:rPr>
            </w:pPr>
          </w:p>
        </w:tc>
      </w:tr>
      <w:tr>
        <w:trPr>
          <w:trHeight w:val="170"/>
        </w:trPr>
        <w:tc>
          <w:tcPr>
            <w:tcW w:w="5240" w:type="dxa"/>
            <w:vAlign w:val="bottom"/>
          </w:tcPr>
          <w:p>
            <w:pPr>
              <w:spacing w:after="0"/>
              <w:rPr>
                <w:sz w:val="14"/>
                <w:szCs w:val="14"/>
                <w:color w:val="auto"/>
              </w:rPr>
            </w:pPr>
          </w:p>
        </w:tc>
        <w:tc>
          <w:tcPr>
            <w:tcW w:w="21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w:t>
            </w: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2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Primary earnings per share before extraordinary loss</w:t>
            </w:r>
          </w:p>
        </w:tc>
        <w:tc>
          <w:tcPr>
            <w:tcW w:w="920" w:type="dxa"/>
            <w:vAlign w:val="bottom"/>
            <w:vMerge w:val="restart"/>
          </w:tcPr>
          <w:p>
            <w:pPr>
              <w:ind w:left="56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124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0.80</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w:t>
            </w: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2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0.45</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2.39</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2.24</w:t>
            </w:r>
          </w:p>
        </w:tc>
        <w:tc>
          <w:tcPr>
            <w:tcW w:w="0" w:type="dxa"/>
            <w:vAlign w:val="bottom"/>
          </w:tcPr>
          <w:p>
            <w:pPr>
              <w:spacing w:after="0"/>
              <w:rPr>
                <w:sz w:val="1"/>
                <w:szCs w:val="1"/>
                <w:color w:val="auto"/>
              </w:rPr>
            </w:pPr>
          </w:p>
        </w:tc>
      </w:tr>
      <w:tr>
        <w:trPr>
          <w:trHeight w:val="170"/>
        </w:trPr>
        <w:tc>
          <w:tcPr>
            <w:tcW w:w="5240" w:type="dxa"/>
            <w:vAlign w:val="bottom"/>
          </w:tcPr>
          <w:p>
            <w:pPr>
              <w:ind w:left="80"/>
              <w:spacing w:after="0"/>
              <w:rPr>
                <w:sz w:val="20"/>
                <w:szCs w:val="20"/>
                <w:color w:val="auto"/>
              </w:rPr>
            </w:pPr>
            <w:r>
              <w:rPr>
                <w:rFonts w:ascii="Courier New" w:cs="Courier New" w:eastAsia="Courier New" w:hAnsi="Courier New"/>
                <w:sz w:val="15"/>
                <w:szCs w:val="15"/>
                <w:color w:val="auto"/>
              </w:rPr>
              <w:t>Extraordinary loss, net of income tax benefit</w:t>
            </w:r>
          </w:p>
        </w:tc>
        <w:tc>
          <w:tcPr>
            <w:tcW w:w="92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(0.13)</w:t>
            </w:r>
          </w:p>
        </w:tc>
        <w:tc>
          <w:tcPr>
            <w:tcW w:w="18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(0.13)</w:t>
            </w:r>
          </w:p>
        </w:tc>
        <w:tc>
          <w:tcPr>
            <w:tcW w:w="38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2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Primary earnings per share</w:t>
            </w:r>
          </w:p>
        </w:tc>
        <w:tc>
          <w:tcPr>
            <w:tcW w:w="920" w:type="dxa"/>
            <w:vAlign w:val="bottom"/>
            <w:vMerge w:val="restart"/>
          </w:tcPr>
          <w:p>
            <w:pPr>
              <w:ind w:left="56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124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0.67</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w:t>
            </w: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2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0.45</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2.26</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2.24</w:t>
            </w:r>
          </w:p>
        </w:tc>
        <w:tc>
          <w:tcPr>
            <w:tcW w:w="0" w:type="dxa"/>
            <w:vAlign w:val="bottom"/>
          </w:tcPr>
          <w:p>
            <w:pPr>
              <w:spacing w:after="0"/>
              <w:rPr>
                <w:sz w:val="1"/>
                <w:szCs w:val="1"/>
                <w:color w:val="auto"/>
              </w:rPr>
            </w:pPr>
          </w:p>
        </w:tc>
      </w:tr>
      <w:tr>
        <w:trPr>
          <w:trHeight w:val="170"/>
        </w:trPr>
        <w:tc>
          <w:tcPr>
            <w:tcW w:w="5240" w:type="dxa"/>
            <w:vAlign w:val="bottom"/>
          </w:tcPr>
          <w:p>
            <w:pPr>
              <w:spacing w:after="0"/>
              <w:rPr>
                <w:sz w:val="14"/>
                <w:szCs w:val="14"/>
                <w:color w:val="auto"/>
              </w:rPr>
            </w:pPr>
          </w:p>
        </w:tc>
        <w:tc>
          <w:tcPr>
            <w:tcW w:w="21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w:t>
            </w: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5240" w:type="dxa"/>
            <w:vAlign w:val="bottom"/>
          </w:tcPr>
          <w:p>
            <w:pPr>
              <w:spacing w:after="0"/>
              <w:rPr>
                <w:sz w:val="21"/>
                <w:szCs w:val="21"/>
                <w:color w:val="auto"/>
              </w:rPr>
            </w:pPr>
          </w:p>
        </w:tc>
        <w:tc>
          <w:tcPr>
            <w:tcW w:w="21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w:t>
            </w: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848"/>
        </w:trPr>
        <w:tc>
          <w:tcPr>
            <w:tcW w:w="5240" w:type="dxa"/>
            <w:vAlign w:val="bottom"/>
          </w:tcPr>
          <w:p>
            <w:pPr>
              <w:ind w:left="3700"/>
              <w:spacing w:after="0"/>
              <w:rPr>
                <w:sz w:val="20"/>
                <w:szCs w:val="20"/>
                <w:color w:val="auto"/>
              </w:rPr>
            </w:pPr>
            <w:r>
              <w:rPr>
                <w:rFonts w:ascii="Courier New" w:cs="Courier New" w:eastAsia="Courier New" w:hAnsi="Courier New"/>
                <w:sz w:val="15"/>
                <w:szCs w:val="15"/>
                <w:color w:val="auto"/>
              </w:rPr>
              <w:t>7</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240" w:top="601" w:right="819" w:bottom="1018"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BUSINESS ACQUISITIONS (CONTINUED)</w:t>
      </w:r>
    </w:p>
    <w:p>
      <w:pPr>
        <w:spacing w:after="0" w:line="169" w:lineRule="exact"/>
        <w:rPr>
          <w:sz w:val="20"/>
          <w:szCs w:val="20"/>
          <w:color w:val="auto"/>
        </w:rPr>
      </w:pPr>
    </w:p>
    <w:p>
      <w:pPr>
        <w:ind w:left="340" w:right="3540"/>
        <w:spacing w:after="0" w:line="249" w:lineRule="auto"/>
        <w:rPr>
          <w:sz w:val="20"/>
          <w:szCs w:val="20"/>
          <w:color w:val="auto"/>
        </w:rPr>
      </w:pPr>
      <w:r>
        <w:rPr>
          <w:rFonts w:ascii="Courier New" w:cs="Courier New" w:eastAsia="Courier New" w:hAnsi="Courier New"/>
          <w:sz w:val="15"/>
          <w:szCs w:val="15"/>
          <w:color w:val="auto"/>
        </w:rPr>
        <w:t>On June 4, 1997, the company announced that it had signed a letter of intent to acquire Exmark Manufacturing Company, Inc., a leading manufacturer of equipment for the professional landscape contractor industry. Exmark is headquartered in Beatrice, Nebraska, and produces mid-sized walk-behind mowers and zero-turning-radius riding mowers for professional contractors. Exmark employs approximately 190 people in a 164,000 square foot facility and had sales of $38.4 million for the fiscal year ended August 31, 1996. Consummation of the acquisition is subject to preparation and execution of a definitive agreement, approval by Exmark's shareholders and regulatory approvals. Management believes that the consideration to be paid by the company will not have a material impact on the financial condition of the company.</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69" w:lineRule="exact"/>
        <w:rPr>
          <w:sz w:val="20"/>
          <w:szCs w:val="20"/>
          <w:color w:val="auto"/>
        </w:rPr>
      </w:pPr>
    </w:p>
    <w:p>
      <w:pPr>
        <w:ind w:left="340" w:right="3540"/>
        <w:spacing w:after="0" w:line="252" w:lineRule="auto"/>
        <w:rPr>
          <w:sz w:val="20"/>
          <w:szCs w:val="20"/>
          <w:color w:val="auto"/>
        </w:rPr>
      </w:pPr>
      <w:r>
        <w:rPr>
          <w:rFonts w:ascii="Courier New" w:cs="Courier New" w:eastAsia="Courier New" w:hAnsi="Courier New"/>
          <w:sz w:val="15"/>
          <w:szCs w:val="15"/>
          <w:color w:val="auto"/>
        </w:rPr>
        <w:t>In February 1997, the Financial Accounting Standards Board (FASB) issued Statement of Financial Accounting Standards (SFAS) No. 128, "Earnings Per Share," which establishes new standards for computing and presenting earnings per share information. The company will be required to adopt the new standard beginning in the first quarter of fiscal 1998; earlier application is not permitted. Prior period information is required to be restated to conform with the requirements of the new standard. Pro forma earnings per share for the three and nine month periods ended August 1, 1997 and August 2, 1996 as computed under SFAS No. 128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5160" w:type="dxa"/>
            <w:vAlign w:val="bottom"/>
          </w:tcPr>
          <w:p>
            <w:pPr>
              <w:spacing w:after="0"/>
              <w:rPr>
                <w:sz w:val="14"/>
                <w:szCs w:val="14"/>
                <w:color w:val="auto"/>
              </w:rPr>
            </w:pPr>
          </w:p>
        </w:tc>
        <w:tc>
          <w:tcPr>
            <w:tcW w:w="2820" w:type="dxa"/>
            <w:vAlign w:val="bottom"/>
            <w:gridSpan w:val="2"/>
          </w:tcPr>
          <w:p>
            <w:pPr>
              <w:jc w:val="right"/>
              <w:ind w:right="687"/>
              <w:spacing w:after="0"/>
              <w:rPr>
                <w:sz w:val="20"/>
                <w:szCs w:val="20"/>
                <w:color w:val="auto"/>
              </w:rPr>
            </w:pPr>
            <w:r>
              <w:rPr>
                <w:rFonts w:ascii="Courier New" w:cs="Courier New" w:eastAsia="Courier New" w:hAnsi="Courier New"/>
                <w:sz w:val="15"/>
                <w:szCs w:val="15"/>
                <w:color w:val="auto"/>
              </w:rPr>
              <w:t>Pro forma EPS</w:t>
            </w:r>
          </w:p>
        </w:tc>
        <w:tc>
          <w:tcPr>
            <w:tcW w:w="23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Pro forma EPS</w:t>
            </w:r>
          </w:p>
        </w:tc>
        <w:tc>
          <w:tcPr>
            <w:tcW w:w="0" w:type="dxa"/>
            <w:vAlign w:val="bottom"/>
          </w:tcPr>
          <w:p>
            <w:pPr>
              <w:spacing w:after="0"/>
              <w:rPr>
                <w:sz w:val="1"/>
                <w:szCs w:val="1"/>
                <w:color w:val="auto"/>
              </w:rPr>
            </w:pPr>
          </w:p>
        </w:tc>
      </w:tr>
      <w:tr>
        <w:trPr>
          <w:trHeight w:val="170"/>
        </w:trPr>
        <w:tc>
          <w:tcPr>
            <w:tcW w:w="5160" w:type="dxa"/>
            <w:vAlign w:val="bottom"/>
          </w:tcPr>
          <w:p>
            <w:pPr>
              <w:spacing w:after="0"/>
              <w:rPr>
                <w:sz w:val="14"/>
                <w:szCs w:val="14"/>
                <w:color w:val="auto"/>
              </w:rPr>
            </w:pPr>
          </w:p>
        </w:tc>
        <w:tc>
          <w:tcPr>
            <w:tcW w:w="28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Three months ended</w:t>
            </w:r>
          </w:p>
        </w:tc>
        <w:tc>
          <w:tcPr>
            <w:tcW w:w="234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Nine months ended</w:t>
            </w:r>
          </w:p>
        </w:tc>
        <w:tc>
          <w:tcPr>
            <w:tcW w:w="0" w:type="dxa"/>
            <w:vAlign w:val="bottom"/>
          </w:tcPr>
          <w:p>
            <w:pPr>
              <w:spacing w:after="0"/>
              <w:rPr>
                <w:sz w:val="1"/>
                <w:szCs w:val="1"/>
                <w:color w:val="auto"/>
              </w:rPr>
            </w:pPr>
          </w:p>
        </w:tc>
      </w:tr>
      <w:tr>
        <w:trPr>
          <w:trHeight w:val="170"/>
        </w:trPr>
        <w:tc>
          <w:tcPr>
            <w:tcW w:w="5160" w:type="dxa"/>
            <w:vAlign w:val="bottom"/>
          </w:tcPr>
          <w:p>
            <w:pPr>
              <w:spacing w:after="0"/>
              <w:rPr>
                <w:sz w:val="14"/>
                <w:szCs w:val="14"/>
                <w:color w:val="auto"/>
              </w:rPr>
            </w:pPr>
          </w:p>
        </w:tc>
        <w:tc>
          <w:tcPr>
            <w:tcW w:w="5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60" w:type="dxa"/>
            <w:vAlign w:val="bottom"/>
          </w:tcPr>
          <w:p>
            <w:pPr>
              <w:spacing w:after="0"/>
              <w:rPr>
                <w:sz w:val="14"/>
                <w:szCs w:val="14"/>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August 1,</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August 2,</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August 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August 2,</w:t>
            </w:r>
          </w:p>
        </w:tc>
        <w:tc>
          <w:tcPr>
            <w:tcW w:w="0" w:type="dxa"/>
            <w:vAlign w:val="bottom"/>
          </w:tcPr>
          <w:p>
            <w:pPr>
              <w:spacing w:after="0"/>
              <w:rPr>
                <w:sz w:val="1"/>
                <w:szCs w:val="1"/>
                <w:color w:val="auto"/>
              </w:rPr>
            </w:pPr>
          </w:p>
        </w:tc>
      </w:tr>
      <w:tr>
        <w:trPr>
          <w:trHeight w:val="170"/>
        </w:trPr>
        <w:tc>
          <w:tcPr>
            <w:tcW w:w="5160" w:type="dxa"/>
            <w:vAlign w:val="bottom"/>
          </w:tcPr>
          <w:p>
            <w:pPr>
              <w:spacing w:after="0"/>
              <w:rPr>
                <w:sz w:val="14"/>
                <w:szCs w:val="14"/>
                <w:color w:val="auto"/>
              </w:rPr>
            </w:pPr>
          </w:p>
        </w:tc>
        <w:tc>
          <w:tcPr>
            <w:tcW w:w="15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1997</w:t>
            </w:r>
          </w:p>
        </w:tc>
        <w:tc>
          <w:tcPr>
            <w:tcW w:w="13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1996</w:t>
            </w:r>
          </w:p>
        </w:tc>
        <w:tc>
          <w:tcPr>
            <w:tcW w:w="1320" w:type="dxa"/>
            <w:vAlign w:val="bottom"/>
          </w:tcPr>
          <w:p>
            <w:pPr>
              <w:ind w:left="480"/>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46"/>
        </w:trPr>
        <w:tc>
          <w:tcPr>
            <w:tcW w:w="5160" w:type="dxa"/>
            <w:vAlign w:val="bottom"/>
          </w:tcPr>
          <w:p>
            <w:pPr>
              <w:spacing w:after="0"/>
              <w:rPr>
                <w:sz w:val="21"/>
                <w:szCs w:val="21"/>
                <w:color w:val="auto"/>
              </w:rPr>
            </w:pPr>
          </w:p>
        </w:tc>
        <w:tc>
          <w:tcPr>
            <w:tcW w:w="5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160" w:type="dxa"/>
            <w:vAlign w:val="bottom"/>
          </w:tcPr>
          <w:p>
            <w:pPr>
              <w:spacing w:after="0"/>
              <w:rPr>
                <w:sz w:val="20"/>
                <w:szCs w:val="20"/>
                <w:color w:val="auto"/>
              </w:rPr>
            </w:pPr>
            <w:r>
              <w:rPr>
                <w:rFonts w:ascii="Courier New" w:cs="Courier New" w:eastAsia="Courier New" w:hAnsi="Courier New"/>
                <w:sz w:val="15"/>
                <w:szCs w:val="15"/>
                <w:color w:val="auto"/>
              </w:rPr>
              <w:t>Basic earnings per share, before extraordinary loss</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$ 0.83</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$ 0.53</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$ 2.61</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$ 2.61</w:t>
            </w:r>
          </w:p>
        </w:tc>
        <w:tc>
          <w:tcPr>
            <w:tcW w:w="0" w:type="dxa"/>
            <w:vAlign w:val="bottom"/>
          </w:tcPr>
          <w:p>
            <w:pPr>
              <w:spacing w:after="0"/>
              <w:rPr>
                <w:sz w:val="1"/>
                <w:szCs w:val="1"/>
                <w:color w:val="auto"/>
              </w:rPr>
            </w:pPr>
          </w:p>
        </w:tc>
      </w:tr>
      <w:tr>
        <w:trPr>
          <w:trHeight w:val="170"/>
        </w:trPr>
        <w:tc>
          <w:tcPr>
            <w:tcW w:w="5160" w:type="dxa"/>
            <w:vAlign w:val="bottom"/>
          </w:tcPr>
          <w:p>
            <w:pPr>
              <w:spacing w:after="0"/>
              <w:rPr>
                <w:sz w:val="20"/>
                <w:szCs w:val="20"/>
                <w:color w:val="auto"/>
              </w:rPr>
            </w:pPr>
            <w:r>
              <w:rPr>
                <w:rFonts w:ascii="Courier New" w:cs="Courier New" w:eastAsia="Courier New" w:hAnsi="Courier New"/>
                <w:sz w:val="15"/>
                <w:szCs w:val="15"/>
                <w:color w:val="auto"/>
              </w:rPr>
              <w:t>Extraordinary loss, net of income tax benefit</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(0.14)</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(0.14)</w:t>
            </w:r>
          </w:p>
        </w:tc>
        <w:tc>
          <w:tcPr>
            <w:tcW w:w="102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60" w:type="dxa"/>
            <w:vAlign w:val="bottom"/>
            <w:vMerge w:val="restart"/>
          </w:tcPr>
          <w:p>
            <w:pPr>
              <w:spacing w:after="0"/>
              <w:rPr>
                <w:sz w:val="20"/>
                <w:szCs w:val="20"/>
                <w:color w:val="auto"/>
              </w:rPr>
            </w:pPr>
            <w:r>
              <w:rPr>
                <w:rFonts w:ascii="Courier New" w:cs="Courier New" w:eastAsia="Courier New" w:hAnsi="Courier New"/>
                <w:sz w:val="15"/>
                <w:szCs w:val="15"/>
                <w:color w:val="auto"/>
              </w:rPr>
              <w:t>Basic earnings per share</w:t>
            </w:r>
          </w:p>
        </w:tc>
        <w:tc>
          <w:tcPr>
            <w:tcW w:w="1500" w:type="dxa"/>
            <w:vAlign w:val="bottom"/>
            <w:vMerge w:val="restart"/>
          </w:tcPr>
          <w:p>
            <w:pPr>
              <w:jc w:val="right"/>
              <w:ind w:right="327"/>
              <w:spacing w:after="0"/>
              <w:rPr>
                <w:sz w:val="20"/>
                <w:szCs w:val="20"/>
                <w:color w:val="auto"/>
              </w:rPr>
            </w:pPr>
            <w:r>
              <w:rPr>
                <w:rFonts w:ascii="Courier New" w:cs="Courier New" w:eastAsia="Courier New" w:hAnsi="Courier New"/>
                <w:sz w:val="29"/>
                <w:szCs w:val="29"/>
                <w:color w:val="auto"/>
                <w:w w:val="96"/>
                <w:vertAlign w:val="subscript"/>
              </w:rPr>
              <w:t>$</w:t>
            </w:r>
            <w:r>
              <w:rPr>
                <w:rFonts w:ascii="Courier New" w:cs="Courier New" w:eastAsia="Courier New" w:hAnsi="Courier New"/>
                <w:sz w:val="15"/>
                <w:szCs w:val="15"/>
                <w:color w:val="auto"/>
                <w:w w:val="96"/>
              </w:rPr>
              <w:t>------</w:t>
            </w:r>
            <w:r>
              <w:rPr>
                <w:rFonts w:ascii="Courier New" w:cs="Courier New" w:eastAsia="Courier New" w:hAnsi="Courier New"/>
                <w:sz w:val="29"/>
                <w:szCs w:val="29"/>
                <w:color w:val="auto"/>
                <w:w w:val="96"/>
                <w:vertAlign w:val="subscript"/>
              </w:rPr>
              <w:t>0.69</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6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$ 0.53</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$ 2.47</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$ 2.61</w:t>
            </w:r>
          </w:p>
        </w:tc>
        <w:tc>
          <w:tcPr>
            <w:tcW w:w="0" w:type="dxa"/>
            <w:vAlign w:val="bottom"/>
          </w:tcPr>
          <w:p>
            <w:pPr>
              <w:spacing w:after="0"/>
              <w:rPr>
                <w:sz w:val="1"/>
                <w:szCs w:val="1"/>
                <w:color w:val="auto"/>
              </w:rPr>
            </w:pPr>
          </w:p>
        </w:tc>
      </w:tr>
      <w:tr>
        <w:trPr>
          <w:trHeight w:val="170"/>
        </w:trPr>
        <w:tc>
          <w:tcPr>
            <w:tcW w:w="5160" w:type="dxa"/>
            <w:vAlign w:val="bottom"/>
          </w:tcPr>
          <w:p>
            <w:pPr>
              <w:spacing w:after="0"/>
              <w:rPr>
                <w:sz w:val="14"/>
                <w:szCs w:val="14"/>
                <w:color w:val="auto"/>
              </w:rPr>
            </w:pP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5160" w:type="dxa"/>
            <w:vAlign w:val="bottom"/>
          </w:tcPr>
          <w:p>
            <w:pPr>
              <w:spacing w:after="0"/>
              <w:rPr>
                <w:sz w:val="21"/>
                <w:szCs w:val="21"/>
                <w:color w:val="auto"/>
              </w:rPr>
            </w:pP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160" w:type="dxa"/>
            <w:vAlign w:val="bottom"/>
          </w:tcPr>
          <w:p>
            <w:pPr>
              <w:spacing w:after="0"/>
              <w:rPr>
                <w:sz w:val="20"/>
                <w:szCs w:val="20"/>
                <w:color w:val="auto"/>
              </w:rPr>
            </w:pPr>
            <w:r>
              <w:rPr>
                <w:rFonts w:ascii="Courier New" w:cs="Courier New" w:eastAsia="Courier New" w:hAnsi="Courier New"/>
                <w:sz w:val="15"/>
                <w:szCs w:val="15"/>
                <w:color w:val="auto"/>
              </w:rPr>
              <w:t>Diluted earnings per share, before extraordinary loss</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$ 0.80</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$ 0.52</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$ 2.53</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$ 2.52</w:t>
            </w:r>
          </w:p>
        </w:tc>
        <w:tc>
          <w:tcPr>
            <w:tcW w:w="0" w:type="dxa"/>
            <w:vAlign w:val="bottom"/>
          </w:tcPr>
          <w:p>
            <w:pPr>
              <w:spacing w:after="0"/>
              <w:rPr>
                <w:sz w:val="1"/>
                <w:szCs w:val="1"/>
                <w:color w:val="auto"/>
              </w:rPr>
            </w:pPr>
          </w:p>
        </w:tc>
      </w:tr>
      <w:tr>
        <w:trPr>
          <w:trHeight w:val="170"/>
        </w:trPr>
        <w:tc>
          <w:tcPr>
            <w:tcW w:w="5160" w:type="dxa"/>
            <w:vAlign w:val="bottom"/>
          </w:tcPr>
          <w:p>
            <w:pPr>
              <w:spacing w:after="0"/>
              <w:rPr>
                <w:sz w:val="20"/>
                <w:szCs w:val="20"/>
                <w:color w:val="auto"/>
              </w:rPr>
            </w:pPr>
            <w:r>
              <w:rPr>
                <w:rFonts w:ascii="Courier New" w:cs="Courier New" w:eastAsia="Courier New" w:hAnsi="Courier New"/>
                <w:sz w:val="15"/>
                <w:szCs w:val="15"/>
                <w:color w:val="auto"/>
              </w:rPr>
              <w:t>Extraordinary loss, net of income tax benefit</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(0.13)</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(0.13)</w:t>
            </w:r>
          </w:p>
        </w:tc>
        <w:tc>
          <w:tcPr>
            <w:tcW w:w="102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60" w:type="dxa"/>
            <w:vAlign w:val="bottom"/>
            <w:vMerge w:val="restart"/>
          </w:tcPr>
          <w:p>
            <w:pPr>
              <w:spacing w:after="0"/>
              <w:rPr>
                <w:sz w:val="20"/>
                <w:szCs w:val="20"/>
                <w:color w:val="auto"/>
              </w:rPr>
            </w:pPr>
            <w:r>
              <w:rPr>
                <w:rFonts w:ascii="Courier New" w:cs="Courier New" w:eastAsia="Courier New" w:hAnsi="Courier New"/>
                <w:sz w:val="15"/>
                <w:szCs w:val="15"/>
                <w:color w:val="auto"/>
              </w:rPr>
              <w:t>Diluted earnings per share</w:t>
            </w:r>
          </w:p>
        </w:tc>
        <w:tc>
          <w:tcPr>
            <w:tcW w:w="1500" w:type="dxa"/>
            <w:vAlign w:val="bottom"/>
            <w:vMerge w:val="restart"/>
          </w:tcPr>
          <w:p>
            <w:pPr>
              <w:jc w:val="right"/>
              <w:ind w:right="327"/>
              <w:spacing w:after="0"/>
              <w:rPr>
                <w:sz w:val="20"/>
                <w:szCs w:val="20"/>
                <w:color w:val="auto"/>
              </w:rPr>
            </w:pPr>
            <w:r>
              <w:rPr>
                <w:rFonts w:ascii="Courier New" w:cs="Courier New" w:eastAsia="Courier New" w:hAnsi="Courier New"/>
                <w:sz w:val="29"/>
                <w:szCs w:val="29"/>
                <w:color w:val="auto"/>
                <w:w w:val="96"/>
                <w:vertAlign w:val="subscript"/>
              </w:rPr>
              <w:t>$</w:t>
            </w:r>
            <w:r>
              <w:rPr>
                <w:rFonts w:ascii="Courier New" w:cs="Courier New" w:eastAsia="Courier New" w:hAnsi="Courier New"/>
                <w:sz w:val="15"/>
                <w:szCs w:val="15"/>
                <w:color w:val="auto"/>
                <w:w w:val="96"/>
              </w:rPr>
              <w:t>------</w:t>
            </w:r>
            <w:r>
              <w:rPr>
                <w:rFonts w:ascii="Courier New" w:cs="Courier New" w:eastAsia="Courier New" w:hAnsi="Courier New"/>
                <w:sz w:val="29"/>
                <w:szCs w:val="29"/>
                <w:color w:val="auto"/>
                <w:w w:val="96"/>
                <w:vertAlign w:val="subscript"/>
              </w:rPr>
              <w:t>0.67</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6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$ 0.52</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$ 2.40</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$ 2.52</w:t>
            </w:r>
          </w:p>
        </w:tc>
        <w:tc>
          <w:tcPr>
            <w:tcW w:w="0" w:type="dxa"/>
            <w:vAlign w:val="bottom"/>
          </w:tcPr>
          <w:p>
            <w:pPr>
              <w:spacing w:after="0"/>
              <w:rPr>
                <w:sz w:val="1"/>
                <w:szCs w:val="1"/>
                <w:color w:val="auto"/>
              </w:rPr>
            </w:pPr>
          </w:p>
        </w:tc>
      </w:tr>
      <w:tr>
        <w:trPr>
          <w:trHeight w:val="170"/>
        </w:trPr>
        <w:tc>
          <w:tcPr>
            <w:tcW w:w="5160" w:type="dxa"/>
            <w:vAlign w:val="bottom"/>
          </w:tcPr>
          <w:p>
            <w:pPr>
              <w:spacing w:after="0"/>
              <w:rPr>
                <w:sz w:val="14"/>
                <w:szCs w:val="14"/>
                <w:color w:val="auto"/>
              </w:rPr>
            </w:pP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5160" w:type="dxa"/>
            <w:vAlign w:val="bottom"/>
          </w:tcPr>
          <w:p>
            <w:pPr>
              <w:spacing w:after="0"/>
              <w:rPr>
                <w:sz w:val="21"/>
                <w:szCs w:val="21"/>
                <w:color w:val="auto"/>
              </w:rPr>
            </w:pP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848"/>
        </w:trPr>
        <w:tc>
          <w:tcPr>
            <w:tcW w:w="5160" w:type="dxa"/>
            <w:vAlign w:val="bottom"/>
          </w:tcPr>
          <w:p>
            <w:pPr>
              <w:ind w:left="3620"/>
              <w:spacing w:after="0"/>
              <w:rPr>
                <w:sz w:val="20"/>
                <w:szCs w:val="20"/>
                <w:color w:val="auto"/>
              </w:rPr>
            </w:pPr>
            <w:r>
              <w:rPr>
                <w:rFonts w:ascii="Courier New" w:cs="Courier New" w:eastAsia="Courier New" w:hAnsi="Courier New"/>
                <w:sz w:val="15"/>
                <w:szCs w:val="15"/>
                <w:color w:val="auto"/>
              </w:rPr>
              <w:t>8</w:t>
            </w:r>
          </w:p>
        </w:tc>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00"/>
          </w:cols>
          <w:pgMar w:left="240" w:top="601" w:right="125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NEW ACCOUNTING PRONOUNCEMENTS (CONTINUED)</w:t>
      </w:r>
    </w:p>
    <w:p>
      <w:pPr>
        <w:spacing w:after="0" w:line="169" w:lineRule="exact"/>
        <w:rPr>
          <w:sz w:val="20"/>
          <w:szCs w:val="20"/>
          <w:color w:val="auto"/>
        </w:rPr>
      </w:pPr>
    </w:p>
    <w:p>
      <w:pPr>
        <w:ind w:left="340" w:right="3259"/>
        <w:spacing w:after="0" w:line="261" w:lineRule="auto"/>
        <w:rPr>
          <w:sz w:val="20"/>
          <w:szCs w:val="20"/>
          <w:color w:val="auto"/>
        </w:rPr>
      </w:pPr>
      <w:r>
        <w:rPr>
          <w:rFonts w:ascii="Courier New" w:cs="Courier New" w:eastAsia="Courier New" w:hAnsi="Courier New"/>
          <w:sz w:val="15"/>
          <w:szCs w:val="15"/>
          <w:color w:val="auto"/>
        </w:rPr>
        <w:t>Also in February 1997, the FASB issued Statement of Financial Accounting Standards No. 129, "Disclosure of Information about Capital Structure," (SFAS 129) which consolidates existing requirements regarding capital structure. SFAS 129 will be required to be adopted in the first quarter of fiscal 1998, and is not expected to have a material impact on the company's current capital structure disclosures.</w:t>
      </w:r>
    </w:p>
    <w:p>
      <w:pPr>
        <w:spacing w:after="0" w:line="78" w:lineRule="exact"/>
        <w:rPr>
          <w:sz w:val="20"/>
          <w:szCs w:val="20"/>
          <w:color w:val="auto"/>
        </w:rPr>
      </w:pPr>
    </w:p>
    <w:p>
      <w:pPr>
        <w:ind w:left="340" w:right="3439"/>
        <w:spacing w:after="0" w:line="275" w:lineRule="auto"/>
        <w:rPr>
          <w:sz w:val="20"/>
          <w:szCs w:val="20"/>
          <w:color w:val="auto"/>
        </w:rPr>
      </w:pPr>
      <w:r>
        <w:rPr>
          <w:rFonts w:ascii="Courier New" w:cs="Courier New" w:eastAsia="Courier New" w:hAnsi="Courier New"/>
          <w:sz w:val="15"/>
          <w:szCs w:val="15"/>
          <w:color w:val="auto"/>
        </w:rPr>
        <w:t>In June 1997, the FASB issued Statement of Financial Accounting Standards No. 130, " Reporting Comprehensive Income," (SFAS 130) and Statement of Financial Accounting Standards No. 131, "Disclosures about Segments of an Enterprise and Related Information," (SFAS 131).</w:t>
      </w:r>
    </w:p>
    <w:p>
      <w:pPr>
        <w:spacing w:after="0" w:line="69" w:lineRule="exact"/>
        <w:rPr>
          <w:sz w:val="20"/>
          <w:szCs w:val="20"/>
          <w:color w:val="auto"/>
        </w:rPr>
      </w:pPr>
    </w:p>
    <w:p>
      <w:pPr>
        <w:ind w:left="340" w:right="3259"/>
        <w:spacing w:after="0" w:line="254" w:lineRule="auto"/>
        <w:rPr>
          <w:sz w:val="20"/>
          <w:szCs w:val="20"/>
          <w:color w:val="auto"/>
        </w:rPr>
      </w:pPr>
      <w:r>
        <w:rPr>
          <w:rFonts w:ascii="Courier New" w:cs="Courier New" w:eastAsia="Courier New" w:hAnsi="Courier New"/>
          <w:sz w:val="15"/>
          <w:szCs w:val="15"/>
          <w:color w:val="auto"/>
        </w:rPr>
        <w:t>SFAS 130 establishes standards for reporting and displaying the components of comprehensive income and the accumulated balance of other comprehensive income within total stockholders' equity. The company is required to adopt SFAS 130 beginning in the second quarter of fiscal 1998, with reclassification of prior period information for comparative purposes required. The adoption of SFAS 130 will require additional disclosures, but is not expected to have a material impact on the company's consolidated financial statements.</w:t>
      </w:r>
    </w:p>
    <w:p>
      <w:pPr>
        <w:spacing w:after="0" w:line="87" w:lineRule="exact"/>
        <w:rPr>
          <w:sz w:val="20"/>
          <w:szCs w:val="20"/>
          <w:color w:val="auto"/>
        </w:rPr>
      </w:pPr>
    </w:p>
    <w:p>
      <w:pPr>
        <w:ind w:left="340" w:right="3259"/>
        <w:spacing w:after="0" w:line="271" w:lineRule="auto"/>
        <w:rPr>
          <w:sz w:val="20"/>
          <w:szCs w:val="20"/>
          <w:color w:val="auto"/>
        </w:rPr>
      </w:pPr>
      <w:r>
        <w:rPr>
          <w:rFonts w:ascii="Courier New" w:cs="Courier New" w:eastAsia="Courier New" w:hAnsi="Courier New"/>
          <w:sz w:val="14"/>
          <w:szCs w:val="14"/>
          <w:color w:val="auto"/>
        </w:rPr>
        <w:t>SFAS 131 requires disclosure of selected information about operating segments including segment income, revenues and asset data, as well as descriptive information about how operating segments are determined and the products and services provided by the segments. Generally, financial information will be required to be reported on the same basis that it is used internally for evaluating segment performance and deciding how to allocate resources to segments. The company will be required to adopt SFAS 131 beginning with its 1999 fiscal year end annual report. The adoption of SFAS 131 will require additional disclosures but is not expected to have a material impact on the company's consolidated financial statements.</w:t>
      </w:r>
    </w:p>
    <w:p>
      <w:pPr>
        <w:spacing w:after="0" w:line="74"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01" w:right="1440" w:bottom="1440" w:gutter="0" w:footer="0" w:header="0"/>
        </w:sectPr>
      </w:pPr>
    </w:p>
    <w:bookmarkStart w:id="9" w:name="page10"/>
    <w:bookmarkEnd w:id="9"/>
    <w:p>
      <w:pPr>
        <w:jc w:val="center"/>
        <w:ind w:right="273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26"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5"/>
          <w:szCs w:val="15"/>
          <w:color w:val="auto"/>
        </w:rPr>
        <w:t>AND RESULTS OF OPERATIONS</w:t>
      </w: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INFORMATION</w:t>
      </w:r>
    </w:p>
    <w:p>
      <w:pPr>
        <w:spacing w:after="0" w:line="169" w:lineRule="exact"/>
        <w:rPr>
          <w:sz w:val="20"/>
          <w:szCs w:val="20"/>
          <w:color w:val="auto"/>
        </w:rPr>
      </w:pPr>
    </w:p>
    <w:p>
      <w:pPr>
        <w:ind w:right="3539"/>
        <w:spacing w:after="0" w:line="289" w:lineRule="auto"/>
        <w:rPr>
          <w:sz w:val="20"/>
          <w:szCs w:val="20"/>
          <w:color w:val="auto"/>
        </w:rPr>
      </w:pPr>
      <w:r>
        <w:rPr>
          <w:rFonts w:ascii="Courier New" w:cs="Courier New" w:eastAsia="Courier New" w:hAnsi="Courier New"/>
          <w:sz w:val="14"/>
          <w:szCs w:val="14"/>
          <w:color w:val="auto"/>
        </w:rPr>
        <w:t>SAFE HARBOR STATEMENT UNDER THE PRIVATE SECURITIES LITIGATION REFORM ACT OF 1995: This report contains forward-looking statements within the meaning of Section 27A of the Securities Act of 1933 and Section 21E of the Securities Exchange Act of 1934. In addition, forward-looking statements may be made orally in the future by or on behalf of the company.</w:t>
      </w:r>
    </w:p>
    <w:p>
      <w:pPr>
        <w:spacing w:after="0" w:line="62" w:lineRule="exact"/>
        <w:rPr>
          <w:sz w:val="20"/>
          <w:szCs w:val="20"/>
          <w:color w:val="auto"/>
        </w:rPr>
      </w:pPr>
    </w:p>
    <w:p>
      <w:pPr>
        <w:ind w:right="3439"/>
        <w:spacing w:after="0" w:line="245" w:lineRule="auto"/>
        <w:rPr>
          <w:sz w:val="20"/>
          <w:szCs w:val="20"/>
          <w:color w:val="auto"/>
        </w:rPr>
      </w:pPr>
      <w:r>
        <w:rPr>
          <w:rFonts w:ascii="Courier New" w:cs="Courier New" w:eastAsia="Courier New" w:hAnsi="Courier New"/>
          <w:sz w:val="15"/>
          <w:szCs w:val="15"/>
          <w:color w:val="auto"/>
        </w:rPr>
        <w:t>Forward-looking statements involve risks and uncertainties, including, but not limited to, changes in business conditions and the economy in general in both foreign and domestic markets; weather conditions affecting demand; seasonal factors affecting the company's industry; lack of growth in the company's markets; litigation; financial market changes including interest rates and foreign exchange rates; trend factors including housing starts, new golf course starts and market demographics; government actions including budget levels, regulation, and legislation, primarily legislation relating to the environment, commerce and infrastructure, and health and safety; labor relations; availability of materials; actions of competitors; ability to integrate acquisitions; and the company's ability to profitably develop, manufacture and sell both new and existing products. Actual results could differ materially from those projected in the forward-looking statements as a result of these risk factors, and should not be relied upon as a prediction of actual future results. Further, Toro undertakes no obligation to update any forward-looking statement to reflect events or circumstances after the date on which such statement is made, or to reflect the occurrence of unanticipated events.</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9" w:lineRule="exact"/>
        <w:rPr>
          <w:sz w:val="20"/>
          <w:szCs w:val="20"/>
          <w:color w:val="auto"/>
        </w:rPr>
      </w:pPr>
    </w:p>
    <w:p>
      <w:pPr>
        <w:ind w:right="3439"/>
        <w:spacing w:after="0" w:line="250" w:lineRule="auto"/>
        <w:rPr>
          <w:sz w:val="20"/>
          <w:szCs w:val="20"/>
          <w:color w:val="auto"/>
        </w:rPr>
      </w:pPr>
      <w:r>
        <w:rPr>
          <w:rFonts w:ascii="Courier New" w:cs="Courier New" w:eastAsia="Courier New" w:hAnsi="Courier New"/>
          <w:sz w:val="15"/>
          <w:szCs w:val="15"/>
          <w:color w:val="auto"/>
        </w:rPr>
        <w:t>Third quarter net earnings before the effect of an extraordinary loss rose 53.9% to $9.9 million from the net earnings of $6.5 million for the same period in the previous year. Earnings per share before the effect of an extraordinary loss for the third quarter improved 53.8% to $0.80 from $0.52 in the previous period. An extraordinary loss on the prepayment of $50.0 million of 11% Debentures was recognized in the third quarter of fiscal 1997, reducing net earnings for the third quarter to $8.3 million or $0.67 per share. The prepayment was part of an overall debt restructuring (See "Liquidity and Capital Resources"). Net sales increased from $232.6 million in the third quarter of 1996 to $249.3 million in the third quarter of 1997, as a result of factors discussed in the following paragraphs.</w:t>
      </w:r>
    </w:p>
    <w:p>
      <w:pPr>
        <w:spacing w:after="0" w:line="87" w:lineRule="exact"/>
        <w:rPr>
          <w:sz w:val="20"/>
          <w:szCs w:val="20"/>
          <w:color w:val="auto"/>
        </w:rPr>
      </w:pPr>
    </w:p>
    <w:p>
      <w:pPr>
        <w:ind w:right="3179"/>
        <w:spacing w:after="0" w:line="275" w:lineRule="auto"/>
        <w:rPr>
          <w:sz w:val="20"/>
          <w:szCs w:val="20"/>
          <w:color w:val="auto"/>
        </w:rPr>
      </w:pPr>
      <w:r>
        <w:rPr>
          <w:rFonts w:ascii="Courier New" w:cs="Courier New" w:eastAsia="Courier New" w:hAnsi="Courier New"/>
          <w:sz w:val="15"/>
          <w:szCs w:val="15"/>
          <w:color w:val="auto"/>
        </w:rPr>
        <w:t>For the nine months ended August 1, 1997 net sales increased from the same period in 1996 by $77.7 million or 10.6%. Net earnings before the extraordinary loss for the nine months ended August 1, 1997 were $31.5 million as compared to $31.8 million for the same period last year.</w:t>
      </w:r>
    </w:p>
    <w:p>
      <w:pPr>
        <w:spacing w:after="0" w:line="69" w:lineRule="exact"/>
        <w:rPr>
          <w:sz w:val="20"/>
          <w:szCs w:val="20"/>
          <w:color w:val="auto"/>
        </w:rPr>
      </w:pPr>
    </w:p>
    <w:p>
      <w:pPr>
        <w:ind w:right="3359"/>
        <w:spacing w:after="0" w:line="261" w:lineRule="auto"/>
        <w:rPr>
          <w:sz w:val="20"/>
          <w:szCs w:val="20"/>
          <w:color w:val="auto"/>
        </w:rPr>
      </w:pPr>
      <w:r>
        <w:rPr>
          <w:rFonts w:ascii="Courier New" w:cs="Courier New" w:eastAsia="Courier New" w:hAnsi="Courier New"/>
          <w:sz w:val="15"/>
          <w:szCs w:val="15"/>
          <w:color w:val="auto"/>
        </w:rPr>
        <w:t>In both fiscal 1996 and 1997 the spring mowing season was late and wet in many key markets. In fiscal 1997 these unpredictable weather patterns heightened a conservative buying attitude among dealers and distributors. The company continues to focus on more efficient asset management, the integration of the Hardie acquisition, and other new strategic alliances and acquisitions to promote further diversification and growth.</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sets forth net sales by product line.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Three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0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w:t>
            </w:r>
          </w:p>
        </w:tc>
        <w:tc>
          <w:tcPr>
            <w:tcW w:w="140" w:type="dxa"/>
            <w:vAlign w:val="bottom"/>
          </w:tcPr>
          <w:p>
            <w:pPr>
              <w:spacing w:after="0"/>
              <w:rPr>
                <w:sz w:val="14"/>
                <w:szCs w:val="14"/>
                <w:color w:val="auto"/>
              </w:rPr>
            </w:pPr>
          </w:p>
        </w:tc>
        <w:tc>
          <w:tcPr>
            <w:tcW w:w="3520" w:type="dxa"/>
            <w:vAlign w:val="bottom"/>
            <w:gridSpan w:val="6"/>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3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August 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August 2,</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CHANGE</w:t>
            </w:r>
          </w:p>
        </w:tc>
        <w:tc>
          <w:tcPr>
            <w:tcW w:w="8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CHANGE</w:t>
            </w:r>
          </w:p>
        </w:tc>
        <w:tc>
          <w:tcPr>
            <w:tcW w:w="0" w:type="dxa"/>
            <w:vAlign w:val="bottom"/>
          </w:tcPr>
          <w:p>
            <w:pPr>
              <w:spacing w:after="0"/>
              <w:rPr>
                <w:sz w:val="1"/>
                <w:szCs w:val="1"/>
                <w:color w:val="auto"/>
              </w:rPr>
            </w:pPr>
          </w:p>
        </w:tc>
      </w:tr>
      <w:tr>
        <w:trPr>
          <w:trHeight w:val="170"/>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ind w:left="360"/>
              <w:spacing w:after="0"/>
              <w:rPr>
                <w:sz w:val="20"/>
                <w:szCs w:val="20"/>
                <w:color w:val="auto"/>
              </w:rPr>
            </w:pPr>
            <w:r>
              <w:rPr>
                <w:rFonts w:ascii="Courier New" w:cs="Courier New" w:eastAsia="Courier New" w:hAnsi="Courier New"/>
                <w:sz w:val="15"/>
                <w:szCs w:val="15"/>
                <w:color w:val="auto"/>
                <w:w w:val="99"/>
              </w:rPr>
              <w:t>1997</w:t>
            </w:r>
          </w:p>
        </w:tc>
        <w:tc>
          <w:tcPr>
            <w:tcW w:w="1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c>
          <w:tcPr>
            <w:tcW w:w="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00" w:type="dxa"/>
            <w:vAlign w:val="bottom"/>
            <w:vMerge w:val="restart"/>
          </w:tcPr>
          <w:p>
            <w:pPr>
              <w:spacing w:after="0"/>
              <w:rPr>
                <w:sz w:val="20"/>
                <w:szCs w:val="20"/>
                <w:color w:val="auto"/>
              </w:rPr>
            </w:pPr>
            <w:r>
              <w:rPr>
                <w:rFonts w:ascii="Courier New" w:cs="Courier New" w:eastAsia="Courier New" w:hAnsi="Courier New"/>
                <w:sz w:val="15"/>
                <w:szCs w:val="15"/>
                <w:color w:val="auto"/>
              </w:rPr>
              <w:t>Consumer products. . .</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200" w:type="dxa"/>
            <w:vAlign w:val="bottom"/>
            <w:vMerge w:val="continue"/>
          </w:tcPr>
          <w:p>
            <w:pPr>
              <w:ind w:left="2020"/>
              <w:spacing w:after="0" w:line="148" w:lineRule="exact"/>
              <w:rPr>
                <w:sz w:val="20"/>
                <w:szCs w:val="20"/>
                <w:color w:val="auto"/>
              </w:rPr>
            </w:pPr>
            <w:r>
              <w:rPr>
                <w:rFonts w:ascii="Courier New" w:cs="Courier New" w:eastAsia="Courier New" w:hAnsi="Courier New"/>
                <w:sz w:val="15"/>
                <w:szCs w:val="15"/>
                <w:color w:val="auto"/>
                <w:w w:val="99"/>
              </w:rPr>
              <w:t>. . . . . . .</w:t>
            </w:r>
          </w:p>
        </w:tc>
        <w:tc>
          <w:tcPr>
            <w:tcW w:w="140" w:type="dxa"/>
            <w:vAlign w:val="bottom"/>
            <w:vMerge w:val="continue"/>
          </w:tcPr>
          <w:p>
            <w:pPr>
              <w:spacing w:after="0"/>
              <w:rPr>
                <w:sz w:val="14"/>
                <w:szCs w:val="14"/>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81,888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102,290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7"/>
              </w:rPr>
              <w:t>(20,402)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(19.9)%</w:t>
            </w:r>
          </w:p>
        </w:tc>
        <w:tc>
          <w:tcPr>
            <w:tcW w:w="0" w:type="dxa"/>
            <w:vAlign w:val="bottom"/>
          </w:tcPr>
          <w:p>
            <w:pPr>
              <w:spacing w:after="0"/>
              <w:rPr>
                <w:sz w:val="1"/>
                <w:szCs w:val="1"/>
                <w:color w:val="auto"/>
              </w:rPr>
            </w:pP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w w:val="98"/>
              </w:rPr>
              <w:t>Commercial products. . . . . . . . .</w:t>
            </w:r>
          </w:p>
        </w:tc>
        <w:tc>
          <w:tcPr>
            <w:tcW w:w="1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89,832</w:t>
            </w:r>
          </w:p>
        </w:tc>
        <w:tc>
          <w:tcPr>
            <w:tcW w:w="1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84,828</w:t>
            </w:r>
          </w:p>
        </w:tc>
        <w:tc>
          <w:tcPr>
            <w:tcW w:w="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5,004</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w:t>
            </w:r>
          </w:p>
        </w:tc>
        <w:tc>
          <w:tcPr>
            <w:tcW w:w="0" w:type="dxa"/>
            <w:vAlign w:val="bottom"/>
          </w:tcPr>
          <w:p>
            <w:pPr>
              <w:spacing w:after="0"/>
              <w:rPr>
                <w:sz w:val="1"/>
                <w:szCs w:val="1"/>
                <w:color w:val="auto"/>
              </w:rPr>
            </w:pP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w w:val="98"/>
              </w:rPr>
              <w:t>Irrigation products. . . . . . . . .</w:t>
            </w:r>
          </w:p>
        </w:tc>
        <w:tc>
          <w:tcPr>
            <w:tcW w:w="1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77,554</w:t>
            </w:r>
          </w:p>
        </w:tc>
        <w:tc>
          <w:tcPr>
            <w:tcW w:w="1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45,447</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32,107</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70.6</w:t>
            </w:r>
          </w:p>
        </w:tc>
        <w:tc>
          <w:tcPr>
            <w:tcW w:w="0" w:type="dxa"/>
            <w:vAlign w:val="bottom"/>
          </w:tcPr>
          <w:p>
            <w:pPr>
              <w:spacing w:after="0"/>
              <w:rPr>
                <w:sz w:val="1"/>
                <w:szCs w:val="1"/>
                <w:color w:val="auto"/>
              </w:rPr>
            </w:pPr>
          </w:p>
        </w:tc>
      </w:tr>
      <w:tr>
        <w:trPr>
          <w:trHeight w:val="170"/>
        </w:trPr>
        <w:tc>
          <w:tcPr>
            <w:tcW w:w="320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Total *. . . . . .</w:t>
            </w:r>
          </w:p>
        </w:tc>
        <w:tc>
          <w:tcPr>
            <w:tcW w:w="14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71"/>
                <w:vertAlign w:val="subscript"/>
              </w:rPr>
              <w:t>$</w:t>
            </w:r>
            <w:r>
              <w:rPr>
                <w:rFonts w:ascii="Courier New" w:cs="Courier New" w:eastAsia="Courier New" w:hAnsi="Courier New"/>
                <w:sz w:val="3"/>
                <w:szCs w:val="3"/>
                <w:color w:val="auto"/>
                <w:w w:val="71"/>
              </w:rPr>
              <w:t>--------</w:t>
            </w: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w w:val="95"/>
              </w:rPr>
              <w:t>249,274</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8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7.2%</w:t>
            </w:r>
          </w:p>
        </w:tc>
        <w:tc>
          <w:tcPr>
            <w:tcW w:w="0" w:type="dxa"/>
            <w:vAlign w:val="bottom"/>
          </w:tcPr>
          <w:p>
            <w:pPr>
              <w:spacing w:after="0"/>
              <w:rPr>
                <w:sz w:val="1"/>
                <w:szCs w:val="1"/>
                <w:color w:val="auto"/>
              </w:rPr>
            </w:pPr>
          </w:p>
        </w:tc>
      </w:tr>
      <w:tr>
        <w:trPr>
          <w:trHeight w:val="170"/>
        </w:trPr>
        <w:tc>
          <w:tcPr>
            <w:tcW w:w="3200" w:type="dxa"/>
            <w:vAlign w:val="bottom"/>
            <w:vMerge w:val="continue"/>
          </w:tcPr>
          <w:p>
            <w:pPr>
              <w:ind w:left="2020"/>
              <w:spacing w:after="0" w:line="148" w:lineRule="exact"/>
              <w:rPr>
                <w:sz w:val="20"/>
                <w:szCs w:val="20"/>
                <w:color w:val="auto"/>
              </w:rPr>
            </w:pPr>
            <w:r>
              <w:rPr>
                <w:rFonts w:ascii="Courier New" w:cs="Courier New" w:eastAsia="Courier New" w:hAnsi="Courier New"/>
                <w:sz w:val="15"/>
                <w:szCs w:val="15"/>
                <w:color w:val="auto"/>
                <w:w w:val="99"/>
              </w:rPr>
              <w:t>. . . . . . .</w:t>
            </w:r>
          </w:p>
        </w:tc>
        <w:tc>
          <w:tcPr>
            <w:tcW w:w="1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232,565</w:t>
            </w:r>
          </w:p>
        </w:tc>
        <w:tc>
          <w:tcPr>
            <w:tcW w:w="80" w:type="dxa"/>
            <w:vAlign w:val="bottom"/>
            <w:vMerge w:val="continue"/>
          </w:tcPr>
          <w:p>
            <w:pPr>
              <w:spacing w:after="0"/>
              <w:rPr>
                <w:sz w:val="14"/>
                <w:szCs w:val="14"/>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16,709</w:t>
            </w: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00" w:type="dxa"/>
            <w:vAlign w:val="bottom"/>
          </w:tcPr>
          <w:p>
            <w:pPr>
              <w:spacing w:after="0"/>
              <w:rPr>
                <w:sz w:val="14"/>
                <w:szCs w:val="14"/>
                <w:color w:val="auto"/>
              </w:rPr>
            </w:pPr>
          </w:p>
        </w:tc>
        <w:tc>
          <w:tcPr>
            <w:tcW w:w="880" w:type="dxa"/>
            <w:vAlign w:val="bottom"/>
            <w:gridSpan w:val="2"/>
          </w:tcPr>
          <w:p>
            <w:pPr>
              <w:jc w:val="center"/>
              <w:ind w:left="41"/>
              <w:spacing w:after="0"/>
              <w:rPr>
                <w:sz w:val="20"/>
                <w:szCs w:val="20"/>
                <w:color w:val="auto"/>
              </w:rPr>
            </w:pPr>
            <w:r>
              <w:rPr>
                <w:rFonts w:ascii="Courier New" w:cs="Courier New" w:eastAsia="Courier New" w:hAnsi="Courier New"/>
                <w:sz w:val="15"/>
                <w:szCs w:val="15"/>
                <w:color w:val="auto"/>
                <w:w w:val="97"/>
              </w:rPr>
              <w:t>--------</w:t>
            </w:r>
          </w:p>
        </w:tc>
        <w:tc>
          <w:tcPr>
            <w:tcW w:w="1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200" w:type="dxa"/>
            <w:vAlign w:val="bottom"/>
          </w:tcPr>
          <w:p>
            <w:pPr>
              <w:spacing w:after="0"/>
              <w:rPr>
                <w:sz w:val="21"/>
                <w:szCs w:val="21"/>
                <w:color w:val="auto"/>
              </w:rPr>
            </w:pPr>
          </w:p>
        </w:tc>
        <w:tc>
          <w:tcPr>
            <w:tcW w:w="880" w:type="dxa"/>
            <w:vAlign w:val="bottom"/>
            <w:gridSpan w:val="2"/>
          </w:tcPr>
          <w:p>
            <w:pPr>
              <w:jc w:val="center"/>
              <w:ind w:left="41"/>
              <w:spacing w:after="0"/>
              <w:rPr>
                <w:sz w:val="20"/>
                <w:szCs w:val="20"/>
                <w:color w:val="auto"/>
              </w:rPr>
            </w:pPr>
            <w:r>
              <w:rPr>
                <w:rFonts w:ascii="Courier New" w:cs="Courier New" w:eastAsia="Courier New" w:hAnsi="Courier New"/>
                <w:sz w:val="15"/>
                <w:szCs w:val="15"/>
                <w:color w:val="auto"/>
                <w:w w:val="97"/>
              </w:rPr>
              <w:t>--------</w:t>
            </w:r>
          </w:p>
        </w:tc>
        <w:tc>
          <w:tcPr>
            <w:tcW w:w="140" w:type="dxa"/>
            <w:vAlign w:val="bottom"/>
          </w:tcPr>
          <w:p>
            <w:pPr>
              <w:spacing w:after="0"/>
              <w:rPr>
                <w:sz w:val="21"/>
                <w:szCs w:val="21"/>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8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w w:val="97"/>
              </w:rPr>
              <w:t>* Includes international sales of: . $</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48,972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43,238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5,734</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13.3%</w:t>
            </w:r>
          </w:p>
        </w:tc>
        <w:tc>
          <w:tcPr>
            <w:tcW w:w="0" w:type="dxa"/>
            <w:vAlign w:val="bottom"/>
          </w:tcPr>
          <w:p>
            <w:pPr>
              <w:spacing w:after="0"/>
              <w:rPr>
                <w:sz w:val="1"/>
                <w:szCs w:val="1"/>
                <w:color w:val="auto"/>
              </w:rPr>
            </w:pPr>
          </w:p>
        </w:tc>
      </w:tr>
      <w:tr>
        <w:trPr>
          <w:trHeight w:val="678"/>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ind w:left="360"/>
              <w:spacing w:after="0"/>
              <w:rPr>
                <w:sz w:val="20"/>
                <w:szCs w:val="20"/>
                <w:color w:val="auto"/>
              </w:rPr>
            </w:pPr>
            <w:r>
              <w:rPr>
                <w:rFonts w:ascii="Courier New" w:cs="Courier New" w:eastAsia="Courier New" w:hAnsi="Courier New"/>
                <w:sz w:val="15"/>
                <w:szCs w:val="15"/>
                <w:color w:val="auto"/>
              </w:rPr>
              <w:t>10</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01" w:right="1440"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40" w:type="dxa"/>
            <w:vAlign w:val="bottom"/>
            <w:gridSpan w:val="2"/>
          </w:tcPr>
          <w:p>
            <w:pPr>
              <w:jc w:val="right"/>
              <w:ind w:right="109"/>
              <w:spacing w:after="0"/>
              <w:rPr>
                <w:sz w:val="20"/>
                <w:szCs w:val="20"/>
                <w:color w:val="auto"/>
              </w:rPr>
            </w:pPr>
            <w:r>
              <w:rPr>
                <w:rFonts w:ascii="Courier New" w:cs="Courier New" w:eastAsia="Courier New" w:hAnsi="Courier New"/>
                <w:sz w:val="15"/>
                <w:szCs w:val="15"/>
                <w:color w:val="auto"/>
              </w:rPr>
              <w:t>Nine Months Ended</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0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w:t>
            </w:r>
          </w:p>
        </w:tc>
        <w:tc>
          <w:tcPr>
            <w:tcW w:w="366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200" w:type="dxa"/>
            <w:vAlign w:val="bottom"/>
            <w:vMerge w:val="continue"/>
          </w:tcPr>
          <w:p>
            <w:pPr>
              <w:spacing w:after="0"/>
              <w:rPr>
                <w:sz w:val="14"/>
                <w:szCs w:val="14"/>
                <w:color w:val="auto"/>
              </w:rPr>
            </w:pPr>
          </w:p>
        </w:tc>
        <w:tc>
          <w:tcPr>
            <w:tcW w:w="200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August 1,  August 2,</w:t>
            </w:r>
          </w:p>
        </w:tc>
        <w:tc>
          <w:tcPr>
            <w:tcW w:w="880" w:type="dxa"/>
            <w:vAlign w:val="bottom"/>
            <w:vMerge w:val="restart"/>
          </w:tcPr>
          <w:p>
            <w:pPr>
              <w:jc w:val="right"/>
              <w:ind w:right="29"/>
              <w:spacing w:after="0"/>
              <w:rPr>
                <w:sz w:val="20"/>
                <w:szCs w:val="20"/>
                <w:color w:val="auto"/>
              </w:rPr>
            </w:pPr>
            <w:r>
              <w:rPr>
                <w:rFonts w:ascii="Courier New" w:cs="Courier New" w:eastAsia="Courier New" w:hAnsi="Courier New"/>
                <w:sz w:val="15"/>
                <w:szCs w:val="15"/>
                <w:color w:val="auto"/>
              </w:rPr>
              <w:t>$ Change</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Change</w:t>
            </w:r>
          </w:p>
        </w:tc>
        <w:tc>
          <w:tcPr>
            <w:tcW w:w="0" w:type="dxa"/>
            <w:vAlign w:val="bottom"/>
          </w:tcPr>
          <w:p>
            <w:pPr>
              <w:spacing w:after="0"/>
              <w:rPr>
                <w:sz w:val="1"/>
                <w:szCs w:val="1"/>
                <w:color w:val="auto"/>
              </w:rPr>
            </w:pPr>
          </w:p>
        </w:tc>
      </w:tr>
      <w:tr>
        <w:trPr>
          <w:trHeight w:val="170"/>
        </w:trPr>
        <w:tc>
          <w:tcPr>
            <w:tcW w:w="3200" w:type="dxa"/>
            <w:vAlign w:val="bottom"/>
          </w:tcPr>
          <w:p>
            <w:pPr>
              <w:spacing w:after="0"/>
              <w:rPr>
                <w:sz w:val="14"/>
                <w:szCs w:val="14"/>
                <w:color w:val="auto"/>
              </w:rPr>
            </w:pPr>
          </w:p>
        </w:tc>
        <w:tc>
          <w:tcPr>
            <w:tcW w:w="940" w:type="dxa"/>
            <w:vAlign w:val="bottom"/>
          </w:tcPr>
          <w:p>
            <w:pPr>
              <w:jc w:val="right"/>
              <w:ind w:right="30"/>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rPr>
              <w:t>1996</w:t>
            </w:r>
          </w:p>
        </w:tc>
        <w:tc>
          <w:tcPr>
            <w:tcW w:w="8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00" w:type="dxa"/>
            <w:vAlign w:val="bottom"/>
            <w:vMerge w:val="restart"/>
          </w:tcPr>
          <w:p>
            <w:pPr>
              <w:spacing w:after="0"/>
              <w:rPr>
                <w:sz w:val="20"/>
                <w:szCs w:val="20"/>
                <w:color w:val="auto"/>
              </w:rPr>
            </w:pPr>
            <w:r>
              <w:rPr>
                <w:rFonts w:ascii="Courier New" w:cs="Courier New" w:eastAsia="Courier New" w:hAnsi="Courier New"/>
                <w:sz w:val="15"/>
                <w:szCs w:val="15"/>
                <w:color w:val="auto"/>
              </w:rPr>
              <w:t>Consumer products. . . . . . . . .</w:t>
            </w:r>
          </w:p>
        </w:tc>
        <w:tc>
          <w:tcPr>
            <w:tcW w:w="940" w:type="dxa"/>
            <w:vAlign w:val="bottom"/>
            <w:vMerge w:val="restart"/>
          </w:tcPr>
          <w:p>
            <w:pPr>
              <w:jc w:val="right"/>
              <w:spacing w:after="0"/>
              <w:rPr>
                <w:sz w:val="20"/>
                <w:szCs w:val="20"/>
                <w:color w:val="auto"/>
              </w:rPr>
            </w:pPr>
            <w:r>
              <w:rPr>
                <w:rFonts w:ascii="Courier New" w:cs="Courier New" w:eastAsia="Courier New" w:hAnsi="Courier New"/>
                <w:sz w:val="20"/>
                <w:szCs w:val="20"/>
                <w:color w:val="auto"/>
                <w:w w:val="71"/>
                <w:vertAlign w:val="subscript"/>
              </w:rPr>
              <w:t>$303,443</w:t>
            </w:r>
            <w:r>
              <w:rPr>
                <w:rFonts w:ascii="Courier New" w:cs="Courier New" w:eastAsia="Courier New" w:hAnsi="Courier New"/>
                <w:sz w:val="12"/>
                <w:szCs w:val="12"/>
                <w:color w:val="auto"/>
                <w:w w:val="71"/>
              </w:rPr>
              <w:t>---------</w:t>
            </w:r>
          </w:p>
        </w:tc>
        <w:tc>
          <w:tcPr>
            <w:tcW w:w="1060" w:type="dxa"/>
            <w:vAlign w:val="bottom"/>
            <w:vMerge w:val="restart"/>
          </w:tcPr>
          <w:p>
            <w:pPr>
              <w:spacing w:after="0"/>
              <w:rPr>
                <w:sz w:val="20"/>
                <w:szCs w:val="20"/>
                <w:color w:val="auto"/>
              </w:rPr>
            </w:pPr>
            <w:r>
              <w:rPr>
                <w:rFonts w:ascii="Courier New" w:cs="Courier New" w:eastAsia="Courier New" w:hAnsi="Courier New"/>
                <w:sz w:val="22"/>
                <w:szCs w:val="22"/>
                <w:color w:val="auto"/>
                <w:w w:val="72"/>
                <w:vertAlign w:val="subscript"/>
              </w:rPr>
              <w:t>$342,722</w:t>
            </w:r>
            <w:r>
              <w:rPr>
                <w:rFonts w:ascii="Courier New" w:cs="Courier New" w:eastAsia="Courier New" w:hAnsi="Courier New"/>
                <w:sz w:val="12"/>
                <w:szCs w:val="12"/>
                <w:color w:val="auto"/>
                <w:w w:val="72"/>
              </w:rPr>
              <w:t>----------</w:t>
            </w:r>
          </w:p>
        </w:tc>
        <w:tc>
          <w:tcPr>
            <w:tcW w:w="880" w:type="dxa"/>
            <w:vAlign w:val="bottom"/>
            <w:vMerge w:val="restart"/>
          </w:tcPr>
          <w:p>
            <w:pPr>
              <w:jc w:val="right"/>
              <w:ind w:right="29"/>
              <w:spacing w:after="0"/>
              <w:rPr>
                <w:sz w:val="20"/>
                <w:szCs w:val="20"/>
                <w:color w:val="auto"/>
              </w:rPr>
            </w:pPr>
            <w:r>
              <w:rPr>
                <w:rFonts w:ascii="Courier New" w:cs="Courier New" w:eastAsia="Courier New" w:hAnsi="Courier New"/>
                <w:sz w:val="10"/>
                <w:szCs w:val="10"/>
                <w:color w:val="auto"/>
                <w:w w:val="70"/>
              </w:rPr>
              <w:t>$(39,279)</w:t>
            </w:r>
            <w:r>
              <w:rPr>
                <w:rFonts w:ascii="Courier New" w:cs="Courier New" w:eastAsia="Courier New" w:hAnsi="Courier New"/>
                <w:sz w:val="17"/>
                <w:szCs w:val="17"/>
                <w:color w:val="auto"/>
                <w:w w:val="70"/>
                <w:vertAlign w:val="superscript"/>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200" w:type="dxa"/>
            <w:vAlign w:val="bottom"/>
            <w:vMerge w:val="continue"/>
          </w:tcPr>
          <w:p>
            <w:pPr>
              <w:ind w:left="3080"/>
              <w:spacing w:after="0" w:line="148" w:lineRule="exact"/>
              <w:rPr>
                <w:sz w:val="20"/>
                <w:szCs w:val="20"/>
                <w:color w:val="auto"/>
              </w:rPr>
            </w:pPr>
            <w:r>
              <w:rPr>
                <w:rFonts w:ascii="Courier New" w:cs="Courier New" w:eastAsia="Courier New" w:hAnsi="Courier New"/>
                <w:sz w:val="15"/>
                <w:szCs w:val="15"/>
                <w:color w:val="auto"/>
              </w:rPr>
              <w:t>.</w:t>
            </w:r>
          </w:p>
        </w:tc>
        <w:tc>
          <w:tcPr>
            <w:tcW w:w="9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(11.5)%</w:t>
            </w:r>
          </w:p>
        </w:tc>
        <w:tc>
          <w:tcPr>
            <w:tcW w:w="0" w:type="dxa"/>
            <w:vAlign w:val="bottom"/>
          </w:tcPr>
          <w:p>
            <w:pPr>
              <w:spacing w:after="0"/>
              <w:rPr>
                <w:sz w:val="1"/>
                <w:szCs w:val="1"/>
                <w:color w:val="auto"/>
              </w:rPr>
            </w:pP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w w:val="98"/>
              </w:rPr>
              <w:t>Commercial products. . . . . . . . .</w:t>
            </w:r>
          </w:p>
        </w:tc>
        <w:tc>
          <w:tcPr>
            <w:tcW w:w="94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289,819</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271,684</w:t>
            </w:r>
          </w:p>
        </w:tc>
        <w:tc>
          <w:tcPr>
            <w:tcW w:w="8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18,135</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w:t>
            </w:r>
          </w:p>
        </w:tc>
        <w:tc>
          <w:tcPr>
            <w:tcW w:w="0" w:type="dxa"/>
            <w:vAlign w:val="bottom"/>
          </w:tcPr>
          <w:p>
            <w:pPr>
              <w:spacing w:after="0"/>
              <w:rPr>
                <w:sz w:val="1"/>
                <w:szCs w:val="1"/>
                <w:color w:val="auto"/>
              </w:rPr>
            </w:pP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w w:val="98"/>
              </w:rPr>
              <w:t>Irrigation products. . . . . . . . .</w:t>
            </w:r>
          </w:p>
        </w:tc>
        <w:tc>
          <w:tcPr>
            <w:tcW w:w="94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217,172</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118,306</w:t>
            </w:r>
          </w:p>
        </w:tc>
        <w:tc>
          <w:tcPr>
            <w:tcW w:w="8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98,866</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83.6</w:t>
            </w:r>
          </w:p>
        </w:tc>
        <w:tc>
          <w:tcPr>
            <w:tcW w:w="0" w:type="dxa"/>
            <w:vAlign w:val="bottom"/>
          </w:tcPr>
          <w:p>
            <w:pPr>
              <w:spacing w:after="0"/>
              <w:rPr>
                <w:sz w:val="1"/>
                <w:szCs w:val="1"/>
                <w:color w:val="auto"/>
              </w:rPr>
            </w:pPr>
          </w:p>
        </w:tc>
      </w:tr>
      <w:tr>
        <w:trPr>
          <w:trHeight w:val="170"/>
        </w:trPr>
        <w:tc>
          <w:tcPr>
            <w:tcW w:w="3200" w:type="dxa"/>
            <w:vAlign w:val="bottom"/>
            <w:vMerge w:val="restart"/>
          </w:tcPr>
          <w:p>
            <w:pPr>
              <w:ind w:left="520"/>
              <w:spacing w:after="0"/>
              <w:rPr>
                <w:sz w:val="20"/>
                <w:szCs w:val="20"/>
                <w:color w:val="auto"/>
              </w:rPr>
            </w:pPr>
            <w:r>
              <w:rPr>
                <w:rFonts w:ascii="Courier New" w:cs="Courier New" w:eastAsia="Courier New" w:hAnsi="Courier New"/>
                <w:sz w:val="15"/>
                <w:szCs w:val="15"/>
                <w:color w:val="auto"/>
              </w:rPr>
              <w:t>Total *. . . . . . . . . . .</w:t>
            </w:r>
          </w:p>
        </w:tc>
        <w:tc>
          <w:tcPr>
            <w:tcW w:w="940" w:type="dxa"/>
            <w:vAlign w:val="bottom"/>
            <w:vMerge w:val="restart"/>
          </w:tcPr>
          <w:p>
            <w:pPr>
              <w:jc w:val="right"/>
              <w:ind w:right="30"/>
              <w:spacing w:after="0"/>
              <w:rPr>
                <w:sz w:val="20"/>
                <w:szCs w:val="20"/>
                <w:color w:val="auto"/>
              </w:rPr>
            </w:pP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perscript"/>
              </w:rPr>
              <w:t>--------</w:t>
            </w:r>
            <w:r>
              <w:rPr>
                <w:rFonts w:ascii="Courier New" w:cs="Courier New" w:eastAsia="Courier New" w:hAnsi="Courier New"/>
                <w:sz w:val="11"/>
                <w:szCs w:val="11"/>
                <w:color w:val="auto"/>
                <w:w w:val="72"/>
              </w:rPr>
              <w:t>810,434</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10.6%</w:t>
            </w:r>
          </w:p>
        </w:tc>
        <w:tc>
          <w:tcPr>
            <w:tcW w:w="0" w:type="dxa"/>
            <w:vAlign w:val="bottom"/>
          </w:tcPr>
          <w:p>
            <w:pPr>
              <w:spacing w:after="0"/>
              <w:rPr>
                <w:sz w:val="1"/>
                <w:szCs w:val="1"/>
                <w:color w:val="auto"/>
              </w:rPr>
            </w:pPr>
          </w:p>
        </w:tc>
      </w:tr>
      <w:tr>
        <w:trPr>
          <w:trHeight w:val="260"/>
        </w:trPr>
        <w:tc>
          <w:tcPr>
            <w:tcW w:w="3200" w:type="dxa"/>
            <w:vAlign w:val="bottom"/>
            <w:vMerge w:val="continue"/>
          </w:tcPr>
          <w:p>
            <w:pPr>
              <w:ind w:left="3080"/>
              <w:spacing w:after="0" w:line="148" w:lineRule="exact"/>
              <w:rPr>
                <w:sz w:val="20"/>
                <w:szCs w:val="20"/>
                <w:color w:val="auto"/>
              </w:rPr>
            </w:pPr>
            <w:r>
              <w:rPr>
                <w:rFonts w:ascii="Courier New" w:cs="Courier New" w:eastAsia="Courier New" w:hAnsi="Courier New"/>
                <w:sz w:val="15"/>
                <w:szCs w:val="15"/>
                <w:color w:val="auto"/>
              </w:rPr>
              <w:t>.</w:t>
            </w:r>
          </w:p>
        </w:tc>
        <w:tc>
          <w:tcPr>
            <w:tcW w:w="940" w:type="dxa"/>
            <w:vAlign w:val="bottom"/>
            <w:vMerge w:val="continue"/>
          </w:tcPr>
          <w:p>
            <w:pPr>
              <w:spacing w:after="0"/>
              <w:rPr>
                <w:sz w:val="22"/>
                <w:szCs w:val="22"/>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$732,712</w:t>
            </w:r>
          </w:p>
        </w:tc>
        <w:tc>
          <w:tcPr>
            <w:tcW w:w="880" w:type="dxa"/>
            <w:vAlign w:val="bottom"/>
          </w:tcPr>
          <w:p>
            <w:pPr>
              <w:jc w:val="right"/>
              <w:ind w:right="109"/>
              <w:spacing w:after="0"/>
              <w:rPr>
                <w:sz w:val="20"/>
                <w:szCs w:val="20"/>
                <w:color w:val="auto"/>
              </w:rPr>
            </w:pPr>
            <w:r>
              <w:rPr>
                <w:rFonts w:ascii="Courier New" w:cs="Courier New" w:eastAsia="Courier New" w:hAnsi="Courier New"/>
                <w:sz w:val="15"/>
                <w:szCs w:val="15"/>
                <w:color w:val="auto"/>
                <w:w w:val="94"/>
              </w:rPr>
              <w:t>$ 77,722</w:t>
            </w:r>
          </w:p>
        </w:tc>
        <w:tc>
          <w:tcPr>
            <w:tcW w:w="7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9"/>
              <w:spacing w:after="0"/>
              <w:rPr>
                <w:sz w:val="20"/>
                <w:szCs w:val="20"/>
                <w:color w:val="auto"/>
              </w:rPr>
            </w:pPr>
            <w:r>
              <w:rPr>
                <w:rFonts w:ascii="Courier New" w:cs="Courier New" w:eastAsia="Courier New" w:hAnsi="Courier New"/>
                <w:sz w:val="15"/>
                <w:szCs w:val="15"/>
                <w:color w:val="auto"/>
                <w:w w:val="94"/>
              </w:rPr>
              <w:t>--------</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9"/>
              <w:spacing w:after="0"/>
              <w:rPr>
                <w:sz w:val="20"/>
                <w:szCs w:val="20"/>
                <w:color w:val="auto"/>
              </w:rPr>
            </w:pPr>
            <w:r>
              <w:rPr>
                <w:rFonts w:ascii="Courier New" w:cs="Courier New" w:eastAsia="Courier New" w:hAnsi="Courier New"/>
                <w:sz w:val="15"/>
                <w:szCs w:val="15"/>
                <w:color w:val="auto"/>
                <w:w w:val="94"/>
              </w:rPr>
              <w:t>--------</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3200" w:type="dxa"/>
            <w:vAlign w:val="bottom"/>
          </w:tcPr>
          <w:p>
            <w:pPr>
              <w:spacing w:after="0"/>
              <w:rPr>
                <w:sz w:val="20"/>
                <w:szCs w:val="20"/>
                <w:color w:val="auto"/>
              </w:rPr>
            </w:pPr>
            <w:r>
              <w:rPr>
                <w:rFonts w:ascii="Courier New" w:cs="Courier New" w:eastAsia="Courier New" w:hAnsi="Courier New"/>
                <w:sz w:val="15"/>
                <w:szCs w:val="15"/>
                <w:color w:val="auto"/>
              </w:rPr>
              <w:t>* Includes international sales of:</w:t>
            </w:r>
          </w:p>
        </w:tc>
        <w:tc>
          <w:tcPr>
            <w:tcW w:w="94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$184,952</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$146,996</w:t>
            </w:r>
          </w:p>
        </w:tc>
        <w:tc>
          <w:tcPr>
            <w:tcW w:w="880" w:type="dxa"/>
            <w:vAlign w:val="bottom"/>
          </w:tcPr>
          <w:p>
            <w:pPr>
              <w:jc w:val="right"/>
              <w:ind w:right="109"/>
              <w:spacing w:after="0"/>
              <w:rPr>
                <w:sz w:val="20"/>
                <w:szCs w:val="20"/>
                <w:color w:val="auto"/>
              </w:rPr>
            </w:pPr>
            <w:r>
              <w:rPr>
                <w:rFonts w:ascii="Courier New" w:cs="Courier New" w:eastAsia="Courier New" w:hAnsi="Courier New"/>
                <w:sz w:val="15"/>
                <w:szCs w:val="15"/>
                <w:color w:val="auto"/>
                <w:w w:val="94"/>
              </w:rPr>
              <w:t>$ 37,956</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25.8%</w:t>
            </w:r>
          </w:p>
        </w:tc>
        <w:tc>
          <w:tcPr>
            <w:tcW w:w="0" w:type="dxa"/>
            <w:vAlign w:val="bottom"/>
          </w:tcPr>
          <w:p>
            <w:pPr>
              <w:spacing w:after="0"/>
              <w:rPr>
                <w:sz w:val="1"/>
                <w:szCs w:val="1"/>
                <w:color w:val="auto"/>
              </w:rPr>
            </w:pPr>
          </w:p>
        </w:tc>
      </w:tr>
      <w:tr>
        <w:trPr>
          <w:trHeight w:val="339"/>
        </w:trPr>
        <w:tc>
          <w:tcPr>
            <w:tcW w:w="3200" w:type="dxa"/>
            <w:vAlign w:val="bottom"/>
          </w:tcPr>
          <w:p>
            <w:pPr>
              <w:spacing w:after="0"/>
              <w:rPr>
                <w:sz w:val="20"/>
                <w:szCs w:val="20"/>
                <w:color w:val="auto"/>
              </w:rPr>
            </w:pPr>
            <w:r>
              <w:rPr>
                <w:rFonts w:ascii="Courier New" w:cs="Courier New" w:eastAsia="Courier New" w:hAnsi="Courier New"/>
                <w:sz w:val="15"/>
                <w:szCs w:val="15"/>
                <w:color w:val="auto"/>
              </w:rPr>
              <w:t>CONSUMER PRODUCT SALES</w:t>
            </w: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3259"/>
        <w:spacing w:after="0" w:line="275" w:lineRule="auto"/>
        <w:rPr>
          <w:sz w:val="20"/>
          <w:szCs w:val="20"/>
          <w:color w:val="auto"/>
        </w:rPr>
      </w:pPr>
      <w:r>
        <w:rPr>
          <w:rFonts w:ascii="Courier New" w:cs="Courier New" w:eastAsia="Courier New" w:hAnsi="Courier New"/>
          <w:sz w:val="14"/>
          <w:szCs w:val="14"/>
          <w:color w:val="auto"/>
        </w:rPr>
        <w:t>Worldwide net sales of consumer products for the three and nine months ended August 1, 1997 declined by $20.4 million and $39.3 million, respectively, compared to the same periods in the previous year. Early season snowthrower sales in the third quarter of fiscal 1996 were unusually high as dealers replenished abnormally low inventory levels. This, combined with lower than expected sales of mowing products due to poor weather conditions and conservative buying patterns among dealers caused a decline in consumer product sales for the three and nine month periods as compared to the previous year.</w:t>
      </w:r>
    </w:p>
    <w:p>
      <w:pPr>
        <w:spacing w:after="0" w:line="72" w:lineRule="exact"/>
        <w:rPr>
          <w:sz w:val="20"/>
          <w:szCs w:val="20"/>
          <w:color w:val="auto"/>
        </w:rPr>
      </w:pPr>
    </w:p>
    <w:p>
      <w:pPr>
        <w:ind w:right="3439"/>
        <w:spacing w:after="0" w:line="275" w:lineRule="auto"/>
        <w:rPr>
          <w:sz w:val="20"/>
          <w:szCs w:val="20"/>
          <w:color w:val="auto"/>
        </w:rPr>
      </w:pPr>
      <w:r>
        <w:rPr>
          <w:rFonts w:ascii="Courier New" w:cs="Courier New" w:eastAsia="Courier New" w:hAnsi="Courier New"/>
          <w:sz w:val="15"/>
          <w:szCs w:val="15"/>
          <w:color w:val="auto"/>
        </w:rPr>
        <w:t>International consumer product net sales for the three months ended August 1, 1997 increased from $11.5 million to $12.6 million and from $45.8 million to $49.4 million for the nine months ended August 1, 1997 as new products were introduced in both Europe and Canada.</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PRODUCT SALES</w:t>
      </w:r>
    </w:p>
    <w:p>
      <w:pPr>
        <w:spacing w:after="0" w:line="169" w:lineRule="exact"/>
        <w:rPr>
          <w:sz w:val="20"/>
          <w:szCs w:val="20"/>
          <w:color w:val="auto"/>
        </w:rPr>
      </w:pPr>
    </w:p>
    <w:p>
      <w:pPr>
        <w:jc w:val="both"/>
        <w:ind w:right="3619"/>
        <w:spacing w:after="0" w:line="278" w:lineRule="auto"/>
        <w:rPr>
          <w:sz w:val="20"/>
          <w:szCs w:val="20"/>
          <w:color w:val="auto"/>
        </w:rPr>
      </w:pPr>
      <w:r>
        <w:rPr>
          <w:rFonts w:ascii="Courier New" w:cs="Courier New" w:eastAsia="Courier New" w:hAnsi="Courier New"/>
          <w:sz w:val="14"/>
          <w:szCs w:val="14"/>
          <w:color w:val="auto"/>
        </w:rPr>
        <w:t>Worldwide commercial product net sales for the three months ended August 1, 1997 were $89.8 million compared to $84.8 million in the same period in the prior year. Net sales for the nine months ended August 1, 1997 increased by 6.7% to $289.8 million compared to $271.7 million in the same period in the prior year. Despite strong competition, sales of equipment to golf courses did well, reflecting the continued growth of the golf market. Several new product introductions in the second quarter also reinforced sales.</w:t>
      </w:r>
    </w:p>
    <w:p>
      <w:pPr>
        <w:spacing w:after="0" w:line="70" w:lineRule="exact"/>
        <w:rPr>
          <w:sz w:val="20"/>
          <w:szCs w:val="20"/>
          <w:color w:val="auto"/>
        </w:rPr>
      </w:pPr>
    </w:p>
    <w:p>
      <w:pPr>
        <w:ind w:right="3439"/>
        <w:spacing w:after="0" w:line="266" w:lineRule="auto"/>
        <w:rPr>
          <w:sz w:val="20"/>
          <w:szCs w:val="20"/>
          <w:color w:val="auto"/>
        </w:rPr>
      </w:pPr>
      <w:r>
        <w:rPr>
          <w:rFonts w:ascii="Courier New" w:cs="Courier New" w:eastAsia="Courier New" w:hAnsi="Courier New"/>
          <w:sz w:val="15"/>
          <w:szCs w:val="15"/>
          <w:color w:val="auto"/>
        </w:rPr>
        <w:t>International commercial product net sales decreased to $17.6 million for the three months ended August 1, 1997 from $23.9 million in the prior year due to continued inclement weather in Europe. Net sales were flat at $79.8 million for the nine months ended August 1, 1997. Sales weakened due to generally weak economic conditions in Europe.</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IRRIGATION PRODUCT SALES</w:t>
      </w:r>
    </w:p>
    <w:p>
      <w:pPr>
        <w:spacing w:after="0" w:line="169" w:lineRule="exact"/>
        <w:rPr>
          <w:sz w:val="20"/>
          <w:szCs w:val="20"/>
          <w:color w:val="auto"/>
        </w:rPr>
      </w:pPr>
    </w:p>
    <w:p>
      <w:pPr>
        <w:ind w:right="3539"/>
        <w:spacing w:after="0" w:line="289" w:lineRule="auto"/>
        <w:rPr>
          <w:sz w:val="20"/>
          <w:szCs w:val="20"/>
          <w:color w:val="auto"/>
        </w:rPr>
      </w:pPr>
      <w:r>
        <w:rPr>
          <w:rFonts w:ascii="Courier New" w:cs="Courier New" w:eastAsia="Courier New" w:hAnsi="Courier New"/>
          <w:sz w:val="14"/>
          <w:szCs w:val="14"/>
          <w:color w:val="auto"/>
        </w:rPr>
        <w:t>Worldwide irrigation product net sales rose 70.6% from $45.4 million in the same three month period last year to $77.6 million in the current year. Net sales for the nine months ended August 1, 1997 were $217.2 million compared to $118.3 million in the same period in the prior year. This increase is almost entirely attributable to the acquisition of Hardie.</w:t>
      </w:r>
    </w:p>
    <w:p>
      <w:pPr>
        <w:spacing w:after="0" w:line="62" w:lineRule="exact"/>
        <w:rPr>
          <w:sz w:val="20"/>
          <w:szCs w:val="20"/>
          <w:color w:val="auto"/>
        </w:rPr>
      </w:pPr>
    </w:p>
    <w:p>
      <w:pPr>
        <w:ind w:right="3439"/>
        <w:spacing w:after="0" w:line="293" w:lineRule="auto"/>
        <w:rPr>
          <w:sz w:val="20"/>
          <w:szCs w:val="20"/>
          <w:color w:val="auto"/>
        </w:rPr>
      </w:pPr>
      <w:r>
        <w:rPr>
          <w:rFonts w:ascii="Courier New" w:cs="Courier New" w:eastAsia="Courier New" w:hAnsi="Courier New"/>
          <w:sz w:val="15"/>
          <w:szCs w:val="15"/>
          <w:color w:val="auto"/>
        </w:rPr>
        <w:t>International irrigation product net sales, excluding Hardie sales, increased by 8.4% for the third quarter and 4.1% for the first nine months of fiscal 1997, as compared to the corresponding period in the prior year.</w:t>
      </w:r>
    </w:p>
    <w:p>
      <w:pPr>
        <w:spacing w:after="0" w:line="56"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940"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GROSS PROFIT</w:t>
      </w:r>
    </w:p>
    <w:p>
      <w:pPr>
        <w:spacing w:after="0" w:line="169" w:lineRule="exact"/>
        <w:rPr>
          <w:sz w:val="20"/>
          <w:szCs w:val="20"/>
          <w:color w:val="auto"/>
        </w:rPr>
      </w:pPr>
    </w:p>
    <w:p>
      <w:pPr>
        <w:ind w:right="4240"/>
        <w:spacing w:after="0" w:line="273" w:lineRule="auto"/>
        <w:rPr>
          <w:sz w:val="20"/>
          <w:szCs w:val="20"/>
          <w:color w:val="auto"/>
        </w:rPr>
      </w:pPr>
      <w:r>
        <w:rPr>
          <w:rFonts w:ascii="Courier New" w:cs="Courier New" w:eastAsia="Courier New" w:hAnsi="Courier New"/>
          <w:sz w:val="14"/>
          <w:szCs w:val="14"/>
          <w:color w:val="auto"/>
        </w:rPr>
        <w:t>Gross profit was $92.4 million and $292.7 million for the three and nine months ended August 1, 1997, respectively, an increase of $6.5 million and $26.7 million from the three and nine months ended August 2, 1996, respectively. As a percent of sales, gross profit for the three month period ended August 1, 1997 was 37.1% compared with 36.9% for the same period in 1996 and 36.1% for the nine months ended August 1, 1997 versus 36.3% for the same period in 1996. The lower gross margin for the nine month period was primarily due to the effect of lower margins contributed by Hardie product sales. For the three month period, the impact of lower Hardie gross margins was offset by production efficiencies.</w:t>
      </w:r>
    </w:p>
    <w:p>
      <w:pPr>
        <w:spacing w:after="0" w:line="241"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5"/>
          <w:szCs w:val="15"/>
          <w:color w:val="auto"/>
        </w:rPr>
        <w:t>Selling, General and Administrative Expense</w:t>
      </w:r>
    </w:p>
    <w:p>
      <w:pPr>
        <w:spacing w:after="0" w:line="26"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5"/>
          <w:szCs w:val="15"/>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ind w:left="2200" w:right="1160"/>
        <w:spacing w:after="0" w:line="276" w:lineRule="auto"/>
        <w:rPr>
          <w:sz w:val="20"/>
          <w:szCs w:val="20"/>
          <w:color w:val="auto"/>
        </w:rPr>
      </w:pPr>
      <w:r>
        <w:rPr>
          <w:rFonts w:ascii="Courier New" w:cs="Courier New" w:eastAsia="Courier New" w:hAnsi="Courier New"/>
          <w:sz w:val="14"/>
          <w:szCs w:val="14"/>
          <w:color w:val="auto"/>
        </w:rPr>
        <w:t>3 Months                 3 Months                9 Months                         9 Months Ended                    Ended                   Ended                            Ended</w:t>
      </w:r>
    </w:p>
    <w:p>
      <w:pPr>
        <w:spacing w:after="0"/>
        <w:rPr>
          <w:sz w:val="20"/>
          <w:szCs w:val="20"/>
          <w:color w:val="auto"/>
        </w:rPr>
      </w:pPr>
      <w:r>
        <w:rPr>
          <w:rFonts w:ascii="Courier New" w:cs="Courier New" w:eastAsia="Courier New" w:hAnsi="Courier New"/>
          <w:sz w:val="14"/>
          <w:szCs w:val="14"/>
          <w:color w:val="auto"/>
        </w:rPr>
        <w:t>- ------------------------------------------------------------------------------------------------------------------------------</w:t>
      </w:r>
    </w:p>
    <w:tbl>
      <w:tblPr>
        <w:tblLayout w:type="fixed"/>
        <w:tblInd w:w="780" w:type="dxa"/>
        <w:tblCellMar>
          <w:top w:w="0" w:type="dxa"/>
          <w:left w:w="0" w:type="dxa"/>
          <w:bottom w:w="0" w:type="dxa"/>
          <w:right w:w="0" w:type="dxa"/>
        </w:tblCellMar>
      </w:tblPr>
      <w:tr>
        <w:trPr>
          <w:trHeight w:val="154"/>
        </w:trPr>
        <w:tc>
          <w:tcPr>
            <w:tcW w:w="1060" w:type="dxa"/>
            <w:vAlign w:val="bottom"/>
            <w:vMerge w:val="restart"/>
          </w:tcPr>
          <w:p>
            <w:pPr>
              <w:spacing w:after="0"/>
              <w:rPr>
                <w:sz w:val="20"/>
                <w:szCs w:val="20"/>
                <w:color w:val="auto"/>
              </w:rPr>
            </w:pPr>
            <w:r>
              <w:rPr>
                <w:rFonts w:ascii="Courier New" w:cs="Courier New" w:eastAsia="Courier New" w:hAnsi="Courier New"/>
                <w:sz w:val="15"/>
                <w:szCs w:val="15"/>
                <w:color w:val="auto"/>
              </w:rPr>
              <w:t>S G &amp; A</w:t>
            </w:r>
          </w:p>
        </w:tc>
        <w:tc>
          <w:tcPr>
            <w:tcW w:w="1140" w:type="dxa"/>
            <w:vAlign w:val="bottom"/>
          </w:tcPr>
          <w:p>
            <w:pPr>
              <w:jc w:val="center"/>
              <w:ind w:left="207"/>
              <w:spacing w:after="0" w:line="155" w:lineRule="exact"/>
              <w:rPr>
                <w:sz w:val="20"/>
                <w:szCs w:val="20"/>
                <w:color w:val="auto"/>
              </w:rPr>
            </w:pPr>
            <w:r>
              <w:rPr>
                <w:rFonts w:ascii="Courier New" w:cs="Courier New" w:eastAsia="Courier New" w:hAnsi="Courier New"/>
                <w:sz w:val="15"/>
                <w:szCs w:val="15"/>
                <w:color w:val="auto"/>
                <w:w w:val="99"/>
              </w:rPr>
              <w:t>Aug 1,</w:t>
            </w:r>
          </w:p>
        </w:tc>
        <w:tc>
          <w:tcPr>
            <w:tcW w:w="1240" w:type="dxa"/>
            <w:vAlign w:val="bottom"/>
          </w:tcPr>
          <w:p>
            <w:pPr>
              <w:jc w:val="right"/>
              <w:ind w:right="287"/>
              <w:spacing w:after="0" w:line="155" w:lineRule="exact"/>
              <w:rPr>
                <w:sz w:val="20"/>
                <w:szCs w:val="20"/>
                <w:color w:val="auto"/>
              </w:rPr>
            </w:pPr>
            <w:r>
              <w:rPr>
                <w:rFonts w:ascii="Courier New" w:cs="Courier New" w:eastAsia="Courier New" w:hAnsi="Courier New"/>
                <w:sz w:val="15"/>
                <w:szCs w:val="15"/>
                <w:color w:val="auto"/>
              </w:rPr>
              <w:t>% of Net</w:t>
            </w:r>
          </w:p>
        </w:tc>
        <w:tc>
          <w:tcPr>
            <w:tcW w:w="1060" w:type="dxa"/>
            <w:vAlign w:val="bottom"/>
          </w:tcPr>
          <w:p>
            <w:pPr>
              <w:jc w:val="right"/>
              <w:ind w:right="107"/>
              <w:spacing w:after="0" w:line="155" w:lineRule="exact"/>
              <w:rPr>
                <w:sz w:val="20"/>
                <w:szCs w:val="20"/>
                <w:color w:val="auto"/>
              </w:rPr>
            </w:pPr>
            <w:r>
              <w:rPr>
                <w:rFonts w:ascii="Courier New" w:cs="Courier New" w:eastAsia="Courier New" w:hAnsi="Courier New"/>
                <w:sz w:val="15"/>
                <w:szCs w:val="15"/>
                <w:color w:val="auto"/>
              </w:rPr>
              <w:t>Aug 2,</w:t>
            </w:r>
          </w:p>
        </w:tc>
        <w:tc>
          <w:tcPr>
            <w:tcW w:w="1140" w:type="dxa"/>
            <w:vAlign w:val="bottom"/>
          </w:tcPr>
          <w:p>
            <w:pPr>
              <w:jc w:val="right"/>
              <w:ind w:right="187"/>
              <w:spacing w:after="0" w:line="155" w:lineRule="exact"/>
              <w:rPr>
                <w:sz w:val="20"/>
                <w:szCs w:val="20"/>
                <w:color w:val="auto"/>
              </w:rPr>
            </w:pPr>
            <w:r>
              <w:rPr>
                <w:rFonts w:ascii="Courier New" w:cs="Courier New" w:eastAsia="Courier New" w:hAnsi="Courier New"/>
                <w:sz w:val="15"/>
                <w:szCs w:val="15"/>
                <w:color w:val="auto"/>
              </w:rPr>
              <w:t>% of Net</w:t>
            </w:r>
          </w:p>
        </w:tc>
        <w:tc>
          <w:tcPr>
            <w:tcW w:w="1060" w:type="dxa"/>
            <w:vAlign w:val="bottom"/>
          </w:tcPr>
          <w:p>
            <w:pPr>
              <w:jc w:val="right"/>
              <w:ind w:right="187"/>
              <w:spacing w:after="0" w:line="155" w:lineRule="exact"/>
              <w:rPr>
                <w:sz w:val="20"/>
                <w:szCs w:val="20"/>
                <w:color w:val="auto"/>
              </w:rPr>
            </w:pPr>
            <w:r>
              <w:rPr>
                <w:rFonts w:ascii="Courier New" w:cs="Courier New" w:eastAsia="Courier New" w:hAnsi="Courier New"/>
                <w:sz w:val="15"/>
                <w:szCs w:val="15"/>
                <w:color w:val="auto"/>
              </w:rPr>
              <w:t>Aug 1,</w:t>
            </w:r>
          </w:p>
        </w:tc>
        <w:tc>
          <w:tcPr>
            <w:tcW w:w="1540" w:type="dxa"/>
            <w:vAlign w:val="bottom"/>
          </w:tcPr>
          <w:p>
            <w:pPr>
              <w:jc w:val="right"/>
              <w:ind w:right="487"/>
              <w:spacing w:after="0" w:line="155" w:lineRule="exact"/>
              <w:rPr>
                <w:sz w:val="20"/>
                <w:szCs w:val="20"/>
                <w:color w:val="auto"/>
              </w:rPr>
            </w:pPr>
            <w:r>
              <w:rPr>
                <w:rFonts w:ascii="Courier New" w:cs="Courier New" w:eastAsia="Courier New" w:hAnsi="Courier New"/>
                <w:sz w:val="15"/>
                <w:szCs w:val="15"/>
                <w:color w:val="auto"/>
              </w:rPr>
              <w:t>% of Net</w:t>
            </w:r>
          </w:p>
        </w:tc>
        <w:tc>
          <w:tcPr>
            <w:tcW w:w="1240" w:type="dxa"/>
            <w:vAlign w:val="bottom"/>
          </w:tcPr>
          <w:p>
            <w:pPr>
              <w:jc w:val="center"/>
              <w:ind w:left="367"/>
              <w:spacing w:after="0" w:line="155" w:lineRule="exact"/>
              <w:rPr>
                <w:sz w:val="20"/>
                <w:szCs w:val="20"/>
                <w:color w:val="auto"/>
              </w:rPr>
            </w:pPr>
            <w:r>
              <w:rPr>
                <w:rFonts w:ascii="Courier New" w:cs="Courier New" w:eastAsia="Courier New" w:hAnsi="Courier New"/>
                <w:sz w:val="15"/>
                <w:szCs w:val="15"/>
                <w:color w:val="auto"/>
                <w:w w:val="96"/>
              </w:rPr>
              <w:t>Aug 2,</w:t>
            </w:r>
          </w:p>
        </w:tc>
        <w:tc>
          <w:tcPr>
            <w:tcW w:w="840" w:type="dxa"/>
            <w:vAlign w:val="bottom"/>
          </w:tcPr>
          <w:p>
            <w:pPr>
              <w:jc w:val="right"/>
              <w:spacing w:after="0" w:line="155" w:lineRule="exact"/>
              <w:rPr>
                <w:sz w:val="20"/>
                <w:szCs w:val="20"/>
                <w:color w:val="auto"/>
              </w:rPr>
            </w:pPr>
            <w:r>
              <w:rPr>
                <w:rFonts w:ascii="Courier New" w:cs="Courier New" w:eastAsia="Courier New" w:hAnsi="Courier New"/>
                <w:sz w:val="15"/>
                <w:szCs w:val="15"/>
                <w:color w:val="auto"/>
              </w:rPr>
              <w:t>% of Net</w:t>
            </w:r>
          </w:p>
        </w:tc>
        <w:tc>
          <w:tcPr>
            <w:tcW w:w="0" w:type="dxa"/>
            <w:vAlign w:val="bottom"/>
          </w:tcPr>
          <w:p>
            <w:pPr>
              <w:spacing w:after="0"/>
              <w:rPr>
                <w:sz w:val="1"/>
                <w:szCs w:val="1"/>
                <w:color w:val="auto"/>
              </w:rPr>
            </w:pPr>
          </w:p>
        </w:tc>
      </w:tr>
      <w:tr>
        <w:trPr>
          <w:trHeight w:val="196"/>
        </w:trPr>
        <w:tc>
          <w:tcPr>
            <w:tcW w:w="1060" w:type="dxa"/>
            <w:vAlign w:val="bottom"/>
            <w:vMerge w:val="continue"/>
          </w:tcPr>
          <w:p>
            <w:pPr>
              <w:spacing w:after="0"/>
              <w:rPr>
                <w:sz w:val="17"/>
                <w:szCs w:val="17"/>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Sales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Sales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Sales</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Sales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rPr>
              <w:t>Administrative</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$ 23.8</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9.5%</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$ 25.6</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$ 74.4</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9.2%</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$69.7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c>
          <w:tcPr>
            <w:tcW w:w="0" w:type="dxa"/>
            <w:vAlign w:val="bottom"/>
          </w:tcPr>
          <w:p>
            <w:pPr>
              <w:spacing w:after="0"/>
              <w:rPr>
                <w:sz w:val="1"/>
                <w:szCs w:val="1"/>
                <w:color w:val="auto"/>
              </w:rPr>
            </w:pPr>
          </w:p>
        </w:tc>
      </w:t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rPr>
              <w:t>Sales and Marketing</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22.4</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9.0</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22.8</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9.8</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78.7</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9.7</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67.5</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w:t>
            </w:r>
          </w:p>
        </w:tc>
        <w:tc>
          <w:tcPr>
            <w:tcW w:w="0" w:type="dxa"/>
            <w:vAlign w:val="bottom"/>
          </w:tcPr>
          <w:p>
            <w:pPr>
              <w:spacing w:after="0"/>
              <w:rPr>
                <w:sz w:val="1"/>
                <w:szCs w:val="1"/>
                <w:color w:val="auto"/>
              </w:rPr>
            </w:pPr>
          </w:p>
        </w:tc>
      </w:t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rPr>
              <w:t>Warranty</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9.0</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3.6</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7.3</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23.6</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2.9</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24.7</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rPr>
              <w:t>Distributor/Dealer</w:t>
            </w:r>
          </w:p>
        </w:tc>
        <w:tc>
          <w:tcPr>
            <w:tcW w:w="10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2.8</w:t>
            </w:r>
          </w:p>
        </w:tc>
        <w:tc>
          <w:tcPr>
            <w:tcW w:w="114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1.1</w:t>
            </w:r>
          </w:p>
        </w:tc>
        <w:tc>
          <w:tcPr>
            <w:tcW w:w="124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2.7</w:t>
            </w:r>
          </w:p>
        </w:tc>
        <w:tc>
          <w:tcPr>
            <w:tcW w:w="10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1.2</w:t>
            </w:r>
          </w:p>
        </w:tc>
        <w:tc>
          <w:tcPr>
            <w:tcW w:w="12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8.2</w:t>
            </w:r>
          </w:p>
        </w:tc>
        <w:tc>
          <w:tcPr>
            <w:tcW w:w="13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1.0</w:t>
            </w:r>
          </w:p>
        </w:tc>
        <w:tc>
          <w:tcPr>
            <w:tcW w:w="13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7.9</w:t>
            </w: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70"/>
        </w:trPr>
        <w:tc>
          <w:tcPr>
            <w:tcW w:w="1900" w:type="dxa"/>
            <w:vAlign w:val="bottom"/>
          </w:tcPr>
          <w:p>
            <w:pPr>
              <w:ind w:left="80"/>
              <w:spacing w:after="0"/>
              <w:rPr>
                <w:sz w:val="20"/>
                <w:szCs w:val="20"/>
                <w:color w:val="auto"/>
              </w:rPr>
            </w:pPr>
            <w:r>
              <w:rPr>
                <w:rFonts w:ascii="Courier New" w:cs="Courier New" w:eastAsia="Courier New" w:hAnsi="Courier New"/>
                <w:sz w:val="15"/>
                <w:szCs w:val="15"/>
                <w:color w:val="auto"/>
              </w:rPr>
              <w:t>Financing</w:t>
            </w:r>
          </w:p>
        </w:tc>
        <w:tc>
          <w:tcPr>
            <w:tcW w:w="10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rPr>
              <w:t>Research and</w:t>
            </w:r>
          </w:p>
        </w:tc>
        <w:tc>
          <w:tcPr>
            <w:tcW w:w="10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8.8</w:t>
            </w:r>
          </w:p>
        </w:tc>
        <w:tc>
          <w:tcPr>
            <w:tcW w:w="114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3.5</w:t>
            </w:r>
          </w:p>
        </w:tc>
        <w:tc>
          <w:tcPr>
            <w:tcW w:w="124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8.3</w:t>
            </w:r>
          </w:p>
        </w:tc>
        <w:tc>
          <w:tcPr>
            <w:tcW w:w="10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3.6</w:t>
            </w:r>
          </w:p>
        </w:tc>
        <w:tc>
          <w:tcPr>
            <w:tcW w:w="12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25.7</w:t>
            </w:r>
          </w:p>
        </w:tc>
        <w:tc>
          <w:tcPr>
            <w:tcW w:w="13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3.2</w:t>
            </w:r>
          </w:p>
        </w:tc>
        <w:tc>
          <w:tcPr>
            <w:tcW w:w="13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22.9</w:t>
            </w: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170"/>
        </w:trPr>
        <w:tc>
          <w:tcPr>
            <w:tcW w:w="1900" w:type="dxa"/>
            <w:vAlign w:val="bottom"/>
          </w:tcPr>
          <w:p>
            <w:pPr>
              <w:ind w:left="80"/>
              <w:spacing w:after="0"/>
              <w:rPr>
                <w:sz w:val="20"/>
                <w:szCs w:val="20"/>
                <w:color w:val="auto"/>
              </w:rPr>
            </w:pPr>
            <w:r>
              <w:rPr>
                <w:rFonts w:ascii="Courier New" w:cs="Courier New" w:eastAsia="Courier New" w:hAnsi="Courier New"/>
                <w:sz w:val="15"/>
                <w:szCs w:val="15"/>
                <w:color w:val="auto"/>
              </w:rPr>
              <w:t>Development</w:t>
            </w:r>
          </w:p>
        </w:tc>
        <w:tc>
          <w:tcPr>
            <w:tcW w:w="10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rPr>
              <w:t>Warehousing</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4.7</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3.9</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13.7</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1.7</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11.6</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rPr>
              <w:t>Service/Quality</w:t>
            </w:r>
          </w:p>
        </w:tc>
        <w:tc>
          <w:tcPr>
            <w:tcW w:w="10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2.1</w:t>
            </w:r>
          </w:p>
        </w:tc>
        <w:tc>
          <w:tcPr>
            <w:tcW w:w="114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0.9</w:t>
            </w:r>
          </w:p>
        </w:tc>
        <w:tc>
          <w:tcPr>
            <w:tcW w:w="124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2.3</w:t>
            </w:r>
          </w:p>
        </w:tc>
        <w:tc>
          <w:tcPr>
            <w:tcW w:w="10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0.9</w:t>
            </w:r>
          </w:p>
        </w:tc>
        <w:tc>
          <w:tcPr>
            <w:tcW w:w="12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7.0</w:t>
            </w:r>
          </w:p>
        </w:tc>
        <w:tc>
          <w:tcPr>
            <w:tcW w:w="13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0.8</w:t>
            </w:r>
          </w:p>
        </w:tc>
        <w:tc>
          <w:tcPr>
            <w:tcW w:w="13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6.0</w:t>
            </w: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0.8</w:t>
            </w:r>
          </w:p>
        </w:tc>
        <w:tc>
          <w:tcPr>
            <w:tcW w:w="0" w:type="dxa"/>
            <w:vAlign w:val="bottom"/>
          </w:tcPr>
          <w:p>
            <w:pPr>
              <w:spacing w:after="0"/>
              <w:rPr>
                <w:sz w:val="1"/>
                <w:szCs w:val="1"/>
                <w:color w:val="auto"/>
              </w:rPr>
            </w:pPr>
          </w:p>
        </w:tc>
      </w:tr>
      <w:tr>
        <w:trPr>
          <w:trHeight w:val="170"/>
        </w:trPr>
        <w:tc>
          <w:tcPr>
            <w:tcW w:w="1900" w:type="dxa"/>
            <w:vAlign w:val="bottom"/>
          </w:tcPr>
          <w:p>
            <w:pPr>
              <w:ind w:left="80"/>
              <w:spacing w:after="0"/>
              <w:rPr>
                <w:sz w:val="20"/>
                <w:szCs w:val="20"/>
                <w:color w:val="auto"/>
              </w:rPr>
            </w:pPr>
            <w:r>
              <w:rPr>
                <w:rFonts w:ascii="Courier New" w:cs="Courier New" w:eastAsia="Courier New" w:hAnsi="Courier New"/>
                <w:sz w:val="15"/>
                <w:szCs w:val="15"/>
                <w:color w:val="auto"/>
              </w:rPr>
              <w:t>Assurance</w:t>
            </w:r>
          </w:p>
        </w:tc>
        <w:tc>
          <w:tcPr>
            <w:tcW w:w="10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9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1900" w:type="dxa"/>
            <w:vAlign w:val="bottom"/>
            <w:vMerge w:val="continue"/>
          </w:tcPr>
          <w:p>
            <w:pPr>
              <w:spacing w:after="0"/>
              <w:rPr>
                <w:sz w:val="21"/>
                <w:szCs w:val="21"/>
                <w:color w:val="auto"/>
              </w:rPr>
            </w:pP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$ 73.6</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29.5%</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$ 72.9</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31.3%</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$231.3</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28.5%</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$ 210.3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240"/>
        <w:spacing w:after="0" w:line="244" w:lineRule="auto"/>
        <w:rPr>
          <w:sz w:val="20"/>
          <w:szCs w:val="20"/>
          <w:color w:val="auto"/>
        </w:rPr>
      </w:pPr>
      <w:r>
        <w:rPr>
          <w:rFonts w:ascii="Courier New" w:cs="Courier New" w:eastAsia="Courier New" w:hAnsi="Courier New"/>
          <w:sz w:val="15"/>
          <w:szCs w:val="15"/>
          <w:color w:val="auto"/>
        </w:rPr>
        <w:t>Selling, general and administrative expense (SG&amp;A) for the three months ended August 1, 1997 increased $0.7 million from the prior year, and as a percent of sales decreased to 29.5% from 31.3% for the same period in fiscal 1996. Hardie added $8.3 million in SG&amp;A expense during the third quarter of fiscal 1997. SG&amp;A expense for the nine months ended August 1, 1997 increased $21.0 million from the prior year, including Hardie's SG&amp;A expense of $24.3 million, and as a percent of sales decreased to 28.5% from 28.7% for the same period in fiscal 1996. Administrative expenses, net of Hardie, decreased $4.8 million for the quarter and $3.0 million for the nine months ended August 1, 1997 due mainly to cost containment efforts. Sales and marketing expenses, net of Hardie, decreased by $3.4 million for the quarter due to both reduced sales and reductions in spending for marketing programs and increased $1.7 million for the nine months ended August 1, 1997 due primarily to increased promotional costs of new products for the landscape contractor group. Warranty expense, net of Hardie, increased $1.4 million for the quarter due to an adjustment to the warranty accrual rate based upon higher than anticipated claims and decreased $2.3 million for the nine months ended August 1, 1997 due primarily to reduced consumer product sales. Research and development, net of Hardie, was flat for both the three month and the nine month periods ended August 1, 1997. Service/quality assurance, net of Hardie, declined due to lower sales volume in this three month period in fiscal 1997 versus the same period in fiscal 1996. Warehousing expenses, net of Hardie, were flat for the three month period and down slightly for the nine month period. Distributor/dealer financing was flat as compared to the same period in fiscal 1996.</w:t>
      </w:r>
    </w:p>
    <w:p>
      <w:pPr>
        <w:spacing w:after="0" w:line="26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1280"/>
          </w:cols>
          <w:pgMar w:left="240" w:top="601" w:right="379"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FINANCIAL POSITION AS OF AUGUST 1, 1997</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August 1, 1997 COMPARED TO OCTOBER 31, 1996</w:t>
      </w:r>
    </w:p>
    <w:p>
      <w:pPr>
        <w:spacing w:after="0" w:line="169"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4"/>
          <w:szCs w:val="14"/>
          <w:color w:val="auto"/>
        </w:rPr>
        <w:t>Total assets at August 1, 1997 were $705.0 million, up $208.1 million from October 31, 1996. Hardie accounted for approximately $149.1 million of this increase. Net accounts receivable, net of Hardie, increased by $22.4 million from October 31, 1996. Historically, the highest sales volumes and receivables occur starting in March and ending in May. The accounts receivable balance declines over the following months as payments under the company's extended payment plans become due. Inventory, net of Hardie, increased by $6.1 million primarily as a result of the normal buildup of consumer snow products manufactured in the third quarter of the year. Net property, plant and equipment increased from $73.8 million to $116.6 million due to the addition of Hardie net property, plant and equipment of $29.5 million, the expansion of the corporate headquarters and various tooling projects. Other assets, net of the effect of the Hardie acquisition, increased due to the acquisition of marketing rights to a central irrigation system for the large turf irrigation market, and capitalized costs related to the issuance of public debt securities(See "Liquidity and Capital Resources").</w:t>
      </w:r>
    </w:p>
    <w:p>
      <w:pPr>
        <w:spacing w:after="0" w:line="255" w:lineRule="exact"/>
        <w:rPr>
          <w:sz w:val="20"/>
          <w:szCs w:val="20"/>
          <w:color w:val="auto"/>
        </w:rPr>
      </w:pPr>
    </w:p>
    <w:p>
      <w:pPr>
        <w:ind w:right="3259"/>
        <w:spacing w:after="0" w:line="247" w:lineRule="auto"/>
        <w:rPr>
          <w:sz w:val="20"/>
          <w:szCs w:val="20"/>
          <w:color w:val="auto"/>
        </w:rPr>
      </w:pPr>
      <w:r>
        <w:rPr>
          <w:rFonts w:ascii="Courier New" w:cs="Courier New" w:eastAsia="Courier New" w:hAnsi="Courier New"/>
          <w:sz w:val="15"/>
          <w:szCs w:val="15"/>
          <w:color w:val="auto"/>
        </w:rPr>
        <w:t>Total current liabilities of $288.3 million at August 1, 1997 increased $80.4 million compared with current liabilities at October 31, 1996. The majority of this increase was the result of additional short-term borrowings of $54.0 million reflecting the company's strategy of utilizing short-term borrowing to fund the company's seasonal working capital needs. Long-term debt increased from October 31, 1996 to August 1, 1997 as a result of the issuance of $175.0 million of debt securities which were used to redeem $50.0 million of 11% Debentures and as long-term funding for the purchase of Hardie. Other accrued liabilities increased primarily as a result of expenses related to the acquisition of Hardie. Other long-term liabilities decreased by approximately $17.0 million due primarily to the termination of a forward-starting interest rate contract initiated as a hedge against interest rate fluctuations prior to the issuance of $175.0 million in public debt securities during the third quarter of fiscal 1997.</w:t>
      </w:r>
    </w:p>
    <w:p>
      <w:pPr>
        <w:spacing w:after="0" w:line="9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AUGUST 1, 1997 COMPARED TO AUGUST 2, 1996</w:t>
      </w:r>
    </w:p>
    <w:p>
      <w:pPr>
        <w:spacing w:after="0" w:line="169" w:lineRule="exact"/>
        <w:rPr>
          <w:sz w:val="20"/>
          <w:szCs w:val="20"/>
          <w:color w:val="auto"/>
        </w:rPr>
      </w:pPr>
    </w:p>
    <w:p>
      <w:pPr>
        <w:ind w:right="3179"/>
        <w:spacing w:after="0" w:line="246" w:lineRule="auto"/>
        <w:rPr>
          <w:sz w:val="20"/>
          <w:szCs w:val="20"/>
          <w:color w:val="auto"/>
        </w:rPr>
      </w:pPr>
      <w:r>
        <w:rPr>
          <w:rFonts w:ascii="Courier New" w:cs="Courier New" w:eastAsia="Courier New" w:hAnsi="Courier New"/>
          <w:sz w:val="15"/>
          <w:szCs w:val="15"/>
          <w:color w:val="auto"/>
        </w:rPr>
        <w:t>Total assets at August 1, 1997 were $705.0 million, up $173.0 million from August 2, 1996. Of this increase, Hardie accounted for $149.1 million. Cash, net of Hardie, decreased from the prior period as the result of improved asset management policies. Accounts receivable, net, increased by $42.5 million, with $46.2 million in net receivables attributable to Hardie. Inventory balances, net of Hardie inventories of approximately $25.5 million, declined by $7.0 million due to asset management strategies which match production more closely with retail demand and result in lower overall inventory levels. Both accounts receivable and inventory were also impacted by reduced sales in this current quarter as compared to the prior quarter, net of Hardie. Net property, plant and equipment, increased by approximately $47.8 million, with $29.5 million of this increase related to Hardie and the remaining increase related to the corporate headquarters expansion and tooling projects. Other assets increased by $60.5 million with Hardie accounting for $45.9 million. The remainder of the increase was the result of the purchase of patents, the purchase of property for possible future corporate expansion, and those additions in the current fiscal year identified above.</w:t>
      </w:r>
    </w:p>
    <w:p>
      <w:pPr>
        <w:spacing w:after="0" w:line="90" w:lineRule="exact"/>
        <w:rPr>
          <w:sz w:val="20"/>
          <w:szCs w:val="20"/>
          <w:color w:val="auto"/>
        </w:rPr>
      </w:pPr>
    </w:p>
    <w:p>
      <w:pPr>
        <w:ind w:right="3259"/>
        <w:spacing w:after="0" w:line="254" w:lineRule="auto"/>
        <w:rPr>
          <w:sz w:val="20"/>
          <w:szCs w:val="20"/>
          <w:color w:val="auto"/>
        </w:rPr>
      </w:pPr>
      <w:r>
        <w:rPr>
          <w:rFonts w:ascii="Courier New" w:cs="Courier New" w:eastAsia="Courier New" w:hAnsi="Courier New"/>
          <w:sz w:val="15"/>
          <w:szCs w:val="15"/>
          <w:color w:val="auto"/>
        </w:rPr>
        <w:t>Total current liabilities of $288.3 million at August 1, 1997 increased $41.5 million compared with current liabilities at August 2, 1996. Short-term borrowing increased by $11.4 million over the prior year due primarily to the financing of working capital needs of Hardie and payables and accruals of Hardie. Other accrued liabilities increased by $9.8 million, primarily as a result of expenses related to the Hardie acquisition and Hardie accrued liabilities acquired. Long-term debt and other long-term liabilities increased over the prior period as identified above.</w:t>
      </w:r>
    </w:p>
    <w:p>
      <w:pPr>
        <w:spacing w:after="0" w:line="200" w:lineRule="exact"/>
        <w:rPr>
          <w:sz w:val="20"/>
          <w:szCs w:val="20"/>
          <w:color w:val="auto"/>
        </w:rPr>
      </w:pPr>
    </w:p>
    <w:p>
      <w:pPr>
        <w:spacing w:after="0" w:line="226"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771"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primary use of cash during the first nine months of fiscal 1997 was</w:t>
      </w:r>
    </w:p>
    <w:p>
      <w:pPr>
        <w:spacing w:after="0" w:line="26" w:lineRule="exact"/>
        <w:rPr>
          <w:sz w:val="20"/>
          <w:szCs w:val="20"/>
          <w:color w:val="auto"/>
        </w:rPr>
      </w:pPr>
    </w:p>
    <w:p>
      <w:pPr>
        <w:ind w:right="3439"/>
        <w:spacing w:after="0" w:line="262" w:lineRule="auto"/>
        <w:rPr>
          <w:sz w:val="20"/>
          <w:szCs w:val="20"/>
          <w:color w:val="auto"/>
        </w:rPr>
      </w:pPr>
      <w:r>
        <w:rPr>
          <w:rFonts w:ascii="Courier New" w:cs="Courier New" w:eastAsia="Courier New" w:hAnsi="Courier New"/>
          <w:sz w:val="14"/>
          <w:szCs w:val="14"/>
          <w:color w:val="auto"/>
        </w:rPr>
        <w:t>$117.6 million used for the acquisition of Hardie. The purchase price was initially funded with temporary bank debt. The company issued $175.0 million of long-term debt securities in June 1997 and used a portion of the net proceeds received from the sale of the securities to repay short-term indebtedness to banks. The balance of the net proceeds was used to redeem the company's $50.0 million principal amount of outstanding 11% Sinking Fund Debentures. In connection with the issuance of the $175.0 million in long-term debt securities, the company paid $23.7 million to terminate three forward-starting interest rate swap agreements with notational amounts totaling $125.0 million. These swap agreements had been entered into to reduce interest rate risk prior to the issuance of the new long-term debt securities. At the inception of one of the swap agreements, the company had received payments which were recorded as deferred income to be recognized as an adjustment to interest expense over the term of the new debt securities. At the date the swaps were terminated, this deferred income totaled $18.7 million. The excess of the termination fees over the deferred income recorded has been deferred and is being recognized as an adjustment to interest expense over the term of the new debt securities issued.</w:t>
      </w:r>
    </w:p>
    <w:p>
      <w:pPr>
        <w:spacing w:after="0" w:line="251" w:lineRule="exact"/>
        <w:rPr>
          <w:sz w:val="20"/>
          <w:szCs w:val="20"/>
          <w:color w:val="auto"/>
        </w:rPr>
      </w:pPr>
    </w:p>
    <w:p>
      <w:pPr>
        <w:ind w:right="3619"/>
        <w:spacing w:after="0" w:line="278" w:lineRule="auto"/>
        <w:rPr>
          <w:sz w:val="20"/>
          <w:szCs w:val="20"/>
          <w:color w:val="auto"/>
        </w:rPr>
      </w:pPr>
      <w:r>
        <w:rPr>
          <w:rFonts w:ascii="Courier New" w:cs="Courier New" w:eastAsia="Courier New" w:hAnsi="Courier New"/>
          <w:sz w:val="14"/>
          <w:szCs w:val="14"/>
          <w:color w:val="auto"/>
        </w:rPr>
        <w:t>Cash used in operating activities for the first nine months of fiscal 1997 was primarily for the seasonal increase in accounts receivable. The company's working capital needs are funded with $190.0 million of unsecured bank credit lines. The company also has banker's acceptance financing agreements under which an additional $40.0 million is available. The company's business is seasonal, with peak borrowing under these working capital lines generally occurring between February and May each year.</w:t>
      </w:r>
    </w:p>
    <w:p>
      <w:pPr>
        <w:spacing w:after="0" w:line="70" w:lineRule="exact"/>
        <w:rPr>
          <w:sz w:val="20"/>
          <w:szCs w:val="20"/>
          <w:color w:val="auto"/>
        </w:rPr>
      </w:pPr>
    </w:p>
    <w:p>
      <w:pPr>
        <w:ind w:right="3799"/>
        <w:spacing w:after="0" w:line="293" w:lineRule="auto"/>
        <w:rPr>
          <w:sz w:val="20"/>
          <w:szCs w:val="20"/>
          <w:color w:val="auto"/>
        </w:rPr>
      </w:pPr>
      <w:r>
        <w:rPr>
          <w:rFonts w:ascii="Courier New" w:cs="Courier New" w:eastAsia="Courier New" w:hAnsi="Courier New"/>
          <w:sz w:val="15"/>
          <w:szCs w:val="15"/>
          <w:color w:val="auto"/>
        </w:rPr>
        <w:t>Management believes that the combination of funds available through its existing financing arrangements, coupled with forecasted cash flows, will provide the capital resources for its anticipated needs.</w:t>
      </w: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69" w:lineRule="exact"/>
        <w:rPr>
          <w:sz w:val="20"/>
          <w:szCs w:val="20"/>
          <w:color w:val="auto"/>
        </w:rPr>
      </w:pPr>
    </w:p>
    <w:p>
      <w:pPr>
        <w:ind w:right="3619"/>
        <w:spacing w:after="0" w:line="293" w:lineRule="auto"/>
        <w:rPr>
          <w:sz w:val="20"/>
          <w:szCs w:val="20"/>
          <w:color w:val="auto"/>
        </w:rPr>
      </w:pPr>
      <w:r>
        <w:rPr>
          <w:rFonts w:ascii="Courier New" w:cs="Courier New" w:eastAsia="Courier New" w:hAnsi="Courier New"/>
          <w:sz w:val="15"/>
          <w:szCs w:val="15"/>
          <w:color w:val="auto"/>
        </w:rPr>
        <w:t>The company is subject to the effects of changing prices. The company has, however, generally been able to pass along inflationary increases in its costs by increasing the prices of its products.</w:t>
      </w:r>
    </w:p>
    <w:p>
      <w:pPr>
        <w:spacing w:after="0" w:line="56"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940" w:right="1440" w:bottom="1440" w:gutter="0" w:footer="0" w:header="0"/>
        </w:sectPr>
      </w:pPr>
    </w:p>
    <w:bookmarkStart w:id="14" w:name="page15"/>
    <w:bookmarkEnd w:id="14"/>
    <w:p>
      <w:pPr>
        <w:ind w:left="2540"/>
        <w:spacing w:after="0"/>
        <w:tabs>
          <w:tab w:leader="none" w:pos="340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200" w:lineRule="exact"/>
        <w:rPr>
          <w:sz w:val="20"/>
          <w:szCs w:val="20"/>
          <w:color w:val="auto"/>
        </w:rPr>
      </w:pPr>
    </w:p>
    <w:p>
      <w:pPr>
        <w:spacing w:after="0" w:line="30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9" w:lineRule="exact"/>
        <w:rPr>
          <w:sz w:val="20"/>
          <w:szCs w:val="20"/>
          <w:color w:val="auto"/>
        </w:rPr>
      </w:pPr>
    </w:p>
    <w:p>
      <w:pPr>
        <w:ind w:left="780" w:hanging="437"/>
        <w:spacing w:after="0"/>
        <w:tabs>
          <w:tab w:leader="none" w:pos="7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11  Computation of Earnings per Common Share</w:t>
      </w:r>
    </w:p>
    <w:p>
      <w:pPr>
        <w:spacing w:after="0" w:line="169" w:lineRule="exact"/>
        <w:rPr>
          <w:rFonts w:ascii="Courier New" w:cs="Courier New" w:eastAsia="Courier New" w:hAnsi="Courier New"/>
          <w:sz w:val="15"/>
          <w:szCs w:val="15"/>
          <w:color w:val="auto"/>
        </w:rPr>
      </w:pPr>
    </w:p>
    <w:p>
      <w:pPr>
        <w:ind w:left="780" w:hanging="437"/>
        <w:spacing w:after="0"/>
        <w:tabs>
          <w:tab w:leader="none" w:pos="7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27  Financial Data Schedule</w:t>
      </w:r>
    </w:p>
    <w:p>
      <w:pPr>
        <w:spacing w:after="0" w:line="169" w:lineRule="exact"/>
        <w:rPr>
          <w:rFonts w:ascii="Courier New" w:cs="Courier New" w:eastAsia="Courier New" w:hAnsi="Courier New"/>
          <w:sz w:val="15"/>
          <w:szCs w:val="15"/>
          <w:color w:val="auto"/>
        </w:rPr>
      </w:pP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Summarized financial data; electronic filing only.</w:t>
      </w:r>
    </w:p>
    <w:p>
      <w:pPr>
        <w:spacing w:after="0" w:line="169" w:lineRule="exact"/>
        <w:rPr>
          <w:rFonts w:ascii="Courier New" w:cs="Courier New" w:eastAsia="Courier New" w:hAnsi="Courier New"/>
          <w:sz w:val="15"/>
          <w:szCs w:val="15"/>
          <w:color w:val="auto"/>
        </w:rPr>
      </w:pPr>
    </w:p>
    <w:p>
      <w:pPr>
        <w:ind w:left="780" w:hanging="437"/>
        <w:spacing w:after="0"/>
        <w:tabs>
          <w:tab w:leader="none" w:pos="7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69" w:lineRule="exact"/>
        <w:rPr>
          <w:rFonts w:ascii="Courier New" w:cs="Courier New" w:eastAsia="Courier New" w:hAnsi="Courier New"/>
          <w:sz w:val="15"/>
          <w:szCs w:val="15"/>
          <w:color w:val="auto"/>
        </w:rPr>
      </w:pPr>
    </w:p>
    <w:p>
      <w:pPr>
        <w:ind w:left="780" w:right="3259"/>
        <w:spacing w:after="0" w:line="26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February 18, 1997, the company filed Amendment No. 1 to its Current Report on Form 8-K dated December 16, 1996 on Form 8-K/A providing financial information for the business acquired and pro forma financial information related to the acquisition of the James Hardie Irrigation Group.</w:t>
      </w:r>
    </w:p>
    <w:p>
      <w:pPr>
        <w:spacing w:after="0" w:line="75" w:lineRule="exact"/>
        <w:rPr>
          <w:rFonts w:ascii="Courier New" w:cs="Courier New" w:eastAsia="Courier New" w:hAnsi="Courier New"/>
          <w:sz w:val="15"/>
          <w:szCs w:val="15"/>
          <w:color w:val="auto"/>
        </w:rPr>
      </w:pPr>
    </w:p>
    <w:p>
      <w:pPr>
        <w:ind w:left="780" w:right="3439"/>
        <w:spacing w:after="0" w:line="26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June 6, 1997, the company filed Amendment No. 2 to its Current Report on Form 8-K dated December 16, 1996 on Form 8-K/A providing financial information for the business acquired and pro forma financial information related to the acquisition of the James Hardie Irrigation Group which supersedes the information provided in Amendment No. 1 referenced in the previous paragraph.</w:t>
      </w:r>
    </w:p>
    <w:p>
      <w:pPr>
        <w:spacing w:after="0" w:line="77" w:lineRule="exact"/>
        <w:rPr>
          <w:rFonts w:ascii="Courier New" w:cs="Courier New" w:eastAsia="Courier New" w:hAnsi="Courier New"/>
          <w:sz w:val="15"/>
          <w:szCs w:val="15"/>
          <w:color w:val="auto"/>
        </w:rPr>
      </w:pPr>
    </w:p>
    <w:p>
      <w:pPr>
        <w:ind w:left="780" w:right="3539"/>
        <w:spacing w:after="0" w:line="29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June 27, 1997, the company filed its Current Report on Form 8-K dated June 24, 1997 reporting the closing of its public offering of $175.0 million of Notes and Debentures.</w:t>
      </w:r>
    </w:p>
    <w:p>
      <w:pPr>
        <w:spacing w:after="0" w:line="39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SIGNATURES</w:t>
      </w:r>
    </w:p>
    <w:p>
      <w:pPr>
        <w:spacing w:after="0" w:line="169" w:lineRule="exact"/>
        <w:rPr>
          <w:sz w:val="20"/>
          <w:szCs w:val="20"/>
          <w:color w:val="auto"/>
        </w:rPr>
      </w:pPr>
    </w:p>
    <w:p>
      <w:pPr>
        <w:jc w:val="both"/>
        <w:ind w:right="3879"/>
        <w:spacing w:after="0" w:line="293"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THE TORO COMPANY</w:t>
      </w:r>
    </w:p>
    <w:p>
      <w:pPr>
        <w:spacing w:after="0" w:line="26"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(Registrant)</w:t>
      </w:r>
    </w:p>
    <w:p>
      <w:pPr>
        <w:spacing w:after="0" w:line="14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Stephen P. Wolfe</w:t>
      </w:r>
    </w:p>
    <w:p>
      <w:pPr>
        <w:spacing w:after="0" w:line="2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ind w:left="2280"/>
        <w:spacing w:after="0"/>
        <w:rPr>
          <w:sz w:val="20"/>
          <w:szCs w:val="20"/>
          <w:color w:val="auto"/>
        </w:rPr>
      </w:pPr>
      <w:r>
        <w:rPr>
          <w:rFonts w:ascii="Courier New" w:cs="Courier New" w:eastAsia="Courier New" w:hAnsi="Courier New"/>
          <w:sz w:val="15"/>
          <w:szCs w:val="15"/>
          <w:color w:val="auto"/>
        </w:rPr>
        <w:t>Stephen P. Wolfe</w:t>
      </w:r>
    </w:p>
    <w:p>
      <w:pPr>
        <w:ind w:left="2280"/>
        <w:spacing w:after="0"/>
        <w:rPr>
          <w:sz w:val="20"/>
          <w:szCs w:val="20"/>
          <w:color w:val="auto"/>
        </w:rPr>
      </w:pPr>
      <w:r>
        <w:rPr>
          <w:rFonts w:ascii="Courier New" w:cs="Courier New" w:eastAsia="Courier New" w:hAnsi="Courier New"/>
          <w:sz w:val="15"/>
          <w:szCs w:val="15"/>
          <w:color w:val="auto"/>
        </w:rPr>
        <w:t>Vice President, Finance</w:t>
      </w:r>
    </w:p>
    <w:p>
      <w:pPr>
        <w:ind w:left="2280"/>
        <w:spacing w:after="0"/>
        <w:rPr>
          <w:sz w:val="20"/>
          <w:szCs w:val="20"/>
          <w:color w:val="auto"/>
        </w:rPr>
      </w:pPr>
      <w:r>
        <w:rPr>
          <w:rFonts w:ascii="Courier New" w:cs="Courier New" w:eastAsia="Courier New" w:hAnsi="Courier New"/>
          <w:sz w:val="15"/>
          <w:szCs w:val="15"/>
          <w:color w:val="auto"/>
        </w:rPr>
        <w:t>Chief Financial Officer</w:t>
      </w:r>
    </w:p>
    <w:p>
      <w:pPr>
        <w:ind w:left="2280"/>
        <w:spacing w:after="0"/>
        <w:rPr>
          <w:sz w:val="20"/>
          <w:szCs w:val="20"/>
          <w:color w:val="auto"/>
        </w:rPr>
      </w:pPr>
      <w:r>
        <w:rPr>
          <w:rFonts w:ascii="Courier New" w:cs="Courier New" w:eastAsia="Courier New" w:hAnsi="Courier New"/>
          <w:sz w:val="15"/>
          <w:szCs w:val="15"/>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September 10, 1997</w:t>
      </w:r>
    </w:p>
    <w:p>
      <w:pPr>
        <w:spacing w:after="0" w:line="200" w:lineRule="exact"/>
        <w:rPr>
          <w:sz w:val="20"/>
          <w:szCs w:val="20"/>
          <w:color w:val="auto"/>
        </w:rPr>
      </w:pPr>
    </w:p>
    <w:p>
      <w:pPr>
        <w:spacing w:after="0" w:line="308"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940" w:right="1440" w:bottom="1440" w:gutter="0" w:footer="0" w:header="0"/>
        </w:sectPr>
      </w:pPr>
    </w:p>
    <w:bookmarkStart w:id="15" w:name="page16"/>
    <w:bookmarkEnd w:id="15"/>
    <w:p>
      <w:pPr>
        <w:ind w:left="6170"/>
        <w:spacing w:after="0"/>
        <w:rPr>
          <w:sz w:val="20"/>
          <w:szCs w:val="20"/>
          <w:color w:val="auto"/>
        </w:rPr>
      </w:pPr>
      <w:r>
        <w:rPr>
          <w:rFonts w:ascii="Courier New" w:cs="Courier New" w:eastAsia="Courier New" w:hAnsi="Courier New"/>
          <w:sz w:val="15"/>
          <w:szCs w:val="15"/>
          <w:color w:val="auto"/>
        </w:rPr>
        <w:t>Exhibit 11</w:t>
      </w:r>
    </w:p>
    <w:p>
      <w:pPr>
        <w:spacing w:after="0" w:line="169" w:lineRule="exact"/>
        <w:rPr>
          <w:sz w:val="20"/>
          <w:szCs w:val="20"/>
          <w:color w:val="auto"/>
        </w:rPr>
      </w:pPr>
    </w:p>
    <w:p>
      <w:pPr>
        <w:jc w:val="center"/>
        <w:ind w:right="3510"/>
        <w:spacing w:after="0"/>
        <w:rPr>
          <w:sz w:val="20"/>
          <w:szCs w:val="20"/>
          <w:color w:val="auto"/>
        </w:rPr>
      </w:pPr>
      <w:r>
        <w:rPr>
          <w:rFonts w:ascii="Courier New" w:cs="Courier New" w:eastAsia="Courier New" w:hAnsi="Courier New"/>
          <w:sz w:val="15"/>
          <w:szCs w:val="15"/>
          <w:color w:val="auto"/>
        </w:rPr>
        <w:t>THE TORO COMPANY AND SUBSIDIARIES</w:t>
      </w:r>
    </w:p>
    <w:p>
      <w:pPr>
        <w:spacing w:after="0" w:line="25" w:lineRule="exact"/>
        <w:rPr>
          <w:sz w:val="20"/>
          <w:szCs w:val="20"/>
          <w:color w:val="auto"/>
        </w:rPr>
      </w:pPr>
    </w:p>
    <w:p>
      <w:pPr>
        <w:ind w:left="1490"/>
        <w:spacing w:after="0"/>
        <w:rPr>
          <w:sz w:val="20"/>
          <w:szCs w:val="20"/>
          <w:color w:val="auto"/>
        </w:rPr>
      </w:pPr>
      <w:r>
        <w:rPr>
          <w:rFonts w:ascii="Courier New" w:cs="Courier New" w:eastAsia="Courier New" w:hAnsi="Courier New"/>
          <w:sz w:val="15"/>
          <w:szCs w:val="15"/>
          <w:color w:val="auto"/>
        </w:rPr>
        <w:t>COMPUTATION OF EARNINGS PER COMMON SHARE (UNAUDITED)</w:t>
      </w:r>
    </w:p>
    <w:p>
      <w:pPr>
        <w:ind w:left="1770"/>
        <w:spacing w:after="0"/>
        <w:rPr>
          <w:sz w:val="20"/>
          <w:szCs w:val="20"/>
          <w:color w:val="auto"/>
        </w:rPr>
      </w:pPr>
      <w:r>
        <w:rPr>
          <w:rFonts w:ascii="Courier New" w:cs="Courier New" w:eastAsia="Courier New" w:hAnsi="Courier New"/>
          <w:sz w:val="15"/>
          <w:szCs w:val="15"/>
          <w:color w:val="auto"/>
        </w:rPr>
        <w:t>(DOLLARS IN THOUSANDS, EXCEPT PER-SHARE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8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Three Months Ended</w:t>
            </w:r>
          </w:p>
        </w:tc>
        <w:tc>
          <w:tcPr>
            <w:tcW w:w="340" w:type="dxa"/>
            <w:vAlign w:val="bottom"/>
          </w:tcPr>
          <w:p>
            <w:pPr>
              <w:spacing w:after="0"/>
              <w:rPr>
                <w:sz w:val="14"/>
                <w:szCs w:val="14"/>
                <w:color w:val="auto"/>
              </w:rPr>
            </w:pPr>
          </w:p>
        </w:tc>
        <w:tc>
          <w:tcPr>
            <w:tcW w:w="22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Nine Months Ended</w:t>
            </w:r>
          </w:p>
        </w:tc>
        <w:tc>
          <w:tcPr>
            <w:tcW w:w="0" w:type="dxa"/>
            <w:vAlign w:val="bottom"/>
          </w:tcPr>
          <w:p>
            <w:pPr>
              <w:spacing w:after="0"/>
              <w:rPr>
                <w:sz w:val="1"/>
                <w:szCs w:val="1"/>
                <w:color w:val="auto"/>
              </w:rPr>
            </w:pPr>
          </w:p>
        </w:tc>
      </w:tr>
      <w:tr>
        <w:trPr>
          <w:trHeight w:val="170"/>
        </w:trPr>
        <w:tc>
          <w:tcPr>
            <w:tcW w:w="5540" w:type="dxa"/>
            <w:vAlign w:val="bottom"/>
          </w:tcPr>
          <w:p>
            <w:pPr>
              <w:spacing w:after="0"/>
              <w:rPr>
                <w:sz w:val="14"/>
                <w:szCs w:val="14"/>
                <w:color w:val="auto"/>
              </w:rPr>
            </w:pPr>
          </w:p>
        </w:tc>
        <w:tc>
          <w:tcPr>
            <w:tcW w:w="540" w:type="dxa"/>
            <w:vAlign w:val="bottom"/>
          </w:tcPr>
          <w:p>
            <w:pPr>
              <w:ind w:left="440"/>
              <w:spacing w:after="0"/>
              <w:rPr>
                <w:sz w:val="20"/>
                <w:szCs w:val="20"/>
                <w:color w:val="auto"/>
              </w:rPr>
            </w:pPr>
            <w:r>
              <w:rPr>
                <w:rFonts w:ascii="Courier New" w:cs="Courier New" w:eastAsia="Courier New" w:hAnsi="Courier New"/>
                <w:sz w:val="1"/>
                <w:szCs w:val="1"/>
                <w:color w:val="auto"/>
                <w:w w:val="49"/>
              </w:rPr>
              <w:t>---------------------------</w:t>
            </w:r>
          </w:p>
        </w:tc>
        <w:tc>
          <w:tcPr>
            <w:tcW w:w="10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August 1,</w:t>
            </w:r>
          </w:p>
        </w:tc>
        <w:tc>
          <w:tcPr>
            <w:tcW w:w="280" w:type="dxa"/>
            <w:vAlign w:val="bottom"/>
          </w:tcPr>
          <w:p>
            <w:pPr>
              <w:spacing w:after="0"/>
              <w:rPr>
                <w:sz w:val="14"/>
                <w:szCs w:val="14"/>
                <w:color w:val="auto"/>
              </w:rPr>
            </w:pP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August 2,</w:t>
            </w:r>
          </w:p>
        </w:tc>
        <w:tc>
          <w:tcPr>
            <w:tcW w:w="2540" w:type="dxa"/>
            <w:vAlign w:val="bottom"/>
            <w:gridSpan w:val="4"/>
          </w:tcPr>
          <w:p>
            <w:pPr>
              <w:ind w:left="16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5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August 1,</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August 2,</w:t>
            </w:r>
          </w:p>
        </w:tc>
        <w:tc>
          <w:tcPr>
            <w:tcW w:w="0" w:type="dxa"/>
            <w:vAlign w:val="bottom"/>
          </w:tcPr>
          <w:p>
            <w:pPr>
              <w:spacing w:after="0"/>
              <w:rPr>
                <w:sz w:val="1"/>
                <w:szCs w:val="1"/>
                <w:color w:val="auto"/>
              </w:rPr>
            </w:pPr>
          </w:p>
        </w:tc>
      </w:tr>
      <w:tr>
        <w:trPr>
          <w:trHeight w:val="170"/>
        </w:trPr>
        <w:tc>
          <w:tcPr>
            <w:tcW w:w="5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34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46"/>
        </w:trPr>
        <w:tc>
          <w:tcPr>
            <w:tcW w:w="5540" w:type="dxa"/>
            <w:vAlign w:val="bottom"/>
          </w:tcPr>
          <w:p>
            <w:pPr>
              <w:spacing w:after="0"/>
              <w:rPr>
                <w:sz w:val="21"/>
                <w:szCs w:val="21"/>
                <w:color w:val="auto"/>
              </w:rPr>
            </w:pPr>
          </w:p>
        </w:tc>
        <w:tc>
          <w:tcPr>
            <w:tcW w:w="1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62"/>
        </w:trPr>
        <w:tc>
          <w:tcPr>
            <w:tcW w:w="5540" w:type="dxa"/>
            <w:vAlign w:val="bottom"/>
          </w:tcPr>
          <w:p>
            <w:pPr>
              <w:spacing w:after="0"/>
              <w:rPr>
                <w:sz w:val="20"/>
                <w:szCs w:val="20"/>
                <w:color w:val="auto"/>
              </w:rPr>
            </w:pPr>
            <w:r>
              <w:rPr>
                <w:rFonts w:ascii="Courier New" w:cs="Courier New" w:eastAsia="Courier New" w:hAnsi="Courier New"/>
                <w:sz w:val="15"/>
                <w:szCs w:val="15"/>
                <w:color w:val="auto"/>
              </w:rPr>
              <w:t>Net earnings before extraordinary loss . . . . . . . . . .</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9,949</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6,465</w:t>
            </w:r>
          </w:p>
        </w:tc>
        <w:tc>
          <w:tcPr>
            <w:tcW w:w="3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31,480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31,783</w:t>
            </w:r>
          </w:p>
        </w:tc>
        <w:tc>
          <w:tcPr>
            <w:tcW w:w="0" w:type="dxa"/>
            <w:vAlign w:val="bottom"/>
          </w:tcPr>
          <w:p>
            <w:pPr>
              <w:spacing w:after="0"/>
              <w:rPr>
                <w:sz w:val="1"/>
                <w:szCs w:val="1"/>
                <w:color w:val="auto"/>
              </w:rPr>
            </w:pP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Extraordinary loss, net of income tax benefit of</w:t>
            </w:r>
          </w:p>
        </w:tc>
        <w:tc>
          <w:tcPr>
            <w:tcW w:w="540" w:type="dxa"/>
            <w:vAlign w:val="bottom"/>
          </w:tcPr>
          <w:p>
            <w:pPr>
              <w:spacing w:after="0"/>
              <w:rPr>
                <w:sz w:val="14"/>
                <w:szCs w:val="14"/>
                <w:color w:val="auto"/>
              </w:rPr>
            </w:pPr>
          </w:p>
        </w:tc>
        <w:tc>
          <w:tcPr>
            <w:tcW w:w="10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(1,663)</w:t>
            </w:r>
          </w:p>
        </w:tc>
        <w:tc>
          <w:tcPr>
            <w:tcW w:w="280" w:type="dxa"/>
            <w:vAlign w:val="bottom"/>
          </w:tcPr>
          <w:p>
            <w:pPr>
              <w:spacing w:after="0"/>
              <w:rPr>
                <w:sz w:val="14"/>
                <w:szCs w:val="14"/>
                <w:color w:val="auto"/>
              </w:rPr>
            </w:pP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(1,663)</w:t>
            </w:r>
          </w:p>
        </w:tc>
        <w:tc>
          <w:tcPr>
            <w:tcW w:w="260" w:type="dxa"/>
            <w:vAlign w:val="bottom"/>
          </w:tcPr>
          <w:p>
            <w:pPr>
              <w:spacing w:after="0"/>
              <w:rPr>
                <w:sz w:val="14"/>
                <w:szCs w:val="14"/>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5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7"/>
              </w:rPr>
              <w:t>$1,087   . . . . . . . . . . . . . . . . . . . . . . . . .</w:t>
            </w:r>
          </w:p>
        </w:tc>
        <w:tc>
          <w:tcPr>
            <w:tcW w:w="5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540" w:type="dxa"/>
            <w:vAlign w:val="bottom"/>
          </w:tcPr>
          <w:p>
            <w:pPr>
              <w:spacing w:after="0"/>
              <w:rPr>
                <w:sz w:val="21"/>
                <w:szCs w:val="21"/>
                <w:color w:val="auto"/>
              </w:rPr>
            </w:pPr>
          </w:p>
        </w:tc>
        <w:tc>
          <w:tcPr>
            <w:tcW w:w="1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540" w:type="dxa"/>
            <w:vAlign w:val="bottom"/>
          </w:tcPr>
          <w:p>
            <w:pPr>
              <w:spacing w:after="0"/>
              <w:rPr>
                <w:sz w:val="20"/>
                <w:szCs w:val="20"/>
                <w:color w:val="auto"/>
              </w:rPr>
            </w:pPr>
            <w:r>
              <w:rPr>
                <w:rFonts w:ascii="Courier New" w:cs="Courier New" w:eastAsia="Courier New" w:hAnsi="Courier New"/>
                <w:sz w:val="15"/>
                <w:szCs w:val="15"/>
                <w:color w:val="auto"/>
              </w:rPr>
              <w:t>Net earnings . . . . . . . . . . . . . . . . . . . . . . .</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8,286</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6,465</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29,817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31,783</w:t>
            </w:r>
          </w:p>
        </w:tc>
        <w:tc>
          <w:tcPr>
            <w:tcW w:w="0" w:type="dxa"/>
            <w:vAlign w:val="bottom"/>
          </w:tcPr>
          <w:p>
            <w:pPr>
              <w:spacing w:after="0"/>
              <w:rPr>
                <w:sz w:val="1"/>
                <w:szCs w:val="1"/>
                <w:color w:val="auto"/>
              </w:rPr>
            </w:pPr>
          </w:p>
        </w:tc>
      </w:tr>
      <w:tr>
        <w:trPr>
          <w:trHeight w:val="170"/>
        </w:trPr>
        <w:tc>
          <w:tcPr>
            <w:tcW w:w="5540" w:type="dxa"/>
            <w:vAlign w:val="bottom"/>
          </w:tcPr>
          <w:p>
            <w:pPr>
              <w:spacing w:after="0"/>
              <w:rPr>
                <w:sz w:val="14"/>
                <w:szCs w:val="14"/>
                <w:color w:val="auto"/>
              </w:rPr>
            </w:pPr>
          </w:p>
        </w:tc>
        <w:tc>
          <w:tcPr>
            <w:tcW w:w="1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5540" w:type="dxa"/>
            <w:vAlign w:val="bottom"/>
          </w:tcPr>
          <w:p>
            <w:pPr>
              <w:spacing w:after="0"/>
              <w:rPr>
                <w:sz w:val="21"/>
                <w:szCs w:val="21"/>
                <w:color w:val="auto"/>
              </w:rPr>
            </w:pPr>
          </w:p>
        </w:tc>
        <w:tc>
          <w:tcPr>
            <w:tcW w:w="1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540" w:type="dxa"/>
            <w:vAlign w:val="bottom"/>
          </w:tcPr>
          <w:p>
            <w:pPr>
              <w:spacing w:after="0"/>
              <w:rPr>
                <w:sz w:val="20"/>
                <w:szCs w:val="20"/>
                <w:color w:val="auto"/>
              </w:rPr>
            </w:pPr>
            <w:r>
              <w:rPr>
                <w:rFonts w:ascii="Courier New" w:cs="Courier New" w:eastAsia="Courier New" w:hAnsi="Courier New"/>
                <w:sz w:val="15"/>
                <w:szCs w:val="15"/>
                <w:color w:val="auto"/>
              </w:rPr>
              <w:t>Primary:</w:t>
            </w:r>
          </w:p>
        </w:tc>
        <w:tc>
          <w:tcPr>
            <w:tcW w:w="5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Shares of common stock and common</w:t>
            </w: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stock equivalents:</w:t>
            </w: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40" w:type="dxa"/>
            <w:vAlign w:val="bottom"/>
          </w:tcPr>
          <w:p>
            <w:pPr>
              <w:ind w:left="600"/>
              <w:spacing w:after="0"/>
              <w:rPr>
                <w:sz w:val="20"/>
                <w:szCs w:val="20"/>
                <w:color w:val="auto"/>
              </w:rPr>
            </w:pPr>
            <w:r>
              <w:rPr>
                <w:rFonts w:ascii="Courier New" w:cs="Courier New" w:eastAsia="Courier New" w:hAnsi="Courier New"/>
                <w:sz w:val="15"/>
                <w:szCs w:val="15"/>
                <w:color w:val="auto"/>
              </w:rPr>
              <w:t>Weighted average number of common shares</w:t>
            </w:r>
          </w:p>
        </w:tc>
        <w:tc>
          <w:tcPr>
            <w:tcW w:w="540" w:type="dxa"/>
            <w:vAlign w:val="bottom"/>
          </w:tcPr>
          <w:p>
            <w:pPr>
              <w:spacing w:after="0"/>
              <w:rPr>
                <w:sz w:val="14"/>
                <w:szCs w:val="14"/>
                <w:color w:val="auto"/>
              </w:rPr>
            </w:pPr>
          </w:p>
        </w:tc>
        <w:tc>
          <w:tcPr>
            <w:tcW w:w="10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w w:val="95"/>
              </w:rPr>
              <w:t>12,078,431</w:t>
            </w:r>
          </w:p>
        </w:tc>
        <w:tc>
          <w:tcPr>
            <w:tcW w:w="280" w:type="dxa"/>
            <w:vAlign w:val="bottom"/>
          </w:tcPr>
          <w:p>
            <w:pPr>
              <w:spacing w:after="0"/>
              <w:rPr>
                <w:sz w:val="14"/>
                <w:szCs w:val="14"/>
                <w:color w:val="auto"/>
              </w:rPr>
            </w:pP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5"/>
              </w:rPr>
              <w:t>12,108,554</w:t>
            </w:r>
          </w:p>
        </w:tc>
        <w:tc>
          <w:tcPr>
            <w:tcW w:w="132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rPr>
              <w:t>12,079,763</w:t>
            </w:r>
          </w:p>
        </w:tc>
        <w:tc>
          <w:tcPr>
            <w:tcW w:w="260" w:type="dxa"/>
            <w:vAlign w:val="bottom"/>
          </w:tcPr>
          <w:p>
            <w:pPr>
              <w:spacing w:after="0"/>
              <w:rPr>
                <w:sz w:val="14"/>
                <w:szCs w:val="14"/>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5"/>
              </w:rPr>
              <w:t>12,183,841</w:t>
            </w:r>
          </w:p>
        </w:tc>
        <w:tc>
          <w:tcPr>
            <w:tcW w:w="0" w:type="dxa"/>
            <w:vAlign w:val="bottom"/>
          </w:tcPr>
          <w:p>
            <w:pPr>
              <w:spacing w:after="0"/>
              <w:rPr>
                <w:sz w:val="1"/>
                <w:szCs w:val="1"/>
                <w:color w:val="auto"/>
              </w:rPr>
            </w:pPr>
          </w:p>
        </w:tc>
      </w:tr>
      <w:tr>
        <w:trPr>
          <w:trHeight w:val="170"/>
        </w:trPr>
        <w:tc>
          <w:tcPr>
            <w:tcW w:w="5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outstanding . . . . . . . . . . . . . . . . . . .</w:t>
            </w:r>
          </w:p>
        </w:tc>
        <w:tc>
          <w:tcPr>
            <w:tcW w:w="5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40" w:type="dxa"/>
            <w:vAlign w:val="bottom"/>
          </w:tcPr>
          <w:p>
            <w:pPr>
              <w:ind w:left="600"/>
              <w:spacing w:after="0"/>
              <w:rPr>
                <w:sz w:val="20"/>
                <w:szCs w:val="20"/>
                <w:color w:val="auto"/>
              </w:rPr>
            </w:pPr>
            <w:r>
              <w:rPr>
                <w:rFonts w:ascii="Courier New" w:cs="Courier New" w:eastAsia="Courier New" w:hAnsi="Courier New"/>
                <w:sz w:val="15"/>
                <w:szCs w:val="15"/>
                <w:color w:val="auto"/>
              </w:rPr>
              <w:t>Dilutive effect of outstanding</w:t>
            </w:r>
          </w:p>
        </w:tc>
        <w:tc>
          <w:tcPr>
            <w:tcW w:w="540" w:type="dxa"/>
            <w:vAlign w:val="bottom"/>
          </w:tcPr>
          <w:p>
            <w:pPr>
              <w:spacing w:after="0"/>
              <w:rPr>
                <w:sz w:val="14"/>
                <w:szCs w:val="14"/>
                <w:color w:val="auto"/>
              </w:rPr>
            </w:pPr>
          </w:p>
        </w:tc>
        <w:tc>
          <w:tcPr>
            <w:tcW w:w="10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342,662</w:t>
            </w:r>
          </w:p>
        </w:tc>
        <w:tc>
          <w:tcPr>
            <w:tcW w:w="280" w:type="dxa"/>
            <w:vAlign w:val="bottom"/>
          </w:tcPr>
          <w:p>
            <w:pPr>
              <w:spacing w:after="0"/>
              <w:rPr>
                <w:sz w:val="14"/>
                <w:szCs w:val="14"/>
                <w:color w:val="auto"/>
              </w:rPr>
            </w:pP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398,235</w:t>
            </w:r>
          </w:p>
        </w:tc>
        <w:tc>
          <w:tcPr>
            <w:tcW w:w="340" w:type="dxa"/>
            <w:vAlign w:val="bottom"/>
          </w:tcPr>
          <w:p>
            <w:pPr>
              <w:spacing w:after="0"/>
              <w:rPr>
                <w:sz w:val="14"/>
                <w:szCs w:val="14"/>
                <w:color w:val="auto"/>
              </w:rPr>
            </w:pP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368,049</w:t>
            </w:r>
          </w:p>
        </w:tc>
        <w:tc>
          <w:tcPr>
            <w:tcW w:w="260" w:type="dxa"/>
            <w:vAlign w:val="bottom"/>
          </w:tcPr>
          <w:p>
            <w:pPr>
              <w:spacing w:after="0"/>
              <w:rPr>
                <w:sz w:val="14"/>
                <w:szCs w:val="14"/>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424,403</w:t>
            </w:r>
          </w:p>
        </w:tc>
        <w:tc>
          <w:tcPr>
            <w:tcW w:w="0" w:type="dxa"/>
            <w:vAlign w:val="bottom"/>
          </w:tcPr>
          <w:p>
            <w:pPr>
              <w:spacing w:after="0"/>
              <w:rPr>
                <w:sz w:val="1"/>
                <w:szCs w:val="1"/>
                <w:color w:val="auto"/>
              </w:rPr>
            </w:pPr>
          </w:p>
        </w:tc>
      </w:tr>
      <w:tr>
        <w:trPr>
          <w:trHeight w:val="170"/>
        </w:trPr>
        <w:tc>
          <w:tcPr>
            <w:tcW w:w="5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stock options (1). . . . . . . . . . . . . . . .</w:t>
            </w:r>
          </w:p>
        </w:tc>
        <w:tc>
          <w:tcPr>
            <w:tcW w:w="5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40" w:type="dxa"/>
            <w:vAlign w:val="bottom"/>
          </w:tcPr>
          <w:p>
            <w:pPr>
              <w:spacing w:after="0"/>
              <w:rPr>
                <w:sz w:val="14"/>
                <w:szCs w:val="14"/>
                <w:color w:val="auto"/>
              </w:rPr>
            </w:pPr>
          </w:p>
        </w:tc>
        <w:tc>
          <w:tcPr>
            <w:tcW w:w="540" w:type="dxa"/>
            <w:vAlign w:val="bottom"/>
          </w:tcPr>
          <w:p>
            <w:pPr>
              <w:ind w:left="440"/>
              <w:spacing w:after="0"/>
              <w:rPr>
                <w:sz w:val="20"/>
                <w:szCs w:val="20"/>
                <w:color w:val="auto"/>
              </w:rPr>
            </w:pPr>
            <w:r>
              <w:rPr>
                <w:rFonts w:ascii="Courier New" w:cs="Courier New" w:eastAsia="Courier New" w:hAnsi="Courier New"/>
                <w:sz w:val="1"/>
                <w:szCs w:val="1"/>
                <w:color w:val="auto"/>
              </w:rPr>
              <w:t>------------</w:t>
            </w:r>
          </w:p>
        </w:tc>
        <w:tc>
          <w:tcPr>
            <w:tcW w:w="10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w w:val="95"/>
              </w:rPr>
              <w:t>12,421,093</w:t>
            </w:r>
          </w:p>
        </w:tc>
        <w:tc>
          <w:tcPr>
            <w:tcW w:w="13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12,506,789</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12,447,812</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12,608,244</w:t>
            </w:r>
          </w:p>
        </w:tc>
        <w:tc>
          <w:tcPr>
            <w:tcW w:w="0" w:type="dxa"/>
            <w:vAlign w:val="bottom"/>
          </w:tcPr>
          <w:p>
            <w:pPr>
              <w:spacing w:after="0"/>
              <w:rPr>
                <w:sz w:val="1"/>
                <w:szCs w:val="1"/>
                <w:color w:val="auto"/>
              </w:rPr>
            </w:pPr>
          </w:p>
        </w:tc>
      </w:tr>
      <w:tr>
        <w:trPr>
          <w:trHeight w:val="246"/>
        </w:trPr>
        <w:tc>
          <w:tcPr>
            <w:tcW w:w="5540" w:type="dxa"/>
            <w:vAlign w:val="bottom"/>
          </w:tcPr>
          <w:p>
            <w:pPr>
              <w:spacing w:after="0"/>
              <w:rPr>
                <w:sz w:val="21"/>
                <w:szCs w:val="21"/>
                <w:color w:val="auto"/>
              </w:rPr>
            </w:pPr>
          </w:p>
        </w:tc>
        <w:tc>
          <w:tcPr>
            <w:tcW w:w="1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32"/>
        </w:trPr>
        <w:tc>
          <w:tcPr>
            <w:tcW w:w="5540" w:type="dxa"/>
            <w:vAlign w:val="bottom"/>
          </w:tcPr>
          <w:p>
            <w:pPr>
              <w:ind w:left="600"/>
              <w:spacing w:after="0"/>
              <w:rPr>
                <w:sz w:val="20"/>
                <w:szCs w:val="20"/>
                <w:color w:val="auto"/>
              </w:rPr>
            </w:pPr>
            <w:r>
              <w:rPr>
                <w:rFonts w:ascii="Courier New" w:cs="Courier New" w:eastAsia="Courier New" w:hAnsi="Courier New"/>
                <w:sz w:val="15"/>
                <w:szCs w:val="15"/>
                <w:color w:val="auto"/>
              </w:rPr>
              <w:t>Net earnings per share of common stock</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540" w:type="dxa"/>
            <w:vAlign w:val="bottom"/>
          </w:tcPr>
          <w:p>
            <w:pPr>
              <w:ind w:left="880"/>
              <w:spacing w:after="0"/>
              <w:rPr>
                <w:sz w:val="20"/>
                <w:szCs w:val="20"/>
                <w:color w:val="auto"/>
              </w:rPr>
            </w:pPr>
            <w:r>
              <w:rPr>
                <w:rFonts w:ascii="Courier New" w:cs="Courier New" w:eastAsia="Courier New" w:hAnsi="Courier New"/>
                <w:sz w:val="15"/>
                <w:szCs w:val="15"/>
                <w:color w:val="auto"/>
              </w:rPr>
              <w:t>and common stock equivalent before</w:t>
            </w:r>
          </w:p>
        </w:tc>
        <w:tc>
          <w:tcPr>
            <w:tcW w:w="5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0.80</w:t>
            </w:r>
          </w:p>
        </w:tc>
        <w:tc>
          <w:tcPr>
            <w:tcW w:w="2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0.52</w:t>
            </w:r>
          </w:p>
        </w:tc>
        <w:tc>
          <w:tcPr>
            <w:tcW w:w="3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2.53</w:t>
            </w: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2.52</w:t>
            </w:r>
          </w:p>
        </w:tc>
        <w:tc>
          <w:tcPr>
            <w:tcW w:w="0" w:type="dxa"/>
            <w:vAlign w:val="bottom"/>
          </w:tcPr>
          <w:p>
            <w:pPr>
              <w:spacing w:after="0"/>
              <w:rPr>
                <w:sz w:val="1"/>
                <w:szCs w:val="1"/>
                <w:color w:val="auto"/>
              </w:rPr>
            </w:pPr>
          </w:p>
        </w:tc>
      </w:tr>
      <w:tr>
        <w:trPr>
          <w:trHeight w:val="170"/>
        </w:trPr>
        <w:tc>
          <w:tcPr>
            <w:tcW w:w="5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extraordinary loss,. . . . . . . . . . . . . . .</w:t>
            </w:r>
          </w:p>
        </w:tc>
        <w:tc>
          <w:tcPr>
            <w:tcW w:w="5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Extraordinary loss, net of income tax benefit . . .</w:t>
            </w:r>
          </w:p>
        </w:tc>
        <w:tc>
          <w:tcPr>
            <w:tcW w:w="54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(0.13)</w:t>
            </w:r>
          </w:p>
        </w:tc>
        <w:tc>
          <w:tcPr>
            <w:tcW w:w="2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(0.13)</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5540" w:type="dxa"/>
            <w:vAlign w:val="bottom"/>
            <w:vMerge w:val="restart"/>
          </w:tcPr>
          <w:p>
            <w:pPr>
              <w:ind w:left="600"/>
              <w:spacing w:after="0"/>
              <w:rPr>
                <w:sz w:val="20"/>
                <w:szCs w:val="20"/>
                <w:color w:val="auto"/>
              </w:rPr>
            </w:pPr>
            <w:r>
              <w:rPr>
                <w:rFonts w:ascii="Courier New" w:cs="Courier New" w:eastAsia="Courier New" w:hAnsi="Courier New"/>
                <w:sz w:val="15"/>
                <w:szCs w:val="15"/>
                <w:color w:val="auto"/>
              </w:rPr>
              <w:t>Net earnings per share of common stock</w:t>
            </w:r>
          </w:p>
        </w:tc>
        <w:tc>
          <w:tcPr>
            <w:tcW w:w="1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540" w:type="dxa"/>
            <w:vAlign w:val="bottom"/>
            <w:vMerge w:val="continue"/>
          </w:tcPr>
          <w:p>
            <w:pPr>
              <w:spacing w:after="0"/>
              <w:rPr>
                <w:sz w:val="8"/>
                <w:szCs w:val="8"/>
                <w:color w:val="auto"/>
              </w:rPr>
            </w:pPr>
          </w:p>
        </w:tc>
        <w:tc>
          <w:tcPr>
            <w:tcW w:w="5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0.67</w:t>
            </w:r>
          </w:p>
        </w:tc>
        <w:tc>
          <w:tcPr>
            <w:tcW w:w="2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0.52</w:t>
            </w:r>
          </w:p>
        </w:tc>
        <w:tc>
          <w:tcPr>
            <w:tcW w:w="3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2.40</w:t>
            </w: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2.52</w:t>
            </w:r>
          </w:p>
        </w:tc>
        <w:tc>
          <w:tcPr>
            <w:tcW w:w="0" w:type="dxa"/>
            <w:vAlign w:val="bottom"/>
          </w:tcPr>
          <w:p>
            <w:pPr>
              <w:spacing w:after="0"/>
              <w:rPr>
                <w:sz w:val="1"/>
                <w:szCs w:val="1"/>
                <w:color w:val="auto"/>
              </w:rPr>
            </w:pPr>
          </w:p>
        </w:tc>
      </w:tr>
      <w:tr>
        <w:trPr>
          <w:trHeight w:val="170"/>
        </w:trPr>
        <w:tc>
          <w:tcPr>
            <w:tcW w:w="5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and common stock equivalent . . . . . . . . . .</w:t>
            </w:r>
          </w:p>
        </w:tc>
        <w:tc>
          <w:tcPr>
            <w:tcW w:w="5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40" w:type="dxa"/>
            <w:vAlign w:val="bottom"/>
          </w:tcPr>
          <w:p>
            <w:pPr>
              <w:spacing w:after="0"/>
              <w:rPr>
                <w:sz w:val="14"/>
                <w:szCs w:val="14"/>
                <w:color w:val="auto"/>
              </w:rPr>
            </w:pPr>
          </w:p>
        </w:tc>
        <w:tc>
          <w:tcPr>
            <w:tcW w:w="1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5540" w:type="dxa"/>
            <w:vAlign w:val="bottom"/>
          </w:tcPr>
          <w:p>
            <w:pPr>
              <w:spacing w:after="0"/>
              <w:rPr>
                <w:sz w:val="21"/>
                <w:szCs w:val="21"/>
                <w:color w:val="auto"/>
              </w:rPr>
            </w:pPr>
          </w:p>
        </w:tc>
        <w:tc>
          <w:tcPr>
            <w:tcW w:w="1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540" w:type="dxa"/>
            <w:vAlign w:val="bottom"/>
          </w:tcPr>
          <w:p>
            <w:pPr>
              <w:spacing w:after="0"/>
              <w:rPr>
                <w:sz w:val="20"/>
                <w:szCs w:val="20"/>
                <w:color w:val="auto"/>
              </w:rPr>
            </w:pPr>
            <w:r>
              <w:rPr>
                <w:rFonts w:ascii="Courier New" w:cs="Courier New" w:eastAsia="Courier New" w:hAnsi="Courier New"/>
                <w:sz w:val="15"/>
                <w:szCs w:val="15"/>
                <w:color w:val="auto"/>
              </w:rPr>
              <w:t>Fully Diluted:</w:t>
            </w:r>
          </w:p>
        </w:tc>
        <w:tc>
          <w:tcPr>
            <w:tcW w:w="5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Shares of common stock and common</w:t>
            </w: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stock equivalents:</w:t>
            </w: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40" w:type="dxa"/>
            <w:vAlign w:val="bottom"/>
          </w:tcPr>
          <w:p>
            <w:pPr>
              <w:ind w:left="600"/>
              <w:spacing w:after="0"/>
              <w:rPr>
                <w:sz w:val="20"/>
                <w:szCs w:val="20"/>
                <w:color w:val="auto"/>
              </w:rPr>
            </w:pPr>
            <w:r>
              <w:rPr>
                <w:rFonts w:ascii="Courier New" w:cs="Courier New" w:eastAsia="Courier New" w:hAnsi="Courier New"/>
                <w:sz w:val="15"/>
                <w:szCs w:val="15"/>
                <w:color w:val="auto"/>
              </w:rPr>
              <w:t>Weighted average number of common shares</w:t>
            </w:r>
          </w:p>
        </w:tc>
        <w:tc>
          <w:tcPr>
            <w:tcW w:w="540" w:type="dxa"/>
            <w:vAlign w:val="bottom"/>
          </w:tcPr>
          <w:p>
            <w:pPr>
              <w:spacing w:after="0"/>
              <w:rPr>
                <w:sz w:val="14"/>
                <w:szCs w:val="14"/>
                <w:color w:val="auto"/>
              </w:rPr>
            </w:pPr>
          </w:p>
        </w:tc>
        <w:tc>
          <w:tcPr>
            <w:tcW w:w="10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w w:val="95"/>
              </w:rPr>
              <w:t>12,078,431</w:t>
            </w:r>
          </w:p>
        </w:tc>
        <w:tc>
          <w:tcPr>
            <w:tcW w:w="280" w:type="dxa"/>
            <w:vAlign w:val="bottom"/>
          </w:tcPr>
          <w:p>
            <w:pPr>
              <w:spacing w:after="0"/>
              <w:rPr>
                <w:sz w:val="14"/>
                <w:szCs w:val="14"/>
                <w:color w:val="auto"/>
              </w:rPr>
            </w:pP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5"/>
              </w:rPr>
              <w:t>12,108,554</w:t>
            </w:r>
          </w:p>
        </w:tc>
        <w:tc>
          <w:tcPr>
            <w:tcW w:w="132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rPr>
              <w:t>12,079,763</w:t>
            </w:r>
          </w:p>
        </w:tc>
        <w:tc>
          <w:tcPr>
            <w:tcW w:w="260" w:type="dxa"/>
            <w:vAlign w:val="bottom"/>
          </w:tcPr>
          <w:p>
            <w:pPr>
              <w:spacing w:after="0"/>
              <w:rPr>
                <w:sz w:val="14"/>
                <w:szCs w:val="14"/>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5"/>
              </w:rPr>
              <w:t>12,183,841</w:t>
            </w:r>
          </w:p>
        </w:tc>
        <w:tc>
          <w:tcPr>
            <w:tcW w:w="0" w:type="dxa"/>
            <w:vAlign w:val="bottom"/>
          </w:tcPr>
          <w:p>
            <w:pPr>
              <w:spacing w:after="0"/>
              <w:rPr>
                <w:sz w:val="1"/>
                <w:szCs w:val="1"/>
                <w:color w:val="auto"/>
              </w:rPr>
            </w:pPr>
          </w:p>
        </w:tc>
      </w:tr>
      <w:tr>
        <w:trPr>
          <w:trHeight w:val="246"/>
        </w:trPr>
        <w:tc>
          <w:tcPr>
            <w:tcW w:w="5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outstanding. . . . . . . . . . . . . . . . . . .</w:t>
            </w:r>
          </w:p>
        </w:tc>
        <w:tc>
          <w:tcPr>
            <w:tcW w:w="54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540" w:type="dxa"/>
            <w:vAlign w:val="bottom"/>
          </w:tcPr>
          <w:p>
            <w:pPr>
              <w:ind w:left="600"/>
              <w:spacing w:after="0"/>
              <w:rPr>
                <w:sz w:val="20"/>
                <w:szCs w:val="20"/>
                <w:color w:val="auto"/>
              </w:rPr>
            </w:pPr>
            <w:r>
              <w:rPr>
                <w:rFonts w:ascii="Courier New" w:cs="Courier New" w:eastAsia="Courier New" w:hAnsi="Courier New"/>
                <w:sz w:val="15"/>
                <w:szCs w:val="15"/>
                <w:color w:val="auto"/>
              </w:rPr>
              <w:t>Dilutive effect of outstanding</w:t>
            </w:r>
          </w:p>
        </w:tc>
        <w:tc>
          <w:tcPr>
            <w:tcW w:w="540" w:type="dxa"/>
            <w:vAlign w:val="bottom"/>
          </w:tcPr>
          <w:p>
            <w:pPr>
              <w:spacing w:after="0"/>
              <w:rPr>
                <w:sz w:val="22"/>
                <w:szCs w:val="22"/>
                <w:color w:val="auto"/>
              </w:rPr>
            </w:pPr>
          </w:p>
        </w:tc>
        <w:tc>
          <w:tcPr>
            <w:tcW w:w="10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344,100</w:t>
            </w:r>
          </w:p>
        </w:tc>
        <w:tc>
          <w:tcPr>
            <w:tcW w:w="280" w:type="dxa"/>
            <w:vAlign w:val="bottom"/>
          </w:tcPr>
          <w:p>
            <w:pPr>
              <w:spacing w:after="0"/>
              <w:rPr>
                <w:sz w:val="22"/>
                <w:szCs w:val="22"/>
                <w:color w:val="auto"/>
              </w:rPr>
            </w:pP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398,235</w:t>
            </w:r>
          </w:p>
        </w:tc>
        <w:tc>
          <w:tcPr>
            <w:tcW w:w="340" w:type="dxa"/>
            <w:vAlign w:val="bottom"/>
          </w:tcPr>
          <w:p>
            <w:pPr>
              <w:spacing w:after="0"/>
              <w:rPr>
                <w:sz w:val="22"/>
                <w:szCs w:val="22"/>
                <w:color w:val="auto"/>
              </w:rPr>
            </w:pP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396,994</w:t>
            </w:r>
          </w:p>
        </w:tc>
        <w:tc>
          <w:tcPr>
            <w:tcW w:w="260" w:type="dxa"/>
            <w:vAlign w:val="bottom"/>
          </w:tcPr>
          <w:p>
            <w:pPr>
              <w:spacing w:after="0"/>
              <w:rPr>
                <w:sz w:val="22"/>
                <w:szCs w:val="22"/>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424,403</w:t>
            </w:r>
          </w:p>
        </w:tc>
        <w:tc>
          <w:tcPr>
            <w:tcW w:w="0" w:type="dxa"/>
            <w:vAlign w:val="bottom"/>
          </w:tcPr>
          <w:p>
            <w:pPr>
              <w:spacing w:after="0"/>
              <w:rPr>
                <w:sz w:val="1"/>
                <w:szCs w:val="1"/>
                <w:color w:val="auto"/>
              </w:rPr>
            </w:pPr>
          </w:p>
        </w:tc>
      </w:tr>
      <w:tr>
        <w:trPr>
          <w:trHeight w:val="170"/>
        </w:trPr>
        <w:tc>
          <w:tcPr>
            <w:tcW w:w="5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stock options (2). . . . . . . . . . . . . . . .</w:t>
            </w:r>
          </w:p>
        </w:tc>
        <w:tc>
          <w:tcPr>
            <w:tcW w:w="5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40" w:type="dxa"/>
            <w:vAlign w:val="bottom"/>
          </w:tcPr>
          <w:p>
            <w:pPr>
              <w:spacing w:after="0"/>
              <w:rPr>
                <w:sz w:val="14"/>
                <w:szCs w:val="14"/>
                <w:color w:val="auto"/>
              </w:rPr>
            </w:pPr>
          </w:p>
        </w:tc>
        <w:tc>
          <w:tcPr>
            <w:tcW w:w="540" w:type="dxa"/>
            <w:vAlign w:val="bottom"/>
          </w:tcPr>
          <w:p>
            <w:pPr>
              <w:ind w:left="440"/>
              <w:spacing w:after="0"/>
              <w:rPr>
                <w:sz w:val="20"/>
                <w:szCs w:val="20"/>
                <w:color w:val="auto"/>
              </w:rPr>
            </w:pPr>
            <w:r>
              <w:rPr>
                <w:rFonts w:ascii="Courier New" w:cs="Courier New" w:eastAsia="Courier New" w:hAnsi="Courier New"/>
                <w:sz w:val="1"/>
                <w:szCs w:val="1"/>
                <w:color w:val="auto"/>
              </w:rPr>
              <w:t>------------</w:t>
            </w:r>
          </w:p>
        </w:tc>
        <w:tc>
          <w:tcPr>
            <w:tcW w:w="10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w w:val="95"/>
              </w:rPr>
              <w:t>12,422,531</w:t>
            </w:r>
          </w:p>
        </w:tc>
        <w:tc>
          <w:tcPr>
            <w:tcW w:w="13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12,506,789</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12,476,757</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12,608,244</w:t>
            </w:r>
          </w:p>
        </w:tc>
        <w:tc>
          <w:tcPr>
            <w:tcW w:w="0" w:type="dxa"/>
            <w:vAlign w:val="bottom"/>
          </w:tcPr>
          <w:p>
            <w:pPr>
              <w:spacing w:after="0"/>
              <w:rPr>
                <w:sz w:val="1"/>
                <w:szCs w:val="1"/>
                <w:color w:val="auto"/>
              </w:rPr>
            </w:pPr>
          </w:p>
        </w:tc>
      </w:tr>
      <w:tr>
        <w:trPr>
          <w:trHeight w:val="246"/>
        </w:trPr>
        <w:tc>
          <w:tcPr>
            <w:tcW w:w="5540" w:type="dxa"/>
            <w:vAlign w:val="bottom"/>
          </w:tcPr>
          <w:p>
            <w:pPr>
              <w:spacing w:after="0"/>
              <w:rPr>
                <w:sz w:val="21"/>
                <w:szCs w:val="21"/>
                <w:color w:val="auto"/>
              </w:rPr>
            </w:pPr>
          </w:p>
        </w:tc>
        <w:tc>
          <w:tcPr>
            <w:tcW w:w="1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540" w:type="dxa"/>
            <w:vAlign w:val="bottom"/>
          </w:tcPr>
          <w:p>
            <w:pPr>
              <w:ind w:left="600"/>
              <w:spacing w:after="0"/>
              <w:rPr>
                <w:sz w:val="20"/>
                <w:szCs w:val="20"/>
                <w:color w:val="auto"/>
              </w:rPr>
            </w:pPr>
            <w:r>
              <w:rPr>
                <w:rFonts w:ascii="Courier New" w:cs="Courier New" w:eastAsia="Courier New" w:hAnsi="Courier New"/>
                <w:sz w:val="15"/>
                <w:szCs w:val="15"/>
                <w:color w:val="auto"/>
              </w:rPr>
              <w:t>Net earnings per share of common stock</w:t>
            </w:r>
          </w:p>
        </w:tc>
        <w:tc>
          <w:tcPr>
            <w:tcW w:w="5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5540" w:type="dxa"/>
            <w:vAlign w:val="bottom"/>
          </w:tcPr>
          <w:p>
            <w:pPr>
              <w:ind w:left="960"/>
              <w:spacing w:after="0"/>
              <w:rPr>
                <w:sz w:val="20"/>
                <w:szCs w:val="20"/>
                <w:color w:val="auto"/>
              </w:rPr>
            </w:pPr>
            <w:r>
              <w:rPr>
                <w:rFonts w:ascii="Courier New" w:cs="Courier New" w:eastAsia="Courier New" w:hAnsi="Courier New"/>
                <w:sz w:val="15"/>
                <w:szCs w:val="15"/>
                <w:color w:val="auto"/>
              </w:rPr>
              <w:t>and common stock equivalent before</w:t>
            </w:r>
          </w:p>
        </w:tc>
        <w:tc>
          <w:tcPr>
            <w:tcW w:w="5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0.80</w:t>
            </w:r>
          </w:p>
        </w:tc>
        <w:tc>
          <w:tcPr>
            <w:tcW w:w="2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0.52</w:t>
            </w:r>
          </w:p>
        </w:tc>
        <w:tc>
          <w:tcPr>
            <w:tcW w:w="3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2.52</w:t>
            </w: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2.52</w:t>
            </w:r>
          </w:p>
        </w:tc>
        <w:tc>
          <w:tcPr>
            <w:tcW w:w="0" w:type="dxa"/>
            <w:vAlign w:val="bottom"/>
          </w:tcPr>
          <w:p>
            <w:pPr>
              <w:spacing w:after="0"/>
              <w:rPr>
                <w:sz w:val="1"/>
                <w:szCs w:val="1"/>
                <w:color w:val="auto"/>
              </w:rPr>
            </w:pPr>
          </w:p>
        </w:tc>
      </w:tr>
      <w:tr>
        <w:trPr>
          <w:trHeight w:val="170"/>
        </w:trPr>
        <w:tc>
          <w:tcPr>
            <w:tcW w:w="5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extraordinary loss. . . . . . . . . . . . . . .</w:t>
            </w:r>
          </w:p>
        </w:tc>
        <w:tc>
          <w:tcPr>
            <w:tcW w:w="5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Extraordinary loss, net of income tax benefit . . .</w:t>
            </w:r>
          </w:p>
        </w:tc>
        <w:tc>
          <w:tcPr>
            <w:tcW w:w="54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(0.13)</w:t>
            </w:r>
          </w:p>
        </w:tc>
        <w:tc>
          <w:tcPr>
            <w:tcW w:w="2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(0.13)</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5540" w:type="dxa"/>
            <w:vAlign w:val="bottom"/>
            <w:vMerge w:val="restart"/>
          </w:tcPr>
          <w:p>
            <w:pPr>
              <w:ind w:left="600"/>
              <w:spacing w:after="0"/>
              <w:rPr>
                <w:sz w:val="20"/>
                <w:szCs w:val="20"/>
                <w:color w:val="auto"/>
              </w:rPr>
            </w:pPr>
            <w:r>
              <w:rPr>
                <w:rFonts w:ascii="Courier New" w:cs="Courier New" w:eastAsia="Courier New" w:hAnsi="Courier New"/>
                <w:sz w:val="15"/>
                <w:szCs w:val="15"/>
                <w:color w:val="auto"/>
              </w:rPr>
              <w:t>Net earnings per share of common stock</w:t>
            </w:r>
          </w:p>
        </w:tc>
        <w:tc>
          <w:tcPr>
            <w:tcW w:w="1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540" w:type="dxa"/>
            <w:vAlign w:val="bottom"/>
            <w:vMerge w:val="continue"/>
          </w:tcPr>
          <w:p>
            <w:pPr>
              <w:spacing w:after="0"/>
              <w:rPr>
                <w:sz w:val="8"/>
                <w:szCs w:val="8"/>
                <w:color w:val="auto"/>
              </w:rPr>
            </w:pPr>
          </w:p>
        </w:tc>
        <w:tc>
          <w:tcPr>
            <w:tcW w:w="5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0.67</w:t>
            </w:r>
          </w:p>
        </w:tc>
        <w:tc>
          <w:tcPr>
            <w:tcW w:w="2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0.52</w:t>
            </w:r>
          </w:p>
        </w:tc>
        <w:tc>
          <w:tcPr>
            <w:tcW w:w="3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2.39</w:t>
            </w: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2.52</w:t>
            </w:r>
          </w:p>
        </w:tc>
        <w:tc>
          <w:tcPr>
            <w:tcW w:w="0" w:type="dxa"/>
            <w:vAlign w:val="bottom"/>
          </w:tcPr>
          <w:p>
            <w:pPr>
              <w:spacing w:after="0"/>
              <w:rPr>
                <w:sz w:val="1"/>
                <w:szCs w:val="1"/>
                <w:color w:val="auto"/>
              </w:rPr>
            </w:pPr>
          </w:p>
        </w:tc>
      </w:tr>
      <w:tr>
        <w:trPr>
          <w:trHeight w:val="170"/>
        </w:trPr>
        <w:tc>
          <w:tcPr>
            <w:tcW w:w="5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and common stock equivalent. . . . . . . . . .</w:t>
            </w:r>
          </w:p>
        </w:tc>
        <w:tc>
          <w:tcPr>
            <w:tcW w:w="5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40" w:type="dxa"/>
            <w:vAlign w:val="bottom"/>
          </w:tcPr>
          <w:p>
            <w:pPr>
              <w:spacing w:after="0"/>
              <w:rPr>
                <w:sz w:val="14"/>
                <w:szCs w:val="14"/>
                <w:color w:val="auto"/>
              </w:rPr>
            </w:pPr>
          </w:p>
        </w:tc>
        <w:tc>
          <w:tcPr>
            <w:tcW w:w="1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5540" w:type="dxa"/>
            <w:vAlign w:val="bottom"/>
          </w:tcPr>
          <w:p>
            <w:pPr>
              <w:spacing w:after="0"/>
              <w:rPr>
                <w:sz w:val="21"/>
                <w:szCs w:val="21"/>
                <w:color w:val="auto"/>
              </w:rPr>
            </w:pPr>
          </w:p>
        </w:tc>
        <w:tc>
          <w:tcPr>
            <w:tcW w:w="1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50" w:right="4220" w:hanging="350"/>
        <w:spacing w:after="0" w:line="322" w:lineRule="auto"/>
        <w:tabs>
          <w:tab w:leader="none" w:pos="35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 stock options and options exercised in the current period are converted to common stock equivalents by the treasury stock method using the average market price of the company's stock during each period.</w:t>
      </w:r>
    </w:p>
    <w:p>
      <w:pPr>
        <w:spacing w:after="0" w:line="39" w:lineRule="exact"/>
        <w:rPr>
          <w:rFonts w:ascii="Courier New" w:cs="Courier New" w:eastAsia="Courier New" w:hAnsi="Courier New"/>
          <w:sz w:val="14"/>
          <w:szCs w:val="14"/>
          <w:color w:val="auto"/>
        </w:rPr>
      </w:pPr>
    </w:p>
    <w:p>
      <w:pPr>
        <w:ind w:left="350" w:right="4220" w:hanging="350"/>
        <w:spacing w:after="0" w:line="275" w:lineRule="auto"/>
        <w:tabs>
          <w:tab w:leader="none" w:pos="3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stock options and options exercised in the current period are converted to common stock equivalents by the treasury stock method using the greater of the average market price or the period-end market price of the company's stock during each period.</w:t>
      </w:r>
    </w:p>
    <w:p>
      <w:pPr>
        <w:spacing w:after="0" w:line="238"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1010"/>
          </w:cols>
          <w:pgMar w:left="230" w:top="454" w:right="659" w:bottom="1440" w:gutter="0" w:footer="0" w:header="0"/>
        </w:sectPr>
      </w:pPr>
    </w:p>
    <w:bookmarkStart w:id="16" w:name="page17"/>
    <w:bookmarkEnd w:id="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ind w:left="80"/>
        <w:spacing w:after="0"/>
        <w:rPr>
          <w:sz w:val="20"/>
          <w:szCs w:val="20"/>
          <w:color w:val="auto"/>
        </w:rPr>
      </w:pPr>
      <w:r>
        <w:rPr>
          <w:rFonts w:ascii="Courier New" w:cs="Courier New" w:eastAsia="Courier New" w:hAnsi="Courier New"/>
          <w:sz w:val="15"/>
          <w:szCs w:val="15"/>
          <w:color w:val="auto"/>
        </w:rPr>
        <w:t>5</w:t>
      </w:r>
    </w:p>
    <w:p>
      <w:pPr>
        <w:spacing w:after="0" w:line="169" w:lineRule="exact"/>
        <w:rPr>
          <w:sz w:val="20"/>
          <w:szCs w:val="20"/>
          <w:color w:val="auto"/>
        </w:rPr>
      </w:pPr>
    </w:p>
    <w:p>
      <w:pPr>
        <w:ind w:left="20" w:right="3599"/>
        <w:spacing w:after="0" w:line="275"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CONDENSED CONSOLIDATED STATEMENTS OF EARNINGS AND RETAINED EARNINGS, THE CONDENSED CONSOLIDATED BALANCE SHEET AND EXHIBIT 11 AND IS QUALIFIED IN ITS ENTIRETY BY REFERENCE TO SUCH FINANCIAL STATEMENTS.</w:t>
      </w:r>
    </w:p>
    <w:p>
      <w:pPr>
        <w:spacing w:after="0" w:line="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1,000</w:t>
      </w:r>
    </w:p>
    <w:p>
      <w:pPr>
        <w:spacing w:after="0" w:line="33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9-MOS</w:t>
      </w:r>
    </w:p>
    <w:p>
      <w:pPr>
        <w:spacing w:after="0" w:line="2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OCT-31-1997</w:t>
      </w:r>
    </w:p>
    <w:p>
      <w:pPr>
        <w:ind w:left="2540"/>
        <w:spacing w:after="0"/>
        <w:rPr>
          <w:sz w:val="20"/>
          <w:szCs w:val="20"/>
          <w:color w:val="auto"/>
        </w:rPr>
      </w:pPr>
      <w:r>
        <w:rPr>
          <w:rFonts w:ascii="Courier New" w:cs="Courier New" w:eastAsia="Courier New" w:hAnsi="Courier New"/>
          <w:sz w:val="15"/>
          <w:szCs w:val="15"/>
          <w:color w:val="auto"/>
        </w:rPr>
        <w:t>NOV-01-1996</w:t>
      </w:r>
    </w:p>
    <w:p>
      <w:pPr>
        <w:ind w:left="2720"/>
        <w:spacing w:after="0"/>
        <w:rPr>
          <w:sz w:val="20"/>
          <w:szCs w:val="20"/>
          <w:color w:val="auto"/>
        </w:rPr>
      </w:pPr>
      <w:r>
        <w:rPr>
          <w:rFonts w:ascii="Courier New" w:cs="Courier New" w:eastAsia="Courier New" w:hAnsi="Courier New"/>
          <w:sz w:val="15"/>
          <w:szCs w:val="15"/>
          <w:color w:val="auto"/>
        </w:rPr>
        <w:t>AUG-01-1997</w:t>
      </w:r>
    </w:p>
    <w:p>
      <w:pPr>
        <w:ind w:left="4140"/>
        <w:spacing w:after="0"/>
        <w:rPr>
          <w:sz w:val="20"/>
          <w:szCs w:val="20"/>
          <w:color w:val="auto"/>
        </w:rPr>
      </w:pPr>
      <w:r>
        <w:rPr>
          <w:rFonts w:ascii="Courier New" w:cs="Courier New" w:eastAsia="Courier New" w:hAnsi="Courier New"/>
          <w:sz w:val="15"/>
          <w:szCs w:val="15"/>
          <w:color w:val="auto"/>
        </w:rPr>
        <w:t>4</w:t>
      </w:r>
    </w:p>
    <w:p>
      <w:pPr>
        <w:ind w:left="3600"/>
        <w:spacing w:after="0"/>
        <w:rPr>
          <w:sz w:val="20"/>
          <w:szCs w:val="20"/>
          <w:color w:val="auto"/>
        </w:rPr>
      </w:pPr>
      <w:r>
        <w:rPr>
          <w:rFonts w:ascii="Courier New" w:cs="Courier New" w:eastAsia="Courier New" w:hAnsi="Courier New"/>
          <w:sz w:val="15"/>
          <w:szCs w:val="15"/>
          <w:color w:val="auto"/>
        </w:rPr>
        <w:t>0</w:t>
      </w:r>
    </w:p>
    <w:p>
      <w:pPr>
        <w:ind w:left="2980"/>
        <w:spacing w:after="0"/>
        <w:rPr>
          <w:sz w:val="20"/>
          <w:szCs w:val="20"/>
          <w:color w:val="auto"/>
        </w:rPr>
      </w:pPr>
      <w:r>
        <w:rPr>
          <w:rFonts w:ascii="Courier New" w:cs="Courier New" w:eastAsia="Courier New" w:hAnsi="Courier New"/>
          <w:sz w:val="15"/>
          <w:szCs w:val="15"/>
          <w:color w:val="auto"/>
        </w:rPr>
        <w:t>308,234</w:t>
      </w:r>
    </w:p>
    <w:p>
      <w:pPr>
        <w:ind w:left="3600"/>
        <w:spacing w:after="0"/>
        <w:rPr>
          <w:sz w:val="20"/>
          <w:szCs w:val="20"/>
          <w:color w:val="auto"/>
        </w:rPr>
      </w:pPr>
      <w:r>
        <w:rPr>
          <w:rFonts w:ascii="Courier New" w:cs="Courier New" w:eastAsia="Courier New" w:hAnsi="Courier New"/>
          <w:sz w:val="15"/>
          <w:szCs w:val="15"/>
          <w:color w:val="auto"/>
        </w:rPr>
        <w:t>0</w:t>
      </w:r>
    </w:p>
    <w:p>
      <w:pPr>
        <w:ind w:left="3160"/>
        <w:spacing w:after="0"/>
        <w:rPr>
          <w:sz w:val="20"/>
          <w:szCs w:val="20"/>
          <w:color w:val="auto"/>
        </w:rPr>
      </w:pPr>
      <w:r>
        <w:rPr>
          <w:rFonts w:ascii="Courier New" w:cs="Courier New" w:eastAsia="Courier New" w:hAnsi="Courier New"/>
          <w:sz w:val="15"/>
          <w:szCs w:val="15"/>
          <w:color w:val="auto"/>
        </w:rPr>
        <w:t>161,825</w:t>
      </w:r>
    </w:p>
    <w:p>
      <w:pPr>
        <w:ind w:left="2720"/>
        <w:spacing w:after="0"/>
        <w:rPr>
          <w:sz w:val="20"/>
          <w:szCs w:val="20"/>
          <w:color w:val="auto"/>
        </w:rPr>
      </w:pPr>
      <w:r>
        <w:rPr>
          <w:rFonts w:ascii="Courier New" w:cs="Courier New" w:eastAsia="Courier New" w:hAnsi="Courier New"/>
          <w:sz w:val="15"/>
          <w:szCs w:val="15"/>
          <w:color w:val="auto"/>
        </w:rPr>
        <w:t>509,348</w:t>
      </w:r>
    </w:p>
    <w:p>
      <w:pPr>
        <w:ind w:left="3600"/>
        <w:spacing w:after="0"/>
        <w:rPr>
          <w:sz w:val="20"/>
          <w:szCs w:val="20"/>
          <w:color w:val="auto"/>
        </w:rPr>
      </w:pPr>
      <w:r>
        <w:rPr>
          <w:rFonts w:ascii="Courier New" w:cs="Courier New" w:eastAsia="Courier New" w:hAnsi="Courier New"/>
          <w:sz w:val="15"/>
          <w:szCs w:val="15"/>
          <w:color w:val="auto"/>
        </w:rPr>
        <w:t>322,708</w:t>
      </w:r>
    </w:p>
    <w:p>
      <w:pPr>
        <w:ind w:left="2900"/>
        <w:spacing w:after="0"/>
        <w:rPr>
          <w:sz w:val="20"/>
          <w:szCs w:val="20"/>
          <w:color w:val="auto"/>
        </w:rPr>
      </w:pPr>
      <w:r>
        <w:rPr>
          <w:rFonts w:ascii="Courier New" w:cs="Courier New" w:eastAsia="Courier New" w:hAnsi="Courier New"/>
          <w:sz w:val="15"/>
          <w:szCs w:val="15"/>
          <w:color w:val="auto"/>
        </w:rPr>
        <w:t>206,105</w:t>
      </w:r>
    </w:p>
    <w:p>
      <w:pPr>
        <w:ind w:left="2900"/>
        <w:spacing w:after="0"/>
        <w:rPr>
          <w:sz w:val="20"/>
          <w:szCs w:val="20"/>
          <w:color w:val="auto"/>
        </w:rPr>
      </w:pPr>
      <w:r>
        <w:rPr>
          <w:rFonts w:ascii="Courier New" w:cs="Courier New" w:eastAsia="Courier New" w:hAnsi="Courier New"/>
          <w:sz w:val="15"/>
          <w:szCs w:val="15"/>
          <w:color w:val="auto"/>
        </w:rPr>
        <w:t>704,970</w:t>
      </w:r>
    </w:p>
    <w:p>
      <w:pPr>
        <w:ind w:left="2280"/>
        <w:spacing w:after="0"/>
        <w:rPr>
          <w:sz w:val="20"/>
          <w:szCs w:val="20"/>
          <w:color w:val="auto"/>
        </w:rPr>
      </w:pPr>
      <w:r>
        <w:rPr>
          <w:rFonts w:ascii="Courier New" w:cs="Courier New" w:eastAsia="Courier New" w:hAnsi="Courier New"/>
          <w:sz w:val="15"/>
          <w:szCs w:val="15"/>
          <w:color w:val="auto"/>
        </w:rPr>
        <w:t>288,254</w:t>
      </w:r>
    </w:p>
    <w:p>
      <w:pPr>
        <w:ind w:left="3520"/>
        <w:spacing w:after="0"/>
        <w:rPr>
          <w:sz w:val="20"/>
          <w:szCs w:val="20"/>
          <w:color w:val="auto"/>
        </w:rPr>
      </w:pPr>
      <w:r>
        <w:rPr>
          <w:rFonts w:ascii="Courier New" w:cs="Courier New" w:eastAsia="Courier New" w:hAnsi="Courier New"/>
          <w:sz w:val="15"/>
          <w:szCs w:val="15"/>
          <w:color w:val="auto"/>
        </w:rPr>
        <w:t>178,015</w:t>
      </w:r>
    </w:p>
    <w:p>
      <w:pPr>
        <w:ind w:left="2820"/>
        <w:spacing w:after="0"/>
        <w:rPr>
          <w:sz w:val="20"/>
          <w:szCs w:val="20"/>
          <w:color w:val="auto"/>
        </w:rPr>
      </w:pPr>
      <w:r>
        <w:rPr>
          <w:rFonts w:ascii="Courier New" w:cs="Courier New" w:eastAsia="Courier New" w:hAnsi="Courier New"/>
          <w:sz w:val="15"/>
          <w:szCs w:val="15"/>
          <w:color w:val="auto"/>
        </w:rPr>
        <w:t>0</w:t>
      </w:r>
    </w:p>
    <w:p>
      <w:pPr>
        <w:ind w:left="3700"/>
        <w:spacing w:after="0"/>
        <w:rPr>
          <w:sz w:val="20"/>
          <w:szCs w:val="20"/>
          <w:color w:val="auto"/>
        </w:rPr>
      </w:pPr>
      <w:r>
        <w:rPr>
          <w:rFonts w:ascii="Courier New" w:cs="Courier New" w:eastAsia="Courier New" w:hAnsi="Courier New"/>
          <w:sz w:val="15"/>
          <w:szCs w:val="15"/>
          <w:color w:val="auto"/>
        </w:rPr>
        <w:t>0</w:t>
      </w:r>
    </w:p>
    <w:p>
      <w:pPr>
        <w:ind w:left="3520"/>
        <w:spacing w:after="0"/>
        <w:rPr>
          <w:sz w:val="20"/>
          <w:szCs w:val="20"/>
          <w:color w:val="auto"/>
        </w:rPr>
      </w:pPr>
      <w:r>
        <w:rPr>
          <w:rFonts w:ascii="Courier New" w:cs="Courier New" w:eastAsia="Courier New" w:hAnsi="Courier New"/>
          <w:sz w:val="15"/>
          <w:szCs w:val="15"/>
          <w:color w:val="auto"/>
        </w:rPr>
        <w:t>12,112</w:t>
      </w:r>
    </w:p>
    <w:p>
      <w:pPr>
        <w:ind w:left="3260"/>
        <w:spacing w:after="0"/>
        <w:rPr>
          <w:sz w:val="20"/>
          <w:szCs w:val="20"/>
          <w:color w:val="auto"/>
        </w:rPr>
      </w:pPr>
      <w:r>
        <w:rPr>
          <w:rFonts w:ascii="Courier New" w:cs="Courier New" w:eastAsia="Courier New" w:hAnsi="Courier New"/>
          <w:sz w:val="15"/>
          <w:szCs w:val="15"/>
          <w:color w:val="auto"/>
        </w:rPr>
        <w:t>221,555</w:t>
      </w:r>
    </w:p>
    <w:p>
      <w:pPr>
        <w:ind w:left="1660"/>
        <w:spacing w:after="0"/>
        <w:rPr>
          <w:sz w:val="20"/>
          <w:szCs w:val="20"/>
          <w:color w:val="auto"/>
        </w:rPr>
      </w:pPr>
      <w:r>
        <w:rPr>
          <w:rFonts w:ascii="Courier New" w:cs="Courier New" w:eastAsia="Courier New" w:hAnsi="Courier New"/>
          <w:sz w:val="15"/>
          <w:szCs w:val="15"/>
          <w:color w:val="auto"/>
        </w:rPr>
        <w:t>704,970</w:t>
      </w:r>
    </w:p>
    <w:p>
      <w:pPr>
        <w:ind w:left="3520"/>
        <w:spacing w:after="0"/>
        <w:rPr>
          <w:sz w:val="20"/>
          <w:szCs w:val="20"/>
          <w:color w:val="auto"/>
        </w:rPr>
      </w:pPr>
      <w:r>
        <w:rPr>
          <w:rFonts w:ascii="Courier New" w:cs="Courier New" w:eastAsia="Courier New" w:hAnsi="Courier New"/>
          <w:sz w:val="15"/>
          <w:szCs w:val="15"/>
          <w:color w:val="auto"/>
        </w:rPr>
        <w:t>249,274</w:t>
      </w:r>
    </w:p>
    <w:p>
      <w:pPr>
        <w:ind w:left="2720"/>
        <w:spacing w:after="0"/>
        <w:rPr>
          <w:sz w:val="20"/>
          <w:szCs w:val="20"/>
          <w:color w:val="auto"/>
        </w:rPr>
      </w:pPr>
      <w:r>
        <w:rPr>
          <w:rFonts w:ascii="Courier New" w:cs="Courier New" w:eastAsia="Courier New" w:hAnsi="Courier New"/>
          <w:sz w:val="15"/>
          <w:szCs w:val="15"/>
          <w:color w:val="auto"/>
        </w:rPr>
        <w:t>249,274</w:t>
      </w:r>
    </w:p>
    <w:p>
      <w:pPr>
        <w:ind w:left="3700"/>
        <w:spacing w:after="0"/>
        <w:rPr>
          <w:sz w:val="20"/>
          <w:szCs w:val="20"/>
          <w:color w:val="auto"/>
        </w:rPr>
      </w:pPr>
      <w:r>
        <w:rPr>
          <w:rFonts w:ascii="Courier New" w:cs="Courier New" w:eastAsia="Courier New" w:hAnsi="Courier New"/>
          <w:sz w:val="15"/>
          <w:szCs w:val="15"/>
          <w:color w:val="auto"/>
        </w:rPr>
        <w:t>156,879</w:t>
      </w:r>
    </w:p>
    <w:p>
      <w:pPr>
        <w:ind w:left="3080"/>
        <w:spacing w:after="0"/>
        <w:rPr>
          <w:sz w:val="20"/>
          <w:szCs w:val="20"/>
          <w:color w:val="auto"/>
        </w:rPr>
      </w:pPr>
      <w:r>
        <w:rPr>
          <w:rFonts w:ascii="Courier New" w:cs="Courier New" w:eastAsia="Courier New" w:hAnsi="Courier New"/>
          <w:sz w:val="15"/>
          <w:szCs w:val="15"/>
          <w:color w:val="auto"/>
        </w:rPr>
        <w:t>73,626</w:t>
      </w:r>
    </w:p>
    <w:p>
      <w:pPr>
        <w:ind w:left="2720"/>
        <w:spacing w:after="0"/>
        <w:rPr>
          <w:sz w:val="20"/>
          <w:szCs w:val="20"/>
          <w:color w:val="auto"/>
        </w:rPr>
      </w:pPr>
      <w:r>
        <w:rPr>
          <w:rFonts w:ascii="Courier New" w:cs="Courier New" w:eastAsia="Courier New" w:hAnsi="Courier New"/>
          <w:sz w:val="15"/>
          <w:szCs w:val="15"/>
          <w:color w:val="auto"/>
        </w:rPr>
        <w:t>(3,151)</w:t>
      </w:r>
    </w:p>
    <w:p>
      <w:pPr>
        <w:ind w:left="3260"/>
        <w:spacing w:after="0"/>
        <w:rPr>
          <w:sz w:val="20"/>
          <w:szCs w:val="20"/>
          <w:color w:val="auto"/>
        </w:rPr>
      </w:pPr>
      <w:r>
        <w:rPr>
          <w:rFonts w:ascii="Courier New" w:cs="Courier New" w:eastAsia="Courier New" w:hAnsi="Courier New"/>
          <w:sz w:val="15"/>
          <w:szCs w:val="15"/>
          <w:color w:val="auto"/>
        </w:rPr>
        <w:t>0</w:t>
      </w:r>
    </w:p>
    <w:p>
      <w:pPr>
        <w:ind w:left="2720"/>
        <w:spacing w:after="0"/>
        <w:rPr>
          <w:sz w:val="20"/>
          <w:szCs w:val="20"/>
          <w:color w:val="auto"/>
        </w:rPr>
      </w:pPr>
      <w:r>
        <w:rPr>
          <w:rFonts w:ascii="Courier New" w:cs="Courier New" w:eastAsia="Courier New" w:hAnsi="Courier New"/>
          <w:sz w:val="15"/>
          <w:szCs w:val="15"/>
          <w:color w:val="auto"/>
        </w:rPr>
        <w:t>5,476</w:t>
      </w:r>
    </w:p>
    <w:p>
      <w:pPr>
        <w:ind w:left="2900"/>
        <w:spacing w:after="0"/>
        <w:rPr>
          <w:sz w:val="20"/>
          <w:szCs w:val="20"/>
          <w:color w:val="auto"/>
        </w:rPr>
      </w:pPr>
      <w:r>
        <w:rPr>
          <w:rFonts w:ascii="Courier New" w:cs="Courier New" w:eastAsia="Courier New" w:hAnsi="Courier New"/>
          <w:sz w:val="15"/>
          <w:szCs w:val="15"/>
          <w:color w:val="auto"/>
        </w:rPr>
        <w:t>16,444</w:t>
      </w:r>
    </w:p>
    <w:p>
      <w:pPr>
        <w:ind w:left="3260"/>
        <w:spacing w:after="0"/>
        <w:rPr>
          <w:sz w:val="20"/>
          <w:szCs w:val="20"/>
          <w:color w:val="auto"/>
        </w:rPr>
      </w:pPr>
      <w:r>
        <w:rPr>
          <w:rFonts w:ascii="Courier New" w:cs="Courier New" w:eastAsia="Courier New" w:hAnsi="Courier New"/>
          <w:sz w:val="15"/>
          <w:szCs w:val="15"/>
          <w:color w:val="auto"/>
        </w:rPr>
        <w:t>6,495</w:t>
      </w:r>
    </w:p>
    <w:p>
      <w:pPr>
        <w:ind w:left="2640"/>
        <w:spacing w:after="0"/>
        <w:rPr>
          <w:sz w:val="20"/>
          <w:szCs w:val="20"/>
          <w:color w:val="auto"/>
        </w:rPr>
      </w:pPr>
      <w:r>
        <w:rPr>
          <w:rFonts w:ascii="Courier New" w:cs="Courier New" w:eastAsia="Courier New" w:hAnsi="Courier New"/>
          <w:sz w:val="15"/>
          <w:szCs w:val="15"/>
          <w:color w:val="auto"/>
        </w:rPr>
        <w:t>9,949</w:t>
      </w:r>
    </w:p>
    <w:p>
      <w:pPr>
        <w:ind w:left="3420"/>
        <w:spacing w:after="0"/>
        <w:rPr>
          <w:sz w:val="20"/>
          <w:szCs w:val="20"/>
          <w:color w:val="auto"/>
        </w:rPr>
      </w:pPr>
      <w:r>
        <w:rPr>
          <w:rFonts w:ascii="Courier New" w:cs="Courier New" w:eastAsia="Courier New" w:hAnsi="Courier New"/>
          <w:sz w:val="15"/>
          <w:szCs w:val="15"/>
          <w:color w:val="auto"/>
        </w:rPr>
        <w:t>0</w:t>
      </w:r>
    </w:p>
    <w:p>
      <w:pPr>
        <w:ind w:left="2820"/>
        <w:spacing w:after="0"/>
        <w:rPr>
          <w:sz w:val="20"/>
          <w:szCs w:val="20"/>
          <w:color w:val="auto"/>
        </w:rPr>
      </w:pPr>
      <w:r>
        <w:rPr>
          <w:rFonts w:ascii="Courier New" w:cs="Courier New" w:eastAsia="Courier New" w:hAnsi="Courier New"/>
          <w:sz w:val="15"/>
          <w:szCs w:val="15"/>
          <w:color w:val="auto"/>
        </w:rPr>
        <w:t>(1,663)</w:t>
      </w:r>
    </w:p>
    <w:p>
      <w:pPr>
        <w:ind w:left="3860"/>
        <w:spacing w:after="0"/>
        <w:rPr>
          <w:sz w:val="20"/>
          <w:szCs w:val="20"/>
          <w:color w:val="auto"/>
        </w:rPr>
      </w:pPr>
      <w:r>
        <w:rPr>
          <w:rFonts w:ascii="Courier New" w:cs="Courier New" w:eastAsia="Courier New" w:hAnsi="Courier New"/>
          <w:sz w:val="15"/>
          <w:szCs w:val="15"/>
          <w:color w:val="auto"/>
        </w:rPr>
        <w:t>0</w:t>
      </w:r>
    </w:p>
    <w:p>
      <w:pPr>
        <w:jc w:val="center"/>
        <w:ind w:right="3279"/>
        <w:spacing w:after="0"/>
        <w:rPr>
          <w:sz w:val="20"/>
          <w:szCs w:val="20"/>
          <w:color w:val="auto"/>
        </w:rPr>
      </w:pPr>
      <w:r>
        <w:rPr>
          <w:rFonts w:ascii="Courier New" w:cs="Courier New" w:eastAsia="Courier New" w:hAnsi="Courier New"/>
          <w:sz w:val="15"/>
          <w:szCs w:val="15"/>
          <w:color w:val="auto"/>
        </w:rPr>
        <w:t>8,286</w:t>
      </w:r>
    </w:p>
    <w:p>
      <w:pPr>
        <w:jc w:val="center"/>
        <w:ind w:right="3279"/>
        <w:spacing w:after="0"/>
        <w:rPr>
          <w:sz w:val="20"/>
          <w:szCs w:val="20"/>
          <w:color w:val="auto"/>
        </w:rPr>
      </w:pPr>
      <w:r>
        <w:rPr>
          <w:rFonts w:ascii="Courier New" w:cs="Courier New" w:eastAsia="Courier New" w:hAnsi="Courier New"/>
          <w:sz w:val="15"/>
          <w:szCs w:val="15"/>
          <w:color w:val="auto"/>
        </w:rPr>
        <w:t>.67</w:t>
      </w:r>
    </w:p>
    <w:p>
      <w:pPr>
        <w:jc w:val="center"/>
        <w:ind w:right="3279"/>
        <w:spacing w:after="0"/>
        <w:rPr>
          <w:sz w:val="20"/>
          <w:szCs w:val="20"/>
          <w:color w:val="auto"/>
        </w:rPr>
      </w:pPr>
      <w:r>
        <w:rPr>
          <w:rFonts w:ascii="Courier New" w:cs="Courier New" w:eastAsia="Courier New" w:hAnsi="Courier New"/>
          <w:sz w:val="15"/>
          <w:szCs w:val="15"/>
          <w:color w:val="auto"/>
        </w:rPr>
        <w:t>.67</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LONG-TERM DEBT.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DOES NOT INCLUDE ADDITIONAL PAID-IN-CAPITAL.</w:t>
      </w:r>
    </w:p>
    <w:p>
      <w:pPr>
        <w:spacing w:after="0"/>
        <w:rPr>
          <w:sz w:val="20"/>
          <w:szCs w:val="20"/>
          <w:color w:val="auto"/>
        </w:rPr>
      </w:pPr>
      <w:r>
        <w:rPr>
          <w:rFonts w:ascii="Courier New" w:cs="Courier New" w:eastAsia="Courier New" w:hAnsi="Courier New"/>
          <w:sz w:val="15"/>
          <w:szCs w:val="15"/>
          <w:color w:val="auto"/>
        </w:rPr>
        <w:t>OTHER INCOME-NET.</w:t>
      </w:r>
    </w:p>
    <w:p>
      <w:pPr>
        <w:spacing w:after="0"/>
        <w:rPr>
          <w:sz w:val="20"/>
          <w:szCs w:val="20"/>
          <w:color w:val="auto"/>
        </w:rPr>
      </w:pPr>
      <w:r>
        <w:rPr>
          <w:rFonts w:ascii="Courier New" w:cs="Courier New" w:eastAsia="Courier New" w:hAnsi="Courier New"/>
          <w:sz w:val="15"/>
          <w:szCs w:val="15"/>
          <w:color w:val="auto"/>
        </w:rPr>
        <w:t>NOT INCLUDED IN QUARTERLY FINANCIAL INFORMATION.</w:t>
      </w:r>
    </w:p>
    <w:p>
      <w:pPr>
        <w:spacing w:after="0"/>
        <w:rPr>
          <w:sz w:val="20"/>
          <w:szCs w:val="20"/>
          <w:color w:val="auto"/>
        </w:rPr>
      </w:pPr>
      <w:r>
        <w:rPr>
          <w:rFonts w:ascii="Courier New" w:cs="Courier New" w:eastAsia="Courier New" w:hAnsi="Courier New"/>
          <w:sz w:val="15"/>
          <w:szCs w:val="15"/>
          <w:color w:val="auto"/>
        </w:rPr>
        <w:t>TOTAL NET RECEIVABLES.</w:t>
      </w:r>
    </w:p>
    <w:sectPr>
      <w:pgSz w:w="11900" w:h="16838" w:orient="portrait"/>
      <w:cols w:equalWidth="0" w:num="1">
        <w:col w:w="10219"/>
      </w:cols>
      <w:pgMar w:left="240"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2019-12-13T13:39:42Z</dcterms:created>
  <dcterms:modified xsi:type="dcterms:W3CDTF">2019-12-13T13:39:42Z</dcterms:modified>
</cp:coreProperties>
</file>