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0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ind w:left="460"/>
              <w:spacing w:after="0"/>
              <w:rPr>
                <w:sz w:val="20"/>
                <w:szCs w:val="20"/>
                <w:color w:val="auto"/>
              </w:rPr>
            </w:pPr>
            <w:r>
              <w:rPr>
                <w:rFonts w:ascii="Arial" w:cs="Arial" w:eastAsia="Arial" w:hAnsi="Arial"/>
                <w:sz w:val="18"/>
                <w:szCs w:val="18"/>
                <w:color w:val="0000FF"/>
              </w:rPr>
              <w:t>05/27/2014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2,722.693</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64.443</w:t>
            </w:r>
            <w:r>
              <w:rPr>
                <w:rFonts w:ascii="Arial" w:cs="Arial" w:eastAsia="Arial" w:hAnsi="Arial"/>
                <w:sz w:val="22"/>
                <w:szCs w:val="22"/>
                <w:color w:val="008000"/>
                <w:w w:val="91"/>
                <w:vertAlign w:val="superscript"/>
              </w:rPr>
              <w:t>(1)</w:t>
            </w: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97"/>
              <w:spacing w:after="0"/>
              <w:rPr>
                <w:sz w:val="20"/>
                <w:szCs w:val="20"/>
                <w:color w:val="auto"/>
              </w:rPr>
            </w:pPr>
            <w:r>
              <w:rPr>
                <w:rFonts w:ascii="Arial" w:cs="Arial" w:eastAsia="Arial" w:hAnsi="Arial"/>
                <w:sz w:val="18"/>
                <w:szCs w:val="18"/>
                <w:color w:val="0000FF"/>
                <w:w w:val="99"/>
              </w:rPr>
              <w:t>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ind w:left="50"/>
              <w:spacing w:after="0" w:line="217" w:lineRule="exact"/>
              <w:rPr>
                <w:sz w:val="20"/>
                <w:szCs w:val="20"/>
                <w:color w:val="auto"/>
              </w:rPr>
            </w:pPr>
            <w:r>
              <w:rPr>
                <w:rFonts w:ascii="Arial" w:cs="Arial" w:eastAsia="Arial" w:hAnsi="Arial"/>
                <w:sz w:val="18"/>
                <w:szCs w:val="18"/>
                <w:color w:val="0000FF"/>
                <w:w w:val="84"/>
              </w:rPr>
              <w:t>58.682</w:t>
            </w:r>
            <w:r>
              <w:rPr>
                <w:rFonts w:ascii="Arial" w:cs="Arial" w:eastAsia="Arial" w:hAnsi="Arial"/>
                <w:sz w:val="22"/>
                <w:szCs w:val="22"/>
                <w:color w:val="008000"/>
                <w:w w:val="84"/>
                <w:vertAlign w:val="superscript"/>
              </w:rPr>
              <w:t>(2)</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8"/>
                <w:szCs w:val="18"/>
                <w:color w:val="0000FF"/>
                <w:w w:val="85"/>
              </w:rPr>
              <w:t>14,305.462</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20" w:type="dxa"/>
            <w:vAlign w:val="bottom"/>
          </w:tcPr>
          <w:p>
            <w:pPr>
              <w:spacing w:after="0"/>
              <w:rPr>
                <w:sz w:val="13"/>
                <w:szCs w:val="13"/>
                <w:color w:val="auto"/>
              </w:rPr>
            </w:pP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$64.318 to $64.54,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0.021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45.644 performance share units acquired by the reporting person since the date of his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05/29/2014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2019-12-17T02:49:54Z</dcterms:created>
  <dcterms:modified xsi:type="dcterms:W3CDTF">2019-12-17T02:49:54Z</dcterms:modified>
</cp:coreProperties>
</file>